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E2" w:rsidRPr="00970E6D" w:rsidRDefault="004022E2" w:rsidP="004022E2">
      <w:pPr>
        <w:tabs>
          <w:tab w:val="clear" w:pos="567"/>
        </w:tabs>
        <w:jc w:val="center"/>
        <w:rPr>
          <w:b/>
          <w:bCs/>
        </w:rPr>
      </w:pPr>
      <w:bookmarkStart w:id="0" w:name="_Toc106707122"/>
      <w:bookmarkStart w:id="1" w:name="_Toc155675722"/>
      <w:bookmarkStart w:id="2" w:name="_Toc155675934"/>
      <w:bookmarkStart w:id="3" w:name="_Toc155675975"/>
      <w:bookmarkStart w:id="4" w:name="_Toc155676245"/>
      <w:bookmarkStart w:id="5" w:name="_Toc174415768"/>
      <w:bookmarkStart w:id="6" w:name="_GoBack"/>
      <w:bookmarkEnd w:id="6"/>
      <w:r w:rsidRPr="00970E6D">
        <w:rPr>
          <w:noProof/>
          <w:lang w:eastAsia="en-AU"/>
        </w:rPr>
        <w:drawing>
          <wp:inline distT="0" distB="0" distL="0" distR="0" wp14:anchorId="4E7B637E" wp14:editId="6EA4AA11">
            <wp:extent cx="2933700" cy="1524600"/>
            <wp:effectExtent l="19050" t="0" r="0" b="0"/>
            <wp:docPr id="1" name="Picture 1" descr="Commonwealth Gran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C_stackedstrip"/>
                    <pic:cNvPicPr>
                      <a:picLocks noChangeAspect="1" noChangeArrowheads="1"/>
                    </pic:cNvPicPr>
                  </pic:nvPicPr>
                  <pic:blipFill>
                    <a:blip r:embed="rId9" cstate="print"/>
                    <a:srcRect/>
                    <a:stretch>
                      <a:fillRect/>
                    </a:stretch>
                  </pic:blipFill>
                  <pic:spPr bwMode="auto">
                    <a:xfrm>
                      <a:off x="0" y="0"/>
                      <a:ext cx="2933700" cy="1524600"/>
                    </a:xfrm>
                    <a:prstGeom prst="rect">
                      <a:avLst/>
                    </a:prstGeom>
                    <a:noFill/>
                    <a:ln w="9525">
                      <a:noFill/>
                      <a:miter lim="800000"/>
                      <a:headEnd/>
                      <a:tailEnd/>
                    </a:ln>
                  </pic:spPr>
                </pic:pic>
              </a:graphicData>
            </a:graphic>
          </wp:inline>
        </w:drawing>
      </w:r>
    </w:p>
    <w:p w:rsidR="004022E2" w:rsidRPr="00970E6D" w:rsidRDefault="004022E2" w:rsidP="004022E2">
      <w:pPr>
        <w:tabs>
          <w:tab w:val="clear" w:pos="567"/>
        </w:tabs>
        <w:jc w:val="center"/>
        <w:rPr>
          <w:b/>
          <w:sz w:val="40"/>
          <w:szCs w:val="40"/>
        </w:rPr>
      </w:pPr>
    </w:p>
    <w:p w:rsidR="004022E2" w:rsidRPr="00970E6D" w:rsidRDefault="004022E2" w:rsidP="004022E2">
      <w:pPr>
        <w:tabs>
          <w:tab w:val="clear" w:pos="567"/>
        </w:tabs>
        <w:jc w:val="center"/>
        <w:rPr>
          <w:b/>
          <w:sz w:val="40"/>
          <w:szCs w:val="40"/>
        </w:rPr>
      </w:pPr>
    </w:p>
    <w:p w:rsidR="004022E2" w:rsidRPr="00970E6D" w:rsidRDefault="004022E2" w:rsidP="004022E2">
      <w:pPr>
        <w:tabs>
          <w:tab w:val="clear" w:pos="567"/>
        </w:tabs>
        <w:jc w:val="center"/>
        <w:rPr>
          <w:b/>
          <w:sz w:val="40"/>
          <w:szCs w:val="40"/>
        </w:rPr>
      </w:pPr>
      <w:r w:rsidRPr="00970E6D">
        <w:rPr>
          <w:b/>
          <w:sz w:val="40"/>
          <w:szCs w:val="40"/>
        </w:rPr>
        <w:t>2015 REVIEW</w:t>
      </w:r>
    </w:p>
    <w:p w:rsidR="004022E2" w:rsidRPr="00970E6D" w:rsidRDefault="004022E2" w:rsidP="004022E2">
      <w:pPr>
        <w:tabs>
          <w:tab w:val="clear" w:pos="567"/>
        </w:tabs>
        <w:jc w:val="center"/>
        <w:rPr>
          <w:b/>
          <w:sz w:val="40"/>
          <w:szCs w:val="40"/>
        </w:rPr>
      </w:pPr>
    </w:p>
    <w:p w:rsidR="004022E2" w:rsidRPr="00970E6D" w:rsidRDefault="004022E2" w:rsidP="004022E2">
      <w:pPr>
        <w:tabs>
          <w:tab w:val="clear" w:pos="567"/>
        </w:tabs>
        <w:jc w:val="center"/>
        <w:rPr>
          <w:b/>
          <w:sz w:val="40"/>
          <w:szCs w:val="40"/>
        </w:rPr>
      </w:pPr>
    </w:p>
    <w:p w:rsidR="004022E2" w:rsidRPr="00970E6D" w:rsidRDefault="004022E2" w:rsidP="004022E2">
      <w:pPr>
        <w:tabs>
          <w:tab w:val="clear" w:pos="567"/>
        </w:tabs>
        <w:jc w:val="center"/>
        <w:rPr>
          <w:b/>
          <w:sz w:val="40"/>
          <w:szCs w:val="40"/>
        </w:rPr>
      </w:pPr>
    </w:p>
    <w:p w:rsidR="004022E2" w:rsidRPr="00970E6D" w:rsidRDefault="004022E2" w:rsidP="004022E2">
      <w:pPr>
        <w:tabs>
          <w:tab w:val="clear" w:pos="567"/>
        </w:tabs>
        <w:jc w:val="center"/>
        <w:rPr>
          <w:b/>
          <w:sz w:val="40"/>
          <w:szCs w:val="40"/>
        </w:rPr>
      </w:pPr>
    </w:p>
    <w:p w:rsidR="004022E2" w:rsidRPr="00970E6D" w:rsidRDefault="00512CE3" w:rsidP="004022E2">
      <w:pPr>
        <w:tabs>
          <w:tab w:val="clear" w:pos="567"/>
        </w:tabs>
        <w:jc w:val="center"/>
        <w:rPr>
          <w:bCs/>
          <w:sz w:val="40"/>
          <w:szCs w:val="40"/>
        </w:rPr>
      </w:pPr>
      <w:r>
        <w:rPr>
          <w:b/>
          <w:sz w:val="40"/>
          <w:szCs w:val="40"/>
        </w:rPr>
        <w:t xml:space="preserve">UPDATE AND SUPPLEMENTARY </w:t>
      </w:r>
      <w:r w:rsidR="004022E2">
        <w:rPr>
          <w:b/>
          <w:sz w:val="40"/>
          <w:szCs w:val="40"/>
        </w:rPr>
        <w:t>ISSUES FOR THE 2015 REVIEW</w:t>
      </w:r>
    </w:p>
    <w:p w:rsidR="004022E2" w:rsidRPr="00970E6D" w:rsidRDefault="004022E2" w:rsidP="004022E2">
      <w:pPr>
        <w:tabs>
          <w:tab w:val="clear" w:pos="567"/>
        </w:tabs>
        <w:jc w:val="center"/>
        <w:rPr>
          <w:b/>
          <w:sz w:val="40"/>
          <w:szCs w:val="40"/>
        </w:rPr>
      </w:pPr>
    </w:p>
    <w:p w:rsidR="004022E2" w:rsidRPr="00970E6D" w:rsidRDefault="004022E2" w:rsidP="004022E2">
      <w:pPr>
        <w:tabs>
          <w:tab w:val="clear" w:pos="567"/>
        </w:tabs>
        <w:jc w:val="center"/>
        <w:rPr>
          <w:b/>
          <w:sz w:val="40"/>
          <w:szCs w:val="40"/>
        </w:rPr>
      </w:pPr>
    </w:p>
    <w:p w:rsidR="004022E2" w:rsidRPr="00970E6D" w:rsidRDefault="004022E2" w:rsidP="004022E2">
      <w:pPr>
        <w:tabs>
          <w:tab w:val="clear" w:pos="567"/>
        </w:tabs>
        <w:jc w:val="center"/>
        <w:rPr>
          <w:b/>
          <w:sz w:val="40"/>
          <w:szCs w:val="40"/>
        </w:rPr>
      </w:pPr>
    </w:p>
    <w:p w:rsidR="004022E2" w:rsidRPr="00970E6D" w:rsidRDefault="004022E2" w:rsidP="004022E2">
      <w:pPr>
        <w:tabs>
          <w:tab w:val="clear" w:pos="567"/>
        </w:tabs>
        <w:jc w:val="center"/>
        <w:rPr>
          <w:b/>
          <w:sz w:val="40"/>
          <w:szCs w:val="40"/>
        </w:rPr>
      </w:pPr>
    </w:p>
    <w:p w:rsidR="004022E2" w:rsidRPr="00970E6D" w:rsidRDefault="004022E2" w:rsidP="004022E2">
      <w:pPr>
        <w:tabs>
          <w:tab w:val="clear" w:pos="567"/>
        </w:tabs>
        <w:jc w:val="center"/>
        <w:rPr>
          <w:b/>
          <w:sz w:val="40"/>
          <w:szCs w:val="40"/>
        </w:rPr>
      </w:pPr>
      <w:r w:rsidRPr="00970E6D">
        <w:rPr>
          <w:b/>
          <w:sz w:val="40"/>
          <w:szCs w:val="40"/>
        </w:rPr>
        <w:t xml:space="preserve">STAFF DISCUSSION </w:t>
      </w:r>
      <w:r w:rsidR="003A21CA">
        <w:rPr>
          <w:b/>
          <w:sz w:val="40"/>
          <w:szCs w:val="40"/>
        </w:rPr>
        <w:t>PAPER</w:t>
      </w:r>
      <w:r>
        <w:rPr>
          <w:b/>
          <w:sz w:val="40"/>
          <w:szCs w:val="40"/>
        </w:rPr>
        <w:br/>
        <w:t>CGC 20</w:t>
      </w:r>
      <w:r w:rsidRPr="00970E6D">
        <w:rPr>
          <w:b/>
          <w:sz w:val="40"/>
          <w:szCs w:val="40"/>
        </w:rPr>
        <w:t>1</w:t>
      </w:r>
      <w:r w:rsidR="00AD1B50">
        <w:rPr>
          <w:b/>
          <w:sz w:val="40"/>
          <w:szCs w:val="40"/>
        </w:rPr>
        <w:t>4</w:t>
      </w:r>
      <w:r>
        <w:rPr>
          <w:b/>
          <w:sz w:val="40"/>
          <w:szCs w:val="40"/>
        </w:rPr>
        <w:t>-</w:t>
      </w:r>
      <w:r w:rsidR="00737FB1">
        <w:rPr>
          <w:b/>
          <w:sz w:val="40"/>
          <w:szCs w:val="40"/>
        </w:rPr>
        <w:t>0</w:t>
      </w:r>
      <w:r w:rsidR="00AD1B50">
        <w:rPr>
          <w:b/>
          <w:sz w:val="40"/>
          <w:szCs w:val="40"/>
        </w:rPr>
        <w:t>3</w:t>
      </w:r>
      <w:r w:rsidR="00737FB1">
        <w:rPr>
          <w:b/>
          <w:sz w:val="40"/>
          <w:szCs w:val="40"/>
        </w:rPr>
        <w:t>-S</w:t>
      </w:r>
    </w:p>
    <w:p w:rsidR="004022E2" w:rsidRPr="00970E6D" w:rsidRDefault="004022E2" w:rsidP="004022E2">
      <w:pPr>
        <w:tabs>
          <w:tab w:val="clear" w:pos="567"/>
        </w:tabs>
        <w:jc w:val="center"/>
        <w:rPr>
          <w:b/>
          <w:sz w:val="40"/>
          <w:szCs w:val="40"/>
        </w:rPr>
      </w:pPr>
    </w:p>
    <w:p w:rsidR="004022E2" w:rsidRPr="00970E6D" w:rsidRDefault="004022E2" w:rsidP="004022E2">
      <w:pPr>
        <w:tabs>
          <w:tab w:val="clear" w:pos="567"/>
        </w:tabs>
        <w:jc w:val="center"/>
        <w:rPr>
          <w:b/>
          <w:sz w:val="40"/>
          <w:szCs w:val="40"/>
        </w:rPr>
      </w:pPr>
    </w:p>
    <w:p w:rsidR="004022E2" w:rsidRPr="00970E6D" w:rsidRDefault="004022E2" w:rsidP="004022E2">
      <w:pPr>
        <w:tabs>
          <w:tab w:val="clear" w:pos="567"/>
        </w:tabs>
        <w:jc w:val="center"/>
        <w:rPr>
          <w:b/>
          <w:sz w:val="40"/>
          <w:szCs w:val="40"/>
        </w:rPr>
      </w:pPr>
    </w:p>
    <w:p w:rsidR="004022E2" w:rsidRDefault="005E2035" w:rsidP="004022E2">
      <w:pPr>
        <w:tabs>
          <w:tab w:val="clear" w:pos="567"/>
        </w:tabs>
        <w:jc w:val="right"/>
        <w:rPr>
          <w:b/>
          <w:sz w:val="28"/>
          <w:szCs w:val="28"/>
        </w:rPr>
      </w:pPr>
      <w:r>
        <w:rPr>
          <w:b/>
          <w:sz w:val="28"/>
          <w:szCs w:val="28"/>
        </w:rPr>
        <w:t>AUGUST</w:t>
      </w:r>
      <w:r w:rsidR="004022E2">
        <w:rPr>
          <w:b/>
          <w:sz w:val="28"/>
          <w:szCs w:val="28"/>
        </w:rPr>
        <w:t xml:space="preserve"> 201</w:t>
      </w:r>
      <w:r w:rsidR="00737FB1">
        <w:rPr>
          <w:b/>
          <w:sz w:val="28"/>
          <w:szCs w:val="28"/>
        </w:rPr>
        <w:t>4</w:t>
      </w:r>
    </w:p>
    <w:p w:rsidR="004022E2" w:rsidRPr="00970E6D" w:rsidRDefault="004022E2" w:rsidP="004022E2">
      <w:pPr>
        <w:tabs>
          <w:tab w:val="clear" w:pos="567"/>
        </w:tabs>
        <w:ind w:right="140"/>
        <w:jc w:val="right"/>
        <w:rPr>
          <w:b/>
          <w:sz w:val="28"/>
          <w:szCs w:val="28"/>
        </w:rPr>
      </w:pPr>
    </w:p>
    <w:tbl>
      <w:tblPr>
        <w:tblStyle w:val="TableGrid"/>
        <w:tblW w:w="5000" w:type="pct"/>
        <w:tblLook w:val="01E0" w:firstRow="1" w:lastRow="1" w:firstColumn="1" w:lastColumn="1" w:noHBand="0" w:noVBand="0"/>
      </w:tblPr>
      <w:tblGrid>
        <w:gridCol w:w="2943"/>
        <w:gridCol w:w="6224"/>
      </w:tblGrid>
      <w:tr w:rsidR="004022E2" w:rsidRPr="00970E6D" w:rsidTr="003A52E3">
        <w:tc>
          <w:tcPr>
            <w:tcW w:w="1605" w:type="pct"/>
            <w:tcBorders>
              <w:top w:val="single" w:sz="4" w:space="0" w:color="auto"/>
              <w:left w:val="single" w:sz="4" w:space="0" w:color="auto"/>
              <w:bottom w:val="single" w:sz="4" w:space="0" w:color="auto"/>
              <w:right w:val="single" w:sz="4" w:space="0" w:color="auto"/>
            </w:tcBorders>
          </w:tcPr>
          <w:p w:rsidR="004022E2" w:rsidRPr="00970E6D" w:rsidRDefault="004022E2" w:rsidP="003A52E3">
            <w:pPr>
              <w:tabs>
                <w:tab w:val="clear" w:pos="567"/>
              </w:tabs>
            </w:pPr>
            <w:r w:rsidRPr="00970E6D">
              <w:lastRenderedPageBreak/>
              <w:t>Paper issued</w:t>
            </w:r>
          </w:p>
        </w:tc>
        <w:tc>
          <w:tcPr>
            <w:tcW w:w="3395" w:type="pct"/>
            <w:tcBorders>
              <w:top w:val="single" w:sz="4" w:space="0" w:color="auto"/>
              <w:left w:val="single" w:sz="4" w:space="0" w:color="auto"/>
              <w:bottom w:val="single" w:sz="4" w:space="0" w:color="auto"/>
              <w:right w:val="single" w:sz="4" w:space="0" w:color="auto"/>
            </w:tcBorders>
          </w:tcPr>
          <w:p w:rsidR="004022E2" w:rsidRPr="00970E6D" w:rsidRDefault="004279E8" w:rsidP="005E2035">
            <w:pPr>
              <w:tabs>
                <w:tab w:val="clear" w:pos="567"/>
              </w:tabs>
            </w:pPr>
            <w:r>
              <w:t>20</w:t>
            </w:r>
            <w:r w:rsidR="005E2035">
              <w:t xml:space="preserve"> August 2014</w:t>
            </w:r>
          </w:p>
        </w:tc>
      </w:tr>
      <w:tr w:rsidR="004022E2" w:rsidRPr="007A325B" w:rsidTr="003A52E3">
        <w:tc>
          <w:tcPr>
            <w:tcW w:w="1605" w:type="pct"/>
            <w:tcBorders>
              <w:top w:val="single" w:sz="4" w:space="0" w:color="auto"/>
              <w:left w:val="single" w:sz="4" w:space="0" w:color="auto"/>
              <w:bottom w:val="single" w:sz="4" w:space="0" w:color="auto"/>
              <w:right w:val="single" w:sz="4" w:space="0" w:color="auto"/>
            </w:tcBorders>
          </w:tcPr>
          <w:p w:rsidR="004022E2" w:rsidRPr="00970E6D" w:rsidRDefault="004022E2" w:rsidP="003A52E3">
            <w:pPr>
              <w:tabs>
                <w:tab w:val="clear" w:pos="567"/>
              </w:tabs>
            </w:pPr>
            <w:r w:rsidRPr="00970E6D">
              <w:t>Commission contact officer</w:t>
            </w:r>
          </w:p>
        </w:tc>
        <w:tc>
          <w:tcPr>
            <w:tcW w:w="3395" w:type="pct"/>
            <w:tcBorders>
              <w:top w:val="single" w:sz="4" w:space="0" w:color="auto"/>
              <w:left w:val="single" w:sz="4" w:space="0" w:color="auto"/>
              <w:bottom w:val="single" w:sz="4" w:space="0" w:color="auto"/>
              <w:right w:val="single" w:sz="4" w:space="0" w:color="auto"/>
            </w:tcBorders>
          </w:tcPr>
          <w:p w:rsidR="004022E2" w:rsidRPr="00FA64DA" w:rsidRDefault="005E2035" w:rsidP="003A52E3">
            <w:pPr>
              <w:tabs>
                <w:tab w:val="clear" w:pos="567"/>
              </w:tabs>
              <w:rPr>
                <w:lang w:val="fr-CA"/>
              </w:rPr>
            </w:pPr>
            <w:r w:rsidRPr="00795524">
              <w:rPr>
                <w:lang w:val="fr-FR"/>
              </w:rPr>
              <w:t xml:space="preserve">Priscilla Kan, 02 6229 8849, </w:t>
            </w:r>
            <w:hyperlink r:id="rId10" w:history="1">
              <w:r w:rsidRPr="00795524">
                <w:rPr>
                  <w:rStyle w:val="Hyperlink"/>
                  <w:lang w:val="fr-FR"/>
                </w:rPr>
                <w:t>priscilla.kan@cgc.gov.au</w:t>
              </w:r>
            </w:hyperlink>
          </w:p>
        </w:tc>
      </w:tr>
      <w:tr w:rsidR="004022E2" w:rsidRPr="00970E6D" w:rsidTr="003A52E3">
        <w:tc>
          <w:tcPr>
            <w:tcW w:w="1605" w:type="pct"/>
            <w:tcBorders>
              <w:top w:val="single" w:sz="4" w:space="0" w:color="auto"/>
              <w:left w:val="single" w:sz="4" w:space="0" w:color="auto"/>
              <w:bottom w:val="single" w:sz="4" w:space="0" w:color="auto"/>
              <w:right w:val="single" w:sz="4" w:space="0" w:color="auto"/>
            </w:tcBorders>
          </w:tcPr>
          <w:p w:rsidR="004022E2" w:rsidRPr="00970E6D" w:rsidRDefault="004022E2" w:rsidP="003A52E3">
            <w:pPr>
              <w:tabs>
                <w:tab w:val="clear" w:pos="567"/>
              </w:tabs>
            </w:pPr>
            <w:r w:rsidRPr="00970E6D">
              <w:t>Submissions sought by</w:t>
            </w:r>
          </w:p>
        </w:tc>
        <w:tc>
          <w:tcPr>
            <w:tcW w:w="3395" w:type="pct"/>
            <w:tcBorders>
              <w:top w:val="single" w:sz="4" w:space="0" w:color="auto"/>
              <w:left w:val="single" w:sz="4" w:space="0" w:color="auto"/>
              <w:bottom w:val="single" w:sz="4" w:space="0" w:color="auto"/>
              <w:right w:val="single" w:sz="4" w:space="0" w:color="auto"/>
            </w:tcBorders>
          </w:tcPr>
          <w:p w:rsidR="005E2035" w:rsidRPr="00795524" w:rsidRDefault="005E2035" w:rsidP="005E2035">
            <w:pPr>
              <w:tabs>
                <w:tab w:val="clear" w:pos="567"/>
              </w:tabs>
            </w:pPr>
            <w:r w:rsidRPr="00795524">
              <w:t xml:space="preserve">Submissions should be emailed in Word format to </w:t>
            </w:r>
            <w:hyperlink r:id="rId11" w:history="1">
              <w:r w:rsidRPr="00795524">
                <w:rPr>
                  <w:rStyle w:val="Hyperlink"/>
                </w:rPr>
                <w:t>secretary@cgc.gov.au</w:t>
              </w:r>
            </w:hyperlink>
            <w:r w:rsidRPr="00795524">
              <w:t xml:space="preserve"> by </w:t>
            </w:r>
            <w:r w:rsidR="00A779A9" w:rsidRPr="00EA09EC">
              <w:t>26</w:t>
            </w:r>
            <w:r w:rsidRPr="00EA09EC">
              <w:t xml:space="preserve"> September 201</w:t>
            </w:r>
            <w:r w:rsidR="00A779A9" w:rsidRPr="00EA09EC">
              <w:t>4</w:t>
            </w:r>
          </w:p>
          <w:p w:rsidR="004022E2" w:rsidRPr="00970E6D" w:rsidRDefault="005E2035" w:rsidP="005E2035">
            <w:pPr>
              <w:tabs>
                <w:tab w:val="clear" w:pos="567"/>
              </w:tabs>
            </w:pPr>
            <w:r w:rsidRPr="00795524">
              <w:t>Submissions of more than 10 pages in length should include a summary section.</w:t>
            </w:r>
          </w:p>
        </w:tc>
      </w:tr>
      <w:tr w:rsidR="004022E2" w:rsidRPr="00970E6D" w:rsidTr="003A52E3">
        <w:tc>
          <w:tcPr>
            <w:tcW w:w="1605" w:type="pct"/>
            <w:tcBorders>
              <w:top w:val="single" w:sz="4" w:space="0" w:color="auto"/>
              <w:left w:val="single" w:sz="4" w:space="0" w:color="auto"/>
              <w:bottom w:val="single" w:sz="4" w:space="0" w:color="auto"/>
              <w:right w:val="single" w:sz="4" w:space="0" w:color="auto"/>
            </w:tcBorders>
          </w:tcPr>
          <w:p w:rsidR="004022E2" w:rsidRPr="00970E6D" w:rsidRDefault="004022E2" w:rsidP="003A52E3">
            <w:pPr>
              <w:tabs>
                <w:tab w:val="clear" w:pos="567"/>
              </w:tabs>
            </w:pPr>
            <w:r w:rsidRPr="00970E6D">
              <w:t>Confidential material</w:t>
            </w:r>
          </w:p>
        </w:tc>
        <w:tc>
          <w:tcPr>
            <w:tcW w:w="3395" w:type="pct"/>
            <w:tcBorders>
              <w:top w:val="single" w:sz="4" w:space="0" w:color="auto"/>
              <w:left w:val="single" w:sz="4" w:space="0" w:color="auto"/>
              <w:bottom w:val="single" w:sz="4" w:space="0" w:color="auto"/>
              <w:right w:val="single" w:sz="4" w:space="0" w:color="auto"/>
            </w:tcBorders>
          </w:tcPr>
          <w:p w:rsidR="004022E2" w:rsidRPr="00CF1294" w:rsidRDefault="004022E2" w:rsidP="003A52E3">
            <w:pPr>
              <w:tabs>
                <w:tab w:val="clear" w:pos="567"/>
              </w:tabs>
            </w:pPr>
            <w:r w:rsidRPr="00CF1294">
              <w:t xml:space="preserve">It is the </w:t>
            </w:r>
            <w:r w:rsidR="00FD40BA">
              <w:t>Commission</w:t>
            </w:r>
            <w:r w:rsidRPr="00CF1294">
              <w:t xml:space="preserve">’s normal practice to make State submissions available on its website under the CC BY licence, allowing free use of content by third parties. </w:t>
            </w:r>
          </w:p>
          <w:p w:rsidR="004022E2" w:rsidRPr="00CF1294" w:rsidRDefault="004022E2" w:rsidP="003A52E3">
            <w:pPr>
              <w:tabs>
                <w:tab w:val="clear" w:pos="567"/>
              </w:tabs>
            </w:pPr>
            <w:r w:rsidRPr="00CF1294">
              <w:rPr>
                <w:noProof/>
                <w:lang w:eastAsia="en-AU"/>
              </w:rPr>
              <w:drawing>
                <wp:inline distT="0" distB="0" distL="0" distR="0" wp14:anchorId="01137FCD" wp14:editId="641A8761">
                  <wp:extent cx="828675" cy="295275"/>
                  <wp:effectExtent l="19050" t="0" r="9525" b="0"/>
                  <wp:docPr id="3" name="Picture 1" descr="Creative Commons - CC BY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 Attribution"/>
                          <pic:cNvPicPr>
                            <a:picLocks noChangeAspect="1" noChangeArrowheads="1"/>
                          </pic:cNvPicPr>
                        </pic:nvPicPr>
                        <pic:blipFill>
                          <a:blip r:embed="rId12"/>
                          <a:srcRect/>
                          <a:stretch>
                            <a:fillRect/>
                          </a:stretch>
                        </pic:blipFill>
                        <pic:spPr bwMode="auto">
                          <a:xfrm>
                            <a:off x="0" y="0"/>
                            <a:ext cx="828675" cy="295275"/>
                          </a:xfrm>
                          <a:prstGeom prst="rect">
                            <a:avLst/>
                          </a:prstGeom>
                          <a:noFill/>
                          <a:ln w="9525">
                            <a:noFill/>
                            <a:miter lim="800000"/>
                            <a:headEnd/>
                            <a:tailEnd/>
                          </a:ln>
                        </pic:spPr>
                      </pic:pic>
                    </a:graphicData>
                  </a:graphic>
                </wp:inline>
              </w:drawing>
            </w:r>
          </w:p>
          <w:p w:rsidR="004022E2" w:rsidRPr="00CF1294" w:rsidRDefault="004022E2" w:rsidP="003A52E3">
            <w:pPr>
              <w:tabs>
                <w:tab w:val="clear" w:pos="567"/>
              </w:tabs>
            </w:pPr>
            <w:r w:rsidRPr="00CF1294">
              <w:t xml:space="preserve">Further information on the CC BY licence can be found at </w:t>
            </w:r>
            <w:hyperlink r:id="rId13" w:history="1">
              <w:r w:rsidRPr="00CF1294">
                <w:rPr>
                  <w:rStyle w:val="Hyperlink"/>
                </w:rPr>
                <w:t>http://www.creativecommons.org</w:t>
              </w:r>
            </w:hyperlink>
            <w:r w:rsidRPr="00CF1294">
              <w:t xml:space="preserve"> </w:t>
            </w:r>
          </w:p>
          <w:p w:rsidR="004022E2" w:rsidRPr="00970E6D" w:rsidRDefault="004022E2" w:rsidP="003A52E3">
            <w:pPr>
              <w:tabs>
                <w:tab w:val="clear" w:pos="567"/>
              </w:tabs>
            </w:pPr>
            <w:r w:rsidRPr="00CF1294">
              <w:t xml:space="preserve">Confidential material contained in submissions must be clearly identified or included in separate attachment/s, and details provided in the covering email. Identified confidential material will not be published on the </w:t>
            </w:r>
            <w:r w:rsidR="00FD40BA">
              <w:t>Commission</w:t>
            </w:r>
            <w:r w:rsidRPr="00CF1294">
              <w:t>’s website.</w:t>
            </w:r>
          </w:p>
        </w:tc>
      </w:tr>
    </w:tbl>
    <w:p w:rsidR="004022E2" w:rsidRDefault="004022E2"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Default="005E2035" w:rsidP="004022E2">
      <w:pPr>
        <w:tabs>
          <w:tab w:val="clear" w:pos="567"/>
        </w:tabs>
      </w:pPr>
    </w:p>
    <w:p w:rsidR="005E2035" w:rsidRPr="00970E6D" w:rsidRDefault="005E2035" w:rsidP="004022E2">
      <w:pPr>
        <w:tabs>
          <w:tab w:val="clear" w:pos="567"/>
        </w:tabs>
        <w:sectPr w:rsidR="005E2035" w:rsidRPr="00970E6D" w:rsidSect="003A52E3">
          <w:footerReference w:type="default" r:id="rId14"/>
          <w:footerReference w:type="first" r:id="rId15"/>
          <w:pgSz w:w="11899" w:h="16838" w:code="9"/>
          <w:pgMar w:top="1701" w:right="1474" w:bottom="1701" w:left="1474" w:header="709" w:footer="709" w:gutter="0"/>
          <w:cols w:space="708"/>
          <w:vAlign w:val="bottom"/>
          <w:titlePg/>
          <w:docGrid w:linePitch="299"/>
        </w:sectPr>
      </w:pPr>
    </w:p>
    <w:p w:rsidR="007710CD" w:rsidRPr="00E674AF" w:rsidRDefault="007710CD" w:rsidP="007710CD">
      <w:pPr>
        <w:pStyle w:val="Heading1"/>
      </w:pPr>
      <w:r w:rsidRPr="00E674AF">
        <w:lastRenderedPageBreak/>
        <w:t>CONTENTS</w:t>
      </w:r>
      <w:bookmarkEnd w:id="0"/>
      <w:bookmarkEnd w:id="1"/>
      <w:bookmarkEnd w:id="2"/>
      <w:bookmarkEnd w:id="3"/>
      <w:bookmarkEnd w:id="4"/>
      <w:bookmarkEnd w:id="5"/>
    </w:p>
    <w:p w:rsidR="00EF04CC" w:rsidRDefault="0008770B">
      <w:pPr>
        <w:pStyle w:val="TOC1"/>
        <w:tabs>
          <w:tab w:val="right" w:pos="8941"/>
        </w:tabs>
        <w:rPr>
          <w:rFonts w:eastAsiaTheme="minorEastAsia"/>
          <w:noProof/>
          <w:sz w:val="22"/>
          <w:lang w:eastAsia="en-AU"/>
        </w:rPr>
      </w:pPr>
      <w:r w:rsidRPr="00236726">
        <w:fldChar w:fldCharType="begin"/>
      </w:r>
      <w:r w:rsidRPr="00236726">
        <w:instrText xml:space="preserve"> TOC \f \h \z \u \t "Heading 3,1,Heading 4,2" </w:instrText>
      </w:r>
      <w:r w:rsidRPr="00236726">
        <w:fldChar w:fldCharType="separate"/>
      </w:r>
      <w:hyperlink w:anchor="_Toc396300320" w:history="1">
        <w:r w:rsidR="00EF04CC" w:rsidRPr="000C1FC5">
          <w:rPr>
            <w:rStyle w:val="Hyperlink"/>
            <w:noProof/>
          </w:rPr>
          <w:t>Background</w:t>
        </w:r>
        <w:r w:rsidR="00EF04CC">
          <w:rPr>
            <w:noProof/>
            <w:webHidden/>
          </w:rPr>
          <w:tab/>
        </w:r>
        <w:r w:rsidR="00EF04CC">
          <w:rPr>
            <w:noProof/>
            <w:webHidden/>
          </w:rPr>
          <w:fldChar w:fldCharType="begin"/>
        </w:r>
        <w:r w:rsidR="00EF04CC">
          <w:rPr>
            <w:noProof/>
            <w:webHidden/>
          </w:rPr>
          <w:instrText xml:space="preserve"> PAGEREF _Toc396300320 \h </w:instrText>
        </w:r>
        <w:r w:rsidR="00EF04CC">
          <w:rPr>
            <w:noProof/>
            <w:webHidden/>
          </w:rPr>
        </w:r>
        <w:r w:rsidR="00EF04CC">
          <w:rPr>
            <w:noProof/>
            <w:webHidden/>
          </w:rPr>
          <w:fldChar w:fldCharType="separate"/>
        </w:r>
        <w:r w:rsidR="0040671D">
          <w:rPr>
            <w:noProof/>
            <w:webHidden/>
          </w:rPr>
          <w:t>1</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21" w:history="1">
        <w:r w:rsidR="00EF04CC" w:rsidRPr="000C1FC5">
          <w:rPr>
            <w:rStyle w:val="Hyperlink"/>
            <w:noProof/>
          </w:rPr>
          <w:t>Issues</w:t>
        </w:r>
        <w:r w:rsidR="00EF04CC">
          <w:rPr>
            <w:noProof/>
            <w:webHidden/>
          </w:rPr>
          <w:tab/>
        </w:r>
        <w:r w:rsidR="00EF04CC">
          <w:rPr>
            <w:noProof/>
            <w:webHidden/>
          </w:rPr>
          <w:fldChar w:fldCharType="begin"/>
        </w:r>
        <w:r w:rsidR="00EF04CC">
          <w:rPr>
            <w:noProof/>
            <w:webHidden/>
          </w:rPr>
          <w:instrText xml:space="preserve"> PAGEREF _Toc396300321 \h </w:instrText>
        </w:r>
        <w:r w:rsidR="00EF04CC">
          <w:rPr>
            <w:noProof/>
            <w:webHidden/>
          </w:rPr>
        </w:r>
        <w:r w:rsidR="00EF04CC">
          <w:rPr>
            <w:noProof/>
            <w:webHidden/>
          </w:rPr>
          <w:fldChar w:fldCharType="separate"/>
        </w:r>
        <w:r>
          <w:rPr>
            <w:noProof/>
            <w:webHidden/>
          </w:rPr>
          <w:t>1</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22" w:history="1">
        <w:r w:rsidR="00EF04CC" w:rsidRPr="000C1FC5">
          <w:rPr>
            <w:rStyle w:val="Hyperlink"/>
            <w:noProof/>
          </w:rPr>
          <w:t>Changes to econometrics used in Schools education and regional costs</w:t>
        </w:r>
        <w:r w:rsidR="00EF04CC">
          <w:rPr>
            <w:noProof/>
            <w:webHidden/>
          </w:rPr>
          <w:tab/>
        </w:r>
        <w:r w:rsidR="00EF04CC">
          <w:rPr>
            <w:noProof/>
            <w:webHidden/>
          </w:rPr>
          <w:fldChar w:fldCharType="begin"/>
        </w:r>
        <w:r w:rsidR="00EF04CC">
          <w:rPr>
            <w:noProof/>
            <w:webHidden/>
          </w:rPr>
          <w:instrText xml:space="preserve"> PAGEREF _Toc396300322 \h </w:instrText>
        </w:r>
        <w:r w:rsidR="00EF04CC">
          <w:rPr>
            <w:noProof/>
            <w:webHidden/>
          </w:rPr>
        </w:r>
        <w:r w:rsidR="00EF04CC">
          <w:rPr>
            <w:noProof/>
            <w:webHidden/>
          </w:rPr>
          <w:fldChar w:fldCharType="separate"/>
        </w:r>
        <w:r>
          <w:rPr>
            <w:noProof/>
            <w:webHidden/>
          </w:rPr>
          <w:t>1</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23" w:history="1">
        <w:r w:rsidR="00EF04CC" w:rsidRPr="000C1FC5">
          <w:rPr>
            <w:rStyle w:val="Hyperlink"/>
            <w:noProof/>
          </w:rPr>
          <w:t>Cost weights</w:t>
        </w:r>
        <w:r w:rsidR="00EF04CC">
          <w:rPr>
            <w:noProof/>
            <w:webHidden/>
          </w:rPr>
          <w:tab/>
        </w:r>
        <w:r w:rsidR="00EF04CC">
          <w:rPr>
            <w:noProof/>
            <w:webHidden/>
          </w:rPr>
          <w:fldChar w:fldCharType="begin"/>
        </w:r>
        <w:r w:rsidR="00EF04CC">
          <w:rPr>
            <w:noProof/>
            <w:webHidden/>
          </w:rPr>
          <w:instrText xml:space="preserve"> PAGEREF _Toc396300323 \h </w:instrText>
        </w:r>
        <w:r w:rsidR="00EF04CC">
          <w:rPr>
            <w:noProof/>
            <w:webHidden/>
          </w:rPr>
        </w:r>
        <w:r w:rsidR="00EF04CC">
          <w:rPr>
            <w:noProof/>
            <w:webHidden/>
          </w:rPr>
          <w:fldChar w:fldCharType="separate"/>
        </w:r>
        <w:r>
          <w:rPr>
            <w:noProof/>
            <w:webHidden/>
          </w:rPr>
          <w:t>2</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24" w:history="1">
        <w:r w:rsidR="00EF04CC" w:rsidRPr="000C1FC5">
          <w:rPr>
            <w:rStyle w:val="Hyperlink"/>
            <w:noProof/>
          </w:rPr>
          <w:t>Regional costs</w:t>
        </w:r>
        <w:r w:rsidR="00EF04CC">
          <w:rPr>
            <w:noProof/>
            <w:webHidden/>
          </w:rPr>
          <w:tab/>
        </w:r>
        <w:r w:rsidR="00EF04CC">
          <w:rPr>
            <w:noProof/>
            <w:webHidden/>
          </w:rPr>
          <w:fldChar w:fldCharType="begin"/>
        </w:r>
        <w:r w:rsidR="00EF04CC">
          <w:rPr>
            <w:noProof/>
            <w:webHidden/>
          </w:rPr>
          <w:instrText xml:space="preserve"> PAGEREF _Toc396300324 \h </w:instrText>
        </w:r>
        <w:r w:rsidR="00EF04CC">
          <w:rPr>
            <w:noProof/>
            <w:webHidden/>
          </w:rPr>
        </w:r>
        <w:r w:rsidR="00EF04CC">
          <w:rPr>
            <w:noProof/>
            <w:webHidden/>
          </w:rPr>
          <w:fldChar w:fldCharType="separate"/>
        </w:r>
        <w:r>
          <w:rPr>
            <w:noProof/>
            <w:webHidden/>
          </w:rPr>
          <w:t>3</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25" w:history="1">
        <w:r w:rsidR="00EF04CC" w:rsidRPr="000C1FC5">
          <w:rPr>
            <w:rStyle w:val="Hyperlink"/>
            <w:noProof/>
          </w:rPr>
          <w:t>Service delivery scale</w:t>
        </w:r>
        <w:r w:rsidR="00EF04CC">
          <w:rPr>
            <w:noProof/>
            <w:webHidden/>
          </w:rPr>
          <w:tab/>
        </w:r>
        <w:r w:rsidR="00EF04CC">
          <w:rPr>
            <w:noProof/>
            <w:webHidden/>
          </w:rPr>
          <w:fldChar w:fldCharType="begin"/>
        </w:r>
        <w:r w:rsidR="00EF04CC">
          <w:rPr>
            <w:noProof/>
            <w:webHidden/>
          </w:rPr>
          <w:instrText xml:space="preserve"> PAGEREF _Toc396300325 \h </w:instrText>
        </w:r>
        <w:r w:rsidR="00EF04CC">
          <w:rPr>
            <w:noProof/>
            <w:webHidden/>
          </w:rPr>
        </w:r>
        <w:r w:rsidR="00EF04CC">
          <w:rPr>
            <w:noProof/>
            <w:webHidden/>
          </w:rPr>
          <w:fldChar w:fldCharType="separate"/>
        </w:r>
        <w:r>
          <w:rPr>
            <w:noProof/>
            <w:webHidden/>
          </w:rPr>
          <w:t>3</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27" w:history="1">
        <w:r w:rsidR="00EF04CC" w:rsidRPr="000C1FC5">
          <w:rPr>
            <w:rStyle w:val="Hyperlink"/>
            <w:noProof/>
          </w:rPr>
          <w:t>Post-secondary education user charges</w:t>
        </w:r>
        <w:r w:rsidR="00EF04CC">
          <w:rPr>
            <w:noProof/>
            <w:webHidden/>
          </w:rPr>
          <w:tab/>
        </w:r>
        <w:r w:rsidR="00EF04CC">
          <w:rPr>
            <w:noProof/>
            <w:webHidden/>
          </w:rPr>
          <w:fldChar w:fldCharType="begin"/>
        </w:r>
        <w:r w:rsidR="00EF04CC">
          <w:rPr>
            <w:noProof/>
            <w:webHidden/>
          </w:rPr>
          <w:instrText xml:space="preserve"> PAGEREF _Toc396300327 \h </w:instrText>
        </w:r>
        <w:r w:rsidR="00EF04CC">
          <w:rPr>
            <w:noProof/>
            <w:webHidden/>
          </w:rPr>
        </w:r>
        <w:r w:rsidR="00EF04CC">
          <w:rPr>
            <w:noProof/>
            <w:webHidden/>
          </w:rPr>
          <w:fldChar w:fldCharType="separate"/>
        </w:r>
        <w:r>
          <w:rPr>
            <w:noProof/>
            <w:webHidden/>
          </w:rPr>
          <w:t>4</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29" w:history="1">
        <w:r w:rsidR="00EF04CC" w:rsidRPr="000C1FC5">
          <w:rPr>
            <w:rStyle w:val="Hyperlink"/>
            <w:noProof/>
          </w:rPr>
          <w:t>Low socio-economic status disability for other general welfare services</w:t>
        </w:r>
        <w:r w:rsidR="00EF04CC">
          <w:rPr>
            <w:noProof/>
            <w:webHidden/>
          </w:rPr>
          <w:tab/>
        </w:r>
        <w:r w:rsidR="00EF04CC">
          <w:rPr>
            <w:noProof/>
            <w:webHidden/>
          </w:rPr>
          <w:fldChar w:fldCharType="begin"/>
        </w:r>
        <w:r w:rsidR="00EF04CC">
          <w:rPr>
            <w:noProof/>
            <w:webHidden/>
          </w:rPr>
          <w:instrText xml:space="preserve"> PAGEREF _Toc396300329 \h </w:instrText>
        </w:r>
        <w:r w:rsidR="00EF04CC">
          <w:rPr>
            <w:noProof/>
            <w:webHidden/>
          </w:rPr>
        </w:r>
        <w:r w:rsidR="00EF04CC">
          <w:rPr>
            <w:noProof/>
            <w:webHidden/>
          </w:rPr>
          <w:fldChar w:fldCharType="separate"/>
        </w:r>
        <w:r>
          <w:rPr>
            <w:noProof/>
            <w:webHidden/>
          </w:rPr>
          <w:t>5</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31" w:history="1">
        <w:r w:rsidR="00EF04CC" w:rsidRPr="000C1FC5">
          <w:rPr>
            <w:rStyle w:val="Hyperlink"/>
            <w:noProof/>
          </w:rPr>
          <w:t>Revised weights for the Justice assessment</w:t>
        </w:r>
        <w:r w:rsidR="00EF04CC">
          <w:rPr>
            <w:noProof/>
            <w:webHidden/>
          </w:rPr>
          <w:tab/>
        </w:r>
        <w:r w:rsidR="00EF04CC">
          <w:rPr>
            <w:noProof/>
            <w:webHidden/>
          </w:rPr>
          <w:fldChar w:fldCharType="begin"/>
        </w:r>
        <w:r w:rsidR="00EF04CC">
          <w:rPr>
            <w:noProof/>
            <w:webHidden/>
          </w:rPr>
          <w:instrText xml:space="preserve"> PAGEREF _Toc396300331 \h </w:instrText>
        </w:r>
        <w:r w:rsidR="00EF04CC">
          <w:rPr>
            <w:noProof/>
            <w:webHidden/>
          </w:rPr>
        </w:r>
        <w:r w:rsidR="00EF04CC">
          <w:rPr>
            <w:noProof/>
            <w:webHidden/>
          </w:rPr>
          <w:fldChar w:fldCharType="separate"/>
        </w:r>
        <w:r>
          <w:rPr>
            <w:noProof/>
            <w:webHidden/>
          </w:rPr>
          <w:t>7</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32" w:history="1">
        <w:r w:rsidR="00EF04CC" w:rsidRPr="000C1FC5">
          <w:rPr>
            <w:rStyle w:val="Hyperlink"/>
            <w:noProof/>
          </w:rPr>
          <w:t>2010 approach</w:t>
        </w:r>
        <w:r w:rsidR="00EF04CC">
          <w:rPr>
            <w:noProof/>
            <w:webHidden/>
          </w:rPr>
          <w:tab/>
        </w:r>
        <w:r w:rsidR="00EF04CC">
          <w:rPr>
            <w:noProof/>
            <w:webHidden/>
          </w:rPr>
          <w:fldChar w:fldCharType="begin"/>
        </w:r>
        <w:r w:rsidR="00EF04CC">
          <w:rPr>
            <w:noProof/>
            <w:webHidden/>
          </w:rPr>
          <w:instrText xml:space="preserve"> PAGEREF _Toc396300332 \h </w:instrText>
        </w:r>
        <w:r w:rsidR="00EF04CC">
          <w:rPr>
            <w:noProof/>
            <w:webHidden/>
          </w:rPr>
        </w:r>
        <w:r w:rsidR="00EF04CC">
          <w:rPr>
            <w:noProof/>
            <w:webHidden/>
          </w:rPr>
          <w:fldChar w:fldCharType="separate"/>
        </w:r>
        <w:r>
          <w:rPr>
            <w:noProof/>
            <w:webHidden/>
          </w:rPr>
          <w:t>7</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33" w:history="1">
        <w:r w:rsidR="00EF04CC" w:rsidRPr="000C1FC5">
          <w:rPr>
            <w:rStyle w:val="Hyperlink"/>
            <w:noProof/>
          </w:rPr>
          <w:t>Proposed 2015 approach</w:t>
        </w:r>
        <w:r w:rsidR="00EF04CC">
          <w:rPr>
            <w:noProof/>
            <w:webHidden/>
          </w:rPr>
          <w:tab/>
        </w:r>
        <w:r w:rsidR="00EF04CC">
          <w:rPr>
            <w:noProof/>
            <w:webHidden/>
          </w:rPr>
          <w:fldChar w:fldCharType="begin"/>
        </w:r>
        <w:r w:rsidR="00EF04CC">
          <w:rPr>
            <w:noProof/>
            <w:webHidden/>
          </w:rPr>
          <w:instrText xml:space="preserve"> PAGEREF _Toc396300333 \h </w:instrText>
        </w:r>
        <w:r w:rsidR="00EF04CC">
          <w:rPr>
            <w:noProof/>
            <w:webHidden/>
          </w:rPr>
        </w:r>
        <w:r w:rsidR="00EF04CC">
          <w:rPr>
            <w:noProof/>
            <w:webHidden/>
          </w:rPr>
          <w:fldChar w:fldCharType="separate"/>
        </w:r>
        <w:r>
          <w:rPr>
            <w:noProof/>
            <w:webHidden/>
          </w:rPr>
          <w:t>8</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35" w:history="1">
        <w:r w:rsidR="00EF04CC" w:rsidRPr="000C1FC5">
          <w:rPr>
            <w:rStyle w:val="Hyperlink"/>
            <w:noProof/>
          </w:rPr>
          <w:t>Adjustments to June disaggregated estimated resident population (ERP) data</w:t>
        </w:r>
        <w:r w:rsidR="00EF04CC">
          <w:rPr>
            <w:noProof/>
            <w:webHidden/>
          </w:rPr>
          <w:tab/>
        </w:r>
        <w:r w:rsidR="00EF04CC">
          <w:rPr>
            <w:noProof/>
            <w:webHidden/>
          </w:rPr>
          <w:fldChar w:fldCharType="begin"/>
        </w:r>
        <w:r w:rsidR="00EF04CC">
          <w:rPr>
            <w:noProof/>
            <w:webHidden/>
          </w:rPr>
          <w:instrText xml:space="preserve"> PAGEREF _Toc396300335 \h </w:instrText>
        </w:r>
        <w:r w:rsidR="00EF04CC">
          <w:rPr>
            <w:noProof/>
            <w:webHidden/>
          </w:rPr>
        </w:r>
        <w:r w:rsidR="00EF04CC">
          <w:rPr>
            <w:noProof/>
            <w:webHidden/>
          </w:rPr>
          <w:fldChar w:fldCharType="separate"/>
        </w:r>
        <w:r>
          <w:rPr>
            <w:noProof/>
            <w:webHidden/>
          </w:rPr>
          <w:t>15</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37" w:history="1">
        <w:r w:rsidR="00EF04CC" w:rsidRPr="000C1FC5">
          <w:rPr>
            <w:rStyle w:val="Hyperlink"/>
            <w:noProof/>
          </w:rPr>
          <w:t>Backcasting of national specific purpose payments and agreements (SPPs)</w:t>
        </w:r>
        <w:r w:rsidR="00EF04CC">
          <w:rPr>
            <w:noProof/>
            <w:webHidden/>
          </w:rPr>
          <w:tab/>
        </w:r>
        <w:r w:rsidR="00EF04CC">
          <w:rPr>
            <w:noProof/>
            <w:webHidden/>
          </w:rPr>
          <w:fldChar w:fldCharType="begin"/>
        </w:r>
        <w:r w:rsidR="00EF04CC">
          <w:rPr>
            <w:noProof/>
            <w:webHidden/>
          </w:rPr>
          <w:instrText xml:space="preserve"> PAGEREF _Toc396300337 \h </w:instrText>
        </w:r>
        <w:r w:rsidR="00EF04CC">
          <w:rPr>
            <w:noProof/>
            <w:webHidden/>
          </w:rPr>
        </w:r>
        <w:r w:rsidR="00EF04CC">
          <w:rPr>
            <w:noProof/>
            <w:webHidden/>
          </w:rPr>
          <w:fldChar w:fldCharType="separate"/>
        </w:r>
        <w:r>
          <w:rPr>
            <w:noProof/>
            <w:webHidden/>
          </w:rPr>
          <w:t>16</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38" w:history="1">
        <w:r w:rsidR="00EF04CC" w:rsidRPr="000C1FC5">
          <w:rPr>
            <w:rStyle w:val="Hyperlink"/>
            <w:noProof/>
            <w:lang w:val="en-US"/>
          </w:rPr>
          <w:t>Background</w:t>
        </w:r>
        <w:r w:rsidR="00EF04CC">
          <w:rPr>
            <w:noProof/>
            <w:webHidden/>
          </w:rPr>
          <w:tab/>
        </w:r>
        <w:r w:rsidR="00EF04CC">
          <w:rPr>
            <w:noProof/>
            <w:webHidden/>
          </w:rPr>
          <w:fldChar w:fldCharType="begin"/>
        </w:r>
        <w:r w:rsidR="00EF04CC">
          <w:rPr>
            <w:noProof/>
            <w:webHidden/>
          </w:rPr>
          <w:instrText xml:space="preserve"> PAGEREF _Toc396300338 \h </w:instrText>
        </w:r>
        <w:r w:rsidR="00EF04CC">
          <w:rPr>
            <w:noProof/>
            <w:webHidden/>
          </w:rPr>
        </w:r>
        <w:r w:rsidR="00EF04CC">
          <w:rPr>
            <w:noProof/>
            <w:webHidden/>
          </w:rPr>
          <w:fldChar w:fldCharType="separate"/>
        </w:r>
        <w:r>
          <w:rPr>
            <w:noProof/>
            <w:webHidden/>
          </w:rPr>
          <w:t>16</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39" w:history="1">
        <w:r w:rsidR="00EF04CC" w:rsidRPr="000C1FC5">
          <w:rPr>
            <w:rStyle w:val="Hyperlink"/>
            <w:noProof/>
            <w:lang w:val="en-US"/>
          </w:rPr>
          <w:t>Skilled workforce development, Affordable housing, Disability services</w:t>
        </w:r>
        <w:r w:rsidR="00EF04CC">
          <w:rPr>
            <w:noProof/>
            <w:webHidden/>
          </w:rPr>
          <w:tab/>
        </w:r>
        <w:r w:rsidR="00EF04CC">
          <w:rPr>
            <w:noProof/>
            <w:webHidden/>
          </w:rPr>
          <w:fldChar w:fldCharType="begin"/>
        </w:r>
        <w:r w:rsidR="00EF04CC">
          <w:rPr>
            <w:noProof/>
            <w:webHidden/>
          </w:rPr>
          <w:instrText xml:space="preserve"> PAGEREF _Toc396300339 \h </w:instrText>
        </w:r>
        <w:r w:rsidR="00EF04CC">
          <w:rPr>
            <w:noProof/>
            <w:webHidden/>
          </w:rPr>
        </w:r>
        <w:r w:rsidR="00EF04CC">
          <w:rPr>
            <w:noProof/>
            <w:webHidden/>
          </w:rPr>
          <w:fldChar w:fldCharType="separate"/>
        </w:r>
        <w:r>
          <w:rPr>
            <w:noProof/>
            <w:webHidden/>
          </w:rPr>
          <w:t>16</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40" w:history="1">
        <w:r w:rsidR="00EF04CC" w:rsidRPr="000C1FC5">
          <w:rPr>
            <w:rStyle w:val="Hyperlink"/>
            <w:noProof/>
            <w:lang w:val="en-US"/>
          </w:rPr>
          <w:t>Students First</w:t>
        </w:r>
        <w:r w:rsidR="00EF04CC">
          <w:rPr>
            <w:noProof/>
            <w:webHidden/>
          </w:rPr>
          <w:tab/>
        </w:r>
        <w:r w:rsidR="00EF04CC">
          <w:rPr>
            <w:noProof/>
            <w:webHidden/>
          </w:rPr>
          <w:fldChar w:fldCharType="begin"/>
        </w:r>
        <w:r w:rsidR="00EF04CC">
          <w:rPr>
            <w:noProof/>
            <w:webHidden/>
          </w:rPr>
          <w:instrText xml:space="preserve"> PAGEREF _Toc396300340 \h </w:instrText>
        </w:r>
        <w:r w:rsidR="00EF04CC">
          <w:rPr>
            <w:noProof/>
            <w:webHidden/>
          </w:rPr>
        </w:r>
        <w:r w:rsidR="00EF04CC">
          <w:rPr>
            <w:noProof/>
            <w:webHidden/>
          </w:rPr>
          <w:fldChar w:fldCharType="separate"/>
        </w:r>
        <w:r>
          <w:rPr>
            <w:noProof/>
            <w:webHidden/>
          </w:rPr>
          <w:t>16</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41" w:history="1">
        <w:r w:rsidR="00EF04CC" w:rsidRPr="000C1FC5">
          <w:rPr>
            <w:rStyle w:val="Hyperlink"/>
            <w:noProof/>
          </w:rPr>
          <w:t>National health reform funding</w:t>
        </w:r>
        <w:r w:rsidR="00EF04CC">
          <w:rPr>
            <w:noProof/>
            <w:webHidden/>
          </w:rPr>
          <w:tab/>
        </w:r>
        <w:r w:rsidR="00EF04CC">
          <w:rPr>
            <w:noProof/>
            <w:webHidden/>
          </w:rPr>
          <w:fldChar w:fldCharType="begin"/>
        </w:r>
        <w:r w:rsidR="00EF04CC">
          <w:rPr>
            <w:noProof/>
            <w:webHidden/>
          </w:rPr>
          <w:instrText xml:space="preserve"> PAGEREF _Toc396300341 \h </w:instrText>
        </w:r>
        <w:r w:rsidR="00EF04CC">
          <w:rPr>
            <w:noProof/>
            <w:webHidden/>
          </w:rPr>
        </w:r>
        <w:r w:rsidR="00EF04CC">
          <w:rPr>
            <w:noProof/>
            <w:webHidden/>
          </w:rPr>
          <w:fldChar w:fldCharType="separate"/>
        </w:r>
        <w:r>
          <w:rPr>
            <w:noProof/>
            <w:webHidden/>
          </w:rPr>
          <w:t>17</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43" w:history="1">
        <w:r w:rsidR="00EF04CC" w:rsidRPr="000C1FC5">
          <w:rPr>
            <w:rStyle w:val="Hyperlink"/>
            <w:noProof/>
          </w:rPr>
          <w:t>Treatment of payments not made in the application year</w:t>
        </w:r>
        <w:r w:rsidR="00EF04CC">
          <w:rPr>
            <w:noProof/>
            <w:webHidden/>
          </w:rPr>
          <w:tab/>
        </w:r>
        <w:r w:rsidR="00EF04CC">
          <w:rPr>
            <w:noProof/>
            <w:webHidden/>
          </w:rPr>
          <w:fldChar w:fldCharType="begin"/>
        </w:r>
        <w:r w:rsidR="00EF04CC">
          <w:rPr>
            <w:noProof/>
            <w:webHidden/>
          </w:rPr>
          <w:instrText xml:space="preserve"> PAGEREF _Toc396300343 \h </w:instrText>
        </w:r>
        <w:r w:rsidR="00EF04CC">
          <w:rPr>
            <w:noProof/>
            <w:webHidden/>
          </w:rPr>
        </w:r>
        <w:r w:rsidR="00EF04CC">
          <w:rPr>
            <w:noProof/>
            <w:webHidden/>
          </w:rPr>
          <w:fldChar w:fldCharType="separate"/>
        </w:r>
        <w:r>
          <w:rPr>
            <w:noProof/>
            <w:webHidden/>
          </w:rPr>
          <w:t>19</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44" w:history="1">
        <w:r w:rsidR="00EF04CC" w:rsidRPr="000C1FC5">
          <w:rPr>
            <w:rStyle w:val="Hyperlink"/>
            <w:noProof/>
            <w:lang w:val="en-US"/>
          </w:rPr>
          <w:t>Background</w:t>
        </w:r>
        <w:r w:rsidR="00EF04CC">
          <w:rPr>
            <w:noProof/>
            <w:webHidden/>
          </w:rPr>
          <w:tab/>
        </w:r>
        <w:r w:rsidR="00EF04CC">
          <w:rPr>
            <w:noProof/>
            <w:webHidden/>
          </w:rPr>
          <w:fldChar w:fldCharType="begin"/>
        </w:r>
        <w:r w:rsidR="00EF04CC">
          <w:rPr>
            <w:noProof/>
            <w:webHidden/>
          </w:rPr>
          <w:instrText xml:space="preserve"> PAGEREF _Toc396300344 \h </w:instrText>
        </w:r>
        <w:r w:rsidR="00EF04CC">
          <w:rPr>
            <w:noProof/>
            <w:webHidden/>
          </w:rPr>
        </w:r>
        <w:r w:rsidR="00EF04CC">
          <w:rPr>
            <w:noProof/>
            <w:webHidden/>
          </w:rPr>
          <w:fldChar w:fldCharType="separate"/>
        </w:r>
        <w:r>
          <w:rPr>
            <w:noProof/>
            <w:webHidden/>
          </w:rPr>
          <w:t>19</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45" w:history="1">
        <w:r w:rsidR="00EF04CC" w:rsidRPr="000C1FC5">
          <w:rPr>
            <w:rStyle w:val="Hyperlink"/>
            <w:noProof/>
            <w:lang w:val="en-US"/>
          </w:rPr>
          <w:t>Issue</w:t>
        </w:r>
        <w:r w:rsidR="00EF04CC">
          <w:rPr>
            <w:noProof/>
            <w:webHidden/>
          </w:rPr>
          <w:tab/>
        </w:r>
        <w:r w:rsidR="00EF04CC">
          <w:rPr>
            <w:noProof/>
            <w:webHidden/>
          </w:rPr>
          <w:fldChar w:fldCharType="begin"/>
        </w:r>
        <w:r w:rsidR="00EF04CC">
          <w:rPr>
            <w:noProof/>
            <w:webHidden/>
          </w:rPr>
          <w:instrText xml:space="preserve"> PAGEREF _Toc396300345 \h </w:instrText>
        </w:r>
        <w:r w:rsidR="00EF04CC">
          <w:rPr>
            <w:noProof/>
            <w:webHidden/>
          </w:rPr>
        </w:r>
        <w:r w:rsidR="00EF04CC">
          <w:rPr>
            <w:noProof/>
            <w:webHidden/>
          </w:rPr>
          <w:fldChar w:fldCharType="separate"/>
        </w:r>
        <w:r>
          <w:rPr>
            <w:noProof/>
            <w:webHidden/>
          </w:rPr>
          <w:t>20</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47" w:history="1">
        <w:r w:rsidR="00EF04CC" w:rsidRPr="00EF04CC">
          <w:rPr>
            <w:rStyle w:val="Hyperlink"/>
            <w:noProof/>
          </w:rPr>
          <w:t>Treatment of other Commonwealth payments</w:t>
        </w:r>
        <w:r w:rsidR="00EF04CC">
          <w:rPr>
            <w:noProof/>
            <w:webHidden/>
          </w:rPr>
          <w:tab/>
        </w:r>
        <w:r w:rsidR="00EF04CC">
          <w:rPr>
            <w:noProof/>
            <w:webHidden/>
          </w:rPr>
          <w:fldChar w:fldCharType="begin"/>
        </w:r>
        <w:r w:rsidR="00EF04CC">
          <w:rPr>
            <w:noProof/>
            <w:webHidden/>
          </w:rPr>
          <w:instrText xml:space="preserve"> PAGEREF _Toc396300347 \h </w:instrText>
        </w:r>
        <w:r w:rsidR="00EF04CC">
          <w:rPr>
            <w:noProof/>
            <w:webHidden/>
          </w:rPr>
        </w:r>
        <w:r w:rsidR="00EF04CC">
          <w:rPr>
            <w:noProof/>
            <w:webHidden/>
          </w:rPr>
          <w:fldChar w:fldCharType="separate"/>
        </w:r>
        <w:r>
          <w:rPr>
            <w:noProof/>
            <w:webHidden/>
          </w:rPr>
          <w:t>21</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49" w:history="1">
        <w:r w:rsidR="00EF04CC" w:rsidRPr="000C1FC5">
          <w:rPr>
            <w:rStyle w:val="Hyperlink"/>
            <w:noProof/>
          </w:rPr>
          <w:t>Treatment of Commonwealth payments commencing in 2013-14</w:t>
        </w:r>
        <w:r w:rsidR="00EF04CC">
          <w:rPr>
            <w:noProof/>
            <w:webHidden/>
          </w:rPr>
          <w:tab/>
        </w:r>
        <w:r w:rsidR="00EF04CC">
          <w:rPr>
            <w:noProof/>
            <w:webHidden/>
          </w:rPr>
          <w:fldChar w:fldCharType="begin"/>
        </w:r>
        <w:r w:rsidR="00EF04CC">
          <w:rPr>
            <w:noProof/>
            <w:webHidden/>
          </w:rPr>
          <w:instrText xml:space="preserve"> PAGEREF _Toc396300349 \h </w:instrText>
        </w:r>
        <w:r w:rsidR="00EF04CC">
          <w:rPr>
            <w:noProof/>
            <w:webHidden/>
          </w:rPr>
        </w:r>
        <w:r w:rsidR="00EF04CC">
          <w:rPr>
            <w:noProof/>
            <w:webHidden/>
          </w:rPr>
          <w:fldChar w:fldCharType="separate"/>
        </w:r>
        <w:r>
          <w:rPr>
            <w:noProof/>
            <w:webHidden/>
          </w:rPr>
          <w:t>21</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51" w:history="1">
        <w:r w:rsidR="00EF04CC" w:rsidRPr="000C1FC5">
          <w:rPr>
            <w:rStyle w:val="Hyperlink"/>
            <w:noProof/>
          </w:rPr>
          <w:t>Treatment of Commonwealth payments commencing in 2014-15 and 2015-16</w:t>
        </w:r>
        <w:r w:rsidR="00EF04CC">
          <w:rPr>
            <w:noProof/>
            <w:webHidden/>
          </w:rPr>
          <w:tab/>
        </w:r>
        <w:r w:rsidR="00EF04CC">
          <w:rPr>
            <w:noProof/>
            <w:webHidden/>
          </w:rPr>
          <w:fldChar w:fldCharType="begin"/>
        </w:r>
        <w:r w:rsidR="00EF04CC">
          <w:rPr>
            <w:noProof/>
            <w:webHidden/>
          </w:rPr>
          <w:instrText xml:space="preserve"> PAGEREF _Toc396300351 \h </w:instrText>
        </w:r>
        <w:r w:rsidR="00EF04CC">
          <w:rPr>
            <w:noProof/>
            <w:webHidden/>
          </w:rPr>
        </w:r>
        <w:r w:rsidR="00EF04CC">
          <w:rPr>
            <w:noProof/>
            <w:webHidden/>
          </w:rPr>
          <w:fldChar w:fldCharType="separate"/>
        </w:r>
        <w:r>
          <w:rPr>
            <w:noProof/>
            <w:webHidden/>
          </w:rPr>
          <w:t>22</w:t>
        </w:r>
        <w:r w:rsidR="00EF04CC">
          <w:rPr>
            <w:noProof/>
            <w:webHidden/>
          </w:rPr>
          <w:fldChar w:fldCharType="end"/>
        </w:r>
      </w:hyperlink>
    </w:p>
    <w:p w:rsidR="00EF04CC" w:rsidRDefault="0040671D">
      <w:pPr>
        <w:pStyle w:val="TOC1"/>
        <w:tabs>
          <w:tab w:val="right" w:pos="8941"/>
        </w:tabs>
        <w:rPr>
          <w:rFonts w:eastAsiaTheme="minorEastAsia"/>
          <w:noProof/>
          <w:sz w:val="22"/>
          <w:lang w:eastAsia="en-AU"/>
        </w:rPr>
      </w:pPr>
      <w:hyperlink w:anchor="_Toc396300353" w:history="1">
        <w:r w:rsidR="00EF04CC" w:rsidRPr="000C1FC5">
          <w:rPr>
            <w:rStyle w:val="Hyperlink"/>
            <w:noProof/>
          </w:rPr>
          <w:t>Water for the future</w:t>
        </w:r>
        <w:r w:rsidR="00EF04CC">
          <w:rPr>
            <w:noProof/>
            <w:webHidden/>
          </w:rPr>
          <w:tab/>
        </w:r>
        <w:r w:rsidR="00EF04CC">
          <w:rPr>
            <w:noProof/>
            <w:webHidden/>
          </w:rPr>
          <w:fldChar w:fldCharType="begin"/>
        </w:r>
        <w:r w:rsidR="00EF04CC">
          <w:rPr>
            <w:noProof/>
            <w:webHidden/>
          </w:rPr>
          <w:instrText xml:space="preserve"> PAGEREF _Toc396300353 \h </w:instrText>
        </w:r>
        <w:r w:rsidR="00EF04CC">
          <w:rPr>
            <w:noProof/>
            <w:webHidden/>
          </w:rPr>
        </w:r>
        <w:r w:rsidR="00EF04CC">
          <w:rPr>
            <w:noProof/>
            <w:webHidden/>
          </w:rPr>
          <w:fldChar w:fldCharType="separate"/>
        </w:r>
        <w:r>
          <w:rPr>
            <w:noProof/>
            <w:webHidden/>
          </w:rPr>
          <w:t>23</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54" w:history="1">
        <w:r w:rsidR="00EF04CC" w:rsidRPr="000C1FC5">
          <w:rPr>
            <w:rStyle w:val="Hyperlink"/>
            <w:noProof/>
          </w:rPr>
          <w:t>Background</w:t>
        </w:r>
        <w:r w:rsidR="00EF04CC">
          <w:rPr>
            <w:noProof/>
            <w:webHidden/>
          </w:rPr>
          <w:tab/>
        </w:r>
        <w:r w:rsidR="00EF04CC">
          <w:rPr>
            <w:noProof/>
            <w:webHidden/>
          </w:rPr>
          <w:fldChar w:fldCharType="begin"/>
        </w:r>
        <w:r w:rsidR="00EF04CC">
          <w:rPr>
            <w:noProof/>
            <w:webHidden/>
          </w:rPr>
          <w:instrText xml:space="preserve"> PAGEREF _Toc396300354 \h </w:instrText>
        </w:r>
        <w:r w:rsidR="00EF04CC">
          <w:rPr>
            <w:noProof/>
            <w:webHidden/>
          </w:rPr>
        </w:r>
        <w:r w:rsidR="00EF04CC">
          <w:rPr>
            <w:noProof/>
            <w:webHidden/>
          </w:rPr>
          <w:fldChar w:fldCharType="separate"/>
        </w:r>
        <w:r>
          <w:rPr>
            <w:noProof/>
            <w:webHidden/>
          </w:rPr>
          <w:t>23</w:t>
        </w:r>
        <w:r w:rsidR="00EF04CC">
          <w:rPr>
            <w:noProof/>
            <w:webHidden/>
          </w:rPr>
          <w:fldChar w:fldCharType="end"/>
        </w:r>
      </w:hyperlink>
    </w:p>
    <w:p w:rsidR="00EF04CC" w:rsidRDefault="0040671D">
      <w:pPr>
        <w:pStyle w:val="TOC2"/>
        <w:tabs>
          <w:tab w:val="right" w:pos="8941"/>
        </w:tabs>
        <w:rPr>
          <w:rFonts w:eastAsiaTheme="minorEastAsia"/>
          <w:noProof/>
          <w:sz w:val="22"/>
          <w:lang w:eastAsia="en-AU"/>
        </w:rPr>
      </w:pPr>
      <w:hyperlink w:anchor="_Toc396300355" w:history="1">
        <w:r w:rsidR="00EF04CC" w:rsidRPr="000C1FC5">
          <w:rPr>
            <w:rStyle w:val="Hyperlink"/>
            <w:noProof/>
          </w:rPr>
          <w:t>Issues</w:t>
        </w:r>
        <w:r w:rsidR="00EF04CC">
          <w:rPr>
            <w:noProof/>
            <w:webHidden/>
          </w:rPr>
          <w:tab/>
        </w:r>
        <w:r w:rsidR="00EF04CC">
          <w:rPr>
            <w:noProof/>
            <w:webHidden/>
          </w:rPr>
          <w:fldChar w:fldCharType="begin"/>
        </w:r>
        <w:r w:rsidR="00EF04CC">
          <w:rPr>
            <w:noProof/>
            <w:webHidden/>
          </w:rPr>
          <w:instrText xml:space="preserve"> PAGEREF _Toc396300355 \h </w:instrText>
        </w:r>
        <w:r w:rsidR="00EF04CC">
          <w:rPr>
            <w:noProof/>
            <w:webHidden/>
          </w:rPr>
        </w:r>
        <w:r w:rsidR="00EF04CC">
          <w:rPr>
            <w:noProof/>
            <w:webHidden/>
          </w:rPr>
          <w:fldChar w:fldCharType="separate"/>
        </w:r>
        <w:r>
          <w:rPr>
            <w:noProof/>
            <w:webHidden/>
          </w:rPr>
          <w:t>24</w:t>
        </w:r>
        <w:r w:rsidR="00EF04CC">
          <w:rPr>
            <w:noProof/>
            <w:webHidden/>
          </w:rPr>
          <w:fldChar w:fldCharType="end"/>
        </w:r>
      </w:hyperlink>
    </w:p>
    <w:p w:rsidR="00EF04CC" w:rsidRDefault="00EF04CC">
      <w:pPr>
        <w:pStyle w:val="TOC2"/>
        <w:tabs>
          <w:tab w:val="right" w:pos="8941"/>
        </w:tabs>
        <w:rPr>
          <w:rFonts w:eastAsiaTheme="minorEastAsia"/>
          <w:noProof/>
          <w:sz w:val="22"/>
          <w:lang w:eastAsia="en-AU"/>
        </w:rPr>
      </w:pPr>
    </w:p>
    <w:p w:rsidR="009629D4" w:rsidRDefault="0008770B" w:rsidP="00CB31BA">
      <w:pPr>
        <w:tabs>
          <w:tab w:val="clear" w:pos="567"/>
        </w:tabs>
        <w:spacing w:after="100"/>
      </w:pPr>
      <w:r w:rsidRPr="00236726">
        <w:fldChar w:fldCharType="end"/>
      </w:r>
      <w:r w:rsidR="009629D4">
        <w:t xml:space="preserve">Attachment A — List of payments not </w:t>
      </w:r>
      <w:r w:rsidR="001E4238">
        <w:t>made in 2015-16</w:t>
      </w:r>
      <w:r w:rsidR="001E4238">
        <w:tab/>
      </w:r>
      <w:r w:rsidR="001E4238">
        <w:tab/>
      </w:r>
      <w:r w:rsidR="001E4238">
        <w:tab/>
      </w:r>
      <w:r w:rsidR="001E4238">
        <w:tab/>
      </w:r>
      <w:r w:rsidR="001E4238">
        <w:tab/>
        <w:t xml:space="preserve"> </w:t>
      </w:r>
      <w:r w:rsidR="003C27BA">
        <w:t>26</w:t>
      </w:r>
    </w:p>
    <w:p w:rsidR="007710CD" w:rsidRPr="00E674AF" w:rsidRDefault="00A514AF" w:rsidP="00CB31BA">
      <w:pPr>
        <w:tabs>
          <w:tab w:val="clear" w:pos="567"/>
        </w:tabs>
        <w:spacing w:after="100"/>
      </w:pPr>
      <w:r>
        <w:t xml:space="preserve">Attachment </w:t>
      </w:r>
      <w:r w:rsidR="00564B80">
        <w:t>B</w:t>
      </w:r>
      <w:r>
        <w:t xml:space="preserve"> — Commonwealth payments in 2013-14, 2014-15 and 2015-16</w:t>
      </w:r>
      <w:r w:rsidR="003C27BA">
        <w:tab/>
      </w:r>
      <w:r w:rsidR="003C27BA">
        <w:tab/>
        <w:t xml:space="preserve"> 29</w:t>
      </w:r>
    </w:p>
    <w:p w:rsidR="007710CD" w:rsidRPr="00E674AF" w:rsidRDefault="007710CD" w:rsidP="00CB31BA">
      <w:pPr>
        <w:tabs>
          <w:tab w:val="clear" w:pos="567"/>
        </w:tabs>
        <w:spacing w:after="100"/>
        <w:sectPr w:rsidR="007710CD" w:rsidRPr="00E674AF" w:rsidSect="003A52E3">
          <w:footerReference w:type="first" r:id="rId16"/>
          <w:pgSz w:w="11899" w:h="16838" w:code="9"/>
          <w:pgMar w:top="1701" w:right="1474" w:bottom="1701" w:left="1474" w:header="709" w:footer="709" w:gutter="0"/>
          <w:pgNumType w:fmt="lowerRoman" w:start="1"/>
          <w:cols w:space="708"/>
          <w:titlePg/>
          <w:docGrid w:linePitch="299"/>
        </w:sectPr>
      </w:pPr>
    </w:p>
    <w:p w:rsidR="007710CD" w:rsidRPr="00E674AF" w:rsidRDefault="00CE44B6" w:rsidP="00CE44B6">
      <w:pPr>
        <w:pStyle w:val="Heading3"/>
      </w:pPr>
      <w:bookmarkStart w:id="7" w:name="Content"/>
      <w:bookmarkStart w:id="8" w:name="_Toc106707725"/>
      <w:bookmarkStart w:id="9" w:name="_Toc155675935"/>
      <w:bookmarkStart w:id="10" w:name="_Toc174415770"/>
      <w:bookmarkStart w:id="11" w:name="_Toc174415844"/>
      <w:bookmarkStart w:id="12" w:name="_Toc174415935"/>
      <w:bookmarkStart w:id="13" w:name="_Toc174416620"/>
      <w:bookmarkStart w:id="14" w:name="_Toc174416662"/>
      <w:bookmarkStart w:id="15" w:name="_Toc174416675"/>
      <w:bookmarkStart w:id="16" w:name="_Toc395104225"/>
      <w:bookmarkStart w:id="17" w:name="_Toc396300320"/>
      <w:bookmarkEnd w:id="7"/>
      <w:r>
        <w:lastRenderedPageBreak/>
        <w:t>Background</w:t>
      </w:r>
      <w:bookmarkEnd w:id="8"/>
      <w:bookmarkEnd w:id="9"/>
      <w:bookmarkEnd w:id="10"/>
      <w:bookmarkEnd w:id="11"/>
      <w:bookmarkEnd w:id="12"/>
      <w:bookmarkEnd w:id="13"/>
      <w:bookmarkEnd w:id="14"/>
      <w:bookmarkEnd w:id="15"/>
      <w:bookmarkEnd w:id="16"/>
      <w:bookmarkEnd w:id="17"/>
    </w:p>
    <w:p w:rsidR="00C32C64" w:rsidRPr="00E674AF" w:rsidRDefault="00792F14" w:rsidP="0054045E">
      <w:pPr>
        <w:pStyle w:val="CGCNumberedPara"/>
        <w:numPr>
          <w:ilvl w:val="1"/>
          <w:numId w:val="12"/>
        </w:numPr>
      </w:pPr>
      <w:bookmarkStart w:id="18" w:name="_Toc155675723"/>
      <w:bookmarkEnd w:id="18"/>
      <w:r>
        <w:t xml:space="preserve">The paper sets out </w:t>
      </w:r>
      <w:r w:rsidR="00512CE3">
        <w:t xml:space="preserve">staff proposals for the treatment of update and supplementary </w:t>
      </w:r>
      <w:r>
        <w:t xml:space="preserve">issues </w:t>
      </w:r>
      <w:r w:rsidR="0054045E">
        <w:t xml:space="preserve">that have arisen since the 2015 Review </w:t>
      </w:r>
      <w:r w:rsidR="00BE6532">
        <w:t>Draft Report</w:t>
      </w:r>
      <w:r w:rsidR="0054045E">
        <w:t xml:space="preserve">. </w:t>
      </w:r>
      <w:r>
        <w:t>State and Commonwealth treasur</w:t>
      </w:r>
      <w:r w:rsidR="0054045E">
        <w:t xml:space="preserve">ies’ </w:t>
      </w:r>
      <w:r w:rsidR="008A0B90">
        <w:t>view are sought. C</w:t>
      </w:r>
      <w:r>
        <w:t xml:space="preserve">omments should be provided by </w:t>
      </w:r>
      <w:r w:rsidR="0054045E">
        <w:t>26</w:t>
      </w:r>
      <w:r>
        <w:t xml:space="preserve"> September 2014 to </w:t>
      </w:r>
      <w:hyperlink r:id="rId17" w:history="1">
        <w:r w:rsidRPr="005601EB">
          <w:rPr>
            <w:rStyle w:val="Hyperlink"/>
          </w:rPr>
          <w:t>secretary@cgc.gov.au</w:t>
        </w:r>
      </w:hyperlink>
      <w:r>
        <w:t>. The contact officer for queries is Priscilla Kan (</w:t>
      </w:r>
      <w:hyperlink r:id="rId18" w:history="1">
        <w:r w:rsidRPr="005601EB">
          <w:rPr>
            <w:rStyle w:val="Hyperlink"/>
          </w:rPr>
          <w:t>Priscilla.kan@cgc.gov.au</w:t>
        </w:r>
      </w:hyperlink>
      <w:r>
        <w:t xml:space="preserve"> or 02 6229 8849).</w:t>
      </w:r>
    </w:p>
    <w:p w:rsidR="007710CD" w:rsidRPr="00E674AF" w:rsidRDefault="00CE44B6" w:rsidP="00CE44B6">
      <w:pPr>
        <w:pStyle w:val="Heading3"/>
      </w:pPr>
      <w:bookmarkStart w:id="19" w:name="_Toc396300321"/>
      <w:r>
        <w:t>Issues</w:t>
      </w:r>
      <w:bookmarkEnd w:id="19"/>
    </w:p>
    <w:p w:rsidR="00B95662" w:rsidRDefault="0054045E" w:rsidP="006B7BE3">
      <w:pPr>
        <w:pStyle w:val="CGCNumberedPara"/>
      </w:pPr>
      <w:r>
        <w:t>T</w:t>
      </w:r>
      <w:r w:rsidR="00792F14">
        <w:t>he issues include:</w:t>
      </w:r>
    </w:p>
    <w:p w:rsidR="001E4238" w:rsidRDefault="00C9618C" w:rsidP="001E4238">
      <w:pPr>
        <w:pStyle w:val="CGCBulletlist"/>
      </w:pPr>
      <w:r>
        <w:t>c</w:t>
      </w:r>
      <w:r w:rsidR="00CE44B6">
        <w:t>hanges to econometrics used in Schools education and Regional costs</w:t>
      </w:r>
      <w:r>
        <w:t xml:space="preserve"> assessments</w:t>
      </w:r>
    </w:p>
    <w:p w:rsidR="00C119CB" w:rsidRDefault="00C119CB" w:rsidP="00C119CB">
      <w:pPr>
        <w:pStyle w:val="CGCBulletlist"/>
      </w:pPr>
      <w:r>
        <w:t>Post-secondary education user charges</w:t>
      </w:r>
    </w:p>
    <w:p w:rsidR="005F36F0" w:rsidRDefault="005F36F0" w:rsidP="005F36F0">
      <w:pPr>
        <w:pStyle w:val="CGCBulletlist"/>
      </w:pPr>
      <w:r>
        <w:t>low socio-economic status disability for Other general welfare services</w:t>
      </w:r>
    </w:p>
    <w:p w:rsidR="005F36F0" w:rsidRDefault="001E4238" w:rsidP="005F36F0">
      <w:pPr>
        <w:pStyle w:val="CGCBulletlist"/>
      </w:pPr>
      <w:r>
        <w:t>revised weights for the Justice assessment</w:t>
      </w:r>
    </w:p>
    <w:p w:rsidR="00AA3E89" w:rsidRDefault="00AA3E89" w:rsidP="00AA3E89">
      <w:pPr>
        <w:pStyle w:val="CGCBulletlist"/>
      </w:pPr>
      <w:r>
        <w:t>adjustments to June disaggregated estimated resident population (ERP) data</w:t>
      </w:r>
    </w:p>
    <w:p w:rsidR="002869A2" w:rsidRDefault="002869A2" w:rsidP="002869A2">
      <w:pPr>
        <w:pStyle w:val="CGCBulletlist"/>
      </w:pPr>
      <w:r>
        <w:t>backcasting of specific purpose payments and national agreements</w:t>
      </w:r>
    </w:p>
    <w:p w:rsidR="005F36F0" w:rsidRDefault="005F36F0" w:rsidP="00792F14">
      <w:pPr>
        <w:pStyle w:val="CGCBulletlist"/>
      </w:pPr>
      <w:r>
        <w:t>treatment of new Commonwealth payments</w:t>
      </w:r>
    </w:p>
    <w:p w:rsidR="005F36F0" w:rsidRDefault="005F36F0" w:rsidP="00792F14">
      <w:pPr>
        <w:pStyle w:val="CGCBulletlist"/>
      </w:pPr>
      <w:r>
        <w:t>treatment of Water for the future national partnership payment</w:t>
      </w:r>
      <w:r w:rsidR="00FD40BA">
        <w:t>.</w:t>
      </w:r>
    </w:p>
    <w:p w:rsidR="00CE44B6" w:rsidRDefault="00CE44B6" w:rsidP="00CE44B6">
      <w:pPr>
        <w:pStyle w:val="Heading3"/>
      </w:pPr>
      <w:bookmarkStart w:id="20" w:name="_Toc396300322"/>
      <w:r>
        <w:t>Changes to econometrics used in Schools education and regional costs</w:t>
      </w:r>
      <w:bookmarkEnd w:id="20"/>
    </w:p>
    <w:p w:rsidR="00CE44B6" w:rsidRDefault="00CE44B6" w:rsidP="00CE44B6">
      <w:pPr>
        <w:pStyle w:val="CGCNumberedPara"/>
        <w:numPr>
          <w:ilvl w:val="1"/>
          <w:numId w:val="12"/>
        </w:numPr>
      </w:pPr>
      <w:r>
        <w:t xml:space="preserve">Since the release of the </w:t>
      </w:r>
      <w:r w:rsidR="006F607C">
        <w:t xml:space="preserve">2015 Review </w:t>
      </w:r>
      <w:r w:rsidR="00BE6532">
        <w:t>Draft Report</w:t>
      </w:r>
      <w:r w:rsidR="00512CE3">
        <w:t>,</w:t>
      </w:r>
      <w:r>
        <w:t xml:space="preserve"> the Commission has received the report from the consultant engaged to examine the econometric modelling used to e</w:t>
      </w:r>
      <w:r w:rsidRPr="00153DA1">
        <w:t>stimat</w:t>
      </w:r>
      <w:r>
        <w:t>e</w:t>
      </w:r>
      <w:r w:rsidRPr="00153DA1">
        <w:t xml:space="preserve"> differences in spending on students</w:t>
      </w:r>
      <w:r>
        <w:t xml:space="preserve"> with different characteristics </w:t>
      </w:r>
      <w:r w:rsidRPr="00153DA1">
        <w:t xml:space="preserve">using </w:t>
      </w:r>
      <w:r>
        <w:t>Australian Curriculum and Reporting Authority (</w:t>
      </w:r>
      <w:r w:rsidRPr="00153DA1">
        <w:t>ACARA</w:t>
      </w:r>
      <w:r>
        <w:t>)</w:t>
      </w:r>
      <w:r w:rsidRPr="00153DA1">
        <w:t xml:space="preserve"> data</w:t>
      </w:r>
      <w:r>
        <w:t xml:space="preserve"> (</w:t>
      </w:r>
      <w:r w:rsidR="00686D48">
        <w:t>available on the CGC website</w:t>
      </w:r>
      <w:r>
        <w:t>)</w:t>
      </w:r>
      <w:r w:rsidRPr="00153DA1">
        <w:t>.</w:t>
      </w:r>
      <w:r>
        <w:t xml:space="preserve"> We have also received 2012 ACARA data. </w:t>
      </w:r>
    </w:p>
    <w:p w:rsidR="00686D48" w:rsidRDefault="00686D48" w:rsidP="00686D48">
      <w:pPr>
        <w:pStyle w:val="CGCNumberedPara"/>
        <w:numPr>
          <w:ilvl w:val="1"/>
          <w:numId w:val="12"/>
        </w:numPr>
      </w:pPr>
      <w:r>
        <w:t xml:space="preserve">In response to concerns by the consultant, </w:t>
      </w:r>
      <w:r w:rsidR="00512CE3">
        <w:t>staff propose to mak</w:t>
      </w:r>
      <w:r>
        <w:t>e a number of changes to the models.</w:t>
      </w:r>
      <w:r w:rsidR="006A4938">
        <w:rPr>
          <w:rStyle w:val="FootnoteReference"/>
        </w:rPr>
        <w:footnoteReference w:id="1"/>
      </w:r>
    </w:p>
    <w:p w:rsidR="00686D48" w:rsidRPr="00AC25B6" w:rsidRDefault="00686D48" w:rsidP="00686D48">
      <w:pPr>
        <w:pStyle w:val="CGCBulletlist"/>
        <w:numPr>
          <w:ilvl w:val="0"/>
          <w:numId w:val="11"/>
        </w:numPr>
        <w:tabs>
          <w:tab w:val="clear" w:pos="927"/>
        </w:tabs>
        <w:ind w:left="1134" w:hanging="567"/>
      </w:pPr>
      <w:r>
        <w:t xml:space="preserve">We </w:t>
      </w:r>
      <w:r w:rsidR="00512CE3">
        <w:t xml:space="preserve">have </w:t>
      </w:r>
      <w:r>
        <w:t xml:space="preserve">moved from models based </w:t>
      </w:r>
      <w:r w:rsidRPr="00AC25B6">
        <w:t>on funding per school to ones based on funding per student. This makes the model</w:t>
      </w:r>
      <w:r w:rsidR="00F2269C">
        <w:t>s</w:t>
      </w:r>
      <w:r w:rsidRPr="00AC25B6">
        <w:t xml:space="preserve"> easier to understand, but does not affect the reliability and robustness of the results. </w:t>
      </w:r>
    </w:p>
    <w:p w:rsidR="00686D48" w:rsidRPr="00AC25B6" w:rsidRDefault="00686D48" w:rsidP="00686D48">
      <w:pPr>
        <w:pStyle w:val="CGCBulletlist"/>
        <w:numPr>
          <w:ilvl w:val="0"/>
          <w:numId w:val="11"/>
        </w:numPr>
        <w:tabs>
          <w:tab w:val="clear" w:pos="927"/>
        </w:tabs>
        <w:ind w:left="1134" w:hanging="567"/>
      </w:pPr>
      <w:r w:rsidRPr="00AC25B6">
        <w:lastRenderedPageBreak/>
        <w:t>State dummies were removed so the model better reflects what States collectively do.</w:t>
      </w:r>
    </w:p>
    <w:p w:rsidR="00686D48" w:rsidRPr="00491FD5" w:rsidRDefault="00686D48" w:rsidP="00686D48">
      <w:pPr>
        <w:pStyle w:val="CGCBulletlist"/>
        <w:numPr>
          <w:ilvl w:val="0"/>
          <w:numId w:val="11"/>
        </w:numPr>
        <w:tabs>
          <w:tab w:val="clear" w:pos="927"/>
        </w:tabs>
        <w:ind w:left="1134" w:hanging="567"/>
      </w:pPr>
      <w:r w:rsidRPr="00491FD5">
        <w:t xml:space="preserve">In the schools based model, we had attempted to allocate each school to both an </w:t>
      </w:r>
      <w:r w:rsidR="00C1401F" w:rsidRPr="00012B21">
        <w:t xml:space="preserve">index of Indigenous Relative Socio-Economic Outcomes (IRSEO) and Non-Indigenous Socio-Economic Index for Areas (NISEIFA) </w:t>
      </w:r>
      <w:r w:rsidRPr="00491FD5">
        <w:t xml:space="preserve">area. This had produced </w:t>
      </w:r>
      <w:r w:rsidRPr="00AC25B6">
        <w:t>co</w:t>
      </w:r>
      <w:r w:rsidRPr="00491FD5">
        <w:t>-</w:t>
      </w:r>
      <w:r w:rsidRPr="00AC25B6">
        <w:t xml:space="preserve">linearity issues </w:t>
      </w:r>
      <w:r w:rsidRPr="00491FD5">
        <w:t xml:space="preserve">which prevented us using IRSEO in the </w:t>
      </w:r>
      <w:r>
        <w:t>Draft Report</w:t>
      </w:r>
      <w:r w:rsidRPr="00491FD5">
        <w:t>. In designing a student based model we can attribute each student to one of the ten Indigenous/socio-economic dummies without any co-linearity issues.</w:t>
      </w:r>
    </w:p>
    <w:p w:rsidR="00686D48" w:rsidRPr="00AC25B6" w:rsidRDefault="00686D48" w:rsidP="00686D48">
      <w:pPr>
        <w:pStyle w:val="CGCBulletlist"/>
        <w:numPr>
          <w:ilvl w:val="0"/>
          <w:numId w:val="11"/>
        </w:numPr>
        <w:tabs>
          <w:tab w:val="clear" w:pos="927"/>
        </w:tabs>
        <w:ind w:left="1134" w:hanging="567"/>
      </w:pPr>
      <w:r w:rsidRPr="00AC25B6">
        <w:t xml:space="preserve">For the </w:t>
      </w:r>
      <w:r>
        <w:t>Draft Report</w:t>
      </w:r>
      <w:r w:rsidRPr="00AC25B6">
        <w:t>, our model forced the regression through the origin</w:t>
      </w:r>
      <w:r w:rsidR="00512CE3">
        <w:t>.</w:t>
      </w:r>
      <w:r w:rsidRPr="00AC25B6">
        <w:t xml:space="preserve"> </w:t>
      </w:r>
      <w:r w:rsidR="00512CE3">
        <w:t>W</w:t>
      </w:r>
      <w:r w:rsidRPr="00AC25B6">
        <w:t xml:space="preserve">e now have a variable which captures the fixed costs of schools. We have removed the dummy identifying schools in </w:t>
      </w:r>
      <w:r w:rsidR="00C1401F">
        <w:t>Service delivery scale (</w:t>
      </w:r>
      <w:r w:rsidRPr="00AC25B6">
        <w:t>SDS</w:t>
      </w:r>
      <w:r w:rsidR="00C1401F">
        <w:t>)</w:t>
      </w:r>
      <w:r w:rsidRPr="00AC25B6">
        <w:t xml:space="preserve"> areas. </w:t>
      </w:r>
    </w:p>
    <w:p w:rsidR="00686D48" w:rsidRDefault="00686D48" w:rsidP="00686D48">
      <w:pPr>
        <w:pStyle w:val="CGCBulletlist"/>
        <w:numPr>
          <w:ilvl w:val="0"/>
          <w:numId w:val="11"/>
        </w:numPr>
        <w:tabs>
          <w:tab w:val="clear" w:pos="927"/>
        </w:tabs>
        <w:ind w:left="1134" w:hanging="567"/>
      </w:pPr>
      <w:r w:rsidRPr="00AC25B6">
        <w:t>The non-government schools model now includes remoteness.</w:t>
      </w:r>
    </w:p>
    <w:p w:rsidR="00686D48" w:rsidRPr="00AC25B6" w:rsidRDefault="00686D48" w:rsidP="00686D48">
      <w:pPr>
        <w:pStyle w:val="CGCNumberedPara"/>
      </w:pPr>
      <w:r>
        <w:t>The consultant considers our revised model to be appropriate for our purposes.</w:t>
      </w:r>
    </w:p>
    <w:p w:rsidR="00EA09EC" w:rsidRPr="00EA09EC" w:rsidRDefault="00686D48" w:rsidP="00EA09EC">
      <w:pPr>
        <w:pStyle w:val="CGCNumberedPara"/>
      </w:pPr>
      <w:r w:rsidRPr="00EA09EC">
        <w:t>The changes to the model have resulted in changes to coefficients for some variables. There were largely offsetting changes to the loadings for Indigenous and remote students. For example, the loading for a most disadvantaged, very remote Indigenous government student was changed from 142% (91% for Indigenous + 51% for very remote) to 135% (44% for most disadvantaged Indigenous + 91% for very remote).</w:t>
      </w:r>
      <w:r w:rsidR="00EA09EC" w:rsidRPr="00EA09EC">
        <w:t xml:space="preserve"> We understand that whether the high costs for remote Indigenous students are allocated to Indigeneity or remoteness is sensitive to the exact specification of the model. We would be interested in any information on whether the way the current model allocates these costs is consistent with State experience. </w:t>
      </w:r>
    </w:p>
    <w:p w:rsidR="00686D48" w:rsidRDefault="00686D48" w:rsidP="00686D48">
      <w:pPr>
        <w:pStyle w:val="CGCNumberedPara"/>
        <w:numPr>
          <w:ilvl w:val="1"/>
          <w:numId w:val="12"/>
        </w:numPr>
      </w:pPr>
      <w:r>
        <w:t>Most of the changes to student loadings since the Draft Report are due to changes to the model rather than updating the ACARA data.</w:t>
      </w:r>
    </w:p>
    <w:p w:rsidR="00CE44B6" w:rsidRDefault="00CE44B6" w:rsidP="00CE44B6">
      <w:pPr>
        <w:pStyle w:val="CGCNumberedPara"/>
        <w:numPr>
          <w:ilvl w:val="1"/>
          <w:numId w:val="12"/>
        </w:numPr>
      </w:pPr>
      <w:r>
        <w:t>These changes affect:</w:t>
      </w:r>
    </w:p>
    <w:p w:rsidR="00CE44B6" w:rsidRDefault="00CE44B6" w:rsidP="00CE44B6">
      <w:pPr>
        <w:pStyle w:val="CGCBulletlist"/>
        <w:numPr>
          <w:ilvl w:val="0"/>
          <w:numId w:val="11"/>
        </w:numPr>
        <w:tabs>
          <w:tab w:val="clear" w:pos="927"/>
        </w:tabs>
        <w:ind w:left="1134" w:hanging="567"/>
      </w:pPr>
      <w:r>
        <w:t>cost weights for different socio-demographic groups for use in the Schools education assessment</w:t>
      </w:r>
    </w:p>
    <w:p w:rsidR="00CE44B6" w:rsidRDefault="00CE44B6" w:rsidP="00CE44B6">
      <w:pPr>
        <w:pStyle w:val="CGCBulletlist"/>
        <w:numPr>
          <w:ilvl w:val="0"/>
          <w:numId w:val="11"/>
        </w:numPr>
        <w:tabs>
          <w:tab w:val="clear" w:pos="927"/>
        </w:tabs>
        <w:ind w:left="1134" w:hanging="567"/>
      </w:pPr>
      <w:r>
        <w:t xml:space="preserve">a regional cost gradient to measure regional cost differences in the expense assessments </w:t>
      </w:r>
    </w:p>
    <w:p w:rsidR="00CE44B6" w:rsidRDefault="00CE44B6" w:rsidP="00CE44B6">
      <w:pPr>
        <w:pStyle w:val="CGCBulletlist"/>
        <w:numPr>
          <w:ilvl w:val="0"/>
          <w:numId w:val="11"/>
        </w:numPr>
        <w:tabs>
          <w:tab w:val="clear" w:pos="927"/>
        </w:tabs>
        <w:ind w:left="1134" w:hanging="567"/>
      </w:pPr>
      <w:r>
        <w:t>a service delivery scale factor to recognise that States experience diseconomies of scale in the provision of certain services to small isolated communities.</w:t>
      </w:r>
    </w:p>
    <w:p w:rsidR="00CE44B6" w:rsidRDefault="00686D48" w:rsidP="00CE44B6">
      <w:pPr>
        <w:pStyle w:val="Heading4"/>
      </w:pPr>
      <w:bookmarkStart w:id="21" w:name="_Toc396300323"/>
      <w:r>
        <w:t>Cost weights</w:t>
      </w:r>
      <w:bookmarkEnd w:id="21"/>
    </w:p>
    <w:p w:rsidR="00CE44B6" w:rsidRDefault="00CE44B6" w:rsidP="00CE44B6">
      <w:pPr>
        <w:pStyle w:val="CGCNumberedPara"/>
        <w:numPr>
          <w:ilvl w:val="1"/>
          <w:numId w:val="12"/>
        </w:numPr>
      </w:pPr>
      <w:r>
        <w:t xml:space="preserve">The student loadings for government and non-government students used in the Schools education assessment are based on separate analyses of government and </w:t>
      </w:r>
      <w:r>
        <w:lastRenderedPageBreak/>
        <w:t>non-government school data from ACARA. The relative costs of different socio</w:t>
      </w:r>
      <w:r>
        <w:noBreakHyphen/>
        <w:t xml:space="preserve">demographic groups derived from the two models are shown in </w:t>
      </w:r>
      <w:r>
        <w:fldChar w:fldCharType="begin"/>
      </w:r>
      <w:r>
        <w:instrText xml:space="preserve"> REF _Ref395012529 \h </w:instrText>
      </w:r>
      <w:r>
        <w:fldChar w:fldCharType="separate"/>
      </w:r>
      <w:r w:rsidR="0040671D">
        <w:t xml:space="preserve">Table </w:t>
      </w:r>
      <w:r w:rsidR="0040671D">
        <w:rPr>
          <w:noProof/>
        </w:rPr>
        <w:t>1</w:t>
      </w:r>
      <w:r>
        <w:fldChar w:fldCharType="end"/>
      </w:r>
      <w:r>
        <w:t>.</w:t>
      </w:r>
      <w:r>
        <w:rPr>
          <w:rStyle w:val="FootnoteReference"/>
        </w:rPr>
        <w:footnoteReference w:id="2"/>
      </w:r>
      <w:r>
        <w:t xml:space="preserve"> </w:t>
      </w:r>
    </w:p>
    <w:p w:rsidR="00CE44B6" w:rsidRDefault="00CE44B6" w:rsidP="00CE44B6">
      <w:pPr>
        <w:pStyle w:val="Caption"/>
      </w:pPr>
      <w:bookmarkStart w:id="22" w:name="_Ref395012529"/>
      <w:r>
        <w:t xml:space="preserve">Table </w:t>
      </w:r>
      <w:fldSimple w:instr=" SEQ Table \* ARABIC ">
        <w:r w:rsidR="0040671D">
          <w:rPr>
            <w:noProof/>
          </w:rPr>
          <w:t>1</w:t>
        </w:r>
      </w:fldSimple>
      <w:bookmarkEnd w:id="22"/>
      <w:r>
        <w:tab/>
        <w:t>Indicative student loadings based on 2012 ACARA data</w:t>
      </w:r>
    </w:p>
    <w:tbl>
      <w:tblPr>
        <w:tblW w:w="8940" w:type="dxa"/>
        <w:tblLayout w:type="fixed"/>
        <w:tblCellMar>
          <w:left w:w="0" w:type="dxa"/>
          <w:right w:w="0" w:type="dxa"/>
        </w:tblCellMar>
        <w:tblLook w:val="04A0" w:firstRow="1" w:lastRow="0" w:firstColumn="1" w:lastColumn="0" w:noHBand="0" w:noVBand="1"/>
      </w:tblPr>
      <w:tblGrid>
        <w:gridCol w:w="2700"/>
        <w:gridCol w:w="2920"/>
        <w:gridCol w:w="3320"/>
      </w:tblGrid>
      <w:tr w:rsidR="00CE44B6" w:rsidRPr="00AB3561" w:rsidTr="00CE44B6">
        <w:trPr>
          <w:trHeight w:val="375"/>
        </w:trPr>
        <w:tc>
          <w:tcPr>
            <w:tcW w:w="2700" w:type="dxa"/>
            <w:tcBorders>
              <w:top w:val="single" w:sz="4" w:space="0" w:color="auto"/>
              <w:left w:val="nil"/>
              <w:bottom w:val="single" w:sz="4" w:space="0" w:color="auto"/>
              <w:right w:val="nil"/>
            </w:tcBorders>
            <w:shd w:val="clear" w:color="auto" w:fill="auto"/>
            <w:vAlign w:val="center"/>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bookmarkStart w:id="23" w:name="RANGE!A2:C21"/>
            <w:bookmarkStart w:id="24" w:name="RANGE!A2:C2"/>
            <w:bookmarkEnd w:id="23"/>
            <w:r w:rsidRPr="00AB3561">
              <w:rPr>
                <w:rFonts w:ascii="Calibri" w:eastAsia="Times New Roman" w:hAnsi="Calibri" w:cs="Times New Roman"/>
                <w:sz w:val="20"/>
                <w:szCs w:val="20"/>
                <w:lang w:eastAsia="en-AU"/>
              </w:rPr>
              <w:t>Variable</w:t>
            </w:r>
            <w:bookmarkEnd w:id="24"/>
          </w:p>
        </w:tc>
        <w:tc>
          <w:tcPr>
            <w:tcW w:w="2920" w:type="dxa"/>
            <w:tcBorders>
              <w:top w:val="single" w:sz="4" w:space="0" w:color="auto"/>
              <w:left w:val="nil"/>
              <w:bottom w:val="single" w:sz="4" w:space="0" w:color="auto"/>
              <w:right w:val="nil"/>
            </w:tcBorders>
            <w:shd w:val="clear" w:color="auto" w:fill="auto"/>
            <w:vAlign w:val="center"/>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Government student loadings</w:t>
            </w:r>
          </w:p>
        </w:tc>
        <w:tc>
          <w:tcPr>
            <w:tcW w:w="3320" w:type="dxa"/>
            <w:tcBorders>
              <w:top w:val="single" w:sz="4" w:space="0" w:color="auto"/>
              <w:left w:val="nil"/>
              <w:bottom w:val="single" w:sz="4" w:space="0" w:color="auto"/>
              <w:right w:val="nil"/>
            </w:tcBorders>
            <w:shd w:val="clear" w:color="auto" w:fill="auto"/>
            <w:vAlign w:val="center"/>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Non-Government student loadings</w:t>
            </w:r>
          </w:p>
        </w:tc>
      </w:tr>
      <w:tr w:rsidR="00CE44B6" w:rsidRPr="00AB3561" w:rsidTr="00CE44B6">
        <w:trPr>
          <w:trHeight w:val="259"/>
        </w:trPr>
        <w:tc>
          <w:tcPr>
            <w:tcW w:w="2700" w:type="dxa"/>
            <w:tcBorders>
              <w:top w:val="nil"/>
              <w:left w:val="nil"/>
              <w:bottom w:val="nil"/>
              <w:right w:val="nil"/>
            </w:tcBorders>
            <w:shd w:val="clear" w:color="auto" w:fill="auto"/>
            <w:noWrap/>
            <w:vAlign w:val="bottom"/>
            <w:hideMark/>
          </w:tcPr>
          <w:p w:rsidR="00CE44B6" w:rsidRPr="00AB3561" w:rsidRDefault="00CE44B6" w:rsidP="00CE44B6">
            <w:pPr>
              <w:keepNext/>
              <w:keepLines/>
              <w:tabs>
                <w:tab w:val="clear" w:pos="567"/>
              </w:tabs>
              <w:spacing w:after="0" w:line="240" w:lineRule="auto"/>
              <w:ind w:left="193" w:hanging="142"/>
              <w:jc w:val="right"/>
              <w:rPr>
                <w:rFonts w:ascii="Calibri" w:eastAsia="Times New Roman" w:hAnsi="Calibri" w:cs="Times New Roman"/>
                <w:sz w:val="20"/>
                <w:szCs w:val="20"/>
                <w:lang w:eastAsia="en-AU"/>
              </w:rPr>
            </w:pPr>
          </w:p>
        </w:tc>
        <w:tc>
          <w:tcPr>
            <w:tcW w:w="2920" w:type="dxa"/>
            <w:tcBorders>
              <w:top w:val="nil"/>
              <w:left w:val="nil"/>
              <w:bottom w:val="nil"/>
              <w:right w:val="nil"/>
            </w:tcBorders>
            <w:shd w:val="clear" w:color="auto" w:fill="auto"/>
            <w:noWrap/>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w:t>
            </w:r>
          </w:p>
        </w:tc>
        <w:tc>
          <w:tcPr>
            <w:tcW w:w="3320" w:type="dxa"/>
            <w:tcBorders>
              <w:top w:val="nil"/>
              <w:left w:val="nil"/>
              <w:bottom w:val="nil"/>
              <w:right w:val="nil"/>
            </w:tcBorders>
            <w:shd w:val="clear" w:color="auto" w:fill="auto"/>
            <w:noWrap/>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b/>
                <w:bCs/>
                <w:sz w:val="20"/>
                <w:szCs w:val="20"/>
                <w:lang w:eastAsia="en-AU"/>
              </w:rPr>
            </w:pPr>
            <w:r w:rsidRPr="00AB3561">
              <w:rPr>
                <w:rFonts w:ascii="Calibri" w:eastAsia="Times New Roman" w:hAnsi="Calibri" w:cs="Times New Roman"/>
                <w:b/>
                <w:bCs/>
                <w:sz w:val="20"/>
                <w:szCs w:val="20"/>
                <w:lang w:eastAsia="en-AU"/>
              </w:rPr>
              <w:t>Non-Indigenous</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Least disadvantaged</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100</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25</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2nd least disadvantaged</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101</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26</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Middle quintile</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106</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27</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2nd most disadvantaged</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109</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29</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Most disadvantaged</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115</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29</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b/>
                <w:bCs/>
                <w:sz w:val="20"/>
                <w:szCs w:val="20"/>
                <w:lang w:eastAsia="en-AU"/>
              </w:rPr>
            </w:pPr>
            <w:r>
              <w:rPr>
                <w:rFonts w:ascii="Calibri" w:eastAsia="Times New Roman" w:hAnsi="Calibri" w:cs="Times New Roman"/>
                <w:b/>
                <w:bCs/>
                <w:sz w:val="20"/>
                <w:szCs w:val="20"/>
                <w:lang w:eastAsia="en-AU"/>
              </w:rPr>
              <w:t>Indigenous</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Least disadvantaged</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113</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28</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2nd least disadvantaged</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118</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29</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Middle quintile</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124</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33</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2nd most disadvantaged</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125</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33</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Most disadvantaged</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144</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34</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b/>
                <w:bCs/>
                <w:sz w:val="20"/>
                <w:szCs w:val="20"/>
                <w:lang w:eastAsia="en-AU"/>
              </w:rPr>
            </w:pPr>
            <w:r>
              <w:rPr>
                <w:rFonts w:ascii="Calibri" w:eastAsia="Times New Roman" w:hAnsi="Calibri" w:cs="Times New Roman"/>
                <w:b/>
                <w:bCs/>
                <w:sz w:val="20"/>
                <w:szCs w:val="20"/>
                <w:lang w:eastAsia="en-AU"/>
              </w:rPr>
              <w:t>Remoteness</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Major cities </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100</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25</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Inner regional </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103</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25</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Outer regional </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121</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28</w:t>
            </w:r>
          </w:p>
        </w:tc>
      </w:tr>
      <w:tr w:rsidR="00CE44B6" w:rsidRPr="00AB3561" w:rsidTr="00CE44B6">
        <w:trPr>
          <w:trHeight w:val="315"/>
        </w:trPr>
        <w:tc>
          <w:tcPr>
            <w:tcW w:w="270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Remote </w:t>
            </w:r>
          </w:p>
        </w:tc>
        <w:tc>
          <w:tcPr>
            <w:tcW w:w="29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166</w:t>
            </w:r>
          </w:p>
        </w:tc>
        <w:tc>
          <w:tcPr>
            <w:tcW w:w="3320" w:type="dxa"/>
            <w:tcBorders>
              <w:top w:val="nil"/>
              <w:left w:val="nil"/>
              <w:bottom w:val="nil"/>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31</w:t>
            </w:r>
          </w:p>
        </w:tc>
      </w:tr>
      <w:tr w:rsidR="00CE44B6" w:rsidRPr="00AB3561" w:rsidTr="00CE44B6">
        <w:trPr>
          <w:trHeight w:val="315"/>
        </w:trPr>
        <w:tc>
          <w:tcPr>
            <w:tcW w:w="2700" w:type="dxa"/>
            <w:tcBorders>
              <w:top w:val="nil"/>
              <w:left w:val="nil"/>
              <w:bottom w:val="single" w:sz="4" w:space="0" w:color="auto"/>
              <w:right w:val="nil"/>
            </w:tcBorders>
            <w:shd w:val="clear" w:color="auto" w:fill="auto"/>
            <w:vAlign w:val="bottom"/>
            <w:hideMark/>
          </w:tcPr>
          <w:p w:rsidR="00CE44B6" w:rsidRPr="00AB3561" w:rsidRDefault="00CE44B6" w:rsidP="00CE44B6">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 xml:space="preserve">  Very remote </w:t>
            </w:r>
          </w:p>
        </w:tc>
        <w:tc>
          <w:tcPr>
            <w:tcW w:w="2920" w:type="dxa"/>
            <w:tcBorders>
              <w:top w:val="nil"/>
              <w:left w:val="nil"/>
              <w:bottom w:val="single" w:sz="4" w:space="0" w:color="auto"/>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191</w:t>
            </w:r>
          </w:p>
        </w:tc>
        <w:tc>
          <w:tcPr>
            <w:tcW w:w="3320" w:type="dxa"/>
            <w:tcBorders>
              <w:top w:val="nil"/>
              <w:left w:val="nil"/>
              <w:bottom w:val="single" w:sz="4" w:space="0" w:color="auto"/>
              <w:right w:val="nil"/>
            </w:tcBorders>
            <w:shd w:val="clear" w:color="auto" w:fill="auto"/>
            <w:vAlign w:val="bottom"/>
            <w:hideMark/>
          </w:tcPr>
          <w:p w:rsidR="00CE44B6" w:rsidRPr="00AB3561" w:rsidRDefault="00CE44B6" w:rsidP="00CE44B6">
            <w:pPr>
              <w:keepNext/>
              <w:keepLines/>
              <w:tabs>
                <w:tab w:val="clear" w:pos="567"/>
              </w:tabs>
              <w:spacing w:after="0" w:line="240" w:lineRule="auto"/>
              <w:jc w:val="right"/>
              <w:rPr>
                <w:rFonts w:ascii="Calibri" w:eastAsia="Times New Roman" w:hAnsi="Calibri" w:cs="Times New Roman"/>
                <w:sz w:val="20"/>
                <w:szCs w:val="20"/>
                <w:lang w:eastAsia="en-AU"/>
              </w:rPr>
            </w:pPr>
            <w:r w:rsidRPr="00AB3561">
              <w:rPr>
                <w:rFonts w:ascii="Calibri" w:eastAsia="Times New Roman" w:hAnsi="Calibri" w:cs="Times New Roman"/>
                <w:sz w:val="20"/>
                <w:szCs w:val="20"/>
                <w:lang w:eastAsia="en-AU"/>
              </w:rPr>
              <w:t>32</w:t>
            </w:r>
          </w:p>
        </w:tc>
      </w:tr>
    </w:tbl>
    <w:p w:rsidR="00CE44B6" w:rsidRDefault="00CE44B6" w:rsidP="00CE44B6">
      <w:pPr>
        <w:pStyle w:val="CGCTableFootnote"/>
      </w:pPr>
      <w:r>
        <w:t>Note:</w:t>
      </w:r>
      <w:r>
        <w:tab/>
        <w:t>All loadings reflect additional costs relative to the benchmark (lowest cost) student — a non</w:t>
      </w:r>
      <w:r>
        <w:noBreakHyphen/>
        <w:t>Indigenous student, attending a major city school in a least disadvantaged S</w:t>
      </w:r>
      <w:r w:rsidR="00F2269C">
        <w:t xml:space="preserve">ocio-economic status </w:t>
      </w:r>
      <w:r>
        <w:t>area.</w:t>
      </w:r>
    </w:p>
    <w:p w:rsidR="00CE44B6" w:rsidRPr="00983EE9" w:rsidRDefault="00CE44B6" w:rsidP="00CE44B6">
      <w:pPr>
        <w:pStyle w:val="CGCTableFootnote"/>
      </w:pPr>
      <w:r>
        <w:tab/>
        <w:t>All Students are allocated to one of the ten mutually exclusive categories of Indigeneity/socio</w:t>
      </w:r>
      <w:r>
        <w:noBreakHyphen/>
        <w:t xml:space="preserve">economic status, and one of the </w:t>
      </w:r>
      <w:r w:rsidR="00C1401F">
        <w:t>five</w:t>
      </w:r>
      <w:r>
        <w:t xml:space="preserve"> mutually exclusive remoteness areas.</w:t>
      </w:r>
    </w:p>
    <w:p w:rsidR="00CE44B6" w:rsidRDefault="00CE44B6" w:rsidP="00CE44B6">
      <w:pPr>
        <w:pStyle w:val="CGCTableFootnote"/>
      </w:pPr>
      <w:r>
        <w:t>Source:</w:t>
      </w:r>
      <w:r>
        <w:tab/>
        <w:t>Commission calculation using 2012 ACARA financial, staff and student data.</w:t>
      </w:r>
    </w:p>
    <w:p w:rsidR="00CE44B6" w:rsidRDefault="00CE44B6" w:rsidP="00CE44B6">
      <w:pPr>
        <w:pStyle w:val="Heading4"/>
      </w:pPr>
      <w:bookmarkStart w:id="25" w:name="_Toc396300324"/>
      <w:r>
        <w:t>Regional costs</w:t>
      </w:r>
      <w:bookmarkEnd w:id="25"/>
    </w:p>
    <w:p w:rsidR="00CE44B6" w:rsidRDefault="00CE44B6" w:rsidP="00CE44B6">
      <w:pPr>
        <w:pStyle w:val="CGCNumberedPara"/>
        <w:numPr>
          <w:ilvl w:val="1"/>
          <w:numId w:val="12"/>
        </w:numPr>
      </w:pPr>
      <w:r>
        <w:t xml:space="preserve">As discussed above, the new regression has produced higher relative costs in remote areas than the regression used in the </w:t>
      </w:r>
      <w:r w:rsidR="00BE6532">
        <w:t>Draft Report</w:t>
      </w:r>
      <w:r>
        <w:t xml:space="preserve">. This flows through to other categories in the regional costs assessment. </w:t>
      </w:r>
    </w:p>
    <w:p w:rsidR="00CE44B6" w:rsidRDefault="00CE44B6" w:rsidP="00CE44B6">
      <w:pPr>
        <w:pStyle w:val="Heading4"/>
      </w:pPr>
      <w:bookmarkStart w:id="26" w:name="_Toc396300325"/>
      <w:r>
        <w:t>Service delivery scale</w:t>
      </w:r>
      <w:bookmarkEnd w:id="26"/>
    </w:p>
    <w:p w:rsidR="00CE44B6" w:rsidRDefault="00CE44B6" w:rsidP="00CE44B6">
      <w:pPr>
        <w:pStyle w:val="CGCNumberedPara"/>
        <w:numPr>
          <w:ilvl w:val="1"/>
          <w:numId w:val="12"/>
        </w:numPr>
      </w:pPr>
      <w:r>
        <w:t xml:space="preserve">The approach to SDS has changed since the </w:t>
      </w:r>
      <w:r w:rsidR="00BE6532">
        <w:t>Draft Report</w:t>
      </w:r>
      <w:r>
        <w:t>. However, this change has very little GST impact.</w:t>
      </w:r>
    </w:p>
    <w:p w:rsidR="00CE44B6" w:rsidRPr="00C21EF9" w:rsidRDefault="00686D48" w:rsidP="00CE44B6">
      <w:pPr>
        <w:pStyle w:val="CGCNumberedPara"/>
        <w:numPr>
          <w:ilvl w:val="1"/>
          <w:numId w:val="12"/>
        </w:numPr>
      </w:pPr>
      <w:r>
        <w:lastRenderedPageBreak/>
        <w:t>In the draft report</w:t>
      </w:r>
      <w:r w:rsidR="00512CE3">
        <w:t>, the Commission</w:t>
      </w:r>
      <w:r>
        <w:t xml:space="preserve"> assumed that schools had no fixed costs, but allowed for higher costs in small isolated areas. </w:t>
      </w:r>
      <w:r w:rsidR="00CE44B6">
        <w:t xml:space="preserve">Following advice from the econometric consultancy, </w:t>
      </w:r>
      <w:r w:rsidR="00512CE3">
        <w:t>staff</w:t>
      </w:r>
      <w:r w:rsidR="00CE44B6">
        <w:t xml:space="preserve"> intend to </w:t>
      </w:r>
      <w:r>
        <w:t xml:space="preserve">allow the data to determine the </w:t>
      </w:r>
      <w:r w:rsidR="00CE44B6">
        <w:t xml:space="preserve">fixed cost per school. </w:t>
      </w:r>
    </w:p>
    <w:p w:rsidR="00CE44B6" w:rsidRDefault="00CE44B6" w:rsidP="00CE44B6">
      <w:pPr>
        <w:pStyle w:val="CGCNumberedPara"/>
        <w:numPr>
          <w:ilvl w:val="1"/>
          <w:numId w:val="12"/>
        </w:numPr>
      </w:pPr>
      <w:r>
        <w:t>The regression found that the fixed cost per school is $187</w:t>
      </w:r>
      <w:r w:rsidR="00C1401F">
        <w:t xml:space="preserve"> </w:t>
      </w:r>
      <w:r>
        <w:t xml:space="preserve">000. Given that in SDS areas, the average school size is 122 students, while in non-SDS areas </w:t>
      </w:r>
      <w:r w:rsidR="00C1401F">
        <w:t xml:space="preserve">it is 398, the fixed cost is $1 </w:t>
      </w:r>
      <w:r>
        <w:t xml:space="preserve">000 more per student in SDS areas than non-SDS areas. </w:t>
      </w:r>
    </w:p>
    <w:p w:rsidR="00CE44B6" w:rsidRDefault="00CE44B6" w:rsidP="00CE44B6">
      <w:pPr>
        <w:pStyle w:val="CGCNumberedPara"/>
        <w:numPr>
          <w:ilvl w:val="1"/>
          <w:numId w:val="12"/>
        </w:numPr>
      </w:pPr>
      <w:r>
        <w:t>This represents an SDS weight of 10%, approximately the same weight calculated when including SDS as a variable in the regression model.</w:t>
      </w:r>
    </w:p>
    <w:p w:rsidR="00CE44B6" w:rsidRDefault="00CE44B6" w:rsidP="00CE44B6">
      <w:pPr>
        <w:pStyle w:val="CGCNumberedPara"/>
        <w:numPr>
          <w:ilvl w:val="1"/>
          <w:numId w:val="12"/>
        </w:numPr>
      </w:pPr>
      <w:r>
        <w:t>This method allows for a more reliable regression model as fixed school costs are not incorporated in the results of other variables.</w:t>
      </w:r>
    </w:p>
    <w:p w:rsidR="00CE44B6" w:rsidRDefault="00CE44B6" w:rsidP="00CE44B6">
      <w:pPr>
        <w:pStyle w:val="CGCNumberedPara"/>
        <w:numPr>
          <w:ilvl w:val="1"/>
          <w:numId w:val="12"/>
        </w:numPr>
      </w:pPr>
      <w:r>
        <w:t>The ACARA regression based SDS weight is only applied in the Schools education assessment.</w:t>
      </w:r>
    </w:p>
    <w:p w:rsidR="00CE44B6" w:rsidRDefault="00CE44B6" w:rsidP="00CE44B6">
      <w:pPr>
        <w:pStyle w:val="Heading4"/>
      </w:pPr>
      <w:bookmarkStart w:id="27" w:name="_Toc395685888"/>
      <w:bookmarkStart w:id="28" w:name="_Toc395686211"/>
      <w:bookmarkStart w:id="29" w:name="_Toc396230985"/>
      <w:bookmarkStart w:id="30" w:name="_Toc396300326"/>
      <w:r>
        <w:t>Recommendation</w:t>
      </w:r>
      <w:bookmarkEnd w:id="27"/>
      <w:bookmarkEnd w:id="28"/>
      <w:bookmarkEnd w:id="29"/>
      <w:bookmarkEnd w:id="30"/>
    </w:p>
    <w:tbl>
      <w:tblPr>
        <w:tblStyle w:val="TableGrid"/>
        <w:tblW w:w="0" w:type="auto"/>
        <w:tblLook w:val="04A0" w:firstRow="1" w:lastRow="0" w:firstColumn="1" w:lastColumn="0" w:noHBand="0" w:noVBand="1"/>
      </w:tblPr>
      <w:tblGrid>
        <w:gridCol w:w="9167"/>
      </w:tblGrid>
      <w:tr w:rsidR="00CE44B6" w:rsidTr="00C119CB">
        <w:tc>
          <w:tcPr>
            <w:tcW w:w="9167" w:type="dxa"/>
            <w:tcBorders>
              <w:top w:val="nil"/>
              <w:left w:val="nil"/>
              <w:bottom w:val="nil"/>
              <w:right w:val="nil"/>
            </w:tcBorders>
            <w:shd w:val="clear" w:color="auto" w:fill="D9F3E6"/>
          </w:tcPr>
          <w:p w:rsidR="00CE44B6" w:rsidRPr="007D30CE" w:rsidRDefault="00C9618C" w:rsidP="00CE44B6">
            <w:pPr>
              <w:pStyle w:val="CGCTableHeading"/>
              <w:rPr>
                <w:b w:val="0"/>
              </w:rPr>
            </w:pPr>
            <w:r w:rsidRPr="007D30CE">
              <w:rPr>
                <w:b w:val="0"/>
              </w:rPr>
              <w:t>Staff intend to recommend the C</w:t>
            </w:r>
            <w:r w:rsidR="00CE44B6" w:rsidRPr="007D30CE">
              <w:rPr>
                <w:b w:val="0"/>
              </w:rPr>
              <w:t>ommission:</w:t>
            </w:r>
          </w:p>
          <w:p w:rsidR="00CE44B6" w:rsidRPr="005D6298" w:rsidRDefault="00C9618C" w:rsidP="00C9618C">
            <w:pPr>
              <w:pStyle w:val="CGCBulletlist"/>
              <w:numPr>
                <w:ilvl w:val="0"/>
                <w:numId w:val="11"/>
              </w:numPr>
              <w:tabs>
                <w:tab w:val="clear" w:pos="927"/>
              </w:tabs>
              <w:ind w:left="1134" w:hanging="567"/>
            </w:pPr>
            <w:r>
              <w:t>u</w:t>
            </w:r>
            <w:r w:rsidR="00CE44B6">
              <w:t xml:space="preserve">pdate the econometric model used in the schools regression to include changes specified </w:t>
            </w:r>
            <w:r>
              <w:t>above</w:t>
            </w:r>
            <w:r w:rsidR="00CE44B6">
              <w:t>.</w:t>
            </w:r>
          </w:p>
        </w:tc>
      </w:tr>
    </w:tbl>
    <w:p w:rsidR="00C119CB" w:rsidRDefault="00C119CB" w:rsidP="00C119CB">
      <w:pPr>
        <w:pStyle w:val="Heading3"/>
      </w:pPr>
      <w:bookmarkStart w:id="31" w:name="_Toc396300327"/>
      <w:r>
        <w:t>Post-secondary education user charges</w:t>
      </w:r>
      <w:bookmarkEnd w:id="31"/>
    </w:p>
    <w:p w:rsidR="00EA09EC" w:rsidRDefault="00C119CB" w:rsidP="00EA09EC">
      <w:pPr>
        <w:pStyle w:val="CGCNumberedPara"/>
        <w:numPr>
          <w:ilvl w:val="1"/>
          <w:numId w:val="12"/>
        </w:numPr>
      </w:pPr>
      <w:r>
        <w:fldChar w:fldCharType="begin"/>
      </w:r>
      <w:r>
        <w:instrText xml:space="preserve"> REF _Ref395463710 \h </w:instrText>
      </w:r>
      <w:r>
        <w:fldChar w:fldCharType="separate"/>
      </w:r>
      <w:r w:rsidR="0040671D">
        <w:t xml:space="preserve">Table </w:t>
      </w:r>
      <w:r w:rsidR="0040671D">
        <w:rPr>
          <w:noProof/>
        </w:rPr>
        <w:t>2</w:t>
      </w:r>
      <w:r>
        <w:fldChar w:fldCharType="end"/>
      </w:r>
      <w:r>
        <w:t xml:space="preserve"> provides a breakdown on post-secondary education revenue reported by the National Centre for Vocational Education Research (NCVER). The GFS concept of user charges excludes ‘other revenue’, as well as a few other minor adjustments. </w:t>
      </w:r>
    </w:p>
    <w:p w:rsidR="00EA09EC" w:rsidRDefault="00EA09EC" w:rsidP="00EA09EC">
      <w:pPr>
        <w:pStyle w:val="CGCNumberedPara"/>
        <w:numPr>
          <w:ilvl w:val="1"/>
          <w:numId w:val="12"/>
        </w:numPr>
      </w:pPr>
      <w:r w:rsidRPr="007B1F6E">
        <w:rPr>
          <w:rStyle w:val="Heading6Char"/>
        </w:rPr>
        <w:t xml:space="preserve">Fee-for-service revenue. </w:t>
      </w:r>
      <w:r>
        <w:t>There is a strong conceptual case for netting fee-for-service revenue off post</w:t>
      </w:r>
      <w:r>
        <w:noBreakHyphen/>
        <w:t>secondary education expenses.</w:t>
      </w:r>
    </w:p>
    <w:p w:rsidR="00EA09EC" w:rsidRDefault="00EA09EC" w:rsidP="00EA09EC">
      <w:pPr>
        <w:pStyle w:val="CGCBulletlist"/>
        <w:numPr>
          <w:ilvl w:val="0"/>
          <w:numId w:val="11"/>
        </w:numPr>
        <w:tabs>
          <w:tab w:val="clear" w:pos="927"/>
          <w:tab w:val="left" w:pos="1134"/>
        </w:tabs>
        <w:ind w:left="1134" w:hanging="567"/>
      </w:pPr>
      <w:r>
        <w:t>It largely meets State spending on non-subsidised training hours which are provided on a commercial basis. Therefore State provision of commercial VET services has no impact on State fiscal capacities.</w:t>
      </w:r>
    </w:p>
    <w:p w:rsidR="00EA09EC" w:rsidRDefault="00EA09EC" w:rsidP="00EA09EC">
      <w:pPr>
        <w:pStyle w:val="CGCBulletlist"/>
        <w:numPr>
          <w:ilvl w:val="0"/>
          <w:numId w:val="11"/>
        </w:numPr>
        <w:tabs>
          <w:tab w:val="clear" w:pos="927"/>
          <w:tab w:val="left" w:pos="1134"/>
        </w:tabs>
        <w:ind w:left="1134" w:hanging="567"/>
      </w:pPr>
      <w:r>
        <w:t xml:space="preserve">The socio-demographic pattern of hours used in the assessment does not include students enrolled in fee-for-service courses. Therefore netting off fee-for-service revenue means that our usage patterns and expenditure are comparable. </w:t>
      </w:r>
    </w:p>
    <w:p w:rsidR="00EA09EC" w:rsidRDefault="00EA09EC" w:rsidP="00EA09EC">
      <w:pPr>
        <w:pStyle w:val="CGCNumberedPara"/>
        <w:numPr>
          <w:ilvl w:val="1"/>
          <w:numId w:val="12"/>
        </w:numPr>
      </w:pPr>
      <w:r>
        <w:rPr>
          <w:rStyle w:val="Heading6Char"/>
        </w:rPr>
        <w:t>Non-Fee-for-service revenue</w:t>
      </w:r>
      <w:r>
        <w:t xml:space="preserve">. We consider assessing this revenue on the basis of assessed hours is the most reliable and simple approach. It is not materially different to an assessment of non-remote, non-Indigenous and high SES students: those most </w:t>
      </w:r>
      <w:r>
        <w:lastRenderedPageBreak/>
        <w:t>likely to pay fees. It is more appropriate than the approach in the draft report, of assessing this revenue EPC in the Other revenue category.</w:t>
      </w:r>
    </w:p>
    <w:p w:rsidR="00EA09EC" w:rsidRDefault="00EA09EC" w:rsidP="00EA09EC">
      <w:pPr>
        <w:pStyle w:val="CGCNumberedPara"/>
        <w:numPr>
          <w:ilvl w:val="1"/>
          <w:numId w:val="12"/>
        </w:numPr>
      </w:pPr>
      <w:r>
        <w:t>We recommend giving effect to this by netting off the revenue from the expenses. This means that we would net off both the fee-for-service revenue, and the non-fee for service revenue.</w:t>
      </w:r>
    </w:p>
    <w:p w:rsidR="00C119CB" w:rsidRDefault="00C119CB" w:rsidP="00C119CB">
      <w:pPr>
        <w:pStyle w:val="Caption"/>
      </w:pPr>
      <w:bookmarkStart w:id="32" w:name="_Ref395463710"/>
      <w:r>
        <w:t xml:space="preserve">Table </w:t>
      </w:r>
      <w:fldSimple w:instr=" SEQ Table \* ARABIC ">
        <w:r w:rsidR="0040671D">
          <w:rPr>
            <w:noProof/>
          </w:rPr>
          <w:t>2</w:t>
        </w:r>
      </w:fldSimple>
      <w:bookmarkEnd w:id="32"/>
      <w:r>
        <w:tab/>
        <w:t>State VET revenue, 2012</w:t>
      </w:r>
    </w:p>
    <w:tbl>
      <w:tblPr>
        <w:tblW w:w="9020" w:type="dxa"/>
        <w:tblLayout w:type="fixed"/>
        <w:tblCellMar>
          <w:left w:w="0" w:type="dxa"/>
          <w:right w:w="0" w:type="dxa"/>
        </w:tblCellMar>
        <w:tblLook w:val="04A0" w:firstRow="1" w:lastRow="0" w:firstColumn="1" w:lastColumn="0" w:noHBand="0" w:noVBand="1"/>
      </w:tblPr>
      <w:tblGrid>
        <w:gridCol w:w="3140"/>
        <w:gridCol w:w="700"/>
        <w:gridCol w:w="700"/>
        <w:gridCol w:w="700"/>
        <w:gridCol w:w="700"/>
        <w:gridCol w:w="580"/>
        <w:gridCol w:w="700"/>
        <w:gridCol w:w="580"/>
        <w:gridCol w:w="520"/>
        <w:gridCol w:w="700"/>
      </w:tblGrid>
      <w:tr w:rsidR="00C119CB" w:rsidRPr="009F677F" w:rsidTr="007D30CE">
        <w:trPr>
          <w:trHeight w:val="379"/>
        </w:trPr>
        <w:tc>
          <w:tcPr>
            <w:tcW w:w="3140" w:type="dxa"/>
            <w:tcBorders>
              <w:top w:val="single" w:sz="4" w:space="0" w:color="auto"/>
              <w:left w:val="nil"/>
              <w:bottom w:val="single" w:sz="4" w:space="0" w:color="auto"/>
              <w:right w:val="nil"/>
            </w:tcBorders>
            <w:shd w:val="clear" w:color="auto" w:fill="auto"/>
            <w:noWrap/>
            <w:vAlign w:val="center"/>
            <w:hideMark/>
          </w:tcPr>
          <w:p w:rsidR="00C119CB" w:rsidRPr="009F677F" w:rsidRDefault="00C119CB" w:rsidP="007D30CE">
            <w:pPr>
              <w:keepNext/>
              <w:keepLines/>
              <w:tabs>
                <w:tab w:val="clear" w:pos="567"/>
              </w:tabs>
              <w:spacing w:after="0" w:line="240" w:lineRule="auto"/>
              <w:ind w:left="193" w:hanging="142"/>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w:t>
            </w:r>
          </w:p>
        </w:tc>
        <w:tc>
          <w:tcPr>
            <w:tcW w:w="700" w:type="dxa"/>
            <w:tcBorders>
              <w:top w:val="single" w:sz="4" w:space="0" w:color="auto"/>
              <w:left w:val="nil"/>
              <w:bottom w:val="single" w:sz="4" w:space="0" w:color="auto"/>
              <w:right w:val="nil"/>
            </w:tcBorders>
            <w:shd w:val="clear" w:color="auto" w:fill="auto"/>
            <w:noWrap/>
            <w:vAlign w:val="center"/>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NSW</w:t>
            </w:r>
          </w:p>
        </w:tc>
        <w:tc>
          <w:tcPr>
            <w:tcW w:w="700" w:type="dxa"/>
            <w:tcBorders>
              <w:top w:val="single" w:sz="4" w:space="0" w:color="auto"/>
              <w:left w:val="nil"/>
              <w:bottom w:val="single" w:sz="4" w:space="0" w:color="auto"/>
              <w:right w:val="nil"/>
            </w:tcBorders>
            <w:shd w:val="clear" w:color="auto" w:fill="auto"/>
            <w:noWrap/>
            <w:vAlign w:val="center"/>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Vic</w:t>
            </w:r>
          </w:p>
        </w:tc>
        <w:tc>
          <w:tcPr>
            <w:tcW w:w="700" w:type="dxa"/>
            <w:tcBorders>
              <w:top w:val="single" w:sz="4" w:space="0" w:color="auto"/>
              <w:left w:val="nil"/>
              <w:bottom w:val="single" w:sz="4" w:space="0" w:color="auto"/>
              <w:right w:val="nil"/>
            </w:tcBorders>
            <w:shd w:val="clear" w:color="auto" w:fill="auto"/>
            <w:noWrap/>
            <w:vAlign w:val="center"/>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Qld</w:t>
            </w:r>
          </w:p>
        </w:tc>
        <w:tc>
          <w:tcPr>
            <w:tcW w:w="700" w:type="dxa"/>
            <w:tcBorders>
              <w:top w:val="single" w:sz="4" w:space="0" w:color="auto"/>
              <w:left w:val="nil"/>
              <w:bottom w:val="single" w:sz="4" w:space="0" w:color="auto"/>
              <w:right w:val="nil"/>
            </w:tcBorders>
            <w:shd w:val="clear" w:color="auto" w:fill="auto"/>
            <w:noWrap/>
            <w:vAlign w:val="center"/>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WA</w:t>
            </w:r>
          </w:p>
        </w:tc>
        <w:tc>
          <w:tcPr>
            <w:tcW w:w="580" w:type="dxa"/>
            <w:tcBorders>
              <w:top w:val="single" w:sz="4" w:space="0" w:color="auto"/>
              <w:left w:val="nil"/>
              <w:bottom w:val="single" w:sz="4" w:space="0" w:color="auto"/>
              <w:right w:val="nil"/>
            </w:tcBorders>
            <w:shd w:val="clear" w:color="auto" w:fill="auto"/>
            <w:noWrap/>
            <w:vAlign w:val="center"/>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SA</w:t>
            </w:r>
          </w:p>
        </w:tc>
        <w:tc>
          <w:tcPr>
            <w:tcW w:w="700" w:type="dxa"/>
            <w:tcBorders>
              <w:top w:val="single" w:sz="4" w:space="0" w:color="auto"/>
              <w:left w:val="nil"/>
              <w:bottom w:val="single" w:sz="4" w:space="0" w:color="auto"/>
              <w:right w:val="nil"/>
            </w:tcBorders>
            <w:shd w:val="clear" w:color="auto" w:fill="auto"/>
            <w:noWrap/>
            <w:vAlign w:val="center"/>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Tas</w:t>
            </w:r>
          </w:p>
        </w:tc>
        <w:tc>
          <w:tcPr>
            <w:tcW w:w="580" w:type="dxa"/>
            <w:tcBorders>
              <w:top w:val="single" w:sz="4" w:space="0" w:color="auto"/>
              <w:left w:val="nil"/>
              <w:bottom w:val="single" w:sz="4" w:space="0" w:color="auto"/>
              <w:right w:val="nil"/>
            </w:tcBorders>
            <w:shd w:val="clear" w:color="auto" w:fill="auto"/>
            <w:noWrap/>
            <w:vAlign w:val="center"/>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ACT</w:t>
            </w:r>
          </w:p>
        </w:tc>
        <w:tc>
          <w:tcPr>
            <w:tcW w:w="520" w:type="dxa"/>
            <w:tcBorders>
              <w:top w:val="single" w:sz="4" w:space="0" w:color="auto"/>
              <w:left w:val="nil"/>
              <w:bottom w:val="single" w:sz="4" w:space="0" w:color="auto"/>
              <w:right w:val="nil"/>
            </w:tcBorders>
            <w:shd w:val="clear" w:color="auto" w:fill="auto"/>
            <w:noWrap/>
            <w:vAlign w:val="center"/>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NT</w:t>
            </w:r>
          </w:p>
        </w:tc>
        <w:tc>
          <w:tcPr>
            <w:tcW w:w="700" w:type="dxa"/>
            <w:tcBorders>
              <w:top w:val="single" w:sz="4" w:space="0" w:color="auto"/>
              <w:left w:val="nil"/>
              <w:bottom w:val="single" w:sz="4" w:space="0" w:color="auto"/>
              <w:right w:val="nil"/>
            </w:tcBorders>
            <w:shd w:val="clear" w:color="auto" w:fill="auto"/>
            <w:noWrap/>
            <w:vAlign w:val="center"/>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Total</w:t>
            </w:r>
          </w:p>
        </w:tc>
      </w:tr>
      <w:tr w:rsidR="00C119CB" w:rsidRPr="009F677F" w:rsidTr="007D30CE">
        <w:trPr>
          <w:trHeight w:val="259"/>
        </w:trPr>
        <w:tc>
          <w:tcPr>
            <w:tcW w:w="314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ind w:left="193" w:hanging="142"/>
              <w:jc w:val="right"/>
              <w:rPr>
                <w:rFonts w:ascii="Calibri" w:eastAsia="Times New Roman" w:hAnsi="Calibri" w:cs="Times New Roman"/>
                <w:sz w:val="20"/>
                <w:szCs w:val="20"/>
                <w:lang w:eastAsia="en-AU"/>
              </w:rPr>
            </w:pP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$m</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$m</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$m</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$m</w:t>
            </w: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$m</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$m</w:t>
            </w: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$m</w:t>
            </w:r>
          </w:p>
        </w:tc>
        <w:tc>
          <w:tcPr>
            <w:tcW w:w="52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$m</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$m</w:t>
            </w:r>
          </w:p>
        </w:tc>
      </w:tr>
      <w:tr w:rsidR="00C119CB" w:rsidRPr="009F677F" w:rsidTr="007D30CE">
        <w:trPr>
          <w:trHeight w:val="315"/>
        </w:trPr>
        <w:tc>
          <w:tcPr>
            <w:tcW w:w="314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ind w:left="193" w:hanging="142"/>
              <w:rPr>
                <w:rFonts w:ascii="Calibri" w:eastAsia="Times New Roman" w:hAnsi="Calibri" w:cs="Times New Roman"/>
                <w:sz w:val="20"/>
                <w:szCs w:val="20"/>
                <w:lang w:eastAsia="en-AU"/>
              </w:rPr>
            </w:pPr>
            <w:r>
              <w:rPr>
                <w:rFonts w:ascii="Calibri" w:eastAsia="Times New Roman" w:hAnsi="Calibri" w:cs="Times New Roman"/>
                <w:sz w:val="20"/>
                <w:szCs w:val="20"/>
                <w:lang w:eastAsia="en-AU"/>
              </w:rPr>
              <w:t>Fee-for-service income</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p>
        </w:tc>
        <w:tc>
          <w:tcPr>
            <w:tcW w:w="52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p>
        </w:tc>
      </w:tr>
      <w:tr w:rsidR="00C119CB" w:rsidRPr="009F677F" w:rsidTr="007D30CE">
        <w:trPr>
          <w:trHeight w:val="315"/>
        </w:trPr>
        <w:tc>
          <w:tcPr>
            <w:tcW w:w="314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ind w:left="193" w:firstLineChars="100" w:firstLine="200"/>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Government agencies</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10</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208</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35</w:t>
            </w: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33</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4</w:t>
            </w: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12</w:t>
            </w:r>
          </w:p>
        </w:tc>
        <w:tc>
          <w:tcPr>
            <w:tcW w:w="52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305</w:t>
            </w:r>
          </w:p>
        </w:tc>
      </w:tr>
      <w:tr w:rsidR="00C119CB" w:rsidRPr="009F677F" w:rsidTr="007D30CE">
        <w:trPr>
          <w:trHeight w:val="315"/>
        </w:trPr>
        <w:tc>
          <w:tcPr>
            <w:tcW w:w="314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ind w:left="193" w:firstLineChars="100" w:firstLine="200"/>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Other</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222</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155</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44</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27</w:t>
            </w: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17</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6</w:t>
            </w: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19</w:t>
            </w:r>
          </w:p>
        </w:tc>
        <w:tc>
          <w:tcPr>
            <w:tcW w:w="52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493</w:t>
            </w:r>
          </w:p>
        </w:tc>
      </w:tr>
      <w:tr w:rsidR="00C119CB" w:rsidRPr="009F677F" w:rsidTr="007D30CE">
        <w:trPr>
          <w:trHeight w:val="315"/>
        </w:trPr>
        <w:tc>
          <w:tcPr>
            <w:tcW w:w="314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ind w:left="193" w:firstLineChars="100" w:firstLine="200"/>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Overseas students fees</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35</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110</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23</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35</w:t>
            </w: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8</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4</w:t>
            </w: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7</w:t>
            </w:r>
          </w:p>
        </w:tc>
        <w:tc>
          <w:tcPr>
            <w:tcW w:w="52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224</w:t>
            </w:r>
          </w:p>
        </w:tc>
      </w:tr>
      <w:tr w:rsidR="00C119CB" w:rsidRPr="009F677F" w:rsidTr="007D30CE">
        <w:trPr>
          <w:trHeight w:val="315"/>
        </w:trPr>
        <w:tc>
          <w:tcPr>
            <w:tcW w:w="314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ind w:left="193" w:firstLineChars="100" w:firstLine="200"/>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Contracted overseas training</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5</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66</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45</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58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58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52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117</w:t>
            </w:r>
          </w:p>
        </w:tc>
      </w:tr>
      <w:tr w:rsidR="00C119CB" w:rsidRPr="009F677F" w:rsidTr="007D30CE">
        <w:trPr>
          <w:trHeight w:val="315"/>
        </w:trPr>
        <w:tc>
          <w:tcPr>
            <w:tcW w:w="314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ind w:left="193" w:firstLineChars="100" w:firstLine="200"/>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Adult and community education</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5</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58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58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w:t>
            </w:r>
          </w:p>
        </w:tc>
        <w:tc>
          <w:tcPr>
            <w:tcW w:w="52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7</w:t>
            </w:r>
          </w:p>
        </w:tc>
      </w:tr>
      <w:tr w:rsidR="00C119CB" w:rsidRPr="009F677F" w:rsidTr="007D30CE">
        <w:trPr>
          <w:trHeight w:val="315"/>
        </w:trPr>
        <w:tc>
          <w:tcPr>
            <w:tcW w:w="314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Total fee-for-service </w:t>
            </w:r>
            <w:r>
              <w:rPr>
                <w:rFonts w:ascii="Calibri" w:eastAsia="Times New Roman" w:hAnsi="Calibri" w:cs="Times New Roman"/>
                <w:sz w:val="20"/>
                <w:szCs w:val="20"/>
                <w:lang w:eastAsia="en-AU"/>
              </w:rPr>
              <w:t>income</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273</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545</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115</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98</w:t>
            </w:r>
          </w:p>
        </w:tc>
        <w:tc>
          <w:tcPr>
            <w:tcW w:w="58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59</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14</w:t>
            </w:r>
          </w:p>
        </w:tc>
        <w:tc>
          <w:tcPr>
            <w:tcW w:w="58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38</w:t>
            </w:r>
          </w:p>
        </w:tc>
        <w:tc>
          <w:tcPr>
            <w:tcW w:w="52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5</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1 146</w:t>
            </w:r>
          </w:p>
        </w:tc>
      </w:tr>
      <w:tr w:rsidR="00C119CB" w:rsidRPr="009F677F" w:rsidTr="007D30CE">
        <w:trPr>
          <w:trHeight w:val="315"/>
        </w:trPr>
        <w:tc>
          <w:tcPr>
            <w:tcW w:w="314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Ancillary trading</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18</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34</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14</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5</w:t>
            </w: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6</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1</w:t>
            </w:r>
          </w:p>
        </w:tc>
        <w:tc>
          <w:tcPr>
            <w:tcW w:w="58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52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0</w:t>
            </w:r>
          </w:p>
        </w:tc>
        <w:tc>
          <w:tcPr>
            <w:tcW w:w="700" w:type="dxa"/>
            <w:tcBorders>
              <w:top w:val="nil"/>
              <w:left w:val="nil"/>
              <w:bottom w:val="nil"/>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78</w:t>
            </w:r>
          </w:p>
        </w:tc>
      </w:tr>
      <w:tr w:rsidR="00C119CB" w:rsidRPr="009F677F" w:rsidTr="007D30CE">
        <w:trPr>
          <w:trHeight w:val="315"/>
        </w:trPr>
        <w:tc>
          <w:tcPr>
            <w:tcW w:w="314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Student fees and charges</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79</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107</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82</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48</w:t>
            </w:r>
          </w:p>
        </w:tc>
        <w:tc>
          <w:tcPr>
            <w:tcW w:w="58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24</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5</w:t>
            </w:r>
          </w:p>
        </w:tc>
        <w:tc>
          <w:tcPr>
            <w:tcW w:w="58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9</w:t>
            </w:r>
          </w:p>
        </w:tc>
        <w:tc>
          <w:tcPr>
            <w:tcW w:w="52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4</w:t>
            </w:r>
          </w:p>
        </w:tc>
        <w:tc>
          <w:tcPr>
            <w:tcW w:w="70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357</w:t>
            </w:r>
          </w:p>
        </w:tc>
      </w:tr>
      <w:tr w:rsidR="00C119CB" w:rsidRPr="009F677F" w:rsidTr="007D30CE">
        <w:trPr>
          <w:trHeight w:val="315"/>
        </w:trPr>
        <w:tc>
          <w:tcPr>
            <w:tcW w:w="3140" w:type="dxa"/>
            <w:tcBorders>
              <w:top w:val="nil"/>
              <w:left w:val="nil"/>
              <w:bottom w:val="nil"/>
              <w:right w:val="nil"/>
            </w:tcBorders>
            <w:shd w:val="clear" w:color="auto" w:fill="auto"/>
            <w:vAlign w:val="bottom"/>
            <w:hideMark/>
          </w:tcPr>
          <w:p w:rsidR="00C119CB" w:rsidRPr="009F677F" w:rsidRDefault="00C119CB" w:rsidP="007D30CE">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Other revenue</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31</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59</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26</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30</w:t>
            </w:r>
          </w:p>
        </w:tc>
        <w:tc>
          <w:tcPr>
            <w:tcW w:w="58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11</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3</w:t>
            </w:r>
          </w:p>
        </w:tc>
        <w:tc>
          <w:tcPr>
            <w:tcW w:w="58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w:t>
            </w:r>
          </w:p>
        </w:tc>
        <w:tc>
          <w:tcPr>
            <w:tcW w:w="52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12</w:t>
            </w:r>
          </w:p>
        </w:tc>
        <w:tc>
          <w:tcPr>
            <w:tcW w:w="70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175</w:t>
            </w:r>
          </w:p>
        </w:tc>
      </w:tr>
      <w:tr w:rsidR="00C119CB" w:rsidRPr="009F677F" w:rsidTr="007D30CE">
        <w:trPr>
          <w:trHeight w:val="315"/>
        </w:trPr>
        <w:tc>
          <w:tcPr>
            <w:tcW w:w="3140" w:type="dxa"/>
            <w:tcBorders>
              <w:top w:val="nil"/>
              <w:left w:val="nil"/>
              <w:bottom w:val="single" w:sz="4" w:space="0" w:color="auto"/>
              <w:right w:val="nil"/>
            </w:tcBorders>
            <w:shd w:val="clear" w:color="auto" w:fill="auto"/>
            <w:vAlign w:val="bottom"/>
            <w:hideMark/>
          </w:tcPr>
          <w:p w:rsidR="00C119CB" w:rsidRPr="009F677F" w:rsidRDefault="00C119CB" w:rsidP="007D30CE">
            <w:pPr>
              <w:keepNext/>
              <w:keepLines/>
              <w:tabs>
                <w:tab w:val="clear" w:pos="567"/>
              </w:tabs>
              <w:spacing w:after="0" w:line="240" w:lineRule="auto"/>
              <w:ind w:left="193" w:hanging="142"/>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Total revenue</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401</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745</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237</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181</w:t>
            </w:r>
          </w:p>
        </w:tc>
        <w:tc>
          <w:tcPr>
            <w:tcW w:w="58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100</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23</w:t>
            </w:r>
          </w:p>
        </w:tc>
        <w:tc>
          <w:tcPr>
            <w:tcW w:w="58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48</w:t>
            </w:r>
          </w:p>
        </w:tc>
        <w:tc>
          <w:tcPr>
            <w:tcW w:w="52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21</w:t>
            </w:r>
          </w:p>
        </w:tc>
        <w:tc>
          <w:tcPr>
            <w:tcW w:w="700" w:type="dxa"/>
            <w:tcBorders>
              <w:top w:val="nil"/>
              <w:left w:val="nil"/>
              <w:bottom w:val="single" w:sz="4" w:space="0" w:color="auto"/>
              <w:right w:val="nil"/>
            </w:tcBorders>
            <w:shd w:val="clear" w:color="auto" w:fill="auto"/>
            <w:noWrap/>
            <w:vAlign w:val="bottom"/>
            <w:hideMark/>
          </w:tcPr>
          <w:p w:rsidR="00C119CB" w:rsidRPr="009F677F" w:rsidRDefault="00C119CB" w:rsidP="007D30CE">
            <w:pPr>
              <w:keepNext/>
              <w:keepLines/>
              <w:tabs>
                <w:tab w:val="clear" w:pos="567"/>
              </w:tabs>
              <w:spacing w:after="0" w:line="240" w:lineRule="auto"/>
              <w:jc w:val="right"/>
              <w:rPr>
                <w:rFonts w:ascii="Calibri" w:eastAsia="Times New Roman" w:hAnsi="Calibri" w:cs="Times New Roman"/>
                <w:sz w:val="20"/>
                <w:szCs w:val="20"/>
                <w:lang w:eastAsia="en-AU"/>
              </w:rPr>
            </w:pPr>
            <w:r w:rsidRPr="009F677F">
              <w:rPr>
                <w:rFonts w:ascii="Calibri" w:eastAsia="Times New Roman" w:hAnsi="Calibri" w:cs="Times New Roman"/>
                <w:sz w:val="20"/>
                <w:szCs w:val="20"/>
                <w:lang w:eastAsia="en-AU"/>
              </w:rPr>
              <w:t xml:space="preserve"> 1 757</w:t>
            </w:r>
          </w:p>
        </w:tc>
      </w:tr>
    </w:tbl>
    <w:p w:rsidR="00C119CB" w:rsidRDefault="00C119CB" w:rsidP="00C119CB">
      <w:pPr>
        <w:pStyle w:val="CGCTableFootnote"/>
      </w:pPr>
      <w:r>
        <w:t>Source:</w:t>
      </w:r>
      <w:r>
        <w:tab/>
        <w:t>NCVER financial data, 2012</w:t>
      </w:r>
    </w:p>
    <w:p w:rsidR="00C119CB" w:rsidRPr="003D620C" w:rsidRDefault="00C119CB" w:rsidP="003D620C">
      <w:pPr>
        <w:pStyle w:val="Heading4"/>
      </w:pPr>
      <w:bookmarkStart w:id="33" w:name="_Toc395685890"/>
      <w:bookmarkStart w:id="34" w:name="_Toc395686213"/>
      <w:bookmarkStart w:id="35" w:name="_Toc396230987"/>
      <w:bookmarkStart w:id="36" w:name="_Toc396300328"/>
      <w:r w:rsidRPr="003D620C">
        <w:rPr>
          <w:rStyle w:val="Heading6Char"/>
          <w:b/>
          <w:i w:val="0"/>
          <w:iCs/>
          <w:sz w:val="32"/>
        </w:rPr>
        <w:t>Recommendation</w:t>
      </w:r>
      <w:bookmarkEnd w:id="33"/>
      <w:bookmarkEnd w:id="34"/>
      <w:bookmarkEnd w:id="35"/>
      <w:bookmarkEnd w:id="36"/>
    </w:p>
    <w:tbl>
      <w:tblPr>
        <w:tblStyle w:val="TableGrid"/>
        <w:tblW w:w="5121" w:type="pct"/>
        <w:tblLayout w:type="fixed"/>
        <w:tblLook w:val="04A0" w:firstRow="1" w:lastRow="0" w:firstColumn="1" w:lastColumn="0" w:noHBand="0" w:noVBand="1"/>
      </w:tblPr>
      <w:tblGrid>
        <w:gridCol w:w="9389"/>
      </w:tblGrid>
      <w:tr w:rsidR="00C119CB" w:rsidTr="00A367FB">
        <w:tc>
          <w:tcPr>
            <w:tcW w:w="9389" w:type="dxa"/>
            <w:tcBorders>
              <w:top w:val="nil"/>
              <w:left w:val="nil"/>
              <w:bottom w:val="nil"/>
              <w:right w:val="nil"/>
            </w:tcBorders>
            <w:shd w:val="clear" w:color="auto" w:fill="D9F3E6"/>
          </w:tcPr>
          <w:p w:rsidR="00C119CB" w:rsidRDefault="00C119CB" w:rsidP="007D30CE">
            <w:pPr>
              <w:pStyle w:val="Single"/>
            </w:pPr>
            <w:r>
              <w:t xml:space="preserve">Staff propose to recommend the </w:t>
            </w:r>
            <w:r w:rsidR="007D30CE">
              <w:t>C</w:t>
            </w:r>
            <w:r>
              <w:t>ommission:</w:t>
            </w:r>
          </w:p>
          <w:p w:rsidR="00C119CB" w:rsidRPr="007B1F6E" w:rsidRDefault="007D30CE" w:rsidP="007D30CE">
            <w:pPr>
              <w:pStyle w:val="CGCBulletlist"/>
              <w:numPr>
                <w:ilvl w:val="0"/>
                <w:numId w:val="11"/>
              </w:numPr>
              <w:tabs>
                <w:tab w:val="clear" w:pos="927"/>
                <w:tab w:val="left" w:pos="1134"/>
              </w:tabs>
              <w:ind w:left="1134" w:hanging="567"/>
            </w:pPr>
            <w:r>
              <w:t>n</w:t>
            </w:r>
            <w:r w:rsidR="00C119CB">
              <w:t xml:space="preserve">et </w:t>
            </w:r>
            <w:r w:rsidR="007733BA">
              <w:t xml:space="preserve">all </w:t>
            </w:r>
            <w:r w:rsidR="00C119CB">
              <w:t xml:space="preserve">post-secondary education user charges off the post-secondary education expenses rather than assessing them in </w:t>
            </w:r>
            <w:r w:rsidR="00C1401F">
              <w:t>O</w:t>
            </w:r>
            <w:r w:rsidR="00C119CB">
              <w:t>ther revenue.</w:t>
            </w:r>
          </w:p>
        </w:tc>
      </w:tr>
    </w:tbl>
    <w:p w:rsidR="00A367FB" w:rsidRDefault="00A367FB" w:rsidP="00A367FB">
      <w:pPr>
        <w:pStyle w:val="Heading3"/>
      </w:pPr>
      <w:bookmarkStart w:id="37" w:name="_Toc396300329"/>
      <w:bookmarkStart w:id="38" w:name="_Toc395104229"/>
      <w:r>
        <w:t>Low socio-economic status disability for other general welfare services</w:t>
      </w:r>
      <w:bookmarkEnd w:id="37"/>
    </w:p>
    <w:p w:rsidR="00A367FB" w:rsidRDefault="00A367FB" w:rsidP="00A367FB">
      <w:pPr>
        <w:pStyle w:val="CGCNumberedPara"/>
        <w:numPr>
          <w:ilvl w:val="1"/>
          <w:numId w:val="12"/>
        </w:numPr>
      </w:pPr>
      <w:r>
        <w:t xml:space="preserve">In the 2015 Review Draft Report, the Commission indicated its intention to assess other general welfare services using the relative proportion of people in the bottom quintile of the ABS’s </w:t>
      </w:r>
      <w:r w:rsidRPr="000E2AEF">
        <w:t xml:space="preserve">Socio-Economic Index for Individuals </w:t>
      </w:r>
      <w:r>
        <w:t xml:space="preserve">(SEIFI) based on 2011 Census data. Because of the different range of services included in this component (homeless person’s assistance, care of refugees, women’s shelters and referral services), the Commission selected  a broad indicator of disadvantage to capture State populations which might access these services. As a placeholder in the Draft Report, </w:t>
      </w:r>
      <w:r w:rsidR="00512CE3">
        <w:t>the Commission</w:t>
      </w:r>
      <w:r>
        <w:t xml:space="preserve"> used 2006 Census</w:t>
      </w:r>
      <w:r>
        <w:noBreakHyphen/>
      </w:r>
      <w:r w:rsidRPr="00201224">
        <w:t xml:space="preserve">based </w:t>
      </w:r>
      <w:r>
        <w:t xml:space="preserve">SEIFI </w:t>
      </w:r>
      <w:r w:rsidRPr="00201224">
        <w:t xml:space="preserve">numbers </w:t>
      </w:r>
      <w:r>
        <w:t>in deriving the illustrated assessed expenses. (Estimated average spending for this component in 2012-13 was about $24 per capita.)</w:t>
      </w:r>
    </w:p>
    <w:p w:rsidR="00A367FB" w:rsidRDefault="00A367FB" w:rsidP="00A367FB">
      <w:pPr>
        <w:pStyle w:val="CGCNumberedPara"/>
        <w:numPr>
          <w:ilvl w:val="1"/>
          <w:numId w:val="12"/>
        </w:numPr>
      </w:pPr>
      <w:r>
        <w:lastRenderedPageBreak/>
        <w:t>Staff have now learned that the ABS is</w:t>
      </w:r>
      <w:r w:rsidRPr="00201224">
        <w:t xml:space="preserve"> not intending to update the SEIFI </w:t>
      </w:r>
      <w:r>
        <w:t>using</w:t>
      </w:r>
      <w:r w:rsidRPr="00201224">
        <w:t xml:space="preserve"> the 2011 Census</w:t>
      </w:r>
      <w:r>
        <w:t xml:space="preserve"> data. The ABS has also advised there is </w:t>
      </w:r>
      <w:r w:rsidRPr="00201224">
        <w:t>no plan to release a family level index (SEIFF)</w:t>
      </w:r>
      <w:r>
        <w:t>. H</w:t>
      </w:r>
      <w:r w:rsidRPr="00201224">
        <w:t>owever</w:t>
      </w:r>
      <w:r>
        <w:t>,</w:t>
      </w:r>
      <w:r w:rsidRPr="00201224">
        <w:t xml:space="preserve"> </w:t>
      </w:r>
      <w:r>
        <w:t>it</w:t>
      </w:r>
      <w:r w:rsidRPr="00201224">
        <w:t xml:space="preserve"> has constructed an experimental household level index</w:t>
      </w:r>
      <w:r>
        <w:t xml:space="preserve"> but this is unlikely to be available in time for the 2015 Review. The Commission could consider its use if it becomes available in a future update.</w:t>
      </w:r>
    </w:p>
    <w:p w:rsidR="00A367FB" w:rsidRDefault="00A367FB" w:rsidP="00355B72">
      <w:pPr>
        <w:pStyle w:val="CGCNumberedPara"/>
        <w:numPr>
          <w:ilvl w:val="1"/>
          <w:numId w:val="12"/>
        </w:numPr>
      </w:pPr>
      <w:r>
        <w:t xml:space="preserve">Therefore, the Commission needs to explore alternative measures of low socio-economic status for at least the 2015 Review. </w:t>
      </w:r>
    </w:p>
    <w:p w:rsidR="00352103" w:rsidRPr="00EA09EC" w:rsidRDefault="00352103" w:rsidP="00EA09EC">
      <w:pPr>
        <w:pStyle w:val="CGCNumberedPara"/>
        <w:numPr>
          <w:ilvl w:val="1"/>
          <w:numId w:val="12"/>
        </w:numPr>
      </w:pPr>
      <w:r w:rsidRPr="00EA09EC">
        <w:t>Staff do not con</w:t>
      </w:r>
      <w:r w:rsidR="00355B72" w:rsidRPr="00EA09EC">
        <w:t>sider the IRSEO/NISEIFA a good indicator</w:t>
      </w:r>
      <w:r w:rsidRPr="00EA09EC">
        <w:t xml:space="preserve">. While it is an appropriate </w:t>
      </w:r>
      <w:r w:rsidR="00355B72" w:rsidRPr="00EA09EC">
        <w:t>way</w:t>
      </w:r>
      <w:r w:rsidRPr="00EA09EC">
        <w:t xml:space="preserve"> to link user characteristics with service use, it is not a good measure of general relative disadvantage. To do so would ignore the fact that some disadvantaged people live in non-disadvantaged areas.</w:t>
      </w:r>
    </w:p>
    <w:p w:rsidR="00352103" w:rsidRPr="00EA09EC" w:rsidRDefault="00352103" w:rsidP="00EA09EC">
      <w:pPr>
        <w:pStyle w:val="CGCNumberedPara"/>
        <w:numPr>
          <w:ilvl w:val="1"/>
          <w:numId w:val="12"/>
        </w:numPr>
      </w:pPr>
      <w:r w:rsidRPr="00EA09EC">
        <w:fldChar w:fldCharType="begin"/>
      </w:r>
      <w:r w:rsidRPr="00EA09EC">
        <w:instrText xml:space="preserve"> REF _Ref386637744 \h </w:instrText>
      </w:r>
      <w:r w:rsidR="00D61666" w:rsidRPr="00EA09EC">
        <w:instrText xml:space="preserve"> \* MERGEFORMAT </w:instrText>
      </w:r>
      <w:r w:rsidRPr="00EA09EC">
        <w:fldChar w:fldCharType="separate"/>
      </w:r>
      <w:r w:rsidR="0040671D">
        <w:t xml:space="preserve">Table </w:t>
      </w:r>
      <w:r w:rsidR="0040671D">
        <w:rPr>
          <w:noProof/>
        </w:rPr>
        <w:t>3</w:t>
      </w:r>
      <w:r w:rsidRPr="00EA09EC">
        <w:fldChar w:fldCharType="end"/>
      </w:r>
      <w:r w:rsidRPr="00EA09EC">
        <w:t xml:space="preserve"> shows the relative proportions of State populations represented by possible </w:t>
      </w:r>
      <w:r w:rsidR="00355B72" w:rsidRPr="00EA09EC">
        <w:t xml:space="preserve">broad </w:t>
      </w:r>
      <w:r w:rsidRPr="00EA09EC">
        <w:t>indicators</w:t>
      </w:r>
      <w:r w:rsidR="00355B72" w:rsidRPr="00EA09EC">
        <w:t xml:space="preserve"> of disadvantage relevant to potential users of these services</w:t>
      </w:r>
      <w:r w:rsidRPr="00EA09EC">
        <w:t>.</w:t>
      </w:r>
    </w:p>
    <w:p w:rsidR="00A367FB" w:rsidRDefault="00A367FB" w:rsidP="00EA09EC">
      <w:pPr>
        <w:pStyle w:val="CGCTableHeading"/>
      </w:pPr>
      <w:bookmarkStart w:id="39" w:name="_Ref386637744"/>
      <w:r>
        <w:t xml:space="preserve">Table </w:t>
      </w:r>
      <w:fldSimple w:instr=" SEQ Table \* ARABIC ">
        <w:r w:rsidR="0040671D">
          <w:rPr>
            <w:noProof/>
          </w:rPr>
          <w:t>3</w:t>
        </w:r>
      </w:fldSimple>
      <w:bookmarkEnd w:id="39"/>
      <w:r>
        <w:tab/>
        <w:t xml:space="preserve">Relative State proportions of populations </w:t>
      </w:r>
    </w:p>
    <w:tbl>
      <w:tblPr>
        <w:tblW w:w="9061" w:type="dxa"/>
        <w:tblInd w:w="93" w:type="dxa"/>
        <w:tblLook w:val="04A0" w:firstRow="1" w:lastRow="0" w:firstColumn="1" w:lastColumn="0" w:noHBand="0" w:noVBand="1"/>
      </w:tblPr>
      <w:tblGrid>
        <w:gridCol w:w="2080"/>
        <w:gridCol w:w="780"/>
        <w:gridCol w:w="760"/>
        <w:gridCol w:w="760"/>
        <w:gridCol w:w="760"/>
        <w:gridCol w:w="760"/>
        <w:gridCol w:w="760"/>
        <w:gridCol w:w="760"/>
        <w:gridCol w:w="760"/>
        <w:gridCol w:w="881"/>
      </w:tblGrid>
      <w:tr w:rsidR="00A367FB" w:rsidRPr="0030797C" w:rsidTr="00A367FB">
        <w:trPr>
          <w:trHeight w:val="379"/>
        </w:trPr>
        <w:tc>
          <w:tcPr>
            <w:tcW w:w="2080" w:type="dxa"/>
            <w:tcBorders>
              <w:top w:val="single" w:sz="4" w:space="0" w:color="auto"/>
              <w:left w:val="nil"/>
              <w:bottom w:val="single" w:sz="4" w:space="0" w:color="auto"/>
              <w:right w:val="nil"/>
            </w:tcBorders>
            <w:shd w:val="clear" w:color="auto" w:fill="auto"/>
            <w:noWrap/>
            <w:vAlign w:val="center"/>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bookmarkStart w:id="40" w:name="RANGE!A29:J31"/>
            <w:r w:rsidRPr="0030797C">
              <w:rPr>
                <w:rFonts w:ascii="Calibri" w:eastAsia="Times New Roman" w:hAnsi="Calibri" w:cs="Times New Roman"/>
                <w:sz w:val="20"/>
                <w:szCs w:val="20"/>
                <w:lang w:eastAsia="en-AU"/>
              </w:rPr>
              <w:t> </w:t>
            </w:r>
            <w:bookmarkEnd w:id="40"/>
          </w:p>
        </w:tc>
        <w:tc>
          <w:tcPr>
            <w:tcW w:w="780" w:type="dxa"/>
            <w:tcBorders>
              <w:top w:val="single" w:sz="4" w:space="0" w:color="auto"/>
              <w:left w:val="nil"/>
              <w:bottom w:val="single" w:sz="4" w:space="0" w:color="auto"/>
              <w:right w:val="nil"/>
            </w:tcBorders>
            <w:shd w:val="clear" w:color="auto" w:fill="auto"/>
            <w:noWrap/>
            <w:vAlign w:val="center"/>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NSW</w:t>
            </w:r>
          </w:p>
        </w:tc>
        <w:tc>
          <w:tcPr>
            <w:tcW w:w="760" w:type="dxa"/>
            <w:tcBorders>
              <w:top w:val="single" w:sz="4" w:space="0" w:color="auto"/>
              <w:left w:val="nil"/>
              <w:bottom w:val="single" w:sz="4" w:space="0" w:color="auto"/>
              <w:right w:val="nil"/>
            </w:tcBorders>
            <w:shd w:val="clear" w:color="auto" w:fill="auto"/>
            <w:noWrap/>
            <w:vAlign w:val="center"/>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Vic</w:t>
            </w:r>
          </w:p>
        </w:tc>
        <w:tc>
          <w:tcPr>
            <w:tcW w:w="760" w:type="dxa"/>
            <w:tcBorders>
              <w:top w:val="single" w:sz="4" w:space="0" w:color="auto"/>
              <w:left w:val="nil"/>
              <w:bottom w:val="single" w:sz="4" w:space="0" w:color="auto"/>
              <w:right w:val="nil"/>
            </w:tcBorders>
            <w:shd w:val="clear" w:color="auto" w:fill="auto"/>
            <w:noWrap/>
            <w:vAlign w:val="center"/>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Qld</w:t>
            </w:r>
          </w:p>
        </w:tc>
        <w:tc>
          <w:tcPr>
            <w:tcW w:w="760" w:type="dxa"/>
            <w:tcBorders>
              <w:top w:val="single" w:sz="4" w:space="0" w:color="auto"/>
              <w:left w:val="nil"/>
              <w:bottom w:val="single" w:sz="4" w:space="0" w:color="auto"/>
              <w:right w:val="nil"/>
            </w:tcBorders>
            <w:shd w:val="clear" w:color="auto" w:fill="auto"/>
            <w:noWrap/>
            <w:vAlign w:val="center"/>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WA</w:t>
            </w:r>
          </w:p>
        </w:tc>
        <w:tc>
          <w:tcPr>
            <w:tcW w:w="760" w:type="dxa"/>
            <w:tcBorders>
              <w:top w:val="single" w:sz="4" w:space="0" w:color="auto"/>
              <w:left w:val="nil"/>
              <w:bottom w:val="single" w:sz="4" w:space="0" w:color="auto"/>
              <w:right w:val="nil"/>
            </w:tcBorders>
            <w:shd w:val="clear" w:color="auto" w:fill="auto"/>
            <w:noWrap/>
            <w:vAlign w:val="center"/>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SA</w:t>
            </w:r>
          </w:p>
        </w:tc>
        <w:tc>
          <w:tcPr>
            <w:tcW w:w="760" w:type="dxa"/>
            <w:tcBorders>
              <w:top w:val="single" w:sz="4" w:space="0" w:color="auto"/>
              <w:left w:val="nil"/>
              <w:bottom w:val="single" w:sz="4" w:space="0" w:color="auto"/>
              <w:right w:val="nil"/>
            </w:tcBorders>
            <w:shd w:val="clear" w:color="auto" w:fill="auto"/>
            <w:noWrap/>
            <w:vAlign w:val="center"/>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Tas</w:t>
            </w:r>
          </w:p>
        </w:tc>
        <w:tc>
          <w:tcPr>
            <w:tcW w:w="760" w:type="dxa"/>
            <w:tcBorders>
              <w:top w:val="single" w:sz="4" w:space="0" w:color="auto"/>
              <w:left w:val="nil"/>
              <w:bottom w:val="single" w:sz="4" w:space="0" w:color="auto"/>
              <w:right w:val="nil"/>
            </w:tcBorders>
            <w:shd w:val="clear" w:color="auto" w:fill="auto"/>
            <w:noWrap/>
            <w:vAlign w:val="center"/>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ACT</w:t>
            </w:r>
          </w:p>
        </w:tc>
        <w:tc>
          <w:tcPr>
            <w:tcW w:w="760" w:type="dxa"/>
            <w:tcBorders>
              <w:top w:val="single" w:sz="4" w:space="0" w:color="auto"/>
              <w:left w:val="nil"/>
              <w:bottom w:val="single" w:sz="4" w:space="0" w:color="auto"/>
              <w:right w:val="nil"/>
            </w:tcBorders>
            <w:shd w:val="clear" w:color="auto" w:fill="auto"/>
            <w:noWrap/>
            <w:vAlign w:val="center"/>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NT</w:t>
            </w:r>
          </w:p>
        </w:tc>
        <w:tc>
          <w:tcPr>
            <w:tcW w:w="881" w:type="dxa"/>
            <w:tcBorders>
              <w:top w:val="single" w:sz="4" w:space="0" w:color="auto"/>
              <w:left w:val="nil"/>
              <w:bottom w:val="single" w:sz="4" w:space="0" w:color="auto"/>
              <w:right w:val="nil"/>
            </w:tcBorders>
            <w:shd w:val="clear" w:color="auto" w:fill="auto"/>
            <w:noWrap/>
            <w:vAlign w:val="center"/>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Average</w:t>
            </w:r>
          </w:p>
        </w:tc>
      </w:tr>
      <w:tr w:rsidR="00A367FB" w:rsidRPr="0030797C" w:rsidTr="00A367FB">
        <w:trPr>
          <w:trHeight w:val="259"/>
        </w:trPr>
        <w:tc>
          <w:tcPr>
            <w:tcW w:w="208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p>
        </w:tc>
        <w:tc>
          <w:tcPr>
            <w:tcW w:w="78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c>
          <w:tcPr>
            <w:tcW w:w="881"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w:t>
            </w:r>
          </w:p>
        </w:tc>
      </w:tr>
      <w:tr w:rsidR="00A367FB" w:rsidRPr="0030797C" w:rsidTr="00A367FB">
        <w:trPr>
          <w:trHeight w:val="315"/>
        </w:trPr>
        <w:tc>
          <w:tcPr>
            <w:tcW w:w="208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rPr>
                <w:rFonts w:ascii="Calibri" w:eastAsia="Times New Roman" w:hAnsi="Calibri" w:cs="Times New Roman"/>
                <w:sz w:val="20"/>
                <w:szCs w:val="20"/>
                <w:lang w:eastAsia="en-AU"/>
              </w:rPr>
            </w:pPr>
            <w:r>
              <w:rPr>
                <w:rFonts w:ascii="Calibri" w:eastAsia="Times New Roman" w:hAnsi="Calibri" w:cs="Times New Roman"/>
                <w:sz w:val="20"/>
                <w:szCs w:val="20"/>
                <w:lang w:eastAsia="en-AU"/>
              </w:rPr>
              <w:t>SEIFI (2006)</w:t>
            </w:r>
          </w:p>
        </w:tc>
        <w:tc>
          <w:tcPr>
            <w:tcW w:w="78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96</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91</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99</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88</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116</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137</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63</w:t>
            </w:r>
          </w:p>
        </w:tc>
        <w:tc>
          <w:tcPr>
            <w:tcW w:w="760"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156</w:t>
            </w:r>
          </w:p>
        </w:tc>
        <w:tc>
          <w:tcPr>
            <w:tcW w:w="881" w:type="dxa"/>
            <w:tcBorders>
              <w:top w:val="nil"/>
              <w:left w:val="nil"/>
              <w:bottom w:val="nil"/>
              <w:right w:val="nil"/>
            </w:tcBorders>
            <w:shd w:val="clear" w:color="auto" w:fill="auto"/>
            <w:noWrap/>
            <w:vAlign w:val="bottom"/>
            <w:hideMark/>
          </w:tcPr>
          <w:p w:rsidR="00A367FB" w:rsidRPr="0030797C"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30797C">
              <w:rPr>
                <w:rFonts w:ascii="Calibri" w:eastAsia="Times New Roman" w:hAnsi="Calibri" w:cs="Times New Roman"/>
                <w:sz w:val="20"/>
                <w:szCs w:val="20"/>
                <w:lang w:eastAsia="en-AU"/>
              </w:rPr>
              <w:t>100</w:t>
            </w:r>
          </w:p>
        </w:tc>
      </w:tr>
      <w:tr w:rsidR="00A367FB" w:rsidRPr="0030797C" w:rsidTr="00A367FB">
        <w:trPr>
          <w:trHeight w:val="315"/>
        </w:trPr>
        <w:tc>
          <w:tcPr>
            <w:tcW w:w="2080" w:type="dxa"/>
            <w:tcBorders>
              <w:top w:val="nil"/>
              <w:left w:val="nil"/>
              <w:bottom w:val="nil"/>
              <w:right w:val="nil"/>
            </w:tcBorders>
            <w:shd w:val="clear" w:color="auto" w:fill="auto"/>
            <w:noWrap/>
            <w:vAlign w:val="bottom"/>
          </w:tcPr>
          <w:p w:rsidR="00A367FB" w:rsidRDefault="00A367FB" w:rsidP="00EA09EC">
            <w:pPr>
              <w:keepNext/>
              <w:tabs>
                <w:tab w:val="clear" w:pos="567"/>
              </w:tabs>
              <w:spacing w:after="0" w:line="240" w:lineRule="auto"/>
              <w:rPr>
                <w:rFonts w:ascii="Calibri" w:eastAsia="Times New Roman" w:hAnsi="Calibri" w:cs="Times New Roman"/>
                <w:sz w:val="20"/>
                <w:szCs w:val="20"/>
                <w:lang w:eastAsia="en-AU"/>
              </w:rPr>
            </w:pPr>
            <w:r>
              <w:rPr>
                <w:rFonts w:ascii="Calibri" w:eastAsia="Times New Roman" w:hAnsi="Calibri" w:cs="Times New Roman"/>
                <w:sz w:val="20"/>
                <w:szCs w:val="20"/>
                <w:lang w:eastAsia="en-AU"/>
              </w:rPr>
              <w:t>Household equivalised income (2011)(a)</w:t>
            </w:r>
          </w:p>
        </w:tc>
        <w:tc>
          <w:tcPr>
            <w:tcW w:w="780" w:type="dxa"/>
            <w:tcBorders>
              <w:top w:val="nil"/>
              <w:left w:val="nil"/>
              <w:bottom w:val="nil"/>
              <w:right w:val="nil"/>
            </w:tcBorders>
            <w:shd w:val="clear" w:color="auto" w:fill="auto"/>
            <w:noWrap/>
            <w:vAlign w:val="bottom"/>
          </w:tcPr>
          <w:p w:rsidR="00A367FB" w:rsidRPr="00B70B46"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B70B46">
              <w:rPr>
                <w:rFonts w:ascii="Calibri" w:eastAsia="Times New Roman" w:hAnsi="Calibri" w:cs="Times New Roman"/>
                <w:sz w:val="20"/>
                <w:szCs w:val="20"/>
                <w:lang w:eastAsia="en-AU"/>
              </w:rPr>
              <w:t>104</w:t>
            </w:r>
          </w:p>
        </w:tc>
        <w:tc>
          <w:tcPr>
            <w:tcW w:w="760" w:type="dxa"/>
            <w:tcBorders>
              <w:top w:val="nil"/>
              <w:left w:val="nil"/>
              <w:bottom w:val="nil"/>
              <w:right w:val="nil"/>
            </w:tcBorders>
            <w:shd w:val="clear" w:color="auto" w:fill="auto"/>
            <w:noWrap/>
            <w:vAlign w:val="bottom"/>
          </w:tcPr>
          <w:p w:rsidR="00A367FB" w:rsidRPr="00B70B46"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B70B46">
              <w:rPr>
                <w:rFonts w:ascii="Calibri" w:eastAsia="Times New Roman" w:hAnsi="Calibri" w:cs="Times New Roman"/>
                <w:sz w:val="20"/>
                <w:szCs w:val="20"/>
                <w:lang w:eastAsia="en-AU"/>
              </w:rPr>
              <w:t>100</w:t>
            </w:r>
          </w:p>
        </w:tc>
        <w:tc>
          <w:tcPr>
            <w:tcW w:w="760" w:type="dxa"/>
            <w:tcBorders>
              <w:top w:val="nil"/>
              <w:left w:val="nil"/>
              <w:bottom w:val="nil"/>
              <w:right w:val="nil"/>
            </w:tcBorders>
            <w:shd w:val="clear" w:color="auto" w:fill="auto"/>
            <w:noWrap/>
            <w:vAlign w:val="bottom"/>
          </w:tcPr>
          <w:p w:rsidR="00A367FB" w:rsidRPr="00B70B46"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B70B46">
              <w:rPr>
                <w:rFonts w:ascii="Calibri" w:eastAsia="Times New Roman" w:hAnsi="Calibri" w:cs="Times New Roman"/>
                <w:sz w:val="20"/>
                <w:szCs w:val="20"/>
                <w:lang w:eastAsia="en-AU"/>
              </w:rPr>
              <w:t>96</w:t>
            </w:r>
          </w:p>
        </w:tc>
        <w:tc>
          <w:tcPr>
            <w:tcW w:w="760" w:type="dxa"/>
            <w:tcBorders>
              <w:top w:val="nil"/>
              <w:left w:val="nil"/>
              <w:bottom w:val="nil"/>
              <w:right w:val="nil"/>
            </w:tcBorders>
            <w:shd w:val="clear" w:color="auto" w:fill="auto"/>
            <w:noWrap/>
            <w:vAlign w:val="bottom"/>
          </w:tcPr>
          <w:p w:rsidR="00A367FB" w:rsidRPr="00B70B46"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B70B46">
              <w:rPr>
                <w:rFonts w:ascii="Calibri" w:eastAsia="Times New Roman" w:hAnsi="Calibri" w:cs="Times New Roman"/>
                <w:sz w:val="20"/>
                <w:szCs w:val="20"/>
                <w:lang w:eastAsia="en-AU"/>
              </w:rPr>
              <w:t>85</w:t>
            </w:r>
          </w:p>
        </w:tc>
        <w:tc>
          <w:tcPr>
            <w:tcW w:w="760" w:type="dxa"/>
            <w:tcBorders>
              <w:top w:val="nil"/>
              <w:left w:val="nil"/>
              <w:bottom w:val="nil"/>
              <w:right w:val="nil"/>
            </w:tcBorders>
            <w:shd w:val="clear" w:color="auto" w:fill="auto"/>
            <w:noWrap/>
            <w:vAlign w:val="bottom"/>
          </w:tcPr>
          <w:p w:rsidR="00A367FB" w:rsidRPr="00B70B46"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B70B46">
              <w:rPr>
                <w:rFonts w:ascii="Calibri" w:eastAsia="Times New Roman" w:hAnsi="Calibri" w:cs="Times New Roman"/>
                <w:sz w:val="20"/>
                <w:szCs w:val="20"/>
                <w:lang w:eastAsia="en-AU"/>
              </w:rPr>
              <w:t>116</w:t>
            </w:r>
          </w:p>
        </w:tc>
        <w:tc>
          <w:tcPr>
            <w:tcW w:w="760" w:type="dxa"/>
            <w:tcBorders>
              <w:top w:val="nil"/>
              <w:left w:val="nil"/>
              <w:bottom w:val="nil"/>
              <w:right w:val="nil"/>
            </w:tcBorders>
            <w:shd w:val="clear" w:color="auto" w:fill="auto"/>
            <w:noWrap/>
            <w:vAlign w:val="bottom"/>
          </w:tcPr>
          <w:p w:rsidR="00A367FB" w:rsidRPr="00B70B46"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B70B46">
              <w:rPr>
                <w:rFonts w:ascii="Calibri" w:eastAsia="Times New Roman" w:hAnsi="Calibri" w:cs="Times New Roman"/>
                <w:sz w:val="20"/>
                <w:szCs w:val="20"/>
                <w:lang w:eastAsia="en-AU"/>
              </w:rPr>
              <w:t>130</w:t>
            </w:r>
          </w:p>
        </w:tc>
        <w:tc>
          <w:tcPr>
            <w:tcW w:w="760" w:type="dxa"/>
            <w:tcBorders>
              <w:top w:val="nil"/>
              <w:left w:val="nil"/>
              <w:bottom w:val="nil"/>
              <w:right w:val="nil"/>
            </w:tcBorders>
            <w:shd w:val="clear" w:color="auto" w:fill="auto"/>
            <w:noWrap/>
            <w:vAlign w:val="bottom"/>
          </w:tcPr>
          <w:p w:rsidR="00A367FB" w:rsidRPr="00B70B46"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B70B46">
              <w:rPr>
                <w:rFonts w:ascii="Calibri" w:eastAsia="Times New Roman" w:hAnsi="Calibri" w:cs="Times New Roman"/>
                <w:sz w:val="20"/>
                <w:szCs w:val="20"/>
                <w:lang w:eastAsia="en-AU"/>
              </w:rPr>
              <w:t>50</w:t>
            </w:r>
          </w:p>
        </w:tc>
        <w:tc>
          <w:tcPr>
            <w:tcW w:w="760" w:type="dxa"/>
            <w:tcBorders>
              <w:top w:val="nil"/>
              <w:left w:val="nil"/>
              <w:bottom w:val="nil"/>
              <w:right w:val="nil"/>
            </w:tcBorders>
            <w:shd w:val="clear" w:color="auto" w:fill="auto"/>
            <w:noWrap/>
            <w:vAlign w:val="bottom"/>
          </w:tcPr>
          <w:p w:rsidR="00A367FB" w:rsidRPr="00B70B46"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B70B46">
              <w:rPr>
                <w:rFonts w:ascii="Calibri" w:eastAsia="Times New Roman" w:hAnsi="Calibri" w:cs="Times New Roman"/>
                <w:sz w:val="20"/>
                <w:szCs w:val="20"/>
                <w:lang w:eastAsia="en-AU"/>
              </w:rPr>
              <w:t>75</w:t>
            </w:r>
          </w:p>
        </w:tc>
        <w:tc>
          <w:tcPr>
            <w:tcW w:w="881" w:type="dxa"/>
            <w:tcBorders>
              <w:top w:val="nil"/>
              <w:left w:val="nil"/>
              <w:bottom w:val="nil"/>
              <w:right w:val="nil"/>
            </w:tcBorders>
            <w:shd w:val="clear" w:color="auto" w:fill="auto"/>
            <w:noWrap/>
            <w:vAlign w:val="bottom"/>
          </w:tcPr>
          <w:p w:rsidR="00A367FB" w:rsidRPr="00B70B46"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B70B46">
              <w:rPr>
                <w:rFonts w:ascii="Calibri" w:eastAsia="Times New Roman" w:hAnsi="Calibri" w:cs="Times New Roman"/>
                <w:sz w:val="20"/>
                <w:szCs w:val="20"/>
                <w:lang w:eastAsia="en-AU"/>
              </w:rPr>
              <w:t>100</w:t>
            </w:r>
          </w:p>
        </w:tc>
      </w:tr>
      <w:tr w:rsidR="00A367FB" w:rsidRPr="0030797C" w:rsidTr="00A367FB">
        <w:trPr>
          <w:trHeight w:val="315"/>
        </w:trPr>
        <w:tc>
          <w:tcPr>
            <w:tcW w:w="2080" w:type="dxa"/>
            <w:tcBorders>
              <w:top w:val="nil"/>
              <w:left w:val="nil"/>
              <w:right w:val="nil"/>
            </w:tcBorders>
            <w:shd w:val="clear" w:color="auto" w:fill="auto"/>
            <w:noWrap/>
            <w:vAlign w:val="bottom"/>
          </w:tcPr>
          <w:p w:rsidR="00A367FB" w:rsidRDefault="00A367FB" w:rsidP="00EA09EC">
            <w:pPr>
              <w:keepNext/>
              <w:tabs>
                <w:tab w:val="clear" w:pos="567"/>
              </w:tabs>
              <w:spacing w:after="0" w:line="240" w:lineRule="auto"/>
              <w:rPr>
                <w:rFonts w:ascii="Calibri" w:eastAsia="Times New Roman" w:hAnsi="Calibri" w:cs="Times New Roman"/>
                <w:sz w:val="20"/>
                <w:szCs w:val="20"/>
                <w:lang w:eastAsia="en-AU"/>
              </w:rPr>
            </w:pPr>
            <w:r>
              <w:rPr>
                <w:rFonts w:ascii="Calibri" w:eastAsia="Times New Roman" w:hAnsi="Calibri" w:cs="Times New Roman"/>
                <w:sz w:val="20"/>
                <w:szCs w:val="20"/>
                <w:lang w:eastAsia="en-AU"/>
              </w:rPr>
              <w:t>Homelessness, excl. ‘severely’ crowded dwellings</w:t>
            </w:r>
          </w:p>
        </w:tc>
        <w:tc>
          <w:tcPr>
            <w:tcW w:w="780" w:type="dxa"/>
            <w:tcBorders>
              <w:top w:val="nil"/>
              <w:left w:val="nil"/>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90</w:t>
            </w:r>
          </w:p>
        </w:tc>
        <w:tc>
          <w:tcPr>
            <w:tcW w:w="760" w:type="dxa"/>
            <w:tcBorders>
              <w:top w:val="nil"/>
              <w:left w:val="nil"/>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106</w:t>
            </w:r>
          </w:p>
        </w:tc>
        <w:tc>
          <w:tcPr>
            <w:tcW w:w="760" w:type="dxa"/>
            <w:tcBorders>
              <w:top w:val="nil"/>
              <w:left w:val="nil"/>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106</w:t>
            </w:r>
          </w:p>
        </w:tc>
        <w:tc>
          <w:tcPr>
            <w:tcW w:w="760" w:type="dxa"/>
            <w:tcBorders>
              <w:top w:val="nil"/>
              <w:left w:val="nil"/>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82</w:t>
            </w:r>
          </w:p>
        </w:tc>
        <w:tc>
          <w:tcPr>
            <w:tcW w:w="760" w:type="dxa"/>
            <w:tcBorders>
              <w:top w:val="nil"/>
              <w:left w:val="nil"/>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90</w:t>
            </w:r>
          </w:p>
        </w:tc>
        <w:tc>
          <w:tcPr>
            <w:tcW w:w="760" w:type="dxa"/>
            <w:tcBorders>
              <w:top w:val="nil"/>
              <w:left w:val="nil"/>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95</w:t>
            </w:r>
          </w:p>
        </w:tc>
        <w:tc>
          <w:tcPr>
            <w:tcW w:w="760" w:type="dxa"/>
            <w:tcBorders>
              <w:top w:val="nil"/>
              <w:left w:val="nil"/>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142</w:t>
            </w:r>
          </w:p>
        </w:tc>
        <w:tc>
          <w:tcPr>
            <w:tcW w:w="760" w:type="dxa"/>
            <w:tcBorders>
              <w:top w:val="nil"/>
              <w:left w:val="nil"/>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367</w:t>
            </w:r>
          </w:p>
        </w:tc>
        <w:tc>
          <w:tcPr>
            <w:tcW w:w="881" w:type="dxa"/>
            <w:tcBorders>
              <w:top w:val="nil"/>
              <w:left w:val="nil"/>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100</w:t>
            </w:r>
          </w:p>
        </w:tc>
      </w:tr>
      <w:tr w:rsidR="00A367FB" w:rsidRPr="0030797C" w:rsidTr="00A367FB">
        <w:trPr>
          <w:trHeight w:val="315"/>
        </w:trPr>
        <w:tc>
          <w:tcPr>
            <w:tcW w:w="2080" w:type="dxa"/>
            <w:tcBorders>
              <w:top w:val="nil"/>
              <w:left w:val="nil"/>
              <w:bottom w:val="single" w:sz="4" w:space="0" w:color="auto"/>
              <w:right w:val="nil"/>
            </w:tcBorders>
            <w:shd w:val="clear" w:color="auto" w:fill="auto"/>
            <w:noWrap/>
            <w:vAlign w:val="bottom"/>
          </w:tcPr>
          <w:p w:rsidR="00A367FB" w:rsidRDefault="00A367FB" w:rsidP="00EA09EC">
            <w:pPr>
              <w:keepNext/>
              <w:tabs>
                <w:tab w:val="clear" w:pos="567"/>
              </w:tabs>
              <w:spacing w:after="0" w:line="240" w:lineRule="auto"/>
              <w:rPr>
                <w:rFonts w:ascii="Calibri" w:eastAsia="Times New Roman" w:hAnsi="Calibri" w:cs="Times New Roman"/>
                <w:sz w:val="20"/>
                <w:szCs w:val="20"/>
                <w:lang w:eastAsia="en-AU"/>
              </w:rPr>
            </w:pPr>
            <w:r>
              <w:rPr>
                <w:rFonts w:ascii="Calibri" w:eastAsia="Times New Roman" w:hAnsi="Calibri" w:cs="Times New Roman"/>
                <w:sz w:val="20"/>
                <w:szCs w:val="20"/>
                <w:lang w:eastAsia="en-AU"/>
              </w:rPr>
              <w:t xml:space="preserve">One parent families with </w:t>
            </w:r>
            <w:r w:rsidRPr="006512E5">
              <w:rPr>
                <w:rFonts w:ascii="Calibri" w:eastAsia="Times New Roman" w:hAnsi="Calibri" w:cs="Times New Roman"/>
                <w:sz w:val="20"/>
                <w:szCs w:val="20"/>
                <w:lang w:eastAsia="en-AU"/>
              </w:rPr>
              <w:t>children under 15</w:t>
            </w:r>
          </w:p>
        </w:tc>
        <w:tc>
          <w:tcPr>
            <w:tcW w:w="780" w:type="dxa"/>
            <w:tcBorders>
              <w:top w:val="nil"/>
              <w:left w:val="nil"/>
              <w:bottom w:val="single" w:sz="4" w:space="0" w:color="auto"/>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99</w:t>
            </w:r>
          </w:p>
        </w:tc>
        <w:tc>
          <w:tcPr>
            <w:tcW w:w="760" w:type="dxa"/>
            <w:tcBorders>
              <w:top w:val="nil"/>
              <w:left w:val="nil"/>
              <w:bottom w:val="single" w:sz="4" w:space="0" w:color="auto"/>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91</w:t>
            </w:r>
          </w:p>
        </w:tc>
        <w:tc>
          <w:tcPr>
            <w:tcW w:w="760" w:type="dxa"/>
            <w:tcBorders>
              <w:top w:val="nil"/>
              <w:left w:val="nil"/>
              <w:bottom w:val="single" w:sz="4" w:space="0" w:color="auto"/>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112</w:t>
            </w:r>
          </w:p>
        </w:tc>
        <w:tc>
          <w:tcPr>
            <w:tcW w:w="760" w:type="dxa"/>
            <w:tcBorders>
              <w:top w:val="nil"/>
              <w:left w:val="nil"/>
              <w:bottom w:val="single" w:sz="4" w:space="0" w:color="auto"/>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94</w:t>
            </w:r>
          </w:p>
        </w:tc>
        <w:tc>
          <w:tcPr>
            <w:tcW w:w="760" w:type="dxa"/>
            <w:tcBorders>
              <w:top w:val="nil"/>
              <w:left w:val="nil"/>
              <w:bottom w:val="single" w:sz="4" w:space="0" w:color="auto"/>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107</w:t>
            </w:r>
          </w:p>
        </w:tc>
        <w:tc>
          <w:tcPr>
            <w:tcW w:w="760" w:type="dxa"/>
            <w:tcBorders>
              <w:top w:val="nil"/>
              <w:left w:val="nil"/>
              <w:bottom w:val="single" w:sz="4" w:space="0" w:color="auto"/>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123</w:t>
            </w:r>
          </w:p>
        </w:tc>
        <w:tc>
          <w:tcPr>
            <w:tcW w:w="760" w:type="dxa"/>
            <w:tcBorders>
              <w:top w:val="nil"/>
              <w:left w:val="nil"/>
              <w:bottom w:val="single" w:sz="4" w:space="0" w:color="auto"/>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88</w:t>
            </w:r>
          </w:p>
        </w:tc>
        <w:tc>
          <w:tcPr>
            <w:tcW w:w="760" w:type="dxa"/>
            <w:tcBorders>
              <w:top w:val="nil"/>
              <w:left w:val="nil"/>
              <w:bottom w:val="single" w:sz="4" w:space="0" w:color="auto"/>
              <w:right w:val="nil"/>
            </w:tcBorders>
            <w:shd w:val="clear" w:color="auto" w:fill="auto"/>
            <w:noWrap/>
            <w:vAlign w:val="bottom"/>
          </w:tcPr>
          <w:p w:rsidR="00A367FB" w:rsidRPr="006512E5"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sidRPr="006512E5">
              <w:rPr>
                <w:rFonts w:ascii="Calibri" w:eastAsia="Times New Roman" w:hAnsi="Calibri" w:cs="Times New Roman"/>
                <w:sz w:val="20"/>
                <w:szCs w:val="20"/>
                <w:lang w:eastAsia="en-AU"/>
              </w:rPr>
              <w:t>117</w:t>
            </w:r>
          </w:p>
        </w:tc>
        <w:tc>
          <w:tcPr>
            <w:tcW w:w="881" w:type="dxa"/>
            <w:tcBorders>
              <w:top w:val="nil"/>
              <w:left w:val="nil"/>
              <w:bottom w:val="single" w:sz="4" w:space="0" w:color="auto"/>
              <w:right w:val="nil"/>
            </w:tcBorders>
            <w:shd w:val="clear" w:color="auto" w:fill="auto"/>
            <w:noWrap/>
            <w:vAlign w:val="bottom"/>
          </w:tcPr>
          <w:p w:rsidR="00A367FB" w:rsidRDefault="00A367FB" w:rsidP="00EA09EC">
            <w:pPr>
              <w:keepNext/>
              <w:tabs>
                <w:tab w:val="clear" w:pos="567"/>
              </w:tabs>
              <w:spacing w:after="0"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100</w:t>
            </w:r>
          </w:p>
        </w:tc>
      </w:tr>
    </w:tbl>
    <w:p w:rsidR="00A367FB" w:rsidRPr="006512E5" w:rsidRDefault="00A367FB" w:rsidP="00EA09EC">
      <w:pPr>
        <w:pStyle w:val="CGCTableFootnote"/>
      </w:pPr>
      <w:r w:rsidRPr="006512E5">
        <w:t>(a)</w:t>
      </w:r>
      <w:r w:rsidRPr="006512E5">
        <w:tab/>
      </w:r>
      <w:r>
        <w:t>Includes income less than $20 000</w:t>
      </w:r>
      <w:r w:rsidRPr="006512E5">
        <w:t xml:space="preserve">. </w:t>
      </w:r>
      <w:r>
        <w:t xml:space="preserve">Zero and negative income are excluded. </w:t>
      </w:r>
    </w:p>
    <w:p w:rsidR="00A367FB" w:rsidRPr="006512E5" w:rsidRDefault="00A367FB" w:rsidP="00EA09EC">
      <w:pPr>
        <w:pStyle w:val="CGCTableFootnote"/>
      </w:pPr>
      <w:r w:rsidRPr="006512E5">
        <w:t>Source:</w:t>
      </w:r>
      <w:r w:rsidRPr="006512E5">
        <w:tab/>
        <w:t>Commission calculation, derived from ABS, 2006 Census data.</w:t>
      </w:r>
    </w:p>
    <w:p w:rsidR="00352103" w:rsidRPr="00EA09EC" w:rsidRDefault="00352103" w:rsidP="00EA09EC">
      <w:pPr>
        <w:pStyle w:val="CGCNumberedPara"/>
        <w:numPr>
          <w:ilvl w:val="1"/>
          <w:numId w:val="12"/>
        </w:numPr>
      </w:pPr>
      <w:bookmarkStart w:id="41" w:name="_Toc395104228"/>
      <w:bookmarkStart w:id="42" w:name="_Toc395274644"/>
      <w:bookmarkStart w:id="43" w:name="_Toc395685892"/>
      <w:bookmarkStart w:id="44" w:name="_Toc395686215"/>
      <w:bookmarkStart w:id="45" w:name="_Toc396230989"/>
      <w:r w:rsidRPr="00EA09EC">
        <w:t>2006 SEIFI is dated and we are aware from other 2011 Census data that the socio-economic status of State populations has changed.</w:t>
      </w:r>
    </w:p>
    <w:p w:rsidR="00352103" w:rsidRPr="00EA09EC" w:rsidRDefault="00352103" w:rsidP="00EA09EC">
      <w:pPr>
        <w:pStyle w:val="CGCNumberedPara"/>
        <w:numPr>
          <w:ilvl w:val="1"/>
          <w:numId w:val="12"/>
        </w:numPr>
      </w:pPr>
      <w:r w:rsidRPr="00EA09EC">
        <w:t xml:space="preserve">While household </w:t>
      </w:r>
      <w:proofErr w:type="spellStart"/>
      <w:r w:rsidRPr="00EA09EC">
        <w:t>equivalised</w:t>
      </w:r>
      <w:proofErr w:type="spellEnd"/>
      <w:r w:rsidRPr="00EA09EC">
        <w:t xml:space="preserve"> income data based on 2011 Census </w:t>
      </w:r>
      <w:r w:rsidR="00355B72" w:rsidRPr="00EA09EC">
        <w:t>is a commonly used measure of disadvantage, it focusses on only one aspect of disadvantage (income). Staff judge this to be too narrow to reflect likely users for this service.</w:t>
      </w:r>
      <w:r w:rsidRPr="00EA09EC">
        <w:t xml:space="preserve"> It has a very different pattern across States to other broader indicators of disadvantage. </w:t>
      </w:r>
    </w:p>
    <w:p w:rsidR="00352103" w:rsidRPr="00EA09EC" w:rsidRDefault="00355B72" w:rsidP="00EA09EC">
      <w:pPr>
        <w:pStyle w:val="CGCNumberedPara"/>
        <w:numPr>
          <w:ilvl w:val="1"/>
          <w:numId w:val="12"/>
        </w:numPr>
      </w:pPr>
      <w:r w:rsidRPr="00EA09EC">
        <w:t xml:space="preserve">Measures of </w:t>
      </w:r>
      <w:r w:rsidR="00352103" w:rsidRPr="00EA09EC">
        <w:t xml:space="preserve">homelessness, </w:t>
      </w:r>
      <w:r w:rsidRPr="00EA09EC">
        <w:t xml:space="preserve">even </w:t>
      </w:r>
      <w:r w:rsidR="00352103" w:rsidRPr="00EA09EC">
        <w:t>excluding persons living in ‘severely’ crowded dwellings which account for over 40% of total numbers</w:t>
      </w:r>
      <w:r w:rsidRPr="00EA09EC">
        <w:t>, do not provide a good indicator of disadvantage</w:t>
      </w:r>
      <w:r w:rsidR="00352103" w:rsidRPr="00EA09EC">
        <w:t xml:space="preserve">. </w:t>
      </w:r>
      <w:r w:rsidRPr="00EA09EC">
        <w:t>T</w:t>
      </w:r>
      <w:r w:rsidR="00352103" w:rsidRPr="00EA09EC">
        <w:t xml:space="preserve">he numbers </w:t>
      </w:r>
      <w:r w:rsidRPr="00EA09EC">
        <w:t xml:space="preserve">of people counted as homeless </w:t>
      </w:r>
      <w:r w:rsidR="00352103" w:rsidRPr="00EA09EC">
        <w:t xml:space="preserve">are subject to </w:t>
      </w:r>
      <w:r w:rsidRPr="00EA09EC">
        <w:t xml:space="preserve">State </w:t>
      </w:r>
      <w:r w:rsidR="00352103" w:rsidRPr="00EA09EC">
        <w:t>policy influence</w:t>
      </w:r>
      <w:r w:rsidRPr="00EA09EC">
        <w:t>s. P</w:t>
      </w:r>
      <w:r w:rsidR="00352103" w:rsidRPr="00EA09EC">
        <w:t>ersons in State-provided supported accommodation for the homeless are included in the measure</w:t>
      </w:r>
      <w:r w:rsidRPr="00EA09EC">
        <w:t xml:space="preserve"> and the amount of such accommodation </w:t>
      </w:r>
      <w:r w:rsidR="00D61666" w:rsidRPr="00EA09EC">
        <w:t>available</w:t>
      </w:r>
      <w:r w:rsidRPr="00EA09EC">
        <w:t xml:space="preserve"> </w:t>
      </w:r>
      <w:r w:rsidR="00D61666" w:rsidRPr="00EA09EC">
        <w:t>differs considerably across States</w:t>
      </w:r>
      <w:r w:rsidR="00352103" w:rsidRPr="00EA09EC">
        <w:t>.</w:t>
      </w:r>
    </w:p>
    <w:p w:rsidR="00352103" w:rsidRPr="00EA09EC" w:rsidRDefault="00D61666" w:rsidP="00EA09EC">
      <w:pPr>
        <w:pStyle w:val="CGCNumberedPara"/>
        <w:numPr>
          <w:ilvl w:val="1"/>
          <w:numId w:val="12"/>
        </w:numPr>
      </w:pPr>
      <w:r w:rsidRPr="00EA09EC">
        <w:t>Staff</w:t>
      </w:r>
      <w:r w:rsidR="00352103" w:rsidRPr="00EA09EC">
        <w:t xml:space="preserve"> think the proportion of one-parent families with dependents in State populations might provide a reasonable broad indicator of disadvantage and of the </w:t>
      </w:r>
      <w:r w:rsidR="00352103" w:rsidRPr="00EA09EC">
        <w:lastRenderedPageBreak/>
        <w:t>need for spending on Other general welfare. These families tend to be higher users of welfare services such as temporary accommodation and other support services. Staff intend to recommend the Commission use this indicator.</w:t>
      </w:r>
    </w:p>
    <w:p w:rsidR="00A367FB" w:rsidRPr="00EA09EC" w:rsidRDefault="00A367FB" w:rsidP="00A367FB">
      <w:pPr>
        <w:pStyle w:val="Heading4"/>
      </w:pPr>
      <w:bookmarkStart w:id="46" w:name="_Toc396300330"/>
      <w:r w:rsidRPr="00EA09EC">
        <w:t>Recommendations</w:t>
      </w:r>
      <w:bookmarkEnd w:id="41"/>
      <w:bookmarkEnd w:id="42"/>
      <w:bookmarkEnd w:id="43"/>
      <w:bookmarkEnd w:id="44"/>
      <w:bookmarkEnd w:id="45"/>
      <w:bookmarkEnd w:id="46"/>
    </w:p>
    <w:tbl>
      <w:tblPr>
        <w:tblW w:w="0" w:type="auto"/>
        <w:tblInd w:w="108" w:type="dxa"/>
        <w:shd w:val="clear" w:color="auto" w:fill="D9F3E6"/>
        <w:tblLook w:val="0000" w:firstRow="0" w:lastRow="0" w:firstColumn="0" w:lastColumn="0" w:noHBand="0" w:noVBand="0"/>
      </w:tblPr>
      <w:tblGrid>
        <w:gridCol w:w="8931"/>
      </w:tblGrid>
      <w:tr w:rsidR="00A367FB" w:rsidRPr="00E674AF" w:rsidTr="00A367FB">
        <w:tc>
          <w:tcPr>
            <w:tcW w:w="8931" w:type="dxa"/>
            <w:shd w:val="clear" w:color="auto" w:fill="D9F3E6"/>
          </w:tcPr>
          <w:p w:rsidR="00A367FB" w:rsidRPr="00EA09EC" w:rsidRDefault="00A367FB" w:rsidP="00A367FB">
            <w:pPr>
              <w:tabs>
                <w:tab w:val="clear" w:pos="567"/>
              </w:tabs>
              <w:rPr>
                <w:bCs/>
              </w:rPr>
            </w:pPr>
            <w:r w:rsidRPr="00EA09EC">
              <w:rPr>
                <w:bCs/>
              </w:rPr>
              <w:t>Staff propose to recommend the Commission:</w:t>
            </w:r>
          </w:p>
          <w:p w:rsidR="00A367FB" w:rsidRPr="00EA09EC" w:rsidRDefault="00A367FB" w:rsidP="00F2269C">
            <w:pPr>
              <w:pStyle w:val="CGCBulletlist"/>
              <w:numPr>
                <w:ilvl w:val="0"/>
                <w:numId w:val="11"/>
              </w:numPr>
              <w:tabs>
                <w:tab w:val="clear" w:pos="927"/>
              </w:tabs>
              <w:ind w:left="1134" w:hanging="567"/>
            </w:pPr>
            <w:r w:rsidRPr="00EA09EC">
              <w:t xml:space="preserve">use an up-to-date </w:t>
            </w:r>
            <w:r w:rsidR="00355B72" w:rsidRPr="00EA09EC">
              <w:t xml:space="preserve">broad </w:t>
            </w:r>
            <w:r w:rsidRPr="00EA09EC">
              <w:t>indicator of disadvantage such as the proportion of one parent families with dependants</w:t>
            </w:r>
            <w:r w:rsidR="00F2269C" w:rsidRPr="00EA09EC">
              <w:t xml:space="preserve"> for the assessment of other general welfare services.</w:t>
            </w:r>
          </w:p>
        </w:tc>
      </w:tr>
    </w:tbl>
    <w:p w:rsidR="00C44A1E" w:rsidRDefault="00C44A1E" w:rsidP="00C44A1E">
      <w:pPr>
        <w:pStyle w:val="Heading3"/>
      </w:pPr>
      <w:bookmarkStart w:id="47" w:name="_Toc396300331"/>
      <w:r>
        <w:t>Revised weights for the Justice assessment</w:t>
      </w:r>
      <w:bookmarkEnd w:id="47"/>
    </w:p>
    <w:p w:rsidR="001E4238" w:rsidRDefault="001E4238" w:rsidP="001E4238">
      <w:pPr>
        <w:pStyle w:val="CGCNumberedPara"/>
        <w:numPr>
          <w:ilvl w:val="1"/>
          <w:numId w:val="12"/>
        </w:numPr>
      </w:pPr>
      <w:r>
        <w:t xml:space="preserve">In the 2015 </w:t>
      </w:r>
      <w:r w:rsidR="004445C6">
        <w:t xml:space="preserve">Review </w:t>
      </w:r>
      <w:r>
        <w:t>Draft Report, the Commission indicated that it would use State provided data for the years 2010-11 to 2012-13 to review the Indigenous and socio-economic status (SES) use weights applied in the Justice assessment.</w:t>
      </w:r>
    </w:p>
    <w:p w:rsidR="001E4238" w:rsidRDefault="001E4238" w:rsidP="001E4238">
      <w:pPr>
        <w:pStyle w:val="Heading4"/>
      </w:pPr>
      <w:bookmarkStart w:id="48" w:name="_Toc396300332"/>
      <w:r>
        <w:t>2010 approach</w:t>
      </w:r>
      <w:bookmarkEnd w:id="48"/>
    </w:p>
    <w:p w:rsidR="00012B21" w:rsidRPr="00012B21" w:rsidRDefault="00012B21" w:rsidP="00012B21">
      <w:pPr>
        <w:pStyle w:val="CGCNumberedPara"/>
      </w:pPr>
      <w:r>
        <w:t>SES was based upon the Socio-economic Index for Areas (SEIFA).</w:t>
      </w:r>
    </w:p>
    <w:p w:rsidR="001E4238" w:rsidRDefault="001E4238" w:rsidP="001E4238">
      <w:pPr>
        <w:pStyle w:val="Heading5"/>
      </w:pPr>
      <w:r>
        <w:t xml:space="preserve">Specialised police </w:t>
      </w:r>
    </w:p>
    <w:p w:rsidR="00012B21" w:rsidRPr="00012B21" w:rsidRDefault="00012B21" w:rsidP="00012B21">
      <w:pPr>
        <w:pStyle w:val="CGCNumberedPara"/>
      </w:pPr>
      <w:r w:rsidRPr="00012B21">
        <w:t>In the 2010 Review, Indigenous use weights were calculated using Australian Institute of Criminology (AIC) National Police Custody Survey 2007 data on custody incidents by Indigineity by sex by age, while SES</w:t>
      </w:r>
      <w:r w:rsidR="00732C1F">
        <w:t xml:space="preserve"> weights were derived from 2005-</w:t>
      </w:r>
      <w:r w:rsidRPr="00012B21">
        <w:t>06 offenders by location data provided by the States.</w:t>
      </w:r>
    </w:p>
    <w:p w:rsidR="001E4238" w:rsidRDefault="001E4238" w:rsidP="001E4238">
      <w:pPr>
        <w:pStyle w:val="CGCNumberedPara"/>
        <w:numPr>
          <w:ilvl w:val="1"/>
          <w:numId w:val="12"/>
        </w:numPr>
      </w:pPr>
      <w:r>
        <w:t>The AIC data indicated that Indigenous people accounted for around 33% of offenders nationally.</w:t>
      </w:r>
    </w:p>
    <w:p w:rsidR="001E4238" w:rsidRDefault="001E4238" w:rsidP="001E4238">
      <w:pPr>
        <w:pStyle w:val="Heading5"/>
      </w:pPr>
      <w:r>
        <w:t>Criminal courts</w:t>
      </w:r>
    </w:p>
    <w:p w:rsidR="001E4238" w:rsidRDefault="001E4238" w:rsidP="001E4238">
      <w:pPr>
        <w:pStyle w:val="CGCNumberedPara"/>
        <w:numPr>
          <w:ilvl w:val="1"/>
          <w:numId w:val="12"/>
        </w:numPr>
      </w:pPr>
      <w:r>
        <w:t>Indigenous use weights were calculated using State provided data on defendants by age, sex and Indigineity for 2008-09. These data indicated that Indigenous people accounted for around 15% of defendants nationally.</w:t>
      </w:r>
    </w:p>
    <w:p w:rsidR="001E4238" w:rsidRDefault="001E4238" w:rsidP="001E4238">
      <w:pPr>
        <w:pStyle w:val="CGCNumberedPara"/>
        <w:numPr>
          <w:ilvl w:val="1"/>
          <w:numId w:val="12"/>
        </w:numPr>
      </w:pPr>
      <w:r>
        <w:t>The SES weights derived from the police offenders data were also applied to courts.</w:t>
      </w:r>
    </w:p>
    <w:p w:rsidR="001E4238" w:rsidRDefault="001E4238" w:rsidP="001E4238">
      <w:pPr>
        <w:pStyle w:val="Heading5"/>
      </w:pPr>
      <w:r>
        <w:t>Prisons</w:t>
      </w:r>
    </w:p>
    <w:p w:rsidR="001E4238" w:rsidRDefault="001E4238" w:rsidP="001E4238">
      <w:pPr>
        <w:pStyle w:val="CGCNumberedPara"/>
        <w:numPr>
          <w:ilvl w:val="1"/>
          <w:numId w:val="12"/>
        </w:numPr>
      </w:pPr>
      <w:r>
        <w:t>ABS data provides a split between Indigenous and non</w:t>
      </w:r>
      <w:r>
        <w:noBreakHyphen/>
        <w:t>Indigenous prisoners. These data indicate that around 25% of prisoners are Indigenous.</w:t>
      </w:r>
    </w:p>
    <w:p w:rsidR="001E4238" w:rsidRDefault="001E4238" w:rsidP="001E4238">
      <w:pPr>
        <w:pStyle w:val="CGCNumberedPara"/>
        <w:numPr>
          <w:ilvl w:val="1"/>
          <w:numId w:val="12"/>
        </w:numPr>
      </w:pPr>
      <w:r>
        <w:t>The SES weights derived from the police offenders data were also applied to prisons.</w:t>
      </w:r>
    </w:p>
    <w:p w:rsidR="001E4238" w:rsidRDefault="001E4238" w:rsidP="001E4238">
      <w:pPr>
        <w:pStyle w:val="Heading4"/>
      </w:pPr>
      <w:bookmarkStart w:id="49" w:name="_Toc396300333"/>
      <w:r>
        <w:lastRenderedPageBreak/>
        <w:t>Proposed 2015 approach</w:t>
      </w:r>
      <w:bookmarkEnd w:id="49"/>
    </w:p>
    <w:p w:rsidR="001E4238" w:rsidRDefault="001E4238" w:rsidP="001E4238">
      <w:pPr>
        <w:pStyle w:val="Heading5"/>
      </w:pPr>
      <w:r>
        <w:t>Specialised police</w:t>
      </w:r>
    </w:p>
    <w:p w:rsidR="001E4238" w:rsidRDefault="001E4238" w:rsidP="001E4238">
      <w:pPr>
        <w:pStyle w:val="CGCNumberedPara"/>
        <w:numPr>
          <w:ilvl w:val="1"/>
          <w:numId w:val="12"/>
        </w:numPr>
      </w:pPr>
      <w:r>
        <w:t xml:space="preserve">The most recent AIC data remain the 2007 data. </w:t>
      </w:r>
    </w:p>
    <w:p w:rsidR="001E4238" w:rsidRDefault="001E4238" w:rsidP="001E4238">
      <w:pPr>
        <w:pStyle w:val="CGCNumberedPara"/>
        <w:numPr>
          <w:ilvl w:val="1"/>
          <w:numId w:val="12"/>
        </w:numPr>
      </w:pPr>
      <w:r>
        <w:t xml:space="preserve">As foreshadowed in the </w:t>
      </w:r>
      <w:r w:rsidR="00BE6532">
        <w:t>Draft Report</w:t>
      </w:r>
      <w:r>
        <w:t xml:space="preserve">, the AIC’s new police custody survey may provide data with the potential to derive cost-weights for Indigenous offenders. However, the most recent advice from AIC is that negotiations for data collection are still underway, with no release date for the survey confirmed. </w:t>
      </w:r>
    </w:p>
    <w:p w:rsidR="001E4238" w:rsidRDefault="00012B21" w:rsidP="00012B21">
      <w:pPr>
        <w:pStyle w:val="CGCNumberedPara"/>
      </w:pPr>
      <w:r w:rsidRPr="00012B21">
        <w:t>For the 2015 Review, States (with the exception of Tasmania) have supplied data on offenders by Indigineity and location for the years 2010-11 to 2012-13. These data enable us to calculate new SES weights by Indigineity, using IRSEO and NISEIFA classifications, as well as to update the proportions of offences attributed to Indigenous and non-Indigenous offenders. These data indicate that Indigenous people accounted for around 19% of all offenders, substantially lower than that indicated by the 2007 AIC data. ABS data on offenders for the same time period suggests the proportion is around 18% for States where data were available</w:t>
      </w:r>
      <w:r w:rsidR="001E4238">
        <w:rPr>
          <w:rStyle w:val="FootnoteReference"/>
        </w:rPr>
        <w:footnoteReference w:id="3"/>
      </w:r>
      <w:r w:rsidR="001E4238">
        <w:t>.</w:t>
      </w:r>
    </w:p>
    <w:p w:rsidR="001E4238" w:rsidRDefault="001E4238" w:rsidP="001E4238">
      <w:pPr>
        <w:pStyle w:val="CGCNumberedPara"/>
        <w:numPr>
          <w:ilvl w:val="1"/>
          <w:numId w:val="12"/>
        </w:numPr>
      </w:pPr>
      <w:r>
        <w:fldChar w:fldCharType="begin"/>
      </w:r>
      <w:r>
        <w:instrText xml:space="preserve"> REF _Ref395176050 \h </w:instrText>
      </w:r>
      <w:r>
        <w:fldChar w:fldCharType="separate"/>
      </w:r>
      <w:r w:rsidR="0040671D">
        <w:t xml:space="preserve">Table </w:t>
      </w:r>
      <w:r w:rsidR="0040671D">
        <w:rPr>
          <w:noProof/>
        </w:rPr>
        <w:t>4</w:t>
      </w:r>
      <w:r>
        <w:fldChar w:fldCharType="end"/>
      </w:r>
      <w:r>
        <w:t xml:space="preserve"> shows that the Indigenous offender rate (ratio of Indigenous share of offenders divided by Indigenous share of population) averages six across all States. The rate varies from three in the Northern Territory to 10 in South Australia.</w:t>
      </w:r>
    </w:p>
    <w:p w:rsidR="001E4238" w:rsidRDefault="001E4238" w:rsidP="00C9618C">
      <w:pPr>
        <w:pStyle w:val="Caption"/>
      </w:pPr>
      <w:bookmarkStart w:id="50" w:name="_Ref395176050"/>
      <w:bookmarkStart w:id="51" w:name="_Ref395176009"/>
      <w:r>
        <w:t xml:space="preserve">Table </w:t>
      </w:r>
      <w:fldSimple w:instr=" SEQ Table \* ARABIC ">
        <w:r w:rsidR="0040671D">
          <w:rPr>
            <w:noProof/>
          </w:rPr>
          <w:t>4</w:t>
        </w:r>
      </w:fldSimple>
      <w:bookmarkEnd w:id="50"/>
      <w:r>
        <w:tab/>
        <w:t>Indigenous proportion of offenders, State provided data, 2010</w:t>
      </w:r>
      <w:r>
        <w:noBreakHyphen/>
        <w:t>11 to 2012</w:t>
      </w:r>
      <w:r>
        <w:noBreakHyphen/>
        <w:t>13</w:t>
      </w:r>
      <w:bookmarkEnd w:id="51"/>
    </w:p>
    <w:tbl>
      <w:tblPr>
        <w:tblW w:w="8980" w:type="dxa"/>
        <w:tblInd w:w="93" w:type="dxa"/>
        <w:tblLook w:val="04A0" w:firstRow="1" w:lastRow="0" w:firstColumn="1" w:lastColumn="0" w:noHBand="0" w:noVBand="1"/>
      </w:tblPr>
      <w:tblGrid>
        <w:gridCol w:w="2320"/>
        <w:gridCol w:w="820"/>
        <w:gridCol w:w="700"/>
        <w:gridCol w:w="740"/>
        <w:gridCol w:w="720"/>
        <w:gridCol w:w="700"/>
        <w:gridCol w:w="720"/>
        <w:gridCol w:w="700"/>
        <w:gridCol w:w="700"/>
        <w:gridCol w:w="860"/>
      </w:tblGrid>
      <w:tr w:rsidR="001E4238" w:rsidRPr="003217D2" w:rsidTr="00CE44B6">
        <w:trPr>
          <w:trHeight w:val="379"/>
        </w:trPr>
        <w:tc>
          <w:tcPr>
            <w:tcW w:w="2320" w:type="dxa"/>
            <w:tcBorders>
              <w:top w:val="single" w:sz="4" w:space="0" w:color="auto"/>
              <w:left w:val="nil"/>
              <w:bottom w:val="single" w:sz="4" w:space="0" w:color="auto"/>
              <w:right w:val="nil"/>
            </w:tcBorders>
            <w:shd w:val="clear" w:color="auto" w:fill="auto"/>
            <w:noWrap/>
            <w:vAlign w:val="center"/>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bookmarkStart w:id="52" w:name="RANGE!A2:J6"/>
            <w:r w:rsidRPr="003217D2">
              <w:rPr>
                <w:rFonts w:ascii="Calibri" w:eastAsia="Times New Roman" w:hAnsi="Calibri" w:cs="Times New Roman"/>
                <w:sz w:val="20"/>
                <w:szCs w:val="20"/>
                <w:lang w:eastAsia="en-AU"/>
              </w:rPr>
              <w:t> </w:t>
            </w:r>
            <w:bookmarkEnd w:id="52"/>
          </w:p>
        </w:tc>
        <w:tc>
          <w:tcPr>
            <w:tcW w:w="820" w:type="dxa"/>
            <w:tcBorders>
              <w:top w:val="single" w:sz="4" w:space="0" w:color="auto"/>
              <w:left w:val="nil"/>
              <w:bottom w:val="single" w:sz="4" w:space="0" w:color="auto"/>
              <w:right w:val="nil"/>
            </w:tcBorders>
            <w:shd w:val="clear" w:color="auto" w:fill="auto"/>
            <w:noWrap/>
            <w:vAlign w:val="center"/>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NSW</w:t>
            </w:r>
          </w:p>
        </w:tc>
        <w:tc>
          <w:tcPr>
            <w:tcW w:w="700" w:type="dxa"/>
            <w:tcBorders>
              <w:top w:val="single" w:sz="4" w:space="0" w:color="auto"/>
              <w:left w:val="nil"/>
              <w:bottom w:val="single" w:sz="4" w:space="0" w:color="auto"/>
              <w:right w:val="nil"/>
            </w:tcBorders>
            <w:shd w:val="clear" w:color="auto" w:fill="auto"/>
            <w:noWrap/>
            <w:vAlign w:val="center"/>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Vic</w:t>
            </w:r>
          </w:p>
        </w:tc>
        <w:tc>
          <w:tcPr>
            <w:tcW w:w="740" w:type="dxa"/>
            <w:tcBorders>
              <w:top w:val="single" w:sz="4" w:space="0" w:color="auto"/>
              <w:left w:val="nil"/>
              <w:bottom w:val="single" w:sz="4" w:space="0" w:color="auto"/>
              <w:right w:val="nil"/>
            </w:tcBorders>
            <w:shd w:val="clear" w:color="auto" w:fill="auto"/>
            <w:noWrap/>
            <w:vAlign w:val="center"/>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Qld</w:t>
            </w:r>
          </w:p>
        </w:tc>
        <w:tc>
          <w:tcPr>
            <w:tcW w:w="720" w:type="dxa"/>
            <w:tcBorders>
              <w:top w:val="single" w:sz="4" w:space="0" w:color="auto"/>
              <w:left w:val="nil"/>
              <w:bottom w:val="single" w:sz="4" w:space="0" w:color="auto"/>
              <w:right w:val="nil"/>
            </w:tcBorders>
            <w:shd w:val="clear" w:color="auto" w:fill="auto"/>
            <w:noWrap/>
            <w:vAlign w:val="center"/>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WA</w:t>
            </w:r>
          </w:p>
        </w:tc>
        <w:tc>
          <w:tcPr>
            <w:tcW w:w="700" w:type="dxa"/>
            <w:tcBorders>
              <w:top w:val="single" w:sz="4" w:space="0" w:color="auto"/>
              <w:left w:val="nil"/>
              <w:bottom w:val="single" w:sz="4" w:space="0" w:color="auto"/>
              <w:right w:val="nil"/>
            </w:tcBorders>
            <w:shd w:val="clear" w:color="auto" w:fill="auto"/>
            <w:noWrap/>
            <w:vAlign w:val="center"/>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SA</w:t>
            </w:r>
          </w:p>
        </w:tc>
        <w:tc>
          <w:tcPr>
            <w:tcW w:w="720" w:type="dxa"/>
            <w:tcBorders>
              <w:top w:val="single" w:sz="4" w:space="0" w:color="auto"/>
              <w:left w:val="nil"/>
              <w:bottom w:val="single" w:sz="4" w:space="0" w:color="auto"/>
              <w:right w:val="nil"/>
            </w:tcBorders>
            <w:shd w:val="clear" w:color="auto" w:fill="auto"/>
            <w:noWrap/>
            <w:vAlign w:val="center"/>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Tas</w:t>
            </w:r>
          </w:p>
        </w:tc>
        <w:tc>
          <w:tcPr>
            <w:tcW w:w="700" w:type="dxa"/>
            <w:tcBorders>
              <w:top w:val="single" w:sz="4" w:space="0" w:color="auto"/>
              <w:left w:val="nil"/>
              <w:bottom w:val="single" w:sz="4" w:space="0" w:color="auto"/>
              <w:right w:val="nil"/>
            </w:tcBorders>
            <w:shd w:val="clear" w:color="auto" w:fill="auto"/>
            <w:noWrap/>
            <w:vAlign w:val="center"/>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ACT</w:t>
            </w:r>
          </w:p>
        </w:tc>
        <w:tc>
          <w:tcPr>
            <w:tcW w:w="700" w:type="dxa"/>
            <w:tcBorders>
              <w:top w:val="single" w:sz="4" w:space="0" w:color="auto"/>
              <w:left w:val="nil"/>
              <w:bottom w:val="single" w:sz="4" w:space="0" w:color="auto"/>
              <w:right w:val="nil"/>
            </w:tcBorders>
            <w:shd w:val="clear" w:color="auto" w:fill="auto"/>
            <w:noWrap/>
            <w:vAlign w:val="center"/>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NT</w:t>
            </w:r>
          </w:p>
        </w:tc>
        <w:tc>
          <w:tcPr>
            <w:tcW w:w="860" w:type="dxa"/>
            <w:tcBorders>
              <w:top w:val="single" w:sz="4" w:space="0" w:color="auto"/>
              <w:left w:val="nil"/>
              <w:bottom w:val="single" w:sz="4" w:space="0" w:color="auto"/>
              <w:right w:val="nil"/>
            </w:tcBorders>
            <w:shd w:val="clear" w:color="auto" w:fill="auto"/>
            <w:noWrap/>
            <w:vAlign w:val="center"/>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Total</w:t>
            </w:r>
          </w:p>
        </w:tc>
      </w:tr>
      <w:tr w:rsidR="001E4238" w:rsidRPr="003217D2" w:rsidTr="00CE44B6">
        <w:trPr>
          <w:trHeight w:val="259"/>
        </w:trPr>
        <w:tc>
          <w:tcPr>
            <w:tcW w:w="23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p>
        </w:tc>
        <w:tc>
          <w:tcPr>
            <w:tcW w:w="8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w:t>
            </w:r>
          </w:p>
        </w:tc>
        <w:tc>
          <w:tcPr>
            <w:tcW w:w="74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w:t>
            </w:r>
          </w:p>
        </w:tc>
        <w:tc>
          <w:tcPr>
            <w:tcW w:w="7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w:t>
            </w:r>
          </w:p>
        </w:tc>
        <w:tc>
          <w:tcPr>
            <w:tcW w:w="7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w:t>
            </w:r>
          </w:p>
        </w:tc>
        <w:tc>
          <w:tcPr>
            <w:tcW w:w="86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w:t>
            </w:r>
          </w:p>
        </w:tc>
      </w:tr>
      <w:tr w:rsidR="001E4238" w:rsidRPr="003217D2" w:rsidTr="00CE44B6">
        <w:trPr>
          <w:trHeight w:val="315"/>
        </w:trPr>
        <w:tc>
          <w:tcPr>
            <w:tcW w:w="23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Indigenous population</w:t>
            </w:r>
          </w:p>
        </w:tc>
        <w:tc>
          <w:tcPr>
            <w:tcW w:w="8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3</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1</w:t>
            </w:r>
          </w:p>
        </w:tc>
        <w:tc>
          <w:tcPr>
            <w:tcW w:w="74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4</w:t>
            </w:r>
          </w:p>
        </w:tc>
        <w:tc>
          <w:tcPr>
            <w:tcW w:w="7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4</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2</w:t>
            </w:r>
          </w:p>
        </w:tc>
        <w:tc>
          <w:tcPr>
            <w:tcW w:w="7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5</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2</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30</w:t>
            </w:r>
          </w:p>
        </w:tc>
        <w:tc>
          <w:tcPr>
            <w:tcW w:w="86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3</w:t>
            </w:r>
          </w:p>
        </w:tc>
      </w:tr>
      <w:tr w:rsidR="001E4238" w:rsidRPr="003217D2" w:rsidTr="00CE44B6">
        <w:trPr>
          <w:trHeight w:val="315"/>
        </w:trPr>
        <w:tc>
          <w:tcPr>
            <w:tcW w:w="23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Indigenous offenders</w:t>
            </w:r>
          </w:p>
        </w:tc>
        <w:tc>
          <w:tcPr>
            <w:tcW w:w="8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16</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7</w:t>
            </w:r>
          </w:p>
        </w:tc>
        <w:tc>
          <w:tcPr>
            <w:tcW w:w="74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22</w:t>
            </w:r>
          </w:p>
        </w:tc>
        <w:tc>
          <w:tcPr>
            <w:tcW w:w="7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31</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23</w:t>
            </w:r>
          </w:p>
        </w:tc>
        <w:tc>
          <w:tcPr>
            <w:tcW w:w="72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n/a</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10</w:t>
            </w:r>
          </w:p>
        </w:tc>
        <w:tc>
          <w:tcPr>
            <w:tcW w:w="70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74</w:t>
            </w:r>
          </w:p>
        </w:tc>
        <w:tc>
          <w:tcPr>
            <w:tcW w:w="860" w:type="dxa"/>
            <w:tcBorders>
              <w:top w:val="nil"/>
              <w:left w:val="nil"/>
              <w:bottom w:val="nil"/>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19</w:t>
            </w:r>
          </w:p>
        </w:tc>
      </w:tr>
      <w:tr w:rsidR="001E4238" w:rsidRPr="003217D2" w:rsidTr="00CE44B6">
        <w:trPr>
          <w:trHeight w:val="315"/>
        </w:trPr>
        <w:tc>
          <w:tcPr>
            <w:tcW w:w="2320" w:type="dxa"/>
            <w:tcBorders>
              <w:top w:val="single" w:sz="4" w:space="0" w:color="auto"/>
              <w:left w:val="nil"/>
              <w:bottom w:val="single" w:sz="4" w:space="0" w:color="auto"/>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Offender rate (ratio)</w:t>
            </w:r>
          </w:p>
        </w:tc>
        <w:tc>
          <w:tcPr>
            <w:tcW w:w="820" w:type="dxa"/>
            <w:tcBorders>
              <w:top w:val="single" w:sz="4" w:space="0" w:color="auto"/>
              <w:left w:val="nil"/>
              <w:bottom w:val="single" w:sz="4" w:space="0" w:color="auto"/>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6</w:t>
            </w:r>
          </w:p>
        </w:tc>
        <w:tc>
          <w:tcPr>
            <w:tcW w:w="700" w:type="dxa"/>
            <w:tcBorders>
              <w:top w:val="single" w:sz="4" w:space="0" w:color="auto"/>
              <w:left w:val="nil"/>
              <w:bottom w:val="single" w:sz="4" w:space="0" w:color="auto"/>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8</w:t>
            </w:r>
          </w:p>
        </w:tc>
        <w:tc>
          <w:tcPr>
            <w:tcW w:w="740" w:type="dxa"/>
            <w:tcBorders>
              <w:top w:val="single" w:sz="4" w:space="0" w:color="auto"/>
              <w:left w:val="nil"/>
              <w:bottom w:val="single" w:sz="4" w:space="0" w:color="auto"/>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5</w:t>
            </w:r>
          </w:p>
        </w:tc>
        <w:tc>
          <w:tcPr>
            <w:tcW w:w="720" w:type="dxa"/>
            <w:tcBorders>
              <w:top w:val="single" w:sz="4" w:space="0" w:color="auto"/>
              <w:left w:val="nil"/>
              <w:bottom w:val="single" w:sz="4" w:space="0" w:color="auto"/>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8</w:t>
            </w:r>
          </w:p>
        </w:tc>
        <w:tc>
          <w:tcPr>
            <w:tcW w:w="700" w:type="dxa"/>
            <w:tcBorders>
              <w:top w:val="single" w:sz="4" w:space="0" w:color="auto"/>
              <w:left w:val="nil"/>
              <w:bottom w:val="single" w:sz="4" w:space="0" w:color="auto"/>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10</w:t>
            </w:r>
          </w:p>
        </w:tc>
        <w:tc>
          <w:tcPr>
            <w:tcW w:w="720" w:type="dxa"/>
            <w:tcBorders>
              <w:top w:val="single" w:sz="4" w:space="0" w:color="auto"/>
              <w:left w:val="nil"/>
              <w:bottom w:val="single" w:sz="4" w:space="0" w:color="auto"/>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n/a</w:t>
            </w:r>
          </w:p>
        </w:tc>
        <w:tc>
          <w:tcPr>
            <w:tcW w:w="700" w:type="dxa"/>
            <w:tcBorders>
              <w:top w:val="single" w:sz="4" w:space="0" w:color="auto"/>
              <w:left w:val="nil"/>
              <w:bottom w:val="single" w:sz="4" w:space="0" w:color="auto"/>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6</w:t>
            </w:r>
          </w:p>
        </w:tc>
        <w:tc>
          <w:tcPr>
            <w:tcW w:w="700" w:type="dxa"/>
            <w:tcBorders>
              <w:top w:val="single" w:sz="4" w:space="0" w:color="auto"/>
              <w:left w:val="nil"/>
              <w:bottom w:val="single" w:sz="4" w:space="0" w:color="auto"/>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3</w:t>
            </w:r>
          </w:p>
        </w:tc>
        <w:tc>
          <w:tcPr>
            <w:tcW w:w="860" w:type="dxa"/>
            <w:tcBorders>
              <w:top w:val="single" w:sz="4" w:space="0" w:color="auto"/>
              <w:left w:val="nil"/>
              <w:bottom w:val="single" w:sz="4" w:space="0" w:color="auto"/>
              <w:right w:val="nil"/>
            </w:tcBorders>
            <w:shd w:val="clear" w:color="auto" w:fill="auto"/>
            <w:noWrap/>
            <w:vAlign w:val="bottom"/>
            <w:hideMark/>
          </w:tcPr>
          <w:p w:rsidR="001E4238" w:rsidRPr="003217D2" w:rsidRDefault="001E4238" w:rsidP="00C9618C">
            <w:pPr>
              <w:keepNext/>
              <w:keepLines/>
              <w:tabs>
                <w:tab w:val="clear" w:pos="567"/>
              </w:tabs>
              <w:spacing w:after="0" w:line="240" w:lineRule="auto"/>
              <w:jc w:val="right"/>
              <w:rPr>
                <w:rFonts w:ascii="Calibri" w:eastAsia="Times New Roman" w:hAnsi="Calibri" w:cs="Times New Roman"/>
                <w:sz w:val="20"/>
                <w:szCs w:val="20"/>
                <w:lang w:eastAsia="en-AU"/>
              </w:rPr>
            </w:pPr>
            <w:r w:rsidRPr="003217D2">
              <w:rPr>
                <w:rFonts w:ascii="Calibri" w:eastAsia="Times New Roman" w:hAnsi="Calibri" w:cs="Times New Roman"/>
                <w:sz w:val="20"/>
                <w:szCs w:val="20"/>
                <w:lang w:eastAsia="en-AU"/>
              </w:rPr>
              <w:t>6</w:t>
            </w:r>
          </w:p>
        </w:tc>
      </w:tr>
    </w:tbl>
    <w:p w:rsidR="001E4238" w:rsidRDefault="001E4238" w:rsidP="00C9618C">
      <w:pPr>
        <w:pStyle w:val="CGCTableFootnote"/>
        <w:keepNext/>
        <w:keepLines/>
      </w:pPr>
      <w:r>
        <w:t>Source:</w:t>
      </w:r>
      <w:r>
        <w:tab/>
        <w:t>Commission calculation using State provided data, ABS data request.</w:t>
      </w:r>
    </w:p>
    <w:p w:rsidR="00C37C81" w:rsidRDefault="001E4238" w:rsidP="00C9618C">
      <w:pPr>
        <w:pStyle w:val="CGCTableFootnote"/>
        <w:keepNext/>
        <w:keepLines/>
      </w:pPr>
      <w:r>
        <w:t xml:space="preserve">Note: </w:t>
      </w:r>
      <w:r>
        <w:tab/>
        <w:t>Population and offender percentages are 3-year averages for 2010-11 to 2012-13.</w:t>
      </w:r>
    </w:p>
    <w:p w:rsidR="001E4238" w:rsidRDefault="001E4238" w:rsidP="001E4238">
      <w:pPr>
        <w:pStyle w:val="CGCNumberedPara"/>
        <w:numPr>
          <w:ilvl w:val="1"/>
          <w:numId w:val="12"/>
        </w:numPr>
      </w:pPr>
      <w:r>
        <w:t xml:space="preserve">The State provided data do not provide detail on age and sex, so </w:t>
      </w:r>
      <w:r w:rsidR="00012B21">
        <w:t xml:space="preserve">staff </w:t>
      </w:r>
      <w:r>
        <w:t xml:space="preserve">propose </w:t>
      </w:r>
      <w:r w:rsidR="00012B21">
        <w:t>adjusting</w:t>
      </w:r>
      <w:r>
        <w:t xml:space="preserve"> the AIC 2007 data to reflect the revised Indigenous offender rate, while maintaining the AIC distribution of offenders by age and sex.</w:t>
      </w:r>
    </w:p>
    <w:p w:rsidR="001E4238" w:rsidRDefault="00EA09EC" w:rsidP="001E4238">
      <w:pPr>
        <w:pStyle w:val="CGCNumberedPara"/>
        <w:numPr>
          <w:ilvl w:val="1"/>
          <w:numId w:val="12"/>
        </w:numPr>
      </w:pPr>
      <w:r w:rsidRPr="00EA09EC">
        <w:rPr>
          <w:rStyle w:val="Heading6Char"/>
        </w:rPr>
        <w:t>Socio-economic status.</w:t>
      </w:r>
      <w:r>
        <w:t xml:space="preserve"> </w:t>
      </w:r>
      <w:r w:rsidR="001E4238">
        <w:t xml:space="preserve">The </w:t>
      </w:r>
      <w:r w:rsidR="004279E8">
        <w:t>D</w:t>
      </w:r>
      <w:r w:rsidR="001E4238">
        <w:t xml:space="preserve">raft Report indicated that the Commission considers that differentially identifying relative non-Indigenous and Indigenous disadvantage using NISEIFA and IRSEO better meets the terms of reference requiring it to:  </w:t>
      </w:r>
    </w:p>
    <w:p w:rsidR="001E4238" w:rsidRPr="008B197E" w:rsidRDefault="001E4238" w:rsidP="001E4238">
      <w:pPr>
        <w:pStyle w:val="CGCBulletlist"/>
        <w:numPr>
          <w:ilvl w:val="0"/>
          <w:numId w:val="0"/>
        </w:numPr>
        <w:tabs>
          <w:tab w:val="left" w:pos="7797"/>
        </w:tabs>
        <w:ind w:left="1134" w:right="1154"/>
        <w:rPr>
          <w:sz w:val="22"/>
          <w:szCs w:val="22"/>
        </w:rPr>
      </w:pPr>
      <w:r w:rsidRPr="008B197E">
        <w:rPr>
          <w:sz w:val="22"/>
          <w:szCs w:val="22"/>
        </w:rPr>
        <w:lastRenderedPageBreak/>
        <w:t>… develop methods to appropriately capture the changing characteristics of the Indigenous population.</w:t>
      </w:r>
    </w:p>
    <w:p w:rsidR="001E4238" w:rsidRDefault="001E4238" w:rsidP="001E4238">
      <w:pPr>
        <w:pStyle w:val="CGCNumberedPara"/>
        <w:numPr>
          <w:ilvl w:val="1"/>
          <w:numId w:val="12"/>
        </w:numPr>
      </w:pPr>
      <w:r>
        <w:t xml:space="preserve">The State provided data enable us to consider relative offender rates by SES for non-Indigenous and Indigenous people separately. </w:t>
      </w:r>
    </w:p>
    <w:p w:rsidR="00012B21" w:rsidRPr="0024169C" w:rsidRDefault="00012B21" w:rsidP="00012B21">
      <w:pPr>
        <w:pStyle w:val="CGCNumberedPara"/>
      </w:pPr>
      <w:r w:rsidRPr="0024169C">
        <w:t>In the 2010 Review, SES groupings were based on State provided data on offenders by location for 2005</w:t>
      </w:r>
      <w:r w:rsidR="00732C1F">
        <w:t>-</w:t>
      </w:r>
      <w:r w:rsidRPr="0024169C">
        <w:t xml:space="preserve">06. The SES quintiles were based upon SEIFA scores. The grouping decided on was the most disadvantaged quintile, the three middle quintiles, and the least disadvantaged quintile. </w:t>
      </w:r>
      <w:r w:rsidRPr="0024169C">
        <w:fldChar w:fldCharType="begin"/>
      </w:r>
      <w:r w:rsidRPr="0024169C">
        <w:instrText xml:space="preserve"> REF _Ref395682944 \h </w:instrText>
      </w:r>
      <w:r w:rsidR="001914C4" w:rsidRPr="0024169C">
        <w:instrText xml:space="preserve"> \* MERGEFORMAT </w:instrText>
      </w:r>
      <w:r w:rsidRPr="0024169C">
        <w:fldChar w:fldCharType="separate"/>
      </w:r>
      <w:r w:rsidR="0040671D" w:rsidRPr="0024169C">
        <w:t xml:space="preserve">Figure </w:t>
      </w:r>
      <w:r w:rsidR="0040671D">
        <w:rPr>
          <w:noProof/>
        </w:rPr>
        <w:t>1</w:t>
      </w:r>
      <w:r w:rsidRPr="0024169C">
        <w:fldChar w:fldCharType="end"/>
      </w:r>
      <w:r w:rsidRPr="0024169C">
        <w:t xml:space="preserve"> shows the gradient across all quintiles.</w:t>
      </w:r>
    </w:p>
    <w:p w:rsidR="00012B21" w:rsidRPr="0024169C" w:rsidRDefault="00012B21" w:rsidP="00012B21">
      <w:pPr>
        <w:pStyle w:val="Caption"/>
      </w:pPr>
      <w:bookmarkStart w:id="53" w:name="_Ref395682944"/>
      <w:r w:rsidRPr="0024169C">
        <w:t xml:space="preserve">Figure </w:t>
      </w:r>
      <w:fldSimple w:instr=" SEQ Figure \* ARABIC ">
        <w:r w:rsidR="0040671D">
          <w:rPr>
            <w:noProof/>
          </w:rPr>
          <w:t>1</w:t>
        </w:r>
      </w:fldSimple>
      <w:bookmarkEnd w:id="53"/>
      <w:r w:rsidRPr="0024169C">
        <w:tab/>
        <w:t>SES offender rates relative to middle quintile, 2010 Review data</w:t>
      </w:r>
    </w:p>
    <w:p w:rsidR="00012B21" w:rsidRPr="0024169C" w:rsidRDefault="00012B21" w:rsidP="00012B21">
      <w:pPr>
        <w:pStyle w:val="CGCNumberedPara"/>
        <w:numPr>
          <w:ilvl w:val="0"/>
          <w:numId w:val="0"/>
        </w:numPr>
      </w:pPr>
      <w:r w:rsidRPr="0024169C">
        <w:rPr>
          <w:noProof/>
          <w:lang w:eastAsia="en-AU"/>
        </w:rPr>
        <w:drawing>
          <wp:inline distT="0" distB="0" distL="0" distR="0" wp14:anchorId="01A9855D" wp14:editId="5F6DF934">
            <wp:extent cx="5648325" cy="3552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8325" cy="3552825"/>
                    </a:xfrm>
                    <a:prstGeom prst="rect">
                      <a:avLst/>
                    </a:prstGeom>
                    <a:noFill/>
                    <a:ln>
                      <a:noFill/>
                    </a:ln>
                  </pic:spPr>
                </pic:pic>
              </a:graphicData>
            </a:graphic>
          </wp:inline>
        </w:drawing>
      </w:r>
    </w:p>
    <w:p w:rsidR="00012B21" w:rsidRPr="0024169C" w:rsidRDefault="00012B21" w:rsidP="00012B21">
      <w:pPr>
        <w:pStyle w:val="CGCTableFootnote"/>
      </w:pPr>
      <w:r w:rsidRPr="0024169C">
        <w:t>Source:</w:t>
      </w:r>
      <w:r w:rsidRPr="0024169C">
        <w:tab/>
        <w:t>Commission calculation using State provided data.</w:t>
      </w:r>
    </w:p>
    <w:p w:rsidR="00EA09EC" w:rsidRDefault="00012B21" w:rsidP="00EA09EC">
      <w:pPr>
        <w:pStyle w:val="CGCNumberedPara"/>
      </w:pPr>
      <w:r w:rsidRPr="0024169C">
        <w:t>The corresponding SES gradients based upon State provided offenders data for the years 201</w:t>
      </w:r>
      <w:r w:rsidR="00732C1F">
        <w:t>0-</w:t>
      </w:r>
      <w:r w:rsidRPr="0024169C">
        <w:t>11 to 201</w:t>
      </w:r>
      <w:r w:rsidR="00732C1F">
        <w:t>2-</w:t>
      </w:r>
      <w:r w:rsidRPr="0024169C">
        <w:t xml:space="preserve">13, for both Indigenous and non-Indigenous people, are shown in </w:t>
      </w:r>
      <w:r w:rsidRPr="0024169C">
        <w:fldChar w:fldCharType="begin"/>
      </w:r>
      <w:r w:rsidRPr="0024169C">
        <w:instrText xml:space="preserve"> REF _Ref395683069 \h </w:instrText>
      </w:r>
      <w:r w:rsidR="001914C4" w:rsidRPr="0024169C">
        <w:instrText xml:space="preserve"> \* MERGEFORMAT </w:instrText>
      </w:r>
      <w:r w:rsidRPr="0024169C">
        <w:fldChar w:fldCharType="separate"/>
      </w:r>
      <w:r w:rsidR="0040671D" w:rsidRPr="0024169C">
        <w:t xml:space="preserve">Figure </w:t>
      </w:r>
      <w:r w:rsidR="0040671D">
        <w:rPr>
          <w:noProof/>
        </w:rPr>
        <w:t>2</w:t>
      </w:r>
      <w:r w:rsidRPr="0024169C">
        <w:fldChar w:fldCharType="end"/>
      </w:r>
      <w:r w:rsidRPr="0024169C">
        <w:t xml:space="preserve"> below.</w:t>
      </w:r>
      <w:r w:rsidR="00EA09EC" w:rsidRPr="00EA09EC">
        <w:t xml:space="preserve"> </w:t>
      </w:r>
    </w:p>
    <w:p w:rsidR="00EA09EC" w:rsidRPr="0024169C" w:rsidRDefault="00EA09EC" w:rsidP="00EA09EC">
      <w:pPr>
        <w:pStyle w:val="CGCNumberedPara"/>
      </w:pPr>
      <w:r w:rsidRPr="0024169C">
        <w:fldChar w:fldCharType="begin"/>
      </w:r>
      <w:r w:rsidRPr="0024169C">
        <w:instrText xml:space="preserve"> REF _Ref395683069 \h  \* MERGEFORMAT </w:instrText>
      </w:r>
      <w:r w:rsidRPr="0024169C">
        <w:fldChar w:fldCharType="separate"/>
      </w:r>
      <w:r w:rsidR="0040671D" w:rsidRPr="0024169C">
        <w:t xml:space="preserve">Figure </w:t>
      </w:r>
      <w:r w:rsidR="0040671D">
        <w:rPr>
          <w:noProof/>
        </w:rPr>
        <w:t>2</w:t>
      </w:r>
      <w:r w:rsidRPr="0024169C">
        <w:fldChar w:fldCharType="end"/>
      </w:r>
      <w:r w:rsidRPr="0024169C">
        <w:t xml:space="preserve"> shows that there has been a change in the relative weights for the most and least disadvantaged quintiles, compared with the previous data. In addition, it indicates that the middle three quintiles are not as similar as was previously the case, suggesting that a change to the 2010 Review grouping would be appropriate. The variation in the most and least disadvantaged Indigenous quintiles may be due to the large proportion of unknown Indigenous status reported by some States, possibly due </w:t>
      </w:r>
      <w:r w:rsidRPr="0024169C">
        <w:lastRenderedPageBreak/>
        <w:t>to the inclusion of traffic offenders in State provided data.</w:t>
      </w:r>
      <w:r w:rsidRPr="0024169C">
        <w:rPr>
          <w:rStyle w:val="FootnoteReference"/>
        </w:rPr>
        <w:footnoteReference w:id="4"/>
      </w:r>
      <w:r w:rsidRPr="0024169C">
        <w:t xml:space="preserve"> This suggests that some grouping</w:t>
      </w:r>
      <w:r>
        <w:t>s</w:t>
      </w:r>
      <w:r w:rsidRPr="0024169C">
        <w:t xml:space="preserve"> of quintiles should be applied.</w:t>
      </w:r>
    </w:p>
    <w:p w:rsidR="00012B21" w:rsidRPr="0024169C" w:rsidRDefault="00012B21" w:rsidP="00BA5C1C">
      <w:pPr>
        <w:pStyle w:val="Caption"/>
      </w:pPr>
      <w:bookmarkStart w:id="54" w:name="_Ref395683069"/>
      <w:r w:rsidRPr="0024169C">
        <w:t xml:space="preserve">Figure </w:t>
      </w:r>
      <w:fldSimple w:instr=" SEQ Figure \* ARABIC ">
        <w:r w:rsidR="0040671D">
          <w:rPr>
            <w:noProof/>
          </w:rPr>
          <w:t>2</w:t>
        </w:r>
      </w:fldSimple>
      <w:bookmarkEnd w:id="54"/>
      <w:r w:rsidRPr="0024169C">
        <w:tab/>
        <w:t>SES offender rates relative to middle quintile, 2015 Review data</w:t>
      </w:r>
    </w:p>
    <w:p w:rsidR="00012B21" w:rsidRPr="0024169C" w:rsidRDefault="00BA5C1C" w:rsidP="00BA5C1C">
      <w:pPr>
        <w:pStyle w:val="CGCNumberedPara"/>
        <w:keepNext/>
        <w:numPr>
          <w:ilvl w:val="0"/>
          <w:numId w:val="0"/>
        </w:numPr>
      </w:pPr>
      <w:r>
        <w:rPr>
          <w:noProof/>
          <w:lang w:eastAsia="en-AU"/>
        </w:rPr>
        <w:drawing>
          <wp:inline distT="0" distB="0" distL="0" distR="0" wp14:anchorId="6655C185" wp14:editId="02EE0574">
            <wp:extent cx="5683885" cy="3570117"/>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0"/>
                    <a:stretch>
                      <a:fillRect/>
                    </a:stretch>
                  </pic:blipFill>
                  <pic:spPr>
                    <a:xfrm>
                      <a:off x="0" y="0"/>
                      <a:ext cx="5683885" cy="3570117"/>
                    </a:xfrm>
                    <a:prstGeom prst="rect">
                      <a:avLst/>
                    </a:prstGeom>
                  </pic:spPr>
                </pic:pic>
              </a:graphicData>
            </a:graphic>
          </wp:inline>
        </w:drawing>
      </w:r>
    </w:p>
    <w:p w:rsidR="00012B21" w:rsidRPr="0024169C" w:rsidRDefault="00012B21" w:rsidP="00BA5C1C">
      <w:pPr>
        <w:pStyle w:val="CGCTableFootnote"/>
        <w:keepNext/>
      </w:pPr>
      <w:r w:rsidRPr="0024169C">
        <w:t>Source:</w:t>
      </w:r>
      <w:r w:rsidRPr="0024169C">
        <w:tab/>
        <w:t>Commission calculation using State provided data.</w:t>
      </w:r>
    </w:p>
    <w:p w:rsidR="00012B21" w:rsidRPr="0024169C" w:rsidRDefault="00012B21" w:rsidP="00012B21">
      <w:pPr>
        <w:pStyle w:val="CGCNumberedPara"/>
        <w:numPr>
          <w:ilvl w:val="1"/>
          <w:numId w:val="12"/>
        </w:numPr>
      </w:pPr>
      <w:r w:rsidRPr="0024169C">
        <w:t>Staff consider that a common SES grouping should be applied within the Justice assessment, for both Indigenous and non-Indigenous people, and across the police, courts and prisons category components. This avoids overcomplicating the assessment and makes analysis of results simpler. On balance, staff propose recommending that the Commission change to a grouping comprising the two most disadvantaged quintiles, the middle quintile, and the two least disadvantaged quintiles.</w:t>
      </w:r>
    </w:p>
    <w:p w:rsidR="001E4238" w:rsidRDefault="001E4238" w:rsidP="001E4238">
      <w:pPr>
        <w:pStyle w:val="CGCNumberedPara"/>
        <w:numPr>
          <w:ilvl w:val="1"/>
          <w:numId w:val="12"/>
        </w:numPr>
      </w:pPr>
      <w:r>
        <w:fldChar w:fldCharType="begin"/>
      </w:r>
      <w:r>
        <w:instrText xml:space="preserve"> REF _Ref395108975 \h </w:instrText>
      </w:r>
      <w:r>
        <w:fldChar w:fldCharType="separate"/>
      </w:r>
      <w:r w:rsidR="0040671D">
        <w:t xml:space="preserve">Table </w:t>
      </w:r>
      <w:r w:rsidR="0040671D">
        <w:rPr>
          <w:noProof/>
        </w:rPr>
        <w:t>5</w:t>
      </w:r>
      <w:r>
        <w:fldChar w:fldCharType="end"/>
      </w:r>
      <w:r>
        <w:t xml:space="preserve"> shows the weights applied in the 2010 Review </w:t>
      </w:r>
      <w:r w:rsidR="00490025">
        <w:t xml:space="preserve">(using SEIFA) </w:t>
      </w:r>
      <w:r>
        <w:t>along with the proposed weights to be applied in the 2015 Review</w:t>
      </w:r>
      <w:r w:rsidR="00490025">
        <w:t xml:space="preserve"> (using IRSEO and NISEIFA)</w:t>
      </w:r>
      <w:r>
        <w:t>.</w:t>
      </w:r>
    </w:p>
    <w:p w:rsidR="00EA09EC" w:rsidRDefault="00EA09EC" w:rsidP="00EA09EC">
      <w:pPr>
        <w:pStyle w:val="CGCNumberedPara"/>
        <w:numPr>
          <w:ilvl w:val="1"/>
          <w:numId w:val="12"/>
        </w:numPr>
      </w:pPr>
      <w:r w:rsidRPr="00EA09EC">
        <w:rPr>
          <w:rStyle w:val="Heading6Char"/>
        </w:rPr>
        <w:t>Discounts.</w:t>
      </w:r>
      <w:r>
        <w:t xml:space="preserve"> While the State provided data are more timely, and arguably more comprehensive, than the AIC 2007 data used in the 2010 Review, staff propose continuing to apply a 25% discount to the SDC use weights in specialised policing. This is because the State data do not provide any further clarity as to how well offender incidents measure relative police workloads.</w:t>
      </w:r>
    </w:p>
    <w:p w:rsidR="001E4238" w:rsidRDefault="001E4238" w:rsidP="001E4238">
      <w:pPr>
        <w:pStyle w:val="Caption"/>
      </w:pPr>
      <w:bookmarkStart w:id="55" w:name="_Ref395108975"/>
      <w:r>
        <w:lastRenderedPageBreak/>
        <w:t xml:space="preserve">Table </w:t>
      </w:r>
      <w:fldSimple w:instr=" SEQ Table \* ARABIC ">
        <w:r w:rsidR="0040671D">
          <w:rPr>
            <w:noProof/>
          </w:rPr>
          <w:t>5</w:t>
        </w:r>
      </w:fldSimple>
      <w:bookmarkEnd w:id="55"/>
      <w:r>
        <w:tab/>
        <w:t>SES weights for police</w:t>
      </w:r>
      <w:r w:rsidR="004279E8">
        <w:t>, 2010 and 2015 Review data</w:t>
      </w:r>
    </w:p>
    <w:tbl>
      <w:tblPr>
        <w:tblW w:w="8960" w:type="dxa"/>
        <w:tblCellMar>
          <w:left w:w="0" w:type="dxa"/>
          <w:right w:w="0" w:type="dxa"/>
        </w:tblCellMar>
        <w:tblLook w:val="04A0" w:firstRow="1" w:lastRow="0" w:firstColumn="1" w:lastColumn="0" w:noHBand="0" w:noVBand="1"/>
      </w:tblPr>
      <w:tblGrid>
        <w:gridCol w:w="2160"/>
        <w:gridCol w:w="2400"/>
        <w:gridCol w:w="2200"/>
        <w:gridCol w:w="2200"/>
      </w:tblGrid>
      <w:tr w:rsidR="001E4238" w:rsidTr="00CE44B6">
        <w:trPr>
          <w:trHeight w:val="375"/>
        </w:trPr>
        <w:tc>
          <w:tcPr>
            <w:tcW w:w="216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bookmarkStart w:id="56" w:name="RANGE!L11:O21"/>
            <w:r>
              <w:rPr>
                <w:rFonts w:ascii="Calibri" w:hAnsi="Calibri" w:cstheme="minorHAnsi"/>
                <w:sz w:val="20"/>
                <w:szCs w:val="20"/>
              </w:rPr>
              <w:t>Indigeneity</w:t>
            </w:r>
            <w:bookmarkEnd w:id="56"/>
          </w:p>
        </w:tc>
        <w:tc>
          <w:tcPr>
            <w:tcW w:w="240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SES</w:t>
            </w:r>
          </w:p>
        </w:tc>
        <w:tc>
          <w:tcPr>
            <w:tcW w:w="220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2010</w:t>
            </w:r>
          </w:p>
        </w:tc>
        <w:tc>
          <w:tcPr>
            <w:tcW w:w="220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2015</w:t>
            </w:r>
          </w:p>
        </w:tc>
      </w:tr>
      <w:tr w:rsidR="001E4238" w:rsidTr="00CE44B6">
        <w:trPr>
          <w:trHeight w:val="315"/>
        </w:trPr>
        <w:tc>
          <w:tcPr>
            <w:tcW w:w="216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cstheme="minorHAnsi"/>
                <w:sz w:val="20"/>
                <w:szCs w:val="20"/>
              </w:rPr>
              <w:t>Indigenous</w:t>
            </w:r>
          </w:p>
        </w:tc>
        <w:tc>
          <w:tcPr>
            <w:tcW w:w="24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Most disadvantaged</w:t>
            </w:r>
          </w:p>
        </w:tc>
        <w:tc>
          <w:tcPr>
            <w:tcW w:w="22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1.5</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BA5C1C" w:rsidP="00CE44B6">
            <w:pPr>
              <w:keepNext/>
              <w:jc w:val="right"/>
              <w:rPr>
                <w:rFonts w:ascii="Calibri" w:hAnsi="Calibri"/>
                <w:sz w:val="20"/>
                <w:szCs w:val="20"/>
              </w:rPr>
            </w:pPr>
            <w:r>
              <w:rPr>
                <w:rFonts w:ascii="Calibri" w:hAnsi="Calibri"/>
                <w:sz w:val="20"/>
                <w:szCs w:val="20"/>
              </w:rPr>
              <w:t>1.0</w:t>
            </w:r>
          </w:p>
        </w:tc>
      </w:tr>
      <w:tr w:rsidR="001E4238" w:rsidTr="00CE44B6">
        <w:trPr>
          <w:trHeight w:val="315"/>
        </w:trPr>
        <w:tc>
          <w:tcPr>
            <w:tcW w:w="216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cstheme="minorHAnsi"/>
                <w:sz w:val="20"/>
                <w:szCs w:val="20"/>
              </w:rPr>
              <w:t>Indigenous</w:t>
            </w:r>
          </w:p>
        </w:tc>
        <w:tc>
          <w:tcPr>
            <w:tcW w:w="24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2nd most disadvantaged</w:t>
            </w:r>
          </w:p>
        </w:tc>
        <w:tc>
          <w:tcPr>
            <w:tcW w:w="22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BA5C1C" w:rsidP="00CE44B6">
            <w:pPr>
              <w:keepNext/>
              <w:jc w:val="right"/>
              <w:rPr>
                <w:rFonts w:ascii="Calibri" w:hAnsi="Calibri"/>
                <w:sz w:val="20"/>
                <w:szCs w:val="20"/>
              </w:rPr>
            </w:pPr>
            <w:r>
              <w:rPr>
                <w:rFonts w:ascii="Calibri" w:hAnsi="Calibri"/>
                <w:sz w:val="20"/>
                <w:szCs w:val="20"/>
              </w:rPr>
              <w:t>1.0</w:t>
            </w:r>
          </w:p>
        </w:tc>
      </w:tr>
      <w:tr w:rsidR="001E4238" w:rsidTr="00CE44B6">
        <w:trPr>
          <w:trHeight w:val="315"/>
        </w:trPr>
        <w:tc>
          <w:tcPr>
            <w:tcW w:w="216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cstheme="minorHAnsi"/>
                <w:sz w:val="20"/>
                <w:szCs w:val="20"/>
              </w:rPr>
              <w:t>Indigenous</w:t>
            </w:r>
          </w:p>
        </w:tc>
        <w:tc>
          <w:tcPr>
            <w:tcW w:w="24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Middle quintile</w:t>
            </w:r>
          </w:p>
        </w:tc>
        <w:tc>
          <w:tcPr>
            <w:tcW w:w="22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1.0</w:t>
            </w:r>
          </w:p>
        </w:tc>
      </w:tr>
      <w:tr w:rsidR="001E4238" w:rsidTr="00CE44B6">
        <w:trPr>
          <w:trHeight w:val="315"/>
        </w:trPr>
        <w:tc>
          <w:tcPr>
            <w:tcW w:w="216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cstheme="minorHAnsi"/>
                <w:sz w:val="20"/>
                <w:szCs w:val="20"/>
              </w:rPr>
              <w:t>Indigenous</w:t>
            </w:r>
          </w:p>
        </w:tc>
        <w:tc>
          <w:tcPr>
            <w:tcW w:w="24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2nd least disadvantaged</w:t>
            </w:r>
          </w:p>
        </w:tc>
        <w:tc>
          <w:tcPr>
            <w:tcW w:w="22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BA5C1C" w:rsidP="00CE44B6">
            <w:pPr>
              <w:keepNext/>
              <w:jc w:val="right"/>
              <w:rPr>
                <w:rFonts w:ascii="Calibri" w:hAnsi="Calibri"/>
                <w:sz w:val="20"/>
                <w:szCs w:val="20"/>
              </w:rPr>
            </w:pPr>
            <w:r>
              <w:rPr>
                <w:rFonts w:ascii="Calibri" w:hAnsi="Calibri"/>
                <w:sz w:val="20"/>
                <w:szCs w:val="20"/>
              </w:rPr>
              <w:t>0.6</w:t>
            </w:r>
          </w:p>
        </w:tc>
      </w:tr>
      <w:tr w:rsidR="001E4238" w:rsidTr="00CE44B6">
        <w:trPr>
          <w:trHeight w:val="315"/>
        </w:trPr>
        <w:tc>
          <w:tcPr>
            <w:tcW w:w="216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cstheme="minorHAnsi"/>
                <w:sz w:val="20"/>
                <w:szCs w:val="20"/>
              </w:rPr>
              <w:t>Indigenous</w:t>
            </w:r>
          </w:p>
        </w:tc>
        <w:tc>
          <w:tcPr>
            <w:tcW w:w="24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Least disadvantaged</w:t>
            </w:r>
          </w:p>
        </w:tc>
        <w:tc>
          <w:tcPr>
            <w:tcW w:w="22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0.7</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BA5C1C" w:rsidP="00CE44B6">
            <w:pPr>
              <w:keepNext/>
              <w:jc w:val="right"/>
              <w:rPr>
                <w:rFonts w:ascii="Calibri" w:hAnsi="Calibri"/>
                <w:sz w:val="20"/>
                <w:szCs w:val="20"/>
              </w:rPr>
            </w:pPr>
            <w:r>
              <w:rPr>
                <w:rFonts w:ascii="Calibri" w:hAnsi="Calibri"/>
                <w:sz w:val="20"/>
                <w:szCs w:val="20"/>
              </w:rPr>
              <w:t>0.6</w:t>
            </w:r>
          </w:p>
        </w:tc>
      </w:tr>
      <w:tr w:rsidR="001E4238" w:rsidTr="00CE44B6">
        <w:trPr>
          <w:trHeight w:val="315"/>
        </w:trPr>
        <w:tc>
          <w:tcPr>
            <w:tcW w:w="216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cstheme="minorHAnsi"/>
                <w:sz w:val="20"/>
                <w:szCs w:val="20"/>
              </w:rPr>
              <w:t>Non-Indigenous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Most disadvantaged</w:t>
            </w:r>
          </w:p>
        </w:tc>
        <w:tc>
          <w:tcPr>
            <w:tcW w:w="22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1.5</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1.3</w:t>
            </w:r>
          </w:p>
        </w:tc>
      </w:tr>
      <w:tr w:rsidR="001E4238" w:rsidTr="00CE44B6">
        <w:trPr>
          <w:trHeight w:val="315"/>
        </w:trPr>
        <w:tc>
          <w:tcPr>
            <w:tcW w:w="216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cstheme="minorHAnsi"/>
                <w:sz w:val="20"/>
                <w:szCs w:val="20"/>
              </w:rPr>
              <w:t>Non-Indigenous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2nd most disadvantaged</w:t>
            </w:r>
          </w:p>
        </w:tc>
        <w:tc>
          <w:tcPr>
            <w:tcW w:w="22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1.3</w:t>
            </w:r>
          </w:p>
        </w:tc>
      </w:tr>
      <w:tr w:rsidR="001E4238" w:rsidTr="00CE44B6">
        <w:trPr>
          <w:trHeight w:val="315"/>
        </w:trPr>
        <w:tc>
          <w:tcPr>
            <w:tcW w:w="216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cstheme="minorHAnsi"/>
                <w:sz w:val="20"/>
                <w:szCs w:val="20"/>
              </w:rPr>
              <w:t>Non-Indigenous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Middle quintile</w:t>
            </w:r>
          </w:p>
        </w:tc>
        <w:tc>
          <w:tcPr>
            <w:tcW w:w="22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1.0</w:t>
            </w:r>
          </w:p>
        </w:tc>
      </w:tr>
      <w:tr w:rsidR="001E4238" w:rsidTr="00CE44B6">
        <w:trPr>
          <w:trHeight w:val="315"/>
        </w:trPr>
        <w:tc>
          <w:tcPr>
            <w:tcW w:w="216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cstheme="minorHAnsi"/>
                <w:sz w:val="20"/>
                <w:szCs w:val="20"/>
              </w:rPr>
              <w:t>Non-Indigenous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2nd least disadvantaged</w:t>
            </w:r>
          </w:p>
        </w:tc>
        <w:tc>
          <w:tcPr>
            <w:tcW w:w="2200" w:type="dxa"/>
            <w:tcBorders>
              <w:top w:val="nil"/>
              <w:left w:val="nil"/>
              <w:bottom w:val="nil"/>
              <w:right w:val="nil"/>
            </w:tcBorders>
            <w:shd w:val="clear" w:color="auto" w:fill="auto"/>
            <w:tcMar>
              <w:top w:w="0"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0.7</w:t>
            </w:r>
          </w:p>
        </w:tc>
      </w:tr>
      <w:tr w:rsidR="001E4238" w:rsidTr="00CE44B6">
        <w:trPr>
          <w:trHeight w:val="315"/>
        </w:trPr>
        <w:tc>
          <w:tcPr>
            <w:tcW w:w="216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cstheme="minorHAnsi"/>
                <w:sz w:val="20"/>
                <w:szCs w:val="20"/>
              </w:rPr>
              <w:t>Non-Indigenous</w:t>
            </w:r>
          </w:p>
        </w:tc>
        <w:tc>
          <w:tcPr>
            <w:tcW w:w="240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Least disadvantaged</w:t>
            </w:r>
          </w:p>
        </w:tc>
        <w:tc>
          <w:tcPr>
            <w:tcW w:w="220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0.7</w:t>
            </w:r>
          </w:p>
        </w:tc>
        <w:tc>
          <w:tcPr>
            <w:tcW w:w="220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0.7</w:t>
            </w:r>
          </w:p>
        </w:tc>
      </w:tr>
    </w:tbl>
    <w:p w:rsidR="001E4238" w:rsidRDefault="001E4238" w:rsidP="001E4238">
      <w:pPr>
        <w:pStyle w:val="CGCTableFootnote"/>
        <w:keepNext/>
      </w:pPr>
      <w:r>
        <w:t>Source:</w:t>
      </w:r>
      <w:r>
        <w:tab/>
        <w:t>Commission calculation.</w:t>
      </w:r>
      <w:r>
        <w:tab/>
      </w:r>
    </w:p>
    <w:p w:rsidR="001E4238" w:rsidRDefault="001E4238" w:rsidP="001E4238">
      <w:pPr>
        <w:pStyle w:val="Single"/>
        <w:keepNext/>
      </w:pPr>
    </w:p>
    <w:p w:rsidR="001E4238" w:rsidRDefault="001E4238" w:rsidP="001E4238">
      <w:pPr>
        <w:pStyle w:val="Heading5"/>
      </w:pPr>
      <w:r>
        <w:t>Criminal courts</w:t>
      </w:r>
    </w:p>
    <w:p w:rsidR="001E4238" w:rsidRDefault="001E4238" w:rsidP="001E4238">
      <w:pPr>
        <w:pStyle w:val="CGCNumberedPara"/>
        <w:numPr>
          <w:ilvl w:val="1"/>
          <w:numId w:val="12"/>
        </w:numPr>
      </w:pPr>
      <w:r>
        <w:t>New South Wales, Queensland, South Australia and the Northern Territory have provided data on criminal court defendants by age, sex, Indigenous status and location for the years 2010-11 to 2012-13.</w:t>
      </w:r>
    </w:p>
    <w:p w:rsidR="001E4238" w:rsidRDefault="001E4238" w:rsidP="001E4238">
      <w:pPr>
        <w:pStyle w:val="CGCNumberedPara"/>
        <w:numPr>
          <w:ilvl w:val="1"/>
          <w:numId w:val="12"/>
        </w:numPr>
      </w:pPr>
      <w:r>
        <w:fldChar w:fldCharType="begin"/>
      </w:r>
      <w:r>
        <w:instrText xml:space="preserve"> REF _Ref395166641 \h </w:instrText>
      </w:r>
      <w:r>
        <w:fldChar w:fldCharType="separate"/>
      </w:r>
      <w:r w:rsidR="0040671D">
        <w:t xml:space="preserve">Table </w:t>
      </w:r>
      <w:r w:rsidR="0040671D">
        <w:rPr>
          <w:noProof/>
        </w:rPr>
        <w:t>6</w:t>
      </w:r>
      <w:r>
        <w:fldChar w:fldCharType="end"/>
      </w:r>
      <w:r>
        <w:t xml:space="preserve"> shows the distribution of Indigenous defendants indicated by the more recent data compared with the data used in the 2010 Review. The distribution is broadly similar for the two periods. The data suggests that the proportion of Indigenous defendants has increased slightly.</w:t>
      </w:r>
    </w:p>
    <w:p w:rsidR="001E4238" w:rsidRDefault="001E4238" w:rsidP="001E4238">
      <w:pPr>
        <w:pStyle w:val="CGCNumberedPara"/>
        <w:numPr>
          <w:ilvl w:val="1"/>
          <w:numId w:val="12"/>
        </w:numPr>
      </w:pPr>
      <w:r>
        <w:t>We intend to use the more recent data to inform the Indigenous use weights for the criminal courts assessment.</w:t>
      </w:r>
    </w:p>
    <w:p w:rsidR="00EA09EC" w:rsidRDefault="00EA09EC" w:rsidP="00EA09EC">
      <w:pPr>
        <w:pStyle w:val="CGCNumberedPara"/>
        <w:numPr>
          <w:ilvl w:val="1"/>
          <w:numId w:val="12"/>
        </w:numPr>
      </w:pPr>
      <w:r w:rsidRPr="00EA09EC">
        <w:rPr>
          <w:rStyle w:val="Heading6Char"/>
        </w:rPr>
        <w:t>Socio-economic status.</w:t>
      </w:r>
      <w:r w:rsidRPr="005A31B6">
        <w:t xml:space="preserve"> States also provided data on the location of defendants. These data enable us to determine if the use of court services by SES differs to the use of police services. This was not possible in the 2010 Review, and the same SES groupings and weights were applied to courts and prisons, as were applied to police.</w:t>
      </w:r>
    </w:p>
    <w:p w:rsidR="00EA09EC" w:rsidRDefault="00EA09EC" w:rsidP="00EA09EC">
      <w:pPr>
        <w:pStyle w:val="CGCNumberedPara"/>
      </w:pPr>
      <w:r w:rsidRPr="0024169C">
        <w:t>The SES gradients based upon State provided defendants data for the years 2010</w:t>
      </w:r>
      <w:r w:rsidRPr="0024169C">
        <w:noBreakHyphen/>
        <w:t>11 to 2012</w:t>
      </w:r>
      <w:r w:rsidRPr="0024169C">
        <w:noBreakHyphen/>
      </w:r>
      <w:r>
        <w:t>13, for both Indigenous and non-</w:t>
      </w:r>
      <w:r w:rsidRPr="0024169C">
        <w:t xml:space="preserve">Indigenous people, are shown in </w:t>
      </w:r>
      <w:r w:rsidRPr="0024169C">
        <w:fldChar w:fldCharType="begin"/>
      </w:r>
      <w:r w:rsidRPr="0024169C">
        <w:instrText xml:space="preserve"> REF _Ref395683528 \h  \* MERGEFORMAT </w:instrText>
      </w:r>
      <w:r w:rsidRPr="0024169C">
        <w:fldChar w:fldCharType="separate"/>
      </w:r>
      <w:r w:rsidR="0040671D" w:rsidRPr="0024169C">
        <w:t xml:space="preserve">Figure </w:t>
      </w:r>
      <w:r w:rsidR="0040671D">
        <w:rPr>
          <w:noProof/>
        </w:rPr>
        <w:t>3</w:t>
      </w:r>
      <w:r w:rsidRPr="0024169C">
        <w:fldChar w:fldCharType="end"/>
      </w:r>
      <w:r w:rsidRPr="0024169C">
        <w:t xml:space="preserve"> below.</w:t>
      </w:r>
      <w:r w:rsidRPr="00017978">
        <w:t xml:space="preserve"> </w:t>
      </w:r>
    </w:p>
    <w:p w:rsidR="001E4238" w:rsidRDefault="001E4238" w:rsidP="001E4238">
      <w:pPr>
        <w:pStyle w:val="Caption"/>
      </w:pPr>
      <w:bookmarkStart w:id="57" w:name="_Ref395166641"/>
      <w:r>
        <w:lastRenderedPageBreak/>
        <w:t xml:space="preserve">Table </w:t>
      </w:r>
      <w:fldSimple w:instr=" SEQ Table \* ARABIC ">
        <w:r w:rsidR="0040671D">
          <w:rPr>
            <w:noProof/>
          </w:rPr>
          <w:t>6</w:t>
        </w:r>
      </w:fldSimple>
      <w:bookmarkEnd w:id="57"/>
      <w:r>
        <w:tab/>
        <w:t>Proportions of Indigenous defendants by age and sex, 2010 and 2015 Review data</w:t>
      </w:r>
    </w:p>
    <w:tbl>
      <w:tblPr>
        <w:tblW w:w="8940" w:type="dxa"/>
        <w:tblCellMar>
          <w:left w:w="0" w:type="dxa"/>
          <w:right w:w="0" w:type="dxa"/>
        </w:tblCellMar>
        <w:tblLook w:val="04A0" w:firstRow="1" w:lastRow="0" w:firstColumn="1" w:lastColumn="0" w:noHBand="0" w:noVBand="1"/>
      </w:tblPr>
      <w:tblGrid>
        <w:gridCol w:w="2440"/>
        <w:gridCol w:w="1660"/>
        <w:gridCol w:w="1600"/>
        <w:gridCol w:w="1620"/>
        <w:gridCol w:w="1620"/>
      </w:tblGrid>
      <w:tr w:rsidR="001E4238" w:rsidTr="00CE44B6">
        <w:trPr>
          <w:trHeight w:val="375"/>
        </w:trPr>
        <w:tc>
          <w:tcPr>
            <w:tcW w:w="244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sz w:val="20"/>
                <w:szCs w:val="20"/>
              </w:rPr>
            </w:pPr>
            <w:bookmarkStart w:id="58" w:name="RANGE!Q25:U38"/>
            <w:bookmarkStart w:id="59" w:name="RANGE!Q25:U36"/>
            <w:bookmarkEnd w:id="58"/>
            <w:r>
              <w:rPr>
                <w:rFonts w:ascii="Calibri" w:hAnsi="Calibri"/>
                <w:sz w:val="20"/>
                <w:szCs w:val="20"/>
              </w:rPr>
              <w:t>Indigeneity</w:t>
            </w:r>
            <w:bookmarkEnd w:id="59"/>
          </w:p>
        </w:tc>
        <w:tc>
          <w:tcPr>
            <w:tcW w:w="16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E4238" w:rsidRDefault="001E4238" w:rsidP="0050228E">
            <w:pPr>
              <w:keepNext/>
              <w:rPr>
                <w:rFonts w:ascii="Calibri" w:hAnsi="Calibri"/>
                <w:sz w:val="20"/>
                <w:szCs w:val="20"/>
              </w:rPr>
            </w:pPr>
            <w:r>
              <w:rPr>
                <w:rFonts w:ascii="Calibri" w:hAnsi="Calibri"/>
                <w:sz w:val="20"/>
                <w:szCs w:val="20"/>
              </w:rPr>
              <w:t>Sex</w:t>
            </w:r>
          </w:p>
        </w:tc>
        <w:tc>
          <w:tcPr>
            <w:tcW w:w="160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E4238" w:rsidRDefault="001E4238" w:rsidP="0050228E">
            <w:pPr>
              <w:keepNext/>
              <w:rPr>
                <w:rFonts w:ascii="Calibri" w:hAnsi="Calibri"/>
                <w:sz w:val="20"/>
                <w:szCs w:val="20"/>
              </w:rPr>
            </w:pPr>
            <w:r>
              <w:rPr>
                <w:rFonts w:ascii="Calibri" w:hAnsi="Calibri"/>
                <w:sz w:val="20"/>
                <w:szCs w:val="20"/>
              </w:rPr>
              <w:t>Age</w:t>
            </w:r>
          </w:p>
        </w:tc>
        <w:tc>
          <w:tcPr>
            <w:tcW w:w="162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2010</w:t>
            </w:r>
          </w:p>
        </w:tc>
        <w:tc>
          <w:tcPr>
            <w:tcW w:w="162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cstheme="minorHAnsi"/>
                <w:sz w:val="20"/>
                <w:szCs w:val="20"/>
              </w:rPr>
              <w:t>2015</w:t>
            </w:r>
          </w:p>
        </w:tc>
      </w:tr>
      <w:tr w:rsidR="001E4238" w:rsidTr="00CE44B6">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w:t>
            </w:r>
          </w:p>
        </w:tc>
      </w:tr>
      <w:tr w:rsidR="001E4238" w:rsidTr="00CE44B6">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Indigenous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Females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0.1</w:t>
            </w:r>
          </w:p>
        </w:tc>
      </w:tr>
      <w:tr w:rsidR="001E4238" w:rsidTr="00CE44B6">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Indigenous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Females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15-34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3.1</w:t>
            </w:r>
          </w:p>
        </w:tc>
      </w:tr>
      <w:tr w:rsidR="001E4238" w:rsidTr="00CE44B6">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Indigenous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Females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1.6</w:t>
            </w:r>
          </w:p>
        </w:tc>
      </w:tr>
      <w:tr w:rsidR="001E4238" w:rsidTr="00CE44B6">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Indigenous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Males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0.4</w:t>
            </w:r>
          </w:p>
        </w:tc>
      </w:tr>
      <w:tr w:rsidR="001E4238" w:rsidTr="00CE44B6">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Indigenous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Males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15-34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8.4</w:t>
            </w:r>
          </w:p>
        </w:tc>
      </w:tr>
      <w:tr w:rsidR="001E4238" w:rsidTr="00CE44B6">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Indigenous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Males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3.2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3.9</w:t>
            </w:r>
          </w:p>
        </w:tc>
      </w:tr>
      <w:tr w:rsidR="001E4238" w:rsidTr="00CE44B6">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Non-Indigenous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Females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0.1</w:t>
            </w:r>
          </w:p>
        </w:tc>
      </w:tr>
      <w:tr w:rsidR="001E4238" w:rsidTr="00CE44B6">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Non-Indigenous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Females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15-34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9.5</w:t>
            </w:r>
          </w:p>
        </w:tc>
      </w:tr>
      <w:tr w:rsidR="001E4238" w:rsidTr="00CE44B6">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Non-Indigenous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Females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6.7</w:t>
            </w:r>
          </w:p>
        </w:tc>
      </w:tr>
      <w:tr w:rsidR="001E4238" w:rsidTr="00CE44B6">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Non-Indigenous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Males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0.4</w:t>
            </w:r>
          </w:p>
        </w:tc>
      </w:tr>
      <w:tr w:rsidR="001E4238" w:rsidTr="00CE44B6">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Non-Indigenous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Males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15-34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44.6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40.5</w:t>
            </w:r>
          </w:p>
        </w:tc>
      </w:tr>
      <w:tr w:rsidR="001E4238" w:rsidTr="00CE44B6">
        <w:trPr>
          <w:trHeight w:val="315"/>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Non-Indigenous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Males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E4238" w:rsidRDefault="001E4238" w:rsidP="00CE44B6">
            <w:pPr>
              <w:keepNex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23.1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25.2</w:t>
            </w:r>
          </w:p>
        </w:tc>
      </w:tr>
    </w:tbl>
    <w:p w:rsidR="001E4238" w:rsidRDefault="001E4238" w:rsidP="001E4238">
      <w:pPr>
        <w:pStyle w:val="CGCTableFootnote"/>
        <w:keepNext/>
      </w:pPr>
      <w:r>
        <w:t>Source:</w:t>
      </w:r>
      <w:r>
        <w:tab/>
        <w:t>Commission calculation, using State provided data.</w:t>
      </w:r>
      <w:r>
        <w:tab/>
      </w:r>
    </w:p>
    <w:p w:rsidR="001E4238" w:rsidRDefault="001E4238" w:rsidP="001E4238">
      <w:pPr>
        <w:rPr>
          <w:b/>
        </w:rPr>
      </w:pPr>
    </w:p>
    <w:p w:rsidR="00017978" w:rsidRPr="0024169C" w:rsidRDefault="00017978" w:rsidP="00017978">
      <w:pPr>
        <w:pStyle w:val="CGCNumberedPara"/>
      </w:pPr>
      <w:r w:rsidRPr="0024169C">
        <w:fldChar w:fldCharType="begin"/>
      </w:r>
      <w:r w:rsidRPr="0024169C">
        <w:instrText xml:space="preserve"> REF _Ref395683528 \h  \* MERGEFORMAT </w:instrText>
      </w:r>
      <w:r w:rsidRPr="0024169C">
        <w:fldChar w:fldCharType="separate"/>
      </w:r>
      <w:r w:rsidR="0040671D" w:rsidRPr="0024169C">
        <w:t xml:space="preserve">Figure </w:t>
      </w:r>
      <w:r w:rsidR="0040671D">
        <w:rPr>
          <w:noProof/>
        </w:rPr>
        <w:t>3</w:t>
      </w:r>
      <w:r w:rsidRPr="0024169C">
        <w:fldChar w:fldCharType="end"/>
      </w:r>
      <w:r w:rsidRPr="0024169C">
        <w:t xml:space="preserve"> shows that the 2nd most disadvantaged quintile is closer to the middle quintile than the most disadvantaged quintile. However, as only four States provided Indigenous defendant data, compared with seven providing Indigenous offender data, staff do not consider this compelling evidence to change the SES groupings applied in police.</w:t>
      </w:r>
    </w:p>
    <w:p w:rsidR="00017978" w:rsidRDefault="00017978" w:rsidP="00017978">
      <w:pPr>
        <w:pStyle w:val="CGCNumberedPara"/>
      </w:pPr>
      <w:r>
        <w:fldChar w:fldCharType="begin"/>
      </w:r>
      <w:r>
        <w:instrText xml:space="preserve"> REF _Ref395166804 \h </w:instrText>
      </w:r>
      <w:r>
        <w:fldChar w:fldCharType="separate"/>
      </w:r>
      <w:r w:rsidR="0040671D">
        <w:t xml:space="preserve">Table </w:t>
      </w:r>
      <w:r w:rsidR="0040671D">
        <w:rPr>
          <w:noProof/>
        </w:rPr>
        <w:t>7</w:t>
      </w:r>
      <w:r>
        <w:fldChar w:fldCharType="end"/>
      </w:r>
      <w:r>
        <w:t xml:space="preserve"> shows the weights applied in the 2010 Review with the proposed weights to be applied in the 2015 Review. The weights are slightly different to those proposed for specialised policing, but use the same grouping of SES quintiles.</w:t>
      </w:r>
    </w:p>
    <w:p w:rsidR="005A31B6" w:rsidRPr="0024169C" w:rsidRDefault="005A31B6" w:rsidP="005A31B6">
      <w:pPr>
        <w:pStyle w:val="Caption"/>
      </w:pPr>
      <w:bookmarkStart w:id="60" w:name="_Ref395683528"/>
      <w:r w:rsidRPr="0024169C">
        <w:lastRenderedPageBreak/>
        <w:t xml:space="preserve">Figure </w:t>
      </w:r>
      <w:fldSimple w:instr=" SEQ Figure \* ARABIC ">
        <w:r w:rsidR="0040671D">
          <w:rPr>
            <w:noProof/>
          </w:rPr>
          <w:t>3</w:t>
        </w:r>
      </w:fldSimple>
      <w:bookmarkEnd w:id="60"/>
      <w:r w:rsidRPr="0024169C">
        <w:tab/>
        <w:t>SES defendant rates relative to middle quintile, 2015 Review data</w:t>
      </w:r>
    </w:p>
    <w:p w:rsidR="005A31B6" w:rsidRPr="0024169C" w:rsidRDefault="005A31B6" w:rsidP="005A31B6">
      <w:pPr>
        <w:pStyle w:val="CGCNumberedPara"/>
        <w:numPr>
          <w:ilvl w:val="0"/>
          <w:numId w:val="0"/>
        </w:numPr>
      </w:pPr>
      <w:r w:rsidRPr="0024169C">
        <w:rPr>
          <w:noProof/>
          <w:lang w:eastAsia="en-AU"/>
        </w:rPr>
        <w:drawing>
          <wp:inline distT="0" distB="0" distL="0" distR="0" wp14:anchorId="0BC7D34F" wp14:editId="0C023F44">
            <wp:extent cx="5648325" cy="35623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8325" cy="3562350"/>
                    </a:xfrm>
                    <a:prstGeom prst="rect">
                      <a:avLst/>
                    </a:prstGeom>
                    <a:noFill/>
                    <a:ln>
                      <a:noFill/>
                    </a:ln>
                  </pic:spPr>
                </pic:pic>
              </a:graphicData>
            </a:graphic>
          </wp:inline>
        </w:drawing>
      </w:r>
    </w:p>
    <w:p w:rsidR="005A31B6" w:rsidRPr="0024169C" w:rsidRDefault="005A31B6" w:rsidP="005A31B6">
      <w:pPr>
        <w:pStyle w:val="CGCTableFootnote"/>
      </w:pPr>
      <w:r w:rsidRPr="0024169C">
        <w:t>Source: Commission calculation using State provided data.</w:t>
      </w:r>
    </w:p>
    <w:p w:rsidR="001E4238" w:rsidRDefault="001E4238" w:rsidP="001E4238">
      <w:pPr>
        <w:pStyle w:val="Caption"/>
      </w:pPr>
      <w:bookmarkStart w:id="61" w:name="_Ref395166804"/>
      <w:r>
        <w:t xml:space="preserve">Table </w:t>
      </w:r>
      <w:fldSimple w:instr=" SEQ Table \* ARABIC ">
        <w:r w:rsidR="0040671D">
          <w:rPr>
            <w:noProof/>
          </w:rPr>
          <w:t>7</w:t>
        </w:r>
      </w:fldSimple>
      <w:bookmarkEnd w:id="61"/>
      <w:r>
        <w:tab/>
        <w:t>SES weights for courts and prisons</w:t>
      </w:r>
      <w:r w:rsidR="004279E8">
        <w:t>, 2010 and 2015 Review data</w:t>
      </w:r>
    </w:p>
    <w:tbl>
      <w:tblPr>
        <w:tblW w:w="8960" w:type="dxa"/>
        <w:tblCellMar>
          <w:left w:w="0" w:type="dxa"/>
          <w:right w:w="0" w:type="dxa"/>
        </w:tblCellMar>
        <w:tblLook w:val="04A0" w:firstRow="1" w:lastRow="0" w:firstColumn="1" w:lastColumn="0" w:noHBand="0" w:noVBand="1"/>
      </w:tblPr>
      <w:tblGrid>
        <w:gridCol w:w="2160"/>
        <w:gridCol w:w="2400"/>
        <w:gridCol w:w="2200"/>
        <w:gridCol w:w="2200"/>
      </w:tblGrid>
      <w:tr w:rsidR="001E4238" w:rsidTr="00CE44B6">
        <w:trPr>
          <w:trHeight w:val="375"/>
        </w:trPr>
        <w:tc>
          <w:tcPr>
            <w:tcW w:w="216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sz w:val="20"/>
                <w:szCs w:val="20"/>
              </w:rPr>
              <w:t>Indigeneity</w:t>
            </w:r>
          </w:p>
        </w:tc>
        <w:tc>
          <w:tcPr>
            <w:tcW w:w="240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SES</w:t>
            </w:r>
          </w:p>
        </w:tc>
        <w:tc>
          <w:tcPr>
            <w:tcW w:w="220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2010</w:t>
            </w:r>
          </w:p>
        </w:tc>
        <w:tc>
          <w:tcPr>
            <w:tcW w:w="220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2015</w:t>
            </w:r>
          </w:p>
        </w:tc>
      </w:tr>
      <w:tr w:rsidR="001E4238" w:rsidTr="00CE44B6">
        <w:trPr>
          <w:trHeight w:val="315"/>
        </w:trPr>
        <w:tc>
          <w:tcPr>
            <w:tcW w:w="216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sz w:val="20"/>
                <w:szCs w:val="20"/>
              </w:rPr>
              <w:t>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Most disadvantaged</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1.5</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1.1</w:t>
            </w:r>
          </w:p>
        </w:tc>
      </w:tr>
      <w:tr w:rsidR="001E4238" w:rsidTr="00CE44B6">
        <w:trPr>
          <w:trHeight w:val="315"/>
        </w:trPr>
        <w:tc>
          <w:tcPr>
            <w:tcW w:w="216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sz w:val="20"/>
                <w:szCs w:val="20"/>
              </w:rPr>
              <w:t>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2nd most disadvantaged</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1.1</w:t>
            </w:r>
          </w:p>
        </w:tc>
      </w:tr>
      <w:tr w:rsidR="001E4238" w:rsidTr="00CE44B6">
        <w:trPr>
          <w:trHeight w:val="315"/>
        </w:trPr>
        <w:tc>
          <w:tcPr>
            <w:tcW w:w="216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sz w:val="20"/>
                <w:szCs w:val="20"/>
              </w:rPr>
              <w:t>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Middle quintile</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1.0</w:t>
            </w:r>
          </w:p>
        </w:tc>
      </w:tr>
      <w:tr w:rsidR="001E4238" w:rsidTr="00CE44B6">
        <w:trPr>
          <w:trHeight w:val="315"/>
        </w:trPr>
        <w:tc>
          <w:tcPr>
            <w:tcW w:w="216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sz w:val="20"/>
                <w:szCs w:val="20"/>
              </w:rPr>
              <w:t>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2nd least disadvantaged</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0.6</w:t>
            </w:r>
          </w:p>
        </w:tc>
      </w:tr>
      <w:tr w:rsidR="001E4238" w:rsidTr="00CE44B6">
        <w:trPr>
          <w:trHeight w:val="315"/>
        </w:trPr>
        <w:tc>
          <w:tcPr>
            <w:tcW w:w="216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sz w:val="20"/>
                <w:szCs w:val="20"/>
              </w:rPr>
              <w:t>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Least disadvantaged</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0.7</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0.6</w:t>
            </w:r>
          </w:p>
        </w:tc>
      </w:tr>
      <w:tr w:rsidR="001E4238" w:rsidTr="00CE44B6">
        <w:trPr>
          <w:trHeight w:val="315"/>
        </w:trPr>
        <w:tc>
          <w:tcPr>
            <w:tcW w:w="216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sz w:val="20"/>
                <w:szCs w:val="20"/>
              </w:rPr>
              <w:t>Non-Indigenous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Most disadvantaged</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1.5</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1.2</w:t>
            </w:r>
          </w:p>
        </w:tc>
      </w:tr>
      <w:tr w:rsidR="001E4238" w:rsidTr="00CE44B6">
        <w:trPr>
          <w:trHeight w:val="315"/>
        </w:trPr>
        <w:tc>
          <w:tcPr>
            <w:tcW w:w="216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sz w:val="20"/>
                <w:szCs w:val="20"/>
              </w:rPr>
              <w:t>Non-Indigenous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2nd most disadvantaged</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1.2</w:t>
            </w:r>
          </w:p>
        </w:tc>
      </w:tr>
      <w:tr w:rsidR="001E4238" w:rsidTr="00CE44B6">
        <w:trPr>
          <w:trHeight w:val="315"/>
        </w:trPr>
        <w:tc>
          <w:tcPr>
            <w:tcW w:w="216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sz w:val="20"/>
                <w:szCs w:val="20"/>
              </w:rPr>
              <w:t>Non-Indigenous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Middle quintile</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1.0</w:t>
            </w:r>
          </w:p>
        </w:tc>
      </w:tr>
      <w:tr w:rsidR="001E4238" w:rsidTr="00CE44B6">
        <w:trPr>
          <w:trHeight w:val="315"/>
        </w:trPr>
        <w:tc>
          <w:tcPr>
            <w:tcW w:w="216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sz w:val="20"/>
                <w:szCs w:val="20"/>
              </w:rPr>
              <w:t>Non-Indigenous</w:t>
            </w:r>
          </w:p>
        </w:tc>
        <w:tc>
          <w:tcPr>
            <w:tcW w:w="24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2nd least disadvantaged</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1.0</w:t>
            </w:r>
          </w:p>
        </w:tc>
        <w:tc>
          <w:tcPr>
            <w:tcW w:w="2200" w:type="dxa"/>
            <w:tcBorders>
              <w:top w:val="nil"/>
              <w:left w:val="nil"/>
              <w:bottom w:val="nil"/>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0.6</w:t>
            </w:r>
          </w:p>
        </w:tc>
      </w:tr>
      <w:tr w:rsidR="001E4238" w:rsidTr="00CE44B6">
        <w:trPr>
          <w:trHeight w:val="315"/>
        </w:trPr>
        <w:tc>
          <w:tcPr>
            <w:tcW w:w="216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rPr>
                <w:rFonts w:ascii="Calibri" w:hAnsi="Calibri"/>
                <w:sz w:val="20"/>
                <w:szCs w:val="20"/>
              </w:rPr>
            </w:pPr>
            <w:r>
              <w:rPr>
                <w:rFonts w:ascii="Calibri" w:hAnsi="Calibri"/>
                <w:sz w:val="20"/>
                <w:szCs w:val="20"/>
              </w:rPr>
              <w:t>Non-Indigenous</w:t>
            </w:r>
          </w:p>
        </w:tc>
        <w:tc>
          <w:tcPr>
            <w:tcW w:w="240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Least disadvantaged</w:t>
            </w:r>
          </w:p>
        </w:tc>
        <w:tc>
          <w:tcPr>
            <w:tcW w:w="220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0.7</w:t>
            </w:r>
          </w:p>
        </w:tc>
        <w:tc>
          <w:tcPr>
            <w:tcW w:w="220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1E4238" w:rsidRDefault="001E4238" w:rsidP="00CE44B6">
            <w:pPr>
              <w:keepNext/>
              <w:jc w:val="right"/>
              <w:rPr>
                <w:rFonts w:ascii="Calibri" w:hAnsi="Calibri"/>
                <w:sz w:val="20"/>
                <w:szCs w:val="20"/>
              </w:rPr>
            </w:pPr>
            <w:r>
              <w:rPr>
                <w:rFonts w:ascii="Calibri" w:hAnsi="Calibri"/>
                <w:sz w:val="20"/>
                <w:szCs w:val="20"/>
              </w:rPr>
              <w:t>0.6</w:t>
            </w:r>
          </w:p>
        </w:tc>
      </w:tr>
    </w:tbl>
    <w:p w:rsidR="001E4238" w:rsidRDefault="001E4238" w:rsidP="001E4238">
      <w:pPr>
        <w:pStyle w:val="CGCTableFootnote"/>
        <w:keepNext/>
      </w:pPr>
      <w:r>
        <w:t>Source:</w:t>
      </w:r>
      <w:r>
        <w:tab/>
        <w:t>Commission calculation.</w:t>
      </w:r>
      <w:r>
        <w:tab/>
      </w:r>
    </w:p>
    <w:p w:rsidR="001E4238" w:rsidRDefault="001E4238" w:rsidP="001E4238">
      <w:pPr>
        <w:pStyle w:val="Heading5"/>
      </w:pPr>
      <w:r>
        <w:t>Prisons</w:t>
      </w:r>
    </w:p>
    <w:p w:rsidR="005A31B6" w:rsidRDefault="005A31B6" w:rsidP="005A31B6">
      <w:pPr>
        <w:pStyle w:val="CGCNumberedPara"/>
      </w:pPr>
      <w:r w:rsidRPr="005A31B6">
        <w:t>ABS data can continue to be used to identify Indigenous and non-Indigenous prisoners, as per the 2010 Review methodology</w:t>
      </w:r>
      <w:r>
        <w:t>.</w:t>
      </w:r>
    </w:p>
    <w:p w:rsidR="005A31B6" w:rsidRDefault="005A31B6" w:rsidP="005A31B6">
      <w:pPr>
        <w:pStyle w:val="CGCNumberedPara"/>
      </w:pPr>
      <w:r w:rsidRPr="005A31B6">
        <w:lastRenderedPageBreak/>
        <w:t>Staff consider that there are closer links between defendants and prisoners than offenders and prisoners, so propose recommending the Commission apply the courts SES weights in prisons.</w:t>
      </w:r>
    </w:p>
    <w:p w:rsidR="00C9618C" w:rsidRDefault="005A31B6" w:rsidP="005A31B6">
      <w:pPr>
        <w:pStyle w:val="CGCNumberedPara"/>
      </w:pPr>
      <w:r>
        <w:fldChar w:fldCharType="begin"/>
      </w:r>
      <w:r>
        <w:instrText xml:space="preserve"> REF _Ref395166804 \h </w:instrText>
      </w:r>
      <w:r>
        <w:fldChar w:fldCharType="separate"/>
      </w:r>
      <w:r w:rsidR="0040671D">
        <w:t xml:space="preserve">Table </w:t>
      </w:r>
      <w:r w:rsidR="0040671D">
        <w:rPr>
          <w:noProof/>
        </w:rPr>
        <w:t>7</w:t>
      </w:r>
      <w:r>
        <w:fldChar w:fldCharType="end"/>
      </w:r>
      <w:r>
        <w:t xml:space="preserve"> </w:t>
      </w:r>
      <w:r w:rsidRPr="005A31B6">
        <w:t xml:space="preserve">shows the weights used in </w:t>
      </w:r>
      <w:r w:rsidR="004279E8">
        <w:t xml:space="preserve">the </w:t>
      </w:r>
      <w:r w:rsidRPr="005A31B6">
        <w:t xml:space="preserve">2010 </w:t>
      </w:r>
      <w:r w:rsidR="004279E8">
        <w:t xml:space="preserve">Review </w:t>
      </w:r>
      <w:r w:rsidRPr="005A31B6">
        <w:t xml:space="preserve">and the proposed weights for </w:t>
      </w:r>
      <w:r w:rsidR="004279E8">
        <w:t xml:space="preserve">the </w:t>
      </w:r>
      <w:r w:rsidRPr="005A31B6">
        <w:t>2015</w:t>
      </w:r>
      <w:r w:rsidR="004279E8">
        <w:t xml:space="preserve"> Review</w:t>
      </w:r>
      <w:r w:rsidRPr="005A31B6">
        <w:t>.</w:t>
      </w:r>
    </w:p>
    <w:p w:rsidR="00327C3F" w:rsidRDefault="00327C3F" w:rsidP="00FB68A8">
      <w:pPr>
        <w:pStyle w:val="Heading4"/>
      </w:pPr>
      <w:r>
        <w:t>GST impacts</w:t>
      </w:r>
    </w:p>
    <w:p w:rsidR="001E4238" w:rsidRDefault="001E4238" w:rsidP="005A31B6">
      <w:pPr>
        <w:pStyle w:val="CGCNumberedPara"/>
      </w:pPr>
      <w:r>
        <w:fldChar w:fldCharType="begin"/>
      </w:r>
      <w:r>
        <w:instrText xml:space="preserve"> REF _Ref395176177 \h </w:instrText>
      </w:r>
      <w:r w:rsidR="00327C3F">
        <w:instrText xml:space="preserve"> \* MERGEFORMAT </w:instrText>
      </w:r>
      <w:r>
        <w:fldChar w:fldCharType="separate"/>
      </w:r>
      <w:r w:rsidR="0040671D" w:rsidRPr="0024169C">
        <w:t xml:space="preserve">Table </w:t>
      </w:r>
      <w:r w:rsidR="0040671D">
        <w:rPr>
          <w:noProof/>
        </w:rPr>
        <w:t>8</w:t>
      </w:r>
      <w:r>
        <w:fldChar w:fldCharType="end"/>
      </w:r>
      <w:r>
        <w:t xml:space="preserve"> </w:t>
      </w:r>
      <w:r w:rsidR="005A31B6" w:rsidRPr="005A31B6">
        <w:t>shows a one year GST impact for Justice, using the 2010 Review method, along with the effect if the proposed new Indigenous and SES use weights (based upon the State provided data as described above) were applied.</w:t>
      </w:r>
    </w:p>
    <w:p w:rsidR="001E4238" w:rsidRPr="0024169C" w:rsidRDefault="001E4238" w:rsidP="001E4238">
      <w:pPr>
        <w:pStyle w:val="CGCNumberedPara"/>
        <w:numPr>
          <w:ilvl w:val="1"/>
          <w:numId w:val="12"/>
        </w:numPr>
      </w:pPr>
      <w:r w:rsidRPr="0024169C">
        <w:t xml:space="preserve">The proposed changes result in </w:t>
      </w:r>
      <w:r w:rsidRPr="0024169C">
        <w:rPr>
          <w:color w:val="000000" w:themeColor="text1"/>
        </w:rPr>
        <w:t>GST being distributed to Victoria, Western Australia and South Australia, and away from New South Wales, Queensland, Tasmania, the ACT and the Northern Territory.</w:t>
      </w:r>
      <w:r w:rsidRPr="0024169C">
        <w:t xml:space="preserve"> The change in GST share would be material for Tasmania and, in particular, the Northern Territory. </w:t>
      </w:r>
      <w:r w:rsidR="005A31B6" w:rsidRPr="0024169C">
        <w:t>Tasmania’s result is largely due to the changes in SES weights, while t</w:t>
      </w:r>
      <w:r w:rsidRPr="0024169C">
        <w:t xml:space="preserve">he Northern Territory’s result is overwhelmingly due to the reduction in the Indigenous use rate in specialised policing.  </w:t>
      </w:r>
    </w:p>
    <w:p w:rsidR="001E4238" w:rsidRPr="0024169C" w:rsidRDefault="001E4238" w:rsidP="00192A98">
      <w:pPr>
        <w:pStyle w:val="Caption"/>
      </w:pPr>
      <w:bookmarkStart w:id="62" w:name="_Ref395176177"/>
      <w:r w:rsidRPr="0024169C">
        <w:t xml:space="preserve">Table </w:t>
      </w:r>
      <w:fldSimple w:instr=" SEQ Table \* ARABIC ">
        <w:r w:rsidR="0040671D">
          <w:rPr>
            <w:noProof/>
          </w:rPr>
          <w:t>8</w:t>
        </w:r>
      </w:fldSimple>
      <w:bookmarkEnd w:id="62"/>
      <w:r w:rsidRPr="0024169C">
        <w:tab/>
        <w:t>GST impacts, 2012-13</w:t>
      </w:r>
    </w:p>
    <w:tbl>
      <w:tblPr>
        <w:tblW w:w="8960" w:type="dxa"/>
        <w:tblInd w:w="93" w:type="dxa"/>
        <w:tblLook w:val="04A0" w:firstRow="1" w:lastRow="0" w:firstColumn="1" w:lastColumn="0" w:noHBand="0" w:noVBand="1"/>
      </w:tblPr>
      <w:tblGrid>
        <w:gridCol w:w="2160"/>
        <w:gridCol w:w="780"/>
        <w:gridCol w:w="760"/>
        <w:gridCol w:w="700"/>
        <w:gridCol w:w="700"/>
        <w:gridCol w:w="700"/>
        <w:gridCol w:w="700"/>
        <w:gridCol w:w="700"/>
        <w:gridCol w:w="860"/>
        <w:gridCol w:w="900"/>
      </w:tblGrid>
      <w:tr w:rsidR="00192A98" w:rsidRPr="00192A98" w:rsidTr="00192A98">
        <w:trPr>
          <w:trHeight w:val="379"/>
        </w:trPr>
        <w:tc>
          <w:tcPr>
            <w:tcW w:w="2160" w:type="dxa"/>
            <w:tcBorders>
              <w:top w:val="single" w:sz="4" w:space="0" w:color="auto"/>
              <w:left w:val="nil"/>
              <w:bottom w:val="single" w:sz="4" w:space="0" w:color="auto"/>
              <w:right w:val="nil"/>
            </w:tcBorders>
            <w:shd w:val="clear" w:color="auto" w:fill="auto"/>
            <w:noWrap/>
            <w:vAlign w:val="center"/>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bookmarkStart w:id="63" w:name="RANGE!W54:AF62"/>
            <w:r w:rsidRPr="00192A98">
              <w:rPr>
                <w:rFonts w:ascii="Calibri" w:eastAsia="Times New Roman" w:hAnsi="Calibri" w:cs="Times New Roman"/>
                <w:sz w:val="20"/>
                <w:szCs w:val="20"/>
                <w:lang w:eastAsia="en-AU"/>
              </w:rPr>
              <w:t> </w:t>
            </w:r>
            <w:bookmarkEnd w:id="63"/>
          </w:p>
        </w:tc>
        <w:tc>
          <w:tcPr>
            <w:tcW w:w="780" w:type="dxa"/>
            <w:tcBorders>
              <w:top w:val="single" w:sz="4" w:space="0" w:color="auto"/>
              <w:left w:val="nil"/>
              <w:bottom w:val="single" w:sz="4" w:space="0" w:color="auto"/>
              <w:right w:val="nil"/>
            </w:tcBorders>
            <w:shd w:val="clear" w:color="auto" w:fill="auto"/>
            <w:noWrap/>
            <w:vAlign w:val="center"/>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NSW</w:t>
            </w:r>
          </w:p>
        </w:tc>
        <w:tc>
          <w:tcPr>
            <w:tcW w:w="760" w:type="dxa"/>
            <w:tcBorders>
              <w:top w:val="single" w:sz="4" w:space="0" w:color="auto"/>
              <w:left w:val="nil"/>
              <w:bottom w:val="single" w:sz="4" w:space="0" w:color="auto"/>
              <w:right w:val="nil"/>
            </w:tcBorders>
            <w:shd w:val="clear" w:color="auto" w:fill="auto"/>
            <w:noWrap/>
            <w:vAlign w:val="center"/>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Vic</w:t>
            </w:r>
          </w:p>
        </w:tc>
        <w:tc>
          <w:tcPr>
            <w:tcW w:w="700" w:type="dxa"/>
            <w:tcBorders>
              <w:top w:val="single" w:sz="4" w:space="0" w:color="auto"/>
              <w:left w:val="nil"/>
              <w:bottom w:val="single" w:sz="4" w:space="0" w:color="auto"/>
              <w:right w:val="nil"/>
            </w:tcBorders>
            <w:shd w:val="clear" w:color="auto" w:fill="auto"/>
            <w:noWrap/>
            <w:vAlign w:val="center"/>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Qld</w:t>
            </w:r>
          </w:p>
        </w:tc>
        <w:tc>
          <w:tcPr>
            <w:tcW w:w="700" w:type="dxa"/>
            <w:tcBorders>
              <w:top w:val="single" w:sz="4" w:space="0" w:color="auto"/>
              <w:left w:val="nil"/>
              <w:bottom w:val="single" w:sz="4" w:space="0" w:color="auto"/>
              <w:right w:val="nil"/>
            </w:tcBorders>
            <w:shd w:val="clear" w:color="auto" w:fill="auto"/>
            <w:noWrap/>
            <w:vAlign w:val="center"/>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WA</w:t>
            </w:r>
          </w:p>
        </w:tc>
        <w:tc>
          <w:tcPr>
            <w:tcW w:w="700" w:type="dxa"/>
            <w:tcBorders>
              <w:top w:val="single" w:sz="4" w:space="0" w:color="auto"/>
              <w:left w:val="nil"/>
              <w:bottom w:val="single" w:sz="4" w:space="0" w:color="auto"/>
              <w:right w:val="nil"/>
            </w:tcBorders>
            <w:shd w:val="clear" w:color="auto" w:fill="auto"/>
            <w:noWrap/>
            <w:vAlign w:val="center"/>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SA</w:t>
            </w:r>
          </w:p>
        </w:tc>
        <w:tc>
          <w:tcPr>
            <w:tcW w:w="700" w:type="dxa"/>
            <w:tcBorders>
              <w:top w:val="single" w:sz="4" w:space="0" w:color="auto"/>
              <w:left w:val="nil"/>
              <w:bottom w:val="single" w:sz="4" w:space="0" w:color="auto"/>
              <w:right w:val="nil"/>
            </w:tcBorders>
            <w:shd w:val="clear" w:color="auto" w:fill="auto"/>
            <w:noWrap/>
            <w:vAlign w:val="center"/>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Tas</w:t>
            </w:r>
          </w:p>
        </w:tc>
        <w:tc>
          <w:tcPr>
            <w:tcW w:w="700" w:type="dxa"/>
            <w:tcBorders>
              <w:top w:val="single" w:sz="4" w:space="0" w:color="auto"/>
              <w:left w:val="nil"/>
              <w:bottom w:val="single" w:sz="4" w:space="0" w:color="auto"/>
              <w:right w:val="nil"/>
            </w:tcBorders>
            <w:shd w:val="clear" w:color="auto" w:fill="auto"/>
            <w:noWrap/>
            <w:vAlign w:val="center"/>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ACT</w:t>
            </w:r>
          </w:p>
        </w:tc>
        <w:tc>
          <w:tcPr>
            <w:tcW w:w="860" w:type="dxa"/>
            <w:tcBorders>
              <w:top w:val="single" w:sz="4" w:space="0" w:color="auto"/>
              <w:left w:val="nil"/>
              <w:bottom w:val="single" w:sz="4" w:space="0" w:color="auto"/>
              <w:right w:val="nil"/>
            </w:tcBorders>
            <w:shd w:val="clear" w:color="auto" w:fill="auto"/>
            <w:noWrap/>
            <w:vAlign w:val="center"/>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NT</w:t>
            </w:r>
          </w:p>
        </w:tc>
        <w:tc>
          <w:tcPr>
            <w:tcW w:w="900" w:type="dxa"/>
            <w:tcBorders>
              <w:top w:val="single" w:sz="4" w:space="0" w:color="auto"/>
              <w:left w:val="nil"/>
              <w:bottom w:val="single" w:sz="4" w:space="0" w:color="auto"/>
              <w:right w:val="nil"/>
            </w:tcBorders>
            <w:shd w:val="clear" w:color="auto" w:fill="auto"/>
            <w:noWrap/>
            <w:vAlign w:val="center"/>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Redist</w:t>
            </w:r>
          </w:p>
        </w:tc>
      </w:tr>
      <w:tr w:rsidR="00192A98" w:rsidRPr="00192A98" w:rsidTr="00192A98">
        <w:trPr>
          <w:trHeight w:val="259"/>
        </w:trPr>
        <w:tc>
          <w:tcPr>
            <w:tcW w:w="21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p>
        </w:tc>
        <w:tc>
          <w:tcPr>
            <w:tcW w:w="78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$m</w:t>
            </w:r>
          </w:p>
        </w:tc>
        <w:tc>
          <w:tcPr>
            <w:tcW w:w="7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$m</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$m</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$m</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$m</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$m</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$m</w:t>
            </w:r>
          </w:p>
        </w:tc>
        <w:tc>
          <w:tcPr>
            <w:tcW w:w="8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$m</w:t>
            </w:r>
          </w:p>
        </w:tc>
        <w:tc>
          <w:tcPr>
            <w:tcW w:w="9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$m</w:t>
            </w:r>
          </w:p>
        </w:tc>
      </w:tr>
      <w:tr w:rsidR="00192A98" w:rsidRPr="00192A98" w:rsidTr="00192A98">
        <w:trPr>
          <w:trHeight w:val="315"/>
        </w:trPr>
        <w:tc>
          <w:tcPr>
            <w:tcW w:w="21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2010 Method</w:t>
            </w:r>
          </w:p>
        </w:tc>
        <w:tc>
          <w:tcPr>
            <w:tcW w:w="78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-143</w:t>
            </w:r>
          </w:p>
        </w:tc>
        <w:tc>
          <w:tcPr>
            <w:tcW w:w="7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-607</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182</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151</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-34</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49</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-31</w:t>
            </w:r>
          </w:p>
        </w:tc>
        <w:tc>
          <w:tcPr>
            <w:tcW w:w="8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432</w:t>
            </w:r>
          </w:p>
        </w:tc>
        <w:tc>
          <w:tcPr>
            <w:tcW w:w="900" w:type="dxa"/>
            <w:tcBorders>
              <w:top w:val="nil"/>
              <w:left w:val="nil"/>
              <w:bottom w:val="nil"/>
              <w:right w:val="nil"/>
            </w:tcBorders>
            <w:shd w:val="clear" w:color="auto" w:fill="auto"/>
            <w:noWrap/>
            <w:vAlign w:val="bottom"/>
            <w:hideMark/>
          </w:tcPr>
          <w:p w:rsidR="00192A98" w:rsidRPr="00192A98" w:rsidRDefault="00516D5D" w:rsidP="00192A98">
            <w:pPr>
              <w:keepNext/>
              <w:tabs>
                <w:tab w:val="clear" w:pos="567"/>
              </w:tabs>
              <w:spacing w:after="0"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815</w:t>
            </w:r>
          </w:p>
        </w:tc>
      </w:tr>
      <w:tr w:rsidR="00192A98" w:rsidRPr="00192A98" w:rsidTr="00192A98">
        <w:trPr>
          <w:trHeight w:val="315"/>
        </w:trPr>
        <w:tc>
          <w:tcPr>
            <w:tcW w:w="21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Proposed 2015</w:t>
            </w:r>
          </w:p>
        </w:tc>
        <w:tc>
          <w:tcPr>
            <w:tcW w:w="78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-149</w:t>
            </w:r>
          </w:p>
        </w:tc>
        <w:tc>
          <w:tcPr>
            <w:tcW w:w="7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-538</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156</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184</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-12</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28</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-35</w:t>
            </w:r>
          </w:p>
        </w:tc>
        <w:tc>
          <w:tcPr>
            <w:tcW w:w="8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366</w:t>
            </w:r>
          </w:p>
        </w:tc>
        <w:tc>
          <w:tcPr>
            <w:tcW w:w="900" w:type="dxa"/>
            <w:tcBorders>
              <w:top w:val="nil"/>
              <w:left w:val="nil"/>
              <w:bottom w:val="nil"/>
              <w:right w:val="nil"/>
            </w:tcBorders>
            <w:shd w:val="clear" w:color="auto" w:fill="auto"/>
            <w:noWrap/>
            <w:vAlign w:val="bottom"/>
            <w:hideMark/>
          </w:tcPr>
          <w:p w:rsidR="00192A98" w:rsidRPr="00192A98" w:rsidRDefault="00516D5D" w:rsidP="00192A98">
            <w:pPr>
              <w:keepNext/>
              <w:tabs>
                <w:tab w:val="clear" w:pos="567"/>
              </w:tabs>
              <w:spacing w:after="0"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734</w:t>
            </w:r>
          </w:p>
        </w:tc>
      </w:tr>
      <w:tr w:rsidR="00192A98" w:rsidRPr="00192A98" w:rsidTr="00192A98">
        <w:trPr>
          <w:trHeight w:val="315"/>
        </w:trPr>
        <w:tc>
          <w:tcPr>
            <w:tcW w:w="21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Difference</w:t>
            </w:r>
          </w:p>
        </w:tc>
        <w:tc>
          <w:tcPr>
            <w:tcW w:w="78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-6</w:t>
            </w:r>
          </w:p>
        </w:tc>
        <w:tc>
          <w:tcPr>
            <w:tcW w:w="7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70</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-26</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33</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21</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-22</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-5</w:t>
            </w:r>
          </w:p>
        </w:tc>
        <w:tc>
          <w:tcPr>
            <w:tcW w:w="8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-66</w:t>
            </w:r>
          </w:p>
        </w:tc>
        <w:tc>
          <w:tcPr>
            <w:tcW w:w="900" w:type="dxa"/>
            <w:tcBorders>
              <w:top w:val="nil"/>
              <w:left w:val="nil"/>
              <w:bottom w:val="nil"/>
              <w:right w:val="nil"/>
            </w:tcBorders>
            <w:shd w:val="clear" w:color="auto" w:fill="auto"/>
            <w:noWrap/>
            <w:vAlign w:val="bottom"/>
            <w:hideMark/>
          </w:tcPr>
          <w:p w:rsidR="00192A98" w:rsidRPr="00192A98" w:rsidRDefault="00192A98" w:rsidP="00516D5D">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w:t>
            </w:r>
            <w:r w:rsidR="00516D5D">
              <w:rPr>
                <w:rFonts w:ascii="Calibri" w:eastAsia="Times New Roman" w:hAnsi="Calibri" w:cs="Times New Roman"/>
                <w:sz w:val="20"/>
                <w:szCs w:val="20"/>
                <w:lang w:eastAsia="en-AU"/>
              </w:rPr>
              <w:t>81</w:t>
            </w:r>
          </w:p>
        </w:tc>
      </w:tr>
      <w:tr w:rsidR="00192A98" w:rsidRPr="00192A98" w:rsidTr="00192A98">
        <w:trPr>
          <w:trHeight w:val="259"/>
        </w:trPr>
        <w:tc>
          <w:tcPr>
            <w:tcW w:w="21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p>
        </w:tc>
        <w:tc>
          <w:tcPr>
            <w:tcW w:w="780" w:type="dxa"/>
            <w:tcBorders>
              <w:top w:val="single" w:sz="4" w:space="0" w:color="auto"/>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$pc</w:t>
            </w:r>
          </w:p>
        </w:tc>
        <w:tc>
          <w:tcPr>
            <w:tcW w:w="760" w:type="dxa"/>
            <w:tcBorders>
              <w:top w:val="single" w:sz="4" w:space="0" w:color="auto"/>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$pc</w:t>
            </w:r>
          </w:p>
        </w:tc>
        <w:tc>
          <w:tcPr>
            <w:tcW w:w="700" w:type="dxa"/>
            <w:tcBorders>
              <w:top w:val="single" w:sz="4" w:space="0" w:color="auto"/>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$pc</w:t>
            </w:r>
          </w:p>
        </w:tc>
        <w:tc>
          <w:tcPr>
            <w:tcW w:w="700" w:type="dxa"/>
            <w:tcBorders>
              <w:top w:val="single" w:sz="4" w:space="0" w:color="auto"/>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$pc</w:t>
            </w:r>
          </w:p>
        </w:tc>
        <w:tc>
          <w:tcPr>
            <w:tcW w:w="700" w:type="dxa"/>
            <w:tcBorders>
              <w:top w:val="single" w:sz="4" w:space="0" w:color="auto"/>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$pc</w:t>
            </w:r>
          </w:p>
        </w:tc>
        <w:tc>
          <w:tcPr>
            <w:tcW w:w="700" w:type="dxa"/>
            <w:tcBorders>
              <w:top w:val="single" w:sz="4" w:space="0" w:color="auto"/>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$pc</w:t>
            </w:r>
          </w:p>
        </w:tc>
        <w:tc>
          <w:tcPr>
            <w:tcW w:w="700" w:type="dxa"/>
            <w:tcBorders>
              <w:top w:val="single" w:sz="4" w:space="0" w:color="auto"/>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$pc</w:t>
            </w:r>
          </w:p>
        </w:tc>
        <w:tc>
          <w:tcPr>
            <w:tcW w:w="860" w:type="dxa"/>
            <w:tcBorders>
              <w:top w:val="single" w:sz="4" w:space="0" w:color="auto"/>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$pc</w:t>
            </w:r>
          </w:p>
        </w:tc>
        <w:tc>
          <w:tcPr>
            <w:tcW w:w="900" w:type="dxa"/>
            <w:tcBorders>
              <w:top w:val="single" w:sz="4" w:space="0" w:color="auto"/>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$pc</w:t>
            </w:r>
          </w:p>
        </w:tc>
      </w:tr>
      <w:tr w:rsidR="00192A98" w:rsidRPr="00192A98" w:rsidTr="00192A98">
        <w:trPr>
          <w:trHeight w:val="315"/>
        </w:trPr>
        <w:tc>
          <w:tcPr>
            <w:tcW w:w="21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2010 Method</w:t>
            </w:r>
          </w:p>
        </w:tc>
        <w:tc>
          <w:tcPr>
            <w:tcW w:w="78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-19</w:t>
            </w:r>
          </w:p>
        </w:tc>
        <w:tc>
          <w:tcPr>
            <w:tcW w:w="7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-107</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39</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61</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-20</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96</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-81</w:t>
            </w:r>
          </w:p>
        </w:tc>
        <w:tc>
          <w:tcPr>
            <w:tcW w:w="8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1 813</w:t>
            </w:r>
          </w:p>
        </w:tc>
        <w:tc>
          <w:tcPr>
            <w:tcW w:w="900" w:type="dxa"/>
            <w:tcBorders>
              <w:top w:val="nil"/>
              <w:left w:val="nil"/>
              <w:bottom w:val="nil"/>
              <w:right w:val="nil"/>
            </w:tcBorders>
            <w:shd w:val="clear" w:color="auto" w:fill="auto"/>
            <w:noWrap/>
            <w:vAlign w:val="bottom"/>
            <w:hideMark/>
          </w:tcPr>
          <w:p w:rsidR="00192A98" w:rsidRPr="00192A98" w:rsidRDefault="00516D5D" w:rsidP="00192A98">
            <w:pPr>
              <w:keepNext/>
              <w:tabs>
                <w:tab w:val="clear" w:pos="567"/>
              </w:tabs>
              <w:spacing w:after="0"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36</w:t>
            </w:r>
          </w:p>
        </w:tc>
      </w:tr>
      <w:tr w:rsidR="00192A98" w:rsidRPr="00192A98" w:rsidTr="00192A98">
        <w:trPr>
          <w:trHeight w:val="315"/>
        </w:trPr>
        <w:tc>
          <w:tcPr>
            <w:tcW w:w="21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Proposed 2015</w:t>
            </w:r>
          </w:p>
        </w:tc>
        <w:tc>
          <w:tcPr>
            <w:tcW w:w="78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-20</w:t>
            </w:r>
          </w:p>
        </w:tc>
        <w:tc>
          <w:tcPr>
            <w:tcW w:w="7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-95</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34</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74</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-7</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54</w:t>
            </w:r>
          </w:p>
        </w:tc>
        <w:tc>
          <w:tcPr>
            <w:tcW w:w="70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-93</w:t>
            </w:r>
          </w:p>
        </w:tc>
        <w:tc>
          <w:tcPr>
            <w:tcW w:w="860" w:type="dxa"/>
            <w:tcBorders>
              <w:top w:val="nil"/>
              <w:left w:val="nil"/>
              <w:bottom w:val="nil"/>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1 536</w:t>
            </w:r>
          </w:p>
        </w:tc>
        <w:tc>
          <w:tcPr>
            <w:tcW w:w="900" w:type="dxa"/>
            <w:tcBorders>
              <w:top w:val="nil"/>
              <w:left w:val="nil"/>
              <w:bottom w:val="nil"/>
              <w:right w:val="nil"/>
            </w:tcBorders>
            <w:shd w:val="clear" w:color="auto" w:fill="auto"/>
            <w:noWrap/>
            <w:vAlign w:val="bottom"/>
            <w:hideMark/>
          </w:tcPr>
          <w:p w:rsidR="00192A98" w:rsidRPr="00192A98" w:rsidRDefault="00516D5D" w:rsidP="00192A98">
            <w:pPr>
              <w:keepNext/>
              <w:tabs>
                <w:tab w:val="clear" w:pos="567"/>
              </w:tabs>
              <w:spacing w:after="0"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32</w:t>
            </w:r>
          </w:p>
        </w:tc>
      </w:tr>
      <w:tr w:rsidR="00192A98" w:rsidRPr="00192A98" w:rsidTr="00192A98">
        <w:trPr>
          <w:trHeight w:val="315"/>
        </w:trPr>
        <w:tc>
          <w:tcPr>
            <w:tcW w:w="2160" w:type="dxa"/>
            <w:tcBorders>
              <w:top w:val="nil"/>
              <w:left w:val="nil"/>
              <w:bottom w:val="single" w:sz="4" w:space="0" w:color="auto"/>
              <w:right w:val="nil"/>
            </w:tcBorders>
            <w:shd w:val="clear" w:color="auto" w:fill="auto"/>
            <w:noWrap/>
            <w:vAlign w:val="bottom"/>
            <w:hideMark/>
          </w:tcPr>
          <w:p w:rsidR="00192A98" w:rsidRPr="00192A98" w:rsidRDefault="00192A98" w:rsidP="00192A98">
            <w:pPr>
              <w:keepNext/>
              <w:tabs>
                <w:tab w:val="clear" w:pos="567"/>
              </w:tabs>
              <w:spacing w:after="0" w:line="240" w:lineRule="auto"/>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Difference</w:t>
            </w:r>
          </w:p>
        </w:tc>
        <w:tc>
          <w:tcPr>
            <w:tcW w:w="780" w:type="dxa"/>
            <w:tcBorders>
              <w:top w:val="nil"/>
              <w:left w:val="nil"/>
              <w:bottom w:val="single" w:sz="4" w:space="0" w:color="auto"/>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w:t>
            </w:r>
          </w:p>
        </w:tc>
        <w:tc>
          <w:tcPr>
            <w:tcW w:w="760" w:type="dxa"/>
            <w:tcBorders>
              <w:top w:val="nil"/>
              <w:left w:val="nil"/>
              <w:bottom w:val="single" w:sz="4" w:space="0" w:color="auto"/>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12</w:t>
            </w:r>
          </w:p>
        </w:tc>
        <w:tc>
          <w:tcPr>
            <w:tcW w:w="700" w:type="dxa"/>
            <w:tcBorders>
              <w:top w:val="nil"/>
              <w:left w:val="nil"/>
              <w:bottom w:val="single" w:sz="4" w:space="0" w:color="auto"/>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-6</w:t>
            </w:r>
          </w:p>
        </w:tc>
        <w:tc>
          <w:tcPr>
            <w:tcW w:w="700" w:type="dxa"/>
            <w:tcBorders>
              <w:top w:val="nil"/>
              <w:left w:val="nil"/>
              <w:bottom w:val="single" w:sz="4" w:space="0" w:color="auto"/>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13</w:t>
            </w:r>
          </w:p>
        </w:tc>
        <w:tc>
          <w:tcPr>
            <w:tcW w:w="700" w:type="dxa"/>
            <w:tcBorders>
              <w:top w:val="nil"/>
              <w:left w:val="nil"/>
              <w:bottom w:val="single" w:sz="4" w:space="0" w:color="auto"/>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13</w:t>
            </w:r>
          </w:p>
        </w:tc>
        <w:tc>
          <w:tcPr>
            <w:tcW w:w="700" w:type="dxa"/>
            <w:tcBorders>
              <w:top w:val="nil"/>
              <w:left w:val="nil"/>
              <w:bottom w:val="single" w:sz="4" w:space="0" w:color="auto"/>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-43</w:t>
            </w:r>
          </w:p>
        </w:tc>
        <w:tc>
          <w:tcPr>
            <w:tcW w:w="700" w:type="dxa"/>
            <w:tcBorders>
              <w:top w:val="nil"/>
              <w:left w:val="nil"/>
              <w:bottom w:val="single" w:sz="4" w:space="0" w:color="auto"/>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-12</w:t>
            </w:r>
          </w:p>
        </w:tc>
        <w:tc>
          <w:tcPr>
            <w:tcW w:w="860" w:type="dxa"/>
            <w:tcBorders>
              <w:top w:val="nil"/>
              <w:left w:val="nil"/>
              <w:bottom w:val="single" w:sz="4" w:space="0" w:color="auto"/>
              <w:right w:val="nil"/>
            </w:tcBorders>
            <w:shd w:val="clear" w:color="auto" w:fill="auto"/>
            <w:noWrap/>
            <w:vAlign w:val="bottom"/>
            <w:hideMark/>
          </w:tcPr>
          <w:p w:rsidR="00192A98" w:rsidRPr="00192A98" w:rsidRDefault="00192A98" w:rsidP="00192A98">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-277</w:t>
            </w:r>
          </w:p>
        </w:tc>
        <w:tc>
          <w:tcPr>
            <w:tcW w:w="900" w:type="dxa"/>
            <w:tcBorders>
              <w:top w:val="nil"/>
              <w:left w:val="nil"/>
              <w:bottom w:val="single" w:sz="4" w:space="0" w:color="auto"/>
              <w:right w:val="nil"/>
            </w:tcBorders>
            <w:shd w:val="clear" w:color="auto" w:fill="auto"/>
            <w:noWrap/>
            <w:vAlign w:val="bottom"/>
            <w:hideMark/>
          </w:tcPr>
          <w:p w:rsidR="00192A98" w:rsidRPr="00192A98" w:rsidRDefault="00192A98" w:rsidP="00516D5D">
            <w:pPr>
              <w:keepNext/>
              <w:tabs>
                <w:tab w:val="clear" w:pos="567"/>
              </w:tabs>
              <w:spacing w:after="0" w:line="240" w:lineRule="auto"/>
              <w:jc w:val="right"/>
              <w:rPr>
                <w:rFonts w:ascii="Calibri" w:eastAsia="Times New Roman" w:hAnsi="Calibri" w:cs="Times New Roman"/>
                <w:sz w:val="20"/>
                <w:szCs w:val="20"/>
                <w:lang w:eastAsia="en-AU"/>
              </w:rPr>
            </w:pPr>
            <w:r w:rsidRPr="00192A98">
              <w:rPr>
                <w:rFonts w:ascii="Calibri" w:eastAsia="Times New Roman" w:hAnsi="Calibri" w:cs="Times New Roman"/>
                <w:sz w:val="20"/>
                <w:szCs w:val="20"/>
                <w:lang w:eastAsia="en-AU"/>
              </w:rPr>
              <w:t>-</w:t>
            </w:r>
            <w:r w:rsidR="00516D5D">
              <w:rPr>
                <w:rFonts w:ascii="Calibri" w:eastAsia="Times New Roman" w:hAnsi="Calibri" w:cs="Times New Roman"/>
                <w:sz w:val="20"/>
                <w:szCs w:val="20"/>
                <w:lang w:eastAsia="en-AU"/>
              </w:rPr>
              <w:t>4</w:t>
            </w:r>
          </w:p>
        </w:tc>
      </w:tr>
    </w:tbl>
    <w:p w:rsidR="001E4238" w:rsidRPr="0024169C" w:rsidRDefault="001E4238" w:rsidP="00192A98">
      <w:pPr>
        <w:pStyle w:val="CGCTableFootnote"/>
        <w:keepNext/>
        <w:ind w:left="0" w:firstLine="0"/>
      </w:pPr>
      <w:r w:rsidRPr="0024169C">
        <w:t>Source:</w:t>
      </w:r>
      <w:r w:rsidRPr="0024169C">
        <w:tab/>
        <w:t>Commission calculation.</w:t>
      </w:r>
      <w:r w:rsidRPr="0024169C">
        <w:tab/>
        <w:t xml:space="preserve"> </w:t>
      </w:r>
    </w:p>
    <w:p w:rsidR="001E4238" w:rsidRPr="0024169C" w:rsidRDefault="001E4238" w:rsidP="001E4238">
      <w:pPr>
        <w:pStyle w:val="Heading4"/>
      </w:pPr>
      <w:bookmarkStart w:id="64" w:name="_Toc395685896"/>
      <w:bookmarkStart w:id="65" w:name="_Toc395686219"/>
      <w:bookmarkStart w:id="66" w:name="_Toc396230993"/>
      <w:bookmarkStart w:id="67" w:name="_Toc396300334"/>
      <w:r w:rsidRPr="0024169C">
        <w:t>Recommendations</w:t>
      </w:r>
      <w:bookmarkEnd w:id="64"/>
      <w:bookmarkEnd w:id="65"/>
      <w:bookmarkEnd w:id="66"/>
      <w:bookmarkEnd w:id="67"/>
    </w:p>
    <w:tbl>
      <w:tblPr>
        <w:tblW w:w="0" w:type="auto"/>
        <w:tblInd w:w="108" w:type="dxa"/>
        <w:shd w:val="clear" w:color="auto" w:fill="D9F3E6"/>
        <w:tblLook w:val="0000" w:firstRow="0" w:lastRow="0" w:firstColumn="0" w:lastColumn="0" w:noHBand="0" w:noVBand="0"/>
      </w:tblPr>
      <w:tblGrid>
        <w:gridCol w:w="8931"/>
      </w:tblGrid>
      <w:tr w:rsidR="001E4238" w:rsidRPr="00E674AF" w:rsidTr="00CE44B6">
        <w:tc>
          <w:tcPr>
            <w:tcW w:w="8931" w:type="dxa"/>
            <w:shd w:val="clear" w:color="auto" w:fill="D9F3E6"/>
          </w:tcPr>
          <w:p w:rsidR="001E4238" w:rsidRPr="0024169C" w:rsidRDefault="001E4238" w:rsidP="00CE44B6">
            <w:pPr>
              <w:tabs>
                <w:tab w:val="clear" w:pos="567"/>
              </w:tabs>
              <w:rPr>
                <w:bCs/>
              </w:rPr>
            </w:pPr>
            <w:r w:rsidRPr="0024169C">
              <w:rPr>
                <w:bCs/>
              </w:rPr>
              <w:t>Staff propose to recommend the Commission:</w:t>
            </w:r>
          </w:p>
          <w:p w:rsidR="00C57368" w:rsidRPr="0024169C" w:rsidRDefault="005F642B" w:rsidP="00CE44B6">
            <w:pPr>
              <w:pStyle w:val="CGCBulletlist"/>
              <w:numPr>
                <w:ilvl w:val="0"/>
                <w:numId w:val="11"/>
              </w:numPr>
              <w:tabs>
                <w:tab w:val="clear" w:pos="927"/>
              </w:tabs>
              <w:ind w:left="1134" w:hanging="567"/>
            </w:pPr>
            <w:r w:rsidRPr="0024169C">
              <w:t>d</w:t>
            </w:r>
            <w:r w:rsidR="00C57368" w:rsidRPr="0024169C">
              <w:t xml:space="preserve">erive Indigenous use rates for police by adjusting the Australian Institute of Criminology </w:t>
            </w:r>
            <w:r w:rsidR="00732C1F">
              <w:t xml:space="preserve">(AIC) </w:t>
            </w:r>
            <w:r w:rsidR="00C57368" w:rsidRPr="0024169C">
              <w:t>2007 data based upon State provided data for 2010-11 to 2012-13 on offenders</w:t>
            </w:r>
          </w:p>
          <w:p w:rsidR="005F642B" w:rsidRPr="0024169C" w:rsidRDefault="005F642B" w:rsidP="005F642B">
            <w:pPr>
              <w:pStyle w:val="CGCBulletlist"/>
              <w:numPr>
                <w:ilvl w:val="0"/>
                <w:numId w:val="11"/>
              </w:numPr>
              <w:tabs>
                <w:tab w:val="clear" w:pos="927"/>
              </w:tabs>
              <w:ind w:left="1134" w:hanging="567"/>
            </w:pPr>
            <w:r w:rsidRPr="0024169C">
              <w:t>continue to apply a 25% discount to the specialised police socio-demographic composition (SDC) factor</w:t>
            </w:r>
          </w:p>
          <w:p w:rsidR="00C57368" w:rsidRPr="0024169C" w:rsidRDefault="005F642B" w:rsidP="00CE44B6">
            <w:pPr>
              <w:pStyle w:val="CGCBulletlist"/>
              <w:numPr>
                <w:ilvl w:val="0"/>
                <w:numId w:val="11"/>
              </w:numPr>
              <w:tabs>
                <w:tab w:val="clear" w:pos="927"/>
              </w:tabs>
              <w:ind w:left="1134" w:hanging="567"/>
            </w:pPr>
            <w:r w:rsidRPr="0024169C">
              <w:t>d</w:t>
            </w:r>
            <w:r w:rsidR="00C57368" w:rsidRPr="0024169C">
              <w:t>erive Indigenous use rates for courts based upon State provided data for 2010-11 to 2012-1</w:t>
            </w:r>
            <w:r w:rsidR="00732C1F">
              <w:t>2</w:t>
            </w:r>
            <w:r w:rsidR="00C57368" w:rsidRPr="0024169C">
              <w:t xml:space="preserve"> on defendants</w:t>
            </w:r>
          </w:p>
          <w:p w:rsidR="001914C4" w:rsidRPr="0024169C" w:rsidRDefault="001914C4" w:rsidP="00CE44B6">
            <w:pPr>
              <w:pStyle w:val="CGCBulletlist"/>
              <w:numPr>
                <w:ilvl w:val="0"/>
                <w:numId w:val="11"/>
              </w:numPr>
              <w:tabs>
                <w:tab w:val="clear" w:pos="927"/>
              </w:tabs>
              <w:ind w:left="1134" w:hanging="567"/>
            </w:pPr>
            <w:r w:rsidRPr="0024169C">
              <w:t>fix the Indigenous use rates for the duration of the Review, unless a more current data source (such as updated AIC data) becomes available</w:t>
            </w:r>
          </w:p>
          <w:p w:rsidR="00C57368" w:rsidRPr="0024169C" w:rsidRDefault="005F642B" w:rsidP="00C57368">
            <w:pPr>
              <w:pStyle w:val="CGCBulletlist"/>
              <w:numPr>
                <w:ilvl w:val="0"/>
                <w:numId w:val="11"/>
              </w:numPr>
              <w:tabs>
                <w:tab w:val="clear" w:pos="927"/>
              </w:tabs>
              <w:ind w:left="1134" w:hanging="567"/>
            </w:pPr>
            <w:r w:rsidRPr="0024169C">
              <w:lastRenderedPageBreak/>
              <w:t>r</w:t>
            </w:r>
            <w:r w:rsidR="00C57368" w:rsidRPr="0024169C">
              <w:t>ecognise socio-economic status (SES) in the Justice assessment based upon the index of Indigenous Relative Socio-economic Outcomes (IRSEO) for Indigenous people and the non-Indigenous Socio-economic Index for Areas (NISEIFA) for non-Indigenous people</w:t>
            </w:r>
          </w:p>
          <w:p w:rsidR="00C57368" w:rsidRPr="0024169C" w:rsidRDefault="005F642B" w:rsidP="00C57368">
            <w:pPr>
              <w:pStyle w:val="CGCBulletlist"/>
              <w:numPr>
                <w:ilvl w:val="0"/>
                <w:numId w:val="11"/>
              </w:numPr>
              <w:tabs>
                <w:tab w:val="clear" w:pos="927"/>
              </w:tabs>
              <w:ind w:left="1134" w:hanging="567"/>
            </w:pPr>
            <w:r w:rsidRPr="0024169C">
              <w:t>d</w:t>
            </w:r>
            <w:r w:rsidR="00C57368" w:rsidRPr="0024169C">
              <w:t>erive SES use rates for police and courts separately based upon State provided data for 2010-11 to 2012-13 for offenders and defendants respectively</w:t>
            </w:r>
          </w:p>
          <w:p w:rsidR="001914C4" w:rsidRPr="0024169C" w:rsidRDefault="001914C4" w:rsidP="00C57368">
            <w:pPr>
              <w:pStyle w:val="CGCBulletlist"/>
              <w:numPr>
                <w:ilvl w:val="0"/>
                <w:numId w:val="11"/>
              </w:numPr>
              <w:tabs>
                <w:tab w:val="clear" w:pos="927"/>
              </w:tabs>
              <w:ind w:left="1134" w:hanging="567"/>
            </w:pPr>
            <w:r w:rsidRPr="0024169C">
              <w:t>apply SES groupings based on the two most disadvantaged quintiles, the middle quintile and the two least disadvantaged quintiles</w:t>
            </w:r>
          </w:p>
          <w:p w:rsidR="005F642B" w:rsidRPr="0024169C" w:rsidRDefault="005F642B" w:rsidP="00C57368">
            <w:pPr>
              <w:pStyle w:val="CGCBulletlist"/>
              <w:numPr>
                <w:ilvl w:val="0"/>
                <w:numId w:val="11"/>
              </w:numPr>
              <w:tabs>
                <w:tab w:val="clear" w:pos="927"/>
              </w:tabs>
              <w:ind w:left="1134" w:hanging="567"/>
            </w:pPr>
            <w:r w:rsidRPr="0024169C">
              <w:t>apply the same SES groupings for police</w:t>
            </w:r>
            <w:r w:rsidR="001914C4" w:rsidRPr="0024169C">
              <w:t>,</w:t>
            </w:r>
            <w:r w:rsidRPr="0024169C">
              <w:t xml:space="preserve"> courts</w:t>
            </w:r>
            <w:r w:rsidR="001914C4" w:rsidRPr="0024169C">
              <w:t xml:space="preserve"> and prisons</w:t>
            </w:r>
          </w:p>
          <w:p w:rsidR="00C57368" w:rsidRPr="0024169C" w:rsidRDefault="005F642B" w:rsidP="005F642B">
            <w:pPr>
              <w:pStyle w:val="CGCBulletlist"/>
              <w:numPr>
                <w:ilvl w:val="0"/>
                <w:numId w:val="11"/>
              </w:numPr>
              <w:tabs>
                <w:tab w:val="clear" w:pos="927"/>
              </w:tabs>
              <w:ind w:left="1134" w:hanging="567"/>
            </w:pPr>
            <w:r w:rsidRPr="0024169C">
              <w:t>a</w:t>
            </w:r>
            <w:r w:rsidR="00C57368" w:rsidRPr="0024169C">
              <w:t>pply the courts SES use rates in prisons</w:t>
            </w:r>
          </w:p>
          <w:p w:rsidR="001914C4" w:rsidRPr="0024169C" w:rsidRDefault="001914C4" w:rsidP="005F642B">
            <w:pPr>
              <w:pStyle w:val="CGCBulletlist"/>
              <w:numPr>
                <w:ilvl w:val="0"/>
                <w:numId w:val="11"/>
              </w:numPr>
              <w:tabs>
                <w:tab w:val="clear" w:pos="927"/>
              </w:tabs>
              <w:ind w:left="1134" w:hanging="567"/>
            </w:pPr>
            <w:r w:rsidRPr="0024169C">
              <w:t>fix the SES groupings and weights for the duration of the Review</w:t>
            </w:r>
            <w:r w:rsidR="00A50ECF">
              <w:t>.</w:t>
            </w:r>
          </w:p>
        </w:tc>
      </w:tr>
    </w:tbl>
    <w:p w:rsidR="00AA3E89" w:rsidRDefault="00AA3E89" w:rsidP="00AA3E89">
      <w:pPr>
        <w:pStyle w:val="Heading3"/>
      </w:pPr>
      <w:bookmarkStart w:id="68" w:name="_Toc396300335"/>
      <w:bookmarkStart w:id="69" w:name="_Toc395104230"/>
      <w:bookmarkEnd w:id="38"/>
      <w:r>
        <w:lastRenderedPageBreak/>
        <w:t>Adjustments to June disaggregated estimated resident population (ERP) data</w:t>
      </w:r>
      <w:bookmarkEnd w:id="68"/>
    </w:p>
    <w:p w:rsidR="00AA3E89" w:rsidRDefault="00AA3E89" w:rsidP="00AA3E89">
      <w:pPr>
        <w:pStyle w:val="CGCNumberedPara"/>
        <w:numPr>
          <w:ilvl w:val="1"/>
          <w:numId w:val="12"/>
        </w:numPr>
      </w:pPr>
      <w:r>
        <w:t>Population data are required so that national costs for different population groups can be distributed across States on the basis of their share of that</w:t>
      </w:r>
      <w:r w:rsidR="00FB2DB8">
        <w:t xml:space="preserve"> population group. In the 2015 D</w:t>
      </w:r>
      <w:r>
        <w:t xml:space="preserve">raft </w:t>
      </w:r>
      <w:r w:rsidR="00FB2DB8">
        <w:t>R</w:t>
      </w:r>
      <w:r>
        <w:t>eport the Commission said that for disaggregating these population data, conceptually we require populations as at 31 December (as used for total State populations). It said however, that as these populations are not available, 30 June population data are used instead.</w:t>
      </w:r>
    </w:p>
    <w:p w:rsidR="00AA3E89" w:rsidRDefault="00AA3E89" w:rsidP="00AA3E89">
      <w:pPr>
        <w:pStyle w:val="CGCNumberedPara"/>
        <w:numPr>
          <w:ilvl w:val="1"/>
          <w:numId w:val="12"/>
        </w:numPr>
      </w:pPr>
      <w:r>
        <w:t>Staff propose recommending the Commission adjust June ERPs to match State December population totals. For example, the 30 June 2013 disaggregated ERP will be proportionately scaled so that the total population for each State matches the 31</w:t>
      </w:r>
      <w:r w:rsidR="00FB2DB8">
        <w:t> </w:t>
      </w:r>
      <w:r>
        <w:t xml:space="preserve"> December 2013 State totals. This approach will result in conceptually more appropriate State populations being applied. It will also avoid situations where EPC assessments, for example civil courts, can have an effect on the GST distribution because June population shares differ to December population shares.</w:t>
      </w:r>
    </w:p>
    <w:p w:rsidR="00AA3E89" w:rsidRDefault="00AA3E89" w:rsidP="00AA3E89">
      <w:pPr>
        <w:pStyle w:val="Heading4"/>
      </w:pPr>
      <w:bookmarkStart w:id="70" w:name="_Toc396230995"/>
      <w:bookmarkStart w:id="71" w:name="_Toc396300336"/>
      <w:r>
        <w:t>Recommendations</w:t>
      </w:r>
      <w:bookmarkEnd w:id="70"/>
      <w:bookmarkEnd w:id="71"/>
    </w:p>
    <w:tbl>
      <w:tblPr>
        <w:tblStyle w:val="TableGrid"/>
        <w:tblW w:w="0" w:type="auto"/>
        <w:tblLook w:val="04A0" w:firstRow="1" w:lastRow="0" w:firstColumn="1" w:lastColumn="0" w:noHBand="0" w:noVBand="1"/>
      </w:tblPr>
      <w:tblGrid>
        <w:gridCol w:w="9167"/>
      </w:tblGrid>
      <w:tr w:rsidR="00AA3E89" w:rsidTr="006F607C">
        <w:tc>
          <w:tcPr>
            <w:tcW w:w="9167" w:type="dxa"/>
            <w:tcBorders>
              <w:top w:val="nil"/>
              <w:left w:val="nil"/>
              <w:bottom w:val="nil"/>
              <w:right w:val="nil"/>
            </w:tcBorders>
            <w:shd w:val="clear" w:color="auto" w:fill="D9F3E6"/>
          </w:tcPr>
          <w:p w:rsidR="00AA3E89" w:rsidRDefault="00AA3E89" w:rsidP="006F607C">
            <w:r>
              <w:t xml:space="preserve">Staff </w:t>
            </w:r>
            <w:r w:rsidR="004279E8">
              <w:t xml:space="preserve">propose to </w:t>
            </w:r>
            <w:r>
              <w:t>recommend the Commission:</w:t>
            </w:r>
          </w:p>
          <w:p w:rsidR="00AA3E89" w:rsidRDefault="00AA3E89" w:rsidP="006F607C">
            <w:pPr>
              <w:pStyle w:val="CGCBulletlist"/>
            </w:pPr>
            <w:r>
              <w:t>adjust disaggregated 30 June ERPs in proportion to match 31 December State population totals for each assessment year.</w:t>
            </w:r>
          </w:p>
        </w:tc>
      </w:tr>
    </w:tbl>
    <w:p w:rsidR="00C44A1E" w:rsidRDefault="00C44A1E" w:rsidP="00C44A1E">
      <w:pPr>
        <w:pStyle w:val="Heading3"/>
      </w:pPr>
      <w:bookmarkStart w:id="72" w:name="_Toc396300337"/>
      <w:r>
        <w:lastRenderedPageBreak/>
        <w:t>Backcasting of national specific purpose payments and agreements (SPPs)</w:t>
      </w:r>
      <w:bookmarkEnd w:id="72"/>
    </w:p>
    <w:p w:rsidR="00E71A3A" w:rsidRDefault="00E71A3A" w:rsidP="00E71A3A">
      <w:pPr>
        <w:pStyle w:val="Heading4"/>
        <w:rPr>
          <w:lang w:val="en-US"/>
        </w:rPr>
      </w:pPr>
      <w:bookmarkStart w:id="73" w:name="_Toc395104231"/>
      <w:bookmarkStart w:id="74" w:name="_Toc395685898"/>
      <w:bookmarkStart w:id="75" w:name="_Toc396300338"/>
      <w:bookmarkEnd w:id="69"/>
      <w:r>
        <w:rPr>
          <w:lang w:val="en-US"/>
        </w:rPr>
        <w:t>Background</w:t>
      </w:r>
      <w:bookmarkEnd w:id="73"/>
      <w:bookmarkEnd w:id="74"/>
      <w:bookmarkEnd w:id="75"/>
    </w:p>
    <w:p w:rsidR="00E71A3A" w:rsidRDefault="00E71A3A" w:rsidP="00E71A3A">
      <w:pPr>
        <w:pStyle w:val="CGCNumberedPara"/>
        <w:rPr>
          <w:lang w:val="en-US"/>
        </w:rPr>
      </w:pPr>
      <w:r w:rsidRPr="00E71A3A">
        <w:rPr>
          <w:lang w:val="en-US"/>
        </w:rPr>
        <w:t xml:space="preserve">If there are major changes in </w:t>
      </w:r>
      <w:r w:rsidR="00FD40BA">
        <w:rPr>
          <w:lang w:val="en-US"/>
        </w:rPr>
        <w:t>Commonwealth-State</w:t>
      </w:r>
      <w:r w:rsidRPr="00E71A3A">
        <w:rPr>
          <w:lang w:val="en-US"/>
        </w:rPr>
        <w:t xml:space="preserve"> financial relations between th</w:t>
      </w:r>
      <w:r w:rsidR="00790162">
        <w:rPr>
          <w:lang w:val="en-US"/>
        </w:rPr>
        <w:t>e historical years used in the C</w:t>
      </w:r>
      <w:r w:rsidRPr="00E71A3A">
        <w:rPr>
          <w:lang w:val="en-US"/>
        </w:rPr>
        <w:t>ommission’s assessments and in the year the recommended relativities would be applied</w:t>
      </w:r>
      <w:r w:rsidR="00FD40BA">
        <w:rPr>
          <w:lang w:val="en-US"/>
        </w:rPr>
        <w:t xml:space="preserve"> (application year)</w:t>
      </w:r>
      <w:r w:rsidRPr="00E71A3A">
        <w:rPr>
          <w:lang w:val="en-US"/>
        </w:rPr>
        <w:t xml:space="preserve">, the new arrangements are generally ‘backcast’ so as to give effect to the </w:t>
      </w:r>
      <w:r w:rsidR="00FD40BA">
        <w:rPr>
          <w:lang w:val="en-US"/>
        </w:rPr>
        <w:t>Commission</w:t>
      </w:r>
      <w:r w:rsidRPr="00E71A3A">
        <w:rPr>
          <w:lang w:val="en-US"/>
        </w:rPr>
        <w:t xml:space="preserve">’s principle of delivering relativities most appropriate to the application year. </w:t>
      </w:r>
      <w:r>
        <w:rPr>
          <w:lang w:val="en-US"/>
        </w:rPr>
        <w:t>Backcasting is only done when the application year changes are reliably known and data needed for calculating the backcast amounts are reliable.</w:t>
      </w:r>
    </w:p>
    <w:p w:rsidR="00B671D7" w:rsidRPr="00E94FB3" w:rsidRDefault="00B671D7" w:rsidP="00B671D7">
      <w:pPr>
        <w:pStyle w:val="CGCNumberedPara"/>
        <w:rPr>
          <w:lang w:val="en-US"/>
        </w:rPr>
      </w:pPr>
      <w:r w:rsidRPr="009D4441">
        <w:t>The 2011 Intergovernmental Agreement on Federal Financial Arrangements (IGA</w:t>
      </w:r>
      <w:r>
        <w:t> </w:t>
      </w:r>
      <w:r w:rsidRPr="009D4441">
        <w:t>2011) note</w:t>
      </w:r>
      <w:r>
        <w:t>d</w:t>
      </w:r>
      <w:r w:rsidRPr="009D4441">
        <w:t xml:space="preserve"> that the distribution of the Schools, Skilled workforce development and Affordable housing SPPs w</w:t>
      </w:r>
      <w:r>
        <w:t>ould be equal per capita (EPC)</w:t>
      </w:r>
      <w:r w:rsidRPr="009D4441">
        <w:t xml:space="preserve"> (student enrolments for schools) in 2014-15. The National Health Reform base funding and the Disability SPP </w:t>
      </w:r>
      <w:r w:rsidR="001027F6" w:rsidRPr="009D4441">
        <w:t>move</w:t>
      </w:r>
      <w:r w:rsidR="001027F6">
        <w:t>d</w:t>
      </w:r>
      <w:r w:rsidRPr="009D4441">
        <w:t xml:space="preserve"> to an EPC distribution in 2013-14.</w:t>
      </w:r>
    </w:p>
    <w:p w:rsidR="00B671D7" w:rsidRPr="00B671D7" w:rsidRDefault="00B671D7" w:rsidP="00B671D7">
      <w:pPr>
        <w:pStyle w:val="CGCNumberedPara"/>
        <w:rPr>
          <w:lang w:val="en-US"/>
        </w:rPr>
      </w:pPr>
      <w:r>
        <w:t>Since then</w:t>
      </w:r>
      <w:r w:rsidRPr="009D4441">
        <w:t>, there have been further changes in funding arrangements for health and education</w:t>
      </w:r>
      <w:r>
        <w:t xml:space="preserve"> that result in the distribution of these payments mov</w:t>
      </w:r>
      <w:r w:rsidR="00CD7D1E">
        <w:t>ing</w:t>
      </w:r>
      <w:r>
        <w:t xml:space="preserve"> away from EPC.</w:t>
      </w:r>
    </w:p>
    <w:p w:rsidR="00877568" w:rsidRDefault="00877568" w:rsidP="00D059A1">
      <w:pPr>
        <w:pStyle w:val="Heading4"/>
        <w:rPr>
          <w:lang w:val="en-US"/>
        </w:rPr>
      </w:pPr>
      <w:bookmarkStart w:id="76" w:name="_Toc396300339"/>
      <w:r>
        <w:rPr>
          <w:lang w:val="en-US"/>
        </w:rPr>
        <w:t>Skilled workforce development, Affordable housing, Disability services</w:t>
      </w:r>
      <w:bookmarkEnd w:id="76"/>
      <w:r>
        <w:rPr>
          <w:lang w:val="en-US"/>
        </w:rPr>
        <w:t xml:space="preserve"> </w:t>
      </w:r>
    </w:p>
    <w:p w:rsidR="00CD7D1E" w:rsidRDefault="00877568" w:rsidP="00E71A3A">
      <w:pPr>
        <w:pStyle w:val="CGCNumberedPara"/>
        <w:rPr>
          <w:lang w:val="en-US"/>
        </w:rPr>
      </w:pPr>
      <w:r>
        <w:rPr>
          <w:lang w:val="en-US"/>
        </w:rPr>
        <w:t>In the 2014 Update, we backcast the distribution of these payments EP</w:t>
      </w:r>
      <w:r w:rsidR="00702397">
        <w:rPr>
          <w:lang w:val="en-US"/>
        </w:rPr>
        <w:t>C</w:t>
      </w:r>
      <w:r>
        <w:rPr>
          <w:lang w:val="en-US"/>
        </w:rPr>
        <w:t xml:space="preserve"> as this reflected their distribution in the application year. We propose to continue this i</w:t>
      </w:r>
      <w:r w:rsidR="008C01A8">
        <w:rPr>
          <w:lang w:val="en-US"/>
        </w:rPr>
        <w:t xml:space="preserve">n the 2015 Review. </w:t>
      </w:r>
    </w:p>
    <w:p w:rsidR="00877568" w:rsidRDefault="00877568" w:rsidP="00D059A1">
      <w:pPr>
        <w:pStyle w:val="Heading4"/>
        <w:rPr>
          <w:lang w:val="en-US"/>
        </w:rPr>
      </w:pPr>
      <w:bookmarkStart w:id="77" w:name="_Toc396300340"/>
      <w:r>
        <w:rPr>
          <w:lang w:val="en-US"/>
        </w:rPr>
        <w:t>Students First</w:t>
      </w:r>
      <w:bookmarkEnd w:id="77"/>
    </w:p>
    <w:p w:rsidR="00115573" w:rsidRDefault="00877568" w:rsidP="00E71A3A">
      <w:pPr>
        <w:pStyle w:val="CGCNumberedPara"/>
        <w:rPr>
          <w:lang w:val="en-US"/>
        </w:rPr>
      </w:pPr>
      <w:r>
        <w:rPr>
          <w:lang w:val="en-US"/>
        </w:rPr>
        <w:t xml:space="preserve">In the 2014 Update we used an interim method that was consistent with the intent of the 2015 Review terms of reference. </w:t>
      </w:r>
      <w:r w:rsidR="00CD7D1E" w:rsidRPr="00F12569">
        <w:rPr>
          <w:lang w:val="en-US"/>
        </w:rPr>
        <w:t xml:space="preserve">The 2015 Review </w:t>
      </w:r>
      <w:r w:rsidR="00BE6532" w:rsidRPr="00F12569">
        <w:rPr>
          <w:lang w:val="en-US"/>
        </w:rPr>
        <w:t>Draft Report</w:t>
      </w:r>
      <w:r w:rsidR="00F12569">
        <w:rPr>
          <w:lang w:val="en-US"/>
        </w:rPr>
        <w:t xml:space="preserve"> </w:t>
      </w:r>
      <w:r>
        <w:rPr>
          <w:lang w:val="en-US"/>
        </w:rPr>
        <w:t>outlined how the Commission proposes to treat these payments in the 2015 Review. It said</w:t>
      </w:r>
      <w:r w:rsidR="00F12569">
        <w:rPr>
          <w:lang w:val="en-US"/>
        </w:rPr>
        <w:t xml:space="preserve"> that the impact on State fiscal capacities</w:t>
      </w:r>
      <w:r w:rsidR="00115573">
        <w:rPr>
          <w:lang w:val="en-US"/>
        </w:rPr>
        <w:t xml:space="preserve"> of:</w:t>
      </w:r>
    </w:p>
    <w:p w:rsidR="00F12569" w:rsidRDefault="00F12569" w:rsidP="00115573">
      <w:pPr>
        <w:pStyle w:val="CGCBulletlist"/>
        <w:rPr>
          <w:lang w:val="en-US"/>
        </w:rPr>
      </w:pPr>
      <w:r>
        <w:rPr>
          <w:rStyle w:val="CGCParaNoChar"/>
        </w:rPr>
        <w:t xml:space="preserve">Commonwealth payments for </w:t>
      </w:r>
      <w:r w:rsidRPr="00F12569">
        <w:rPr>
          <w:rStyle w:val="CGCParaNoChar"/>
        </w:rPr>
        <w:t>government schools</w:t>
      </w:r>
      <w:r>
        <w:rPr>
          <w:rStyle w:val="CGCParaNoChar"/>
        </w:rPr>
        <w:t xml:space="preserve"> under the </w:t>
      </w:r>
      <w:r w:rsidR="00CD7D1E" w:rsidRPr="00F12569">
        <w:rPr>
          <w:lang w:val="en-US"/>
        </w:rPr>
        <w:t>Students First p</w:t>
      </w:r>
      <w:r>
        <w:rPr>
          <w:lang w:val="en-US"/>
        </w:rPr>
        <w:t>rogram would be the difference between:</w:t>
      </w:r>
    </w:p>
    <w:p w:rsidR="00CD7D1E" w:rsidRPr="00877568" w:rsidRDefault="00F12569" w:rsidP="00877568">
      <w:pPr>
        <w:pStyle w:val="CGCSubbulletlist"/>
        <w:ind w:left="1701" w:hanging="567"/>
      </w:pPr>
      <w:r w:rsidRPr="00877568">
        <w:t>what States receive in each of the assessment years (backcast using the distribution in 2015-16) and</w:t>
      </w:r>
    </w:p>
    <w:p w:rsidR="00F12569" w:rsidRPr="00F12569" w:rsidRDefault="00F12569" w:rsidP="00877568">
      <w:pPr>
        <w:pStyle w:val="CGCSubbulletlist"/>
        <w:ind w:left="1701" w:hanging="567"/>
        <w:rPr>
          <w:lang w:val="en-US"/>
        </w:rPr>
      </w:pPr>
      <w:r>
        <w:rPr>
          <w:lang w:val="en-US"/>
        </w:rPr>
        <w:t>what they would have received had the Commonwealth funds been distributed among States only on the basis of the S</w:t>
      </w:r>
      <w:r w:rsidR="00732C1F">
        <w:rPr>
          <w:lang w:val="en-US"/>
        </w:rPr>
        <w:t>chooling Resource Stand (S</w:t>
      </w:r>
      <w:r>
        <w:rPr>
          <w:lang w:val="en-US"/>
        </w:rPr>
        <w:t>RS</w:t>
      </w:r>
      <w:r w:rsidR="00732C1F">
        <w:rPr>
          <w:lang w:val="en-US"/>
        </w:rPr>
        <w:t>)</w:t>
      </w:r>
      <w:r>
        <w:rPr>
          <w:lang w:val="en-US"/>
        </w:rPr>
        <w:t xml:space="preserve"> amounts for different students and the numbers of such st</w:t>
      </w:r>
      <w:r w:rsidR="00115573">
        <w:rPr>
          <w:lang w:val="en-US"/>
        </w:rPr>
        <w:t>udents in each State in 2015-16</w:t>
      </w:r>
      <w:r w:rsidR="00877568">
        <w:rPr>
          <w:lang w:val="en-US"/>
        </w:rPr>
        <w:t>.</w:t>
      </w:r>
    </w:p>
    <w:p w:rsidR="00CD7D1E" w:rsidRDefault="00CD7D1E" w:rsidP="00115573">
      <w:pPr>
        <w:pStyle w:val="CGCBulletlist"/>
      </w:pPr>
      <w:r>
        <w:lastRenderedPageBreak/>
        <w:t>Commonwealth funding for non-government schools</w:t>
      </w:r>
      <w:r w:rsidR="00115573">
        <w:t xml:space="preserve"> would be nil.</w:t>
      </w:r>
    </w:p>
    <w:p w:rsidR="00FF5D0B" w:rsidRDefault="00FF5D0B" w:rsidP="00FF5D0B">
      <w:pPr>
        <w:pStyle w:val="Heading4"/>
      </w:pPr>
      <w:bookmarkStart w:id="78" w:name="_Toc380590506"/>
      <w:bookmarkStart w:id="79" w:name="_Toc380590624"/>
      <w:bookmarkStart w:id="80" w:name="_Toc395104233"/>
      <w:bookmarkStart w:id="81" w:name="_Toc395542324"/>
      <w:bookmarkStart w:id="82" w:name="_Toc396300341"/>
      <w:bookmarkStart w:id="83" w:name="_Toc395104241"/>
      <w:bookmarkStart w:id="84" w:name="_Toc106707728"/>
      <w:bookmarkStart w:id="85" w:name="_Toc155675938"/>
      <w:bookmarkStart w:id="86" w:name="_Toc174415773"/>
      <w:bookmarkStart w:id="87" w:name="_Toc174415847"/>
      <w:bookmarkStart w:id="88" w:name="_Toc174415938"/>
      <w:bookmarkStart w:id="89" w:name="_Toc174416623"/>
      <w:bookmarkStart w:id="90" w:name="_Toc174416665"/>
      <w:bookmarkStart w:id="91" w:name="_Toc174416678"/>
      <w:r>
        <w:t>National health reform</w:t>
      </w:r>
      <w:bookmarkEnd w:id="78"/>
      <w:bookmarkEnd w:id="79"/>
      <w:r>
        <w:t xml:space="preserve"> funding</w:t>
      </w:r>
      <w:bookmarkEnd w:id="80"/>
      <w:bookmarkEnd w:id="81"/>
      <w:bookmarkEnd w:id="82"/>
    </w:p>
    <w:p w:rsidR="00FF5D0B" w:rsidRPr="000B3ADB" w:rsidRDefault="00FF5D0B" w:rsidP="00FF5D0B">
      <w:pPr>
        <w:pStyle w:val="Heading5"/>
      </w:pPr>
      <w:r>
        <w:t>Background</w:t>
      </w:r>
    </w:p>
    <w:p w:rsidR="00FF5D0B" w:rsidRDefault="00FF5D0B" w:rsidP="00FF5D0B">
      <w:pPr>
        <w:pStyle w:val="CGCNumberedPara"/>
        <w:numPr>
          <w:ilvl w:val="1"/>
          <w:numId w:val="12"/>
        </w:numPr>
      </w:pPr>
      <w:r w:rsidRPr="002C48BE">
        <w:t>The 2015 Review terms of reference</w:t>
      </w:r>
      <w:r>
        <w:t xml:space="preserve"> tells the Commission that the National Health Reform (NHR) funding should affect the relativities and that:</w:t>
      </w:r>
    </w:p>
    <w:p w:rsidR="00FF5D0B" w:rsidRPr="002C48BE" w:rsidRDefault="00FF5D0B" w:rsidP="00FF5D0B">
      <w:pPr>
        <w:spacing w:line="240" w:lineRule="auto"/>
        <w:ind w:left="1440"/>
        <w:rPr>
          <w:rStyle w:val="Heading5Char"/>
          <w:b w:val="0"/>
          <w:i w:val="0"/>
          <w:sz w:val="22"/>
        </w:rPr>
      </w:pPr>
      <w:r w:rsidRPr="002C48BE">
        <w:rPr>
          <w:rFonts w:eastAsia="Times New Roman" w:cs="Times New Roman"/>
          <w:sz w:val="22"/>
        </w:rPr>
        <w:t>NHR</w:t>
      </w:r>
      <w:r w:rsidRPr="002C48BE">
        <w:rPr>
          <w:rFonts w:eastAsia="Times New Roman" w:cs="Times New Roman"/>
          <w:spacing w:val="17"/>
          <w:sz w:val="22"/>
        </w:rPr>
        <w:t xml:space="preserve"> </w:t>
      </w:r>
      <w:r w:rsidRPr="002C48BE">
        <w:rPr>
          <w:rFonts w:eastAsia="Times New Roman" w:cs="Times New Roman"/>
          <w:sz w:val="22"/>
        </w:rPr>
        <w:t>funding</w:t>
      </w:r>
      <w:r w:rsidRPr="002C48BE">
        <w:rPr>
          <w:rFonts w:eastAsia="Times New Roman" w:cs="Times New Roman"/>
          <w:spacing w:val="32"/>
          <w:sz w:val="22"/>
        </w:rPr>
        <w:t xml:space="preserve"> </w:t>
      </w:r>
      <w:r w:rsidRPr="002C48BE">
        <w:rPr>
          <w:rFonts w:eastAsia="Times New Roman" w:cs="Times New Roman"/>
          <w:sz w:val="22"/>
        </w:rPr>
        <w:t>and</w:t>
      </w:r>
      <w:r w:rsidRPr="002C48BE">
        <w:rPr>
          <w:rFonts w:eastAsia="Times New Roman" w:cs="Times New Roman"/>
          <w:spacing w:val="6"/>
          <w:sz w:val="22"/>
        </w:rPr>
        <w:t xml:space="preserve"> </w:t>
      </w:r>
      <w:r w:rsidRPr="002C48BE">
        <w:rPr>
          <w:rFonts w:eastAsia="Times New Roman" w:cs="Times New Roman"/>
          <w:sz w:val="22"/>
        </w:rPr>
        <w:t>corresponding</w:t>
      </w:r>
      <w:r w:rsidRPr="002C48BE">
        <w:rPr>
          <w:rFonts w:eastAsia="Times New Roman" w:cs="Times New Roman"/>
          <w:spacing w:val="50"/>
          <w:sz w:val="22"/>
        </w:rPr>
        <w:t xml:space="preserve"> </w:t>
      </w:r>
      <w:r w:rsidRPr="002C48BE">
        <w:rPr>
          <w:rFonts w:eastAsia="Times New Roman" w:cs="Times New Roman"/>
          <w:sz w:val="22"/>
        </w:rPr>
        <w:t>expenditure</w:t>
      </w:r>
      <w:r w:rsidRPr="002C48BE">
        <w:rPr>
          <w:rFonts w:eastAsia="Times New Roman" w:cs="Times New Roman"/>
          <w:spacing w:val="43"/>
          <w:sz w:val="22"/>
        </w:rPr>
        <w:t xml:space="preserve"> </w:t>
      </w:r>
      <w:r w:rsidRPr="002C48BE">
        <w:rPr>
          <w:rFonts w:eastAsia="Times New Roman" w:cs="Times New Roman"/>
          <w:sz w:val="22"/>
        </w:rPr>
        <w:t>relating</w:t>
      </w:r>
      <w:r w:rsidRPr="002C48BE">
        <w:rPr>
          <w:rFonts w:eastAsia="Times New Roman" w:cs="Times New Roman"/>
          <w:spacing w:val="32"/>
          <w:sz w:val="22"/>
        </w:rPr>
        <w:t xml:space="preserve"> </w:t>
      </w:r>
      <w:r w:rsidRPr="002C48BE">
        <w:rPr>
          <w:rFonts w:eastAsia="Times New Roman" w:cs="Times New Roman"/>
          <w:sz w:val="22"/>
        </w:rPr>
        <w:t>to</w:t>
      </w:r>
      <w:r w:rsidRPr="002C48BE">
        <w:rPr>
          <w:rFonts w:eastAsia="Times New Roman" w:cs="Times New Roman"/>
          <w:spacing w:val="7"/>
          <w:sz w:val="22"/>
        </w:rPr>
        <w:t xml:space="preserve"> </w:t>
      </w:r>
      <w:r w:rsidRPr="002C48BE">
        <w:rPr>
          <w:rFonts w:eastAsia="Times New Roman" w:cs="Times New Roman"/>
          <w:sz w:val="22"/>
        </w:rPr>
        <w:t>the</w:t>
      </w:r>
      <w:r w:rsidRPr="002C48BE">
        <w:rPr>
          <w:rFonts w:eastAsia="Times New Roman" w:cs="Times New Roman"/>
          <w:spacing w:val="17"/>
          <w:sz w:val="22"/>
        </w:rPr>
        <w:t xml:space="preserve"> </w:t>
      </w:r>
      <w:r w:rsidRPr="002C48BE">
        <w:rPr>
          <w:rFonts w:eastAsia="Times New Roman" w:cs="Times New Roman"/>
          <w:sz w:val="22"/>
        </w:rPr>
        <w:t>provision</w:t>
      </w:r>
      <w:r w:rsidRPr="002C48BE">
        <w:rPr>
          <w:rFonts w:eastAsia="Times New Roman" w:cs="Times New Roman"/>
          <w:spacing w:val="29"/>
          <w:sz w:val="22"/>
        </w:rPr>
        <w:t xml:space="preserve"> </w:t>
      </w:r>
      <w:r w:rsidRPr="002C48BE">
        <w:rPr>
          <w:rFonts w:eastAsia="Times New Roman" w:cs="Times New Roman"/>
          <w:sz w:val="22"/>
        </w:rPr>
        <w:t>of</w:t>
      </w:r>
      <w:r w:rsidRPr="002C48BE">
        <w:rPr>
          <w:rFonts w:eastAsia="Times New Roman" w:cs="Times New Roman"/>
          <w:spacing w:val="6"/>
          <w:sz w:val="22"/>
        </w:rPr>
        <w:t xml:space="preserve"> </w:t>
      </w:r>
      <w:r w:rsidRPr="002C48BE">
        <w:rPr>
          <w:rFonts w:eastAsia="Times New Roman" w:cs="Times New Roman"/>
          <w:w w:val="103"/>
          <w:sz w:val="22"/>
        </w:rPr>
        <w:t xml:space="preserve">cross-border </w:t>
      </w:r>
      <w:r w:rsidRPr="002C48BE">
        <w:rPr>
          <w:rFonts w:eastAsia="Times New Roman" w:cs="Times New Roman"/>
          <w:sz w:val="22"/>
        </w:rPr>
        <w:t>services</w:t>
      </w:r>
      <w:r w:rsidRPr="002C48BE">
        <w:rPr>
          <w:rFonts w:eastAsia="Times New Roman" w:cs="Times New Roman"/>
          <w:spacing w:val="44"/>
          <w:sz w:val="22"/>
        </w:rPr>
        <w:t xml:space="preserve"> </w:t>
      </w:r>
      <w:r w:rsidRPr="002C48BE">
        <w:rPr>
          <w:rFonts w:eastAsia="Times New Roman" w:cs="Times New Roman"/>
          <w:sz w:val="22"/>
        </w:rPr>
        <w:t>to</w:t>
      </w:r>
      <w:r w:rsidRPr="002C48BE">
        <w:rPr>
          <w:rFonts w:eastAsia="Times New Roman" w:cs="Times New Roman"/>
          <w:spacing w:val="7"/>
          <w:sz w:val="22"/>
        </w:rPr>
        <w:t xml:space="preserve"> </w:t>
      </w:r>
      <w:r w:rsidRPr="002C48BE">
        <w:rPr>
          <w:rFonts w:eastAsia="Times New Roman" w:cs="Times New Roman"/>
          <w:sz w:val="22"/>
        </w:rPr>
        <w:t>the</w:t>
      </w:r>
      <w:r w:rsidRPr="002C48BE">
        <w:rPr>
          <w:rFonts w:eastAsia="Times New Roman" w:cs="Times New Roman"/>
          <w:spacing w:val="4"/>
          <w:sz w:val="22"/>
        </w:rPr>
        <w:t xml:space="preserve"> </w:t>
      </w:r>
      <w:r w:rsidRPr="002C48BE">
        <w:rPr>
          <w:rFonts w:eastAsia="Times New Roman" w:cs="Times New Roman"/>
          <w:sz w:val="22"/>
        </w:rPr>
        <w:t>residents</w:t>
      </w:r>
      <w:r w:rsidRPr="002C48BE">
        <w:rPr>
          <w:rFonts w:eastAsia="Times New Roman" w:cs="Times New Roman"/>
          <w:spacing w:val="41"/>
          <w:sz w:val="22"/>
        </w:rPr>
        <w:t xml:space="preserve"> </w:t>
      </w:r>
      <w:r w:rsidRPr="002C48BE">
        <w:rPr>
          <w:rFonts w:eastAsia="Times New Roman" w:cs="Times New Roman"/>
          <w:sz w:val="22"/>
        </w:rPr>
        <w:t>of</w:t>
      </w:r>
      <w:r w:rsidRPr="002C48BE">
        <w:rPr>
          <w:rFonts w:eastAsia="Times New Roman" w:cs="Times New Roman"/>
          <w:spacing w:val="11"/>
          <w:sz w:val="22"/>
        </w:rPr>
        <w:t xml:space="preserve"> </w:t>
      </w:r>
      <w:r w:rsidRPr="002C48BE">
        <w:rPr>
          <w:rFonts w:eastAsia="Times New Roman" w:cs="Times New Roman"/>
          <w:sz w:val="22"/>
        </w:rPr>
        <w:t>other</w:t>
      </w:r>
      <w:r w:rsidRPr="002C48BE">
        <w:rPr>
          <w:rFonts w:eastAsia="Times New Roman" w:cs="Times New Roman"/>
          <w:spacing w:val="16"/>
          <w:sz w:val="22"/>
        </w:rPr>
        <w:t xml:space="preserve"> </w:t>
      </w:r>
      <w:r w:rsidRPr="002C48BE">
        <w:rPr>
          <w:rFonts w:eastAsia="Times New Roman" w:cs="Times New Roman"/>
          <w:sz w:val="22"/>
        </w:rPr>
        <w:t>States</w:t>
      </w:r>
      <w:r w:rsidRPr="002C48BE">
        <w:rPr>
          <w:rFonts w:eastAsia="Times New Roman" w:cs="Times New Roman"/>
          <w:spacing w:val="27"/>
          <w:sz w:val="22"/>
        </w:rPr>
        <w:t xml:space="preserve"> </w:t>
      </w:r>
      <w:r w:rsidRPr="002C48BE">
        <w:rPr>
          <w:rFonts w:eastAsia="Times New Roman" w:cs="Times New Roman"/>
          <w:sz w:val="22"/>
        </w:rPr>
        <w:t>should</w:t>
      </w:r>
      <w:r w:rsidRPr="002C48BE">
        <w:rPr>
          <w:rFonts w:eastAsia="Times New Roman" w:cs="Times New Roman"/>
          <w:spacing w:val="21"/>
          <w:sz w:val="22"/>
        </w:rPr>
        <w:t xml:space="preserve"> </w:t>
      </w:r>
      <w:r w:rsidRPr="002C48BE">
        <w:rPr>
          <w:rFonts w:eastAsia="Times New Roman" w:cs="Times New Roman"/>
          <w:sz w:val="22"/>
        </w:rPr>
        <w:t>be</w:t>
      </w:r>
      <w:r w:rsidRPr="002C48BE">
        <w:rPr>
          <w:rFonts w:eastAsia="Times New Roman" w:cs="Times New Roman"/>
          <w:spacing w:val="18"/>
          <w:sz w:val="22"/>
        </w:rPr>
        <w:t xml:space="preserve"> </w:t>
      </w:r>
      <w:r w:rsidRPr="002C48BE">
        <w:rPr>
          <w:rFonts w:eastAsia="Times New Roman" w:cs="Times New Roman"/>
          <w:sz w:val="22"/>
        </w:rPr>
        <w:t>allocated</w:t>
      </w:r>
      <w:r w:rsidRPr="002C48BE">
        <w:rPr>
          <w:rFonts w:eastAsia="Times New Roman" w:cs="Times New Roman"/>
          <w:spacing w:val="28"/>
          <w:sz w:val="22"/>
        </w:rPr>
        <w:t xml:space="preserve"> </w:t>
      </w:r>
      <w:r w:rsidRPr="002C48BE">
        <w:rPr>
          <w:rFonts w:eastAsia="Times New Roman" w:cs="Times New Roman"/>
          <w:sz w:val="22"/>
        </w:rPr>
        <w:t>to</w:t>
      </w:r>
      <w:r w:rsidRPr="002C48BE">
        <w:rPr>
          <w:rFonts w:eastAsia="Times New Roman" w:cs="Times New Roman"/>
          <w:spacing w:val="5"/>
          <w:sz w:val="22"/>
        </w:rPr>
        <w:t xml:space="preserve"> </w:t>
      </w:r>
      <w:r w:rsidRPr="002C48BE">
        <w:rPr>
          <w:rFonts w:eastAsia="Times New Roman" w:cs="Times New Roman"/>
          <w:sz w:val="22"/>
        </w:rPr>
        <w:t>States</w:t>
      </w:r>
      <w:r w:rsidRPr="002C48BE">
        <w:rPr>
          <w:rFonts w:eastAsia="Times New Roman" w:cs="Times New Roman"/>
          <w:spacing w:val="25"/>
          <w:sz w:val="22"/>
        </w:rPr>
        <w:t xml:space="preserve"> </w:t>
      </w:r>
      <w:r w:rsidRPr="002C48BE">
        <w:rPr>
          <w:rFonts w:eastAsia="Times New Roman" w:cs="Times New Roman"/>
          <w:sz w:val="22"/>
        </w:rPr>
        <w:t>on</w:t>
      </w:r>
      <w:r w:rsidRPr="002C48BE">
        <w:rPr>
          <w:rFonts w:eastAsia="Times New Roman" w:cs="Times New Roman"/>
          <w:spacing w:val="23"/>
          <w:sz w:val="22"/>
        </w:rPr>
        <w:t xml:space="preserve"> </w:t>
      </w:r>
      <w:r w:rsidRPr="002C48BE">
        <w:rPr>
          <w:rFonts w:eastAsia="Times New Roman" w:cs="Times New Roman"/>
          <w:sz w:val="22"/>
        </w:rPr>
        <w:t>the</w:t>
      </w:r>
      <w:r w:rsidRPr="002C48BE">
        <w:rPr>
          <w:rFonts w:eastAsia="Times New Roman" w:cs="Times New Roman"/>
          <w:spacing w:val="11"/>
          <w:sz w:val="22"/>
        </w:rPr>
        <w:t xml:space="preserve"> </w:t>
      </w:r>
      <w:r w:rsidRPr="002C48BE">
        <w:rPr>
          <w:rFonts w:eastAsia="Times New Roman" w:cs="Times New Roman"/>
          <w:sz w:val="22"/>
        </w:rPr>
        <w:t>basis</w:t>
      </w:r>
      <w:r w:rsidRPr="002C48BE">
        <w:rPr>
          <w:rFonts w:eastAsia="Times New Roman" w:cs="Times New Roman"/>
          <w:spacing w:val="17"/>
          <w:sz w:val="22"/>
        </w:rPr>
        <w:t xml:space="preserve"> </w:t>
      </w:r>
      <w:r w:rsidRPr="002C48BE">
        <w:rPr>
          <w:rFonts w:eastAsia="Times New Roman" w:cs="Times New Roman"/>
          <w:sz w:val="22"/>
        </w:rPr>
        <w:t xml:space="preserve">of </w:t>
      </w:r>
      <w:r w:rsidRPr="002C48BE">
        <w:rPr>
          <w:rFonts w:eastAsia="Times New Roman" w:cs="Times New Roman"/>
          <w:w w:val="104"/>
          <w:sz w:val="22"/>
        </w:rPr>
        <w:t>residence.</w:t>
      </w:r>
    </w:p>
    <w:p w:rsidR="00FF5D0B" w:rsidRDefault="00FF5D0B" w:rsidP="00FF5D0B">
      <w:pPr>
        <w:pStyle w:val="CGCNumberedPara"/>
        <w:numPr>
          <w:ilvl w:val="1"/>
          <w:numId w:val="12"/>
        </w:numPr>
      </w:pPr>
      <w:r>
        <w:t>The 2014 Update</w:t>
      </w:r>
      <w:r w:rsidRPr="002C48BE">
        <w:t xml:space="preserve"> </w:t>
      </w:r>
      <w:r>
        <w:t xml:space="preserve">terms of reference had the same requirement: assessments of the payment and the expenses should be made on the basis of residence, not treatment. However, the payments reported in Commonwealth budget papers since 2013-14 have included cross-border payments to States where the treatment occurs. The Commission needed to remove the net amounts included in the Commonwealth payments in the 2014 Update and also in this </w:t>
      </w:r>
      <w:r w:rsidR="007A1F38">
        <w:t>r</w:t>
      </w:r>
      <w:r>
        <w:t>eview.</w:t>
      </w:r>
    </w:p>
    <w:p w:rsidR="00FF5D0B" w:rsidRDefault="00FF5D0B" w:rsidP="00FF5D0B">
      <w:pPr>
        <w:pStyle w:val="CGCNumberedPara"/>
        <w:numPr>
          <w:ilvl w:val="1"/>
          <w:numId w:val="12"/>
        </w:numPr>
      </w:pPr>
      <w:r>
        <w:t>In addition</w:t>
      </w:r>
      <w:r w:rsidR="007A1F38">
        <w:t>,</w:t>
      </w:r>
      <w:r>
        <w:t xml:space="preserve"> in the 2014 Update,</w:t>
      </w:r>
      <w:r w:rsidRPr="006B12A4">
        <w:t xml:space="preserve"> </w:t>
      </w:r>
      <w:r>
        <w:t xml:space="preserve">the Commission considered whether to </w:t>
      </w:r>
      <w:r w:rsidRPr="006B12A4">
        <w:t xml:space="preserve">backcast the </w:t>
      </w:r>
      <w:r>
        <w:t>NHR funding</w:t>
      </w:r>
      <w:r w:rsidRPr="006B12A4">
        <w:t xml:space="preserve"> based on the 2014-15 distribution</w:t>
      </w:r>
      <w:r>
        <w:t xml:space="preserve"> (the year in which the relativities were to be applied). </w:t>
      </w:r>
      <w:r w:rsidRPr="00E51372">
        <w:t xml:space="preserve">Most States </w:t>
      </w:r>
      <w:r w:rsidRPr="00CD3BEC">
        <w:rPr>
          <w:color w:val="000000" w:themeColor="text1"/>
        </w:rPr>
        <w:t xml:space="preserve">argued </w:t>
      </w:r>
      <w:r>
        <w:rPr>
          <w:color w:val="000000" w:themeColor="text1"/>
        </w:rPr>
        <w:t xml:space="preserve">that </w:t>
      </w:r>
      <w:r w:rsidRPr="00CD3BEC">
        <w:rPr>
          <w:color w:val="000000" w:themeColor="text1"/>
        </w:rPr>
        <w:t xml:space="preserve">backcasting </w:t>
      </w:r>
      <w:r>
        <w:rPr>
          <w:color w:val="000000" w:themeColor="text1"/>
        </w:rPr>
        <w:t>the</w:t>
      </w:r>
      <w:r w:rsidRPr="00CD3BEC">
        <w:rPr>
          <w:color w:val="000000" w:themeColor="text1"/>
        </w:rPr>
        <w:t xml:space="preserve"> NHR funding</w:t>
      </w:r>
      <w:r>
        <w:rPr>
          <w:color w:val="000000" w:themeColor="text1"/>
        </w:rPr>
        <w:t xml:space="preserve"> would be </w:t>
      </w:r>
      <w:r w:rsidRPr="00CD3BEC">
        <w:rPr>
          <w:color w:val="000000" w:themeColor="text1"/>
        </w:rPr>
        <w:t>based on unreliable data</w:t>
      </w:r>
      <w:r>
        <w:rPr>
          <w:color w:val="000000" w:themeColor="text1"/>
        </w:rPr>
        <w:t xml:space="preserve">, given that the </w:t>
      </w:r>
      <w:r>
        <w:t xml:space="preserve">estimates included </w:t>
      </w:r>
      <w:r w:rsidRPr="00BC07AC">
        <w:t>adjust</w:t>
      </w:r>
      <w:r>
        <w:t>ments</w:t>
      </w:r>
      <w:r w:rsidRPr="00BC07AC">
        <w:t xml:space="preserve"> for cross</w:t>
      </w:r>
      <w:r w:rsidR="007A1F38">
        <w:noBreakHyphen/>
      </w:r>
      <w:r w:rsidRPr="00BC07AC">
        <w:t>border activity</w:t>
      </w:r>
      <w:r>
        <w:t xml:space="preserve"> and were based on historical public hospital data, reflecting past policy decisions by jurisdictions. </w:t>
      </w:r>
    </w:p>
    <w:p w:rsidR="00FF5D0B" w:rsidRDefault="00FF5D0B" w:rsidP="00FF5D0B">
      <w:pPr>
        <w:pStyle w:val="CGCNumberedPara"/>
        <w:numPr>
          <w:ilvl w:val="1"/>
          <w:numId w:val="12"/>
        </w:numPr>
      </w:pPr>
      <w:r>
        <w:t>As such, the Commission concluded the 2014-15 NHR funding distribution should not be backcast as it could not be done reliably.</w:t>
      </w:r>
      <w:r w:rsidRPr="00C320A4">
        <w:t xml:space="preserve"> </w:t>
      </w:r>
      <w:r>
        <w:t>Instead, it backcast an EPC distribution of hospital services funding because the payments predominantly comprised the NHR base funding, which was distributed on an EPC basis. This also dealt with the removal of payments for non-residents.</w:t>
      </w:r>
    </w:p>
    <w:p w:rsidR="00FF5D0B" w:rsidRPr="000B3ADB" w:rsidRDefault="00FF5D0B" w:rsidP="00FF5D0B">
      <w:pPr>
        <w:pStyle w:val="Heading5"/>
        <w:rPr>
          <w:rFonts w:eastAsiaTheme="minorHAnsi" w:cstheme="minorBidi"/>
          <w:color w:val="auto"/>
          <w:sz w:val="24"/>
        </w:rPr>
      </w:pPr>
      <w:r w:rsidRPr="000B3ADB">
        <w:t>Issues</w:t>
      </w:r>
    </w:p>
    <w:p w:rsidR="00FF5D0B" w:rsidRDefault="00FF5D0B" w:rsidP="00FF5D0B">
      <w:pPr>
        <w:pStyle w:val="CGCNumberedPara"/>
        <w:numPr>
          <w:ilvl w:val="1"/>
          <w:numId w:val="12"/>
        </w:numPr>
      </w:pPr>
      <w:r>
        <w:t>There are two issues that the Commission needs to decide in this review:</w:t>
      </w:r>
    </w:p>
    <w:p w:rsidR="00FF5D0B" w:rsidRDefault="00FF5D0B" w:rsidP="00FF5D0B">
      <w:pPr>
        <w:pStyle w:val="CGCBulletlist"/>
        <w:numPr>
          <w:ilvl w:val="0"/>
          <w:numId w:val="11"/>
        </w:numPr>
        <w:tabs>
          <w:tab w:val="clear" w:pos="927"/>
          <w:tab w:val="left" w:pos="1134"/>
        </w:tabs>
        <w:ind w:left="1134" w:hanging="567"/>
      </w:pPr>
      <w:r>
        <w:t>How do we give effect to the Terms of Reference requirement to allocate NHR funding on the basis of residence?</w:t>
      </w:r>
    </w:p>
    <w:p w:rsidR="00FF5D0B" w:rsidRDefault="00FF5D0B" w:rsidP="00FF5D0B">
      <w:pPr>
        <w:pStyle w:val="CGCBulletlist"/>
        <w:numPr>
          <w:ilvl w:val="0"/>
          <w:numId w:val="11"/>
        </w:numPr>
        <w:tabs>
          <w:tab w:val="clear" w:pos="927"/>
          <w:tab w:val="left" w:pos="1134"/>
        </w:tabs>
        <w:ind w:left="1134" w:hanging="567"/>
      </w:pPr>
      <w:r>
        <w:t>Whether, and how, the payments should be backcast in this review?</w:t>
      </w:r>
    </w:p>
    <w:p w:rsidR="00FF5D0B" w:rsidRDefault="00FF5D0B" w:rsidP="00FF5D0B">
      <w:pPr>
        <w:pStyle w:val="CGCNumberedPara"/>
        <w:numPr>
          <w:ilvl w:val="1"/>
          <w:numId w:val="12"/>
        </w:numPr>
      </w:pPr>
      <w:r>
        <w:fldChar w:fldCharType="begin"/>
      </w:r>
      <w:r>
        <w:instrText xml:space="preserve"> REF _Ref395104937 \h </w:instrText>
      </w:r>
      <w:r>
        <w:fldChar w:fldCharType="separate"/>
      </w:r>
      <w:r w:rsidR="0040671D">
        <w:t xml:space="preserve">Table </w:t>
      </w:r>
      <w:r w:rsidR="0040671D">
        <w:rPr>
          <w:noProof/>
        </w:rPr>
        <w:t>9</w:t>
      </w:r>
      <w:r>
        <w:fldChar w:fldCharType="end"/>
      </w:r>
      <w:r>
        <w:t xml:space="preserve"> shows the basis on which NHR or equivalent funding has been provided in each of the assessment, mid</w:t>
      </w:r>
      <w:r w:rsidR="00380570">
        <w:t>dle</w:t>
      </w:r>
      <w:r>
        <w:t xml:space="preserve"> and application years for this review.</w:t>
      </w:r>
    </w:p>
    <w:p w:rsidR="00FF5D0B" w:rsidRDefault="00FF5D0B" w:rsidP="00FF5D0B">
      <w:pPr>
        <w:pStyle w:val="Caption"/>
      </w:pPr>
      <w:bookmarkStart w:id="92" w:name="_Ref395104937"/>
      <w:r>
        <w:lastRenderedPageBreak/>
        <w:t xml:space="preserve">Table </w:t>
      </w:r>
      <w:fldSimple w:instr=" SEQ Table \* ARABIC ">
        <w:r w:rsidR="0040671D">
          <w:rPr>
            <w:noProof/>
          </w:rPr>
          <w:t>9</w:t>
        </w:r>
      </w:fldSimple>
      <w:bookmarkEnd w:id="92"/>
      <w:r>
        <w:tab/>
        <w:t>N</w:t>
      </w:r>
      <w:r w:rsidR="00732C1F">
        <w:t xml:space="preserve">ational </w:t>
      </w:r>
      <w:r w:rsidR="00A25CDF">
        <w:t>h</w:t>
      </w:r>
      <w:r w:rsidR="00732C1F">
        <w:t xml:space="preserve">ealth </w:t>
      </w:r>
      <w:r w:rsidR="00A25CDF">
        <w:t>reform</w:t>
      </w:r>
      <w:r>
        <w:t xml:space="preserve"> funding</w:t>
      </w:r>
      <w:r w:rsidR="00A25CDF">
        <w:t xml:space="preserve"> — actual funding basis</w:t>
      </w:r>
    </w:p>
    <w:tbl>
      <w:tblPr>
        <w:tblW w:w="9072" w:type="dxa"/>
        <w:tblLayout w:type="fixed"/>
        <w:tblCellMar>
          <w:left w:w="0" w:type="dxa"/>
          <w:right w:w="0" w:type="dxa"/>
        </w:tblCellMar>
        <w:tblLook w:val="04A0" w:firstRow="1" w:lastRow="0" w:firstColumn="1" w:lastColumn="0" w:noHBand="0" w:noVBand="1"/>
      </w:tblPr>
      <w:tblGrid>
        <w:gridCol w:w="2560"/>
        <w:gridCol w:w="3819"/>
        <w:gridCol w:w="2693"/>
      </w:tblGrid>
      <w:tr w:rsidR="00FF5D0B" w:rsidRPr="00F7784C" w:rsidTr="005A31B6">
        <w:trPr>
          <w:trHeight w:val="315"/>
        </w:trPr>
        <w:tc>
          <w:tcPr>
            <w:tcW w:w="2560" w:type="dxa"/>
            <w:tcBorders>
              <w:top w:val="single" w:sz="4" w:space="0" w:color="auto"/>
              <w:left w:val="nil"/>
              <w:bottom w:val="single" w:sz="4" w:space="0" w:color="auto"/>
              <w:right w:val="nil"/>
            </w:tcBorders>
            <w:shd w:val="clear" w:color="auto" w:fill="auto"/>
            <w:noWrap/>
            <w:vAlign w:val="center"/>
            <w:hideMark/>
          </w:tcPr>
          <w:p w:rsidR="00FF5D0B" w:rsidRPr="00F7784C" w:rsidRDefault="00FF5D0B" w:rsidP="005A31B6">
            <w:pPr>
              <w:keepNext/>
              <w:keepLines/>
              <w:tabs>
                <w:tab w:val="clear" w:pos="567"/>
              </w:tabs>
              <w:spacing w:after="0" w:line="240" w:lineRule="auto"/>
              <w:ind w:left="193" w:hanging="142"/>
              <w:rPr>
                <w:rFonts w:ascii="Calibri" w:eastAsia="Times New Roman" w:hAnsi="Calibri" w:cs="Times New Roman"/>
                <w:color w:val="000000"/>
                <w:sz w:val="18"/>
                <w:szCs w:val="18"/>
                <w:lang w:eastAsia="en-AU"/>
              </w:rPr>
            </w:pPr>
            <w:bookmarkStart w:id="93" w:name="RANGE!A8:C13"/>
            <w:r w:rsidRPr="00F7784C">
              <w:rPr>
                <w:rFonts w:ascii="Calibri" w:eastAsia="Times New Roman" w:hAnsi="Calibri" w:cs="Times New Roman"/>
                <w:color w:val="000000"/>
                <w:sz w:val="18"/>
                <w:szCs w:val="18"/>
                <w:lang w:eastAsia="en-AU"/>
              </w:rPr>
              <w:t> </w:t>
            </w:r>
            <w:bookmarkEnd w:id="93"/>
          </w:p>
        </w:tc>
        <w:tc>
          <w:tcPr>
            <w:tcW w:w="3819" w:type="dxa"/>
            <w:tcBorders>
              <w:top w:val="single" w:sz="4" w:space="0" w:color="auto"/>
              <w:left w:val="nil"/>
              <w:bottom w:val="single" w:sz="4" w:space="0" w:color="auto"/>
              <w:right w:val="nil"/>
            </w:tcBorders>
            <w:shd w:val="clear" w:color="auto" w:fill="auto"/>
            <w:noWrap/>
            <w:vAlign w:val="center"/>
            <w:hideMark/>
          </w:tcPr>
          <w:p w:rsidR="00FF5D0B" w:rsidRPr="00F7784C" w:rsidRDefault="00FF5D0B" w:rsidP="005A31B6">
            <w:pPr>
              <w:keepNext/>
              <w:keepLines/>
              <w:tabs>
                <w:tab w:val="clear" w:pos="567"/>
              </w:tabs>
              <w:spacing w:after="0" w:line="240" w:lineRule="auto"/>
              <w:rPr>
                <w:rFonts w:ascii="Calibri" w:eastAsia="Times New Roman" w:hAnsi="Calibri" w:cs="Times New Roman"/>
                <w:color w:val="000000"/>
                <w:sz w:val="18"/>
                <w:szCs w:val="18"/>
                <w:lang w:eastAsia="en-AU"/>
              </w:rPr>
            </w:pPr>
            <w:r w:rsidRPr="00F7784C">
              <w:rPr>
                <w:rFonts w:ascii="Calibri" w:eastAsia="Times New Roman" w:hAnsi="Calibri" w:cs="Times New Roman"/>
                <w:color w:val="000000"/>
                <w:sz w:val="18"/>
                <w:szCs w:val="18"/>
                <w:lang w:eastAsia="en-AU"/>
              </w:rPr>
              <w:t>Actual funding basis</w:t>
            </w:r>
          </w:p>
        </w:tc>
        <w:tc>
          <w:tcPr>
            <w:tcW w:w="2693" w:type="dxa"/>
            <w:tcBorders>
              <w:top w:val="single" w:sz="4" w:space="0" w:color="auto"/>
              <w:left w:val="nil"/>
              <w:bottom w:val="single" w:sz="4" w:space="0" w:color="auto"/>
              <w:right w:val="nil"/>
            </w:tcBorders>
          </w:tcPr>
          <w:p w:rsidR="00FF5D0B" w:rsidRPr="00F7784C" w:rsidRDefault="00FF5D0B" w:rsidP="005A31B6">
            <w:pPr>
              <w:keepNext/>
              <w:keepLines/>
              <w:tabs>
                <w:tab w:val="clear" w:pos="567"/>
              </w:tabs>
              <w:spacing w:after="0" w:line="240" w:lineRule="auto"/>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Year</w:t>
            </w:r>
          </w:p>
        </w:tc>
      </w:tr>
      <w:tr w:rsidR="00FF5D0B" w:rsidRPr="00F7784C" w:rsidTr="005A31B6">
        <w:trPr>
          <w:trHeight w:val="315"/>
        </w:trPr>
        <w:tc>
          <w:tcPr>
            <w:tcW w:w="2560" w:type="dxa"/>
            <w:tcBorders>
              <w:top w:val="nil"/>
              <w:left w:val="nil"/>
              <w:bottom w:val="nil"/>
              <w:right w:val="nil"/>
            </w:tcBorders>
            <w:shd w:val="clear" w:color="auto" w:fill="auto"/>
            <w:noWrap/>
            <w:vAlign w:val="bottom"/>
            <w:hideMark/>
          </w:tcPr>
          <w:p w:rsidR="00FF5D0B" w:rsidRPr="00F7784C" w:rsidRDefault="00FF5D0B" w:rsidP="005A31B6">
            <w:pPr>
              <w:keepNext/>
              <w:keepLines/>
              <w:tabs>
                <w:tab w:val="clear" w:pos="567"/>
              </w:tabs>
              <w:spacing w:after="0" w:line="240" w:lineRule="auto"/>
              <w:ind w:left="193" w:hanging="142"/>
              <w:rPr>
                <w:rFonts w:ascii="Calibri" w:eastAsia="Times New Roman" w:hAnsi="Calibri" w:cs="Times New Roman"/>
                <w:color w:val="000000"/>
                <w:sz w:val="18"/>
                <w:szCs w:val="18"/>
                <w:lang w:eastAsia="en-AU"/>
              </w:rPr>
            </w:pPr>
            <w:r w:rsidRPr="00F7784C">
              <w:rPr>
                <w:rFonts w:ascii="Calibri" w:eastAsia="Times New Roman" w:hAnsi="Calibri" w:cs="Times New Roman"/>
                <w:color w:val="000000"/>
                <w:sz w:val="18"/>
                <w:szCs w:val="18"/>
                <w:lang w:eastAsia="en-AU"/>
              </w:rPr>
              <w:t>2011-12</w:t>
            </w:r>
          </w:p>
        </w:tc>
        <w:tc>
          <w:tcPr>
            <w:tcW w:w="3819" w:type="dxa"/>
            <w:tcBorders>
              <w:top w:val="nil"/>
              <w:left w:val="nil"/>
              <w:bottom w:val="nil"/>
              <w:right w:val="nil"/>
            </w:tcBorders>
            <w:shd w:val="clear" w:color="auto" w:fill="auto"/>
            <w:noWrap/>
            <w:vAlign w:val="bottom"/>
            <w:hideMark/>
          </w:tcPr>
          <w:p w:rsidR="00FF5D0B" w:rsidRPr="00F7784C" w:rsidRDefault="00151B15" w:rsidP="005A31B6">
            <w:pPr>
              <w:keepNext/>
              <w:keepLines/>
              <w:tabs>
                <w:tab w:val="clear" w:pos="567"/>
              </w:tabs>
              <w:spacing w:after="0" w:line="240" w:lineRule="auto"/>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40% EPC, 6</w:t>
            </w:r>
            <w:r w:rsidR="00FF5D0B" w:rsidRPr="00F7784C">
              <w:rPr>
                <w:rFonts w:ascii="Calibri" w:eastAsia="Times New Roman" w:hAnsi="Calibri" w:cs="Times New Roman"/>
                <w:color w:val="000000"/>
                <w:sz w:val="18"/>
                <w:szCs w:val="18"/>
                <w:lang w:eastAsia="en-AU"/>
              </w:rPr>
              <w:t>0% historic</w:t>
            </w:r>
          </w:p>
        </w:tc>
        <w:tc>
          <w:tcPr>
            <w:tcW w:w="2693" w:type="dxa"/>
            <w:tcBorders>
              <w:top w:val="nil"/>
              <w:left w:val="nil"/>
              <w:bottom w:val="nil"/>
              <w:right w:val="nil"/>
            </w:tcBorders>
            <w:vAlign w:val="bottom"/>
          </w:tcPr>
          <w:p w:rsidR="00FF5D0B" w:rsidRPr="00F7784C" w:rsidRDefault="00FF5D0B" w:rsidP="005A31B6">
            <w:pPr>
              <w:keepNext/>
              <w:keepLines/>
              <w:tabs>
                <w:tab w:val="clear" w:pos="567"/>
              </w:tabs>
              <w:spacing w:after="0" w:line="240" w:lineRule="auto"/>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Assessment</w:t>
            </w:r>
          </w:p>
        </w:tc>
      </w:tr>
      <w:tr w:rsidR="00FF5D0B" w:rsidRPr="00F7784C" w:rsidTr="005A31B6">
        <w:trPr>
          <w:trHeight w:val="315"/>
        </w:trPr>
        <w:tc>
          <w:tcPr>
            <w:tcW w:w="2560" w:type="dxa"/>
            <w:tcBorders>
              <w:top w:val="nil"/>
              <w:left w:val="nil"/>
              <w:bottom w:val="nil"/>
              <w:right w:val="nil"/>
            </w:tcBorders>
            <w:shd w:val="clear" w:color="auto" w:fill="auto"/>
            <w:noWrap/>
            <w:vAlign w:val="bottom"/>
            <w:hideMark/>
          </w:tcPr>
          <w:p w:rsidR="00FF5D0B" w:rsidRPr="00F7784C" w:rsidRDefault="00FF5D0B" w:rsidP="005A31B6">
            <w:pPr>
              <w:keepNext/>
              <w:keepLines/>
              <w:tabs>
                <w:tab w:val="clear" w:pos="567"/>
              </w:tabs>
              <w:spacing w:after="0" w:line="240" w:lineRule="auto"/>
              <w:ind w:left="193" w:hanging="142"/>
              <w:rPr>
                <w:rFonts w:ascii="Calibri" w:eastAsia="Times New Roman" w:hAnsi="Calibri" w:cs="Times New Roman"/>
                <w:color w:val="000000"/>
                <w:sz w:val="18"/>
                <w:szCs w:val="18"/>
                <w:lang w:eastAsia="en-AU"/>
              </w:rPr>
            </w:pPr>
            <w:r w:rsidRPr="00F7784C">
              <w:rPr>
                <w:rFonts w:ascii="Calibri" w:eastAsia="Times New Roman" w:hAnsi="Calibri" w:cs="Times New Roman"/>
                <w:color w:val="000000"/>
                <w:sz w:val="18"/>
                <w:szCs w:val="18"/>
                <w:lang w:eastAsia="en-AU"/>
              </w:rPr>
              <w:t>2012-13</w:t>
            </w:r>
          </w:p>
        </w:tc>
        <w:tc>
          <w:tcPr>
            <w:tcW w:w="3819" w:type="dxa"/>
            <w:tcBorders>
              <w:top w:val="nil"/>
              <w:left w:val="nil"/>
              <w:bottom w:val="nil"/>
              <w:right w:val="nil"/>
            </w:tcBorders>
            <w:shd w:val="clear" w:color="auto" w:fill="auto"/>
            <w:noWrap/>
            <w:vAlign w:val="bottom"/>
            <w:hideMark/>
          </w:tcPr>
          <w:p w:rsidR="00FF5D0B" w:rsidRPr="00F7784C" w:rsidRDefault="00151B15" w:rsidP="00151B15">
            <w:pPr>
              <w:keepNext/>
              <w:keepLines/>
              <w:tabs>
                <w:tab w:val="clear" w:pos="567"/>
              </w:tabs>
              <w:spacing w:after="0" w:line="240" w:lineRule="auto"/>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6</w:t>
            </w:r>
            <w:r w:rsidR="00FF5D0B" w:rsidRPr="00F7784C">
              <w:rPr>
                <w:rFonts w:ascii="Calibri" w:eastAsia="Times New Roman" w:hAnsi="Calibri" w:cs="Times New Roman"/>
                <w:color w:val="000000"/>
                <w:sz w:val="18"/>
                <w:szCs w:val="18"/>
                <w:lang w:eastAsia="en-AU"/>
              </w:rPr>
              <w:t xml:space="preserve">0% EPC, </w:t>
            </w:r>
            <w:r>
              <w:rPr>
                <w:rFonts w:ascii="Calibri" w:eastAsia="Times New Roman" w:hAnsi="Calibri" w:cs="Times New Roman"/>
                <w:color w:val="000000"/>
                <w:sz w:val="18"/>
                <w:szCs w:val="18"/>
                <w:lang w:eastAsia="en-AU"/>
              </w:rPr>
              <w:t>4</w:t>
            </w:r>
            <w:r w:rsidR="00FF5D0B" w:rsidRPr="00F7784C">
              <w:rPr>
                <w:rFonts w:ascii="Calibri" w:eastAsia="Times New Roman" w:hAnsi="Calibri" w:cs="Times New Roman"/>
                <w:color w:val="000000"/>
                <w:sz w:val="18"/>
                <w:szCs w:val="18"/>
                <w:lang w:eastAsia="en-AU"/>
              </w:rPr>
              <w:t>0% historic</w:t>
            </w:r>
          </w:p>
        </w:tc>
        <w:tc>
          <w:tcPr>
            <w:tcW w:w="2693" w:type="dxa"/>
            <w:tcBorders>
              <w:top w:val="nil"/>
              <w:left w:val="nil"/>
              <w:bottom w:val="nil"/>
              <w:right w:val="nil"/>
            </w:tcBorders>
            <w:vAlign w:val="bottom"/>
          </w:tcPr>
          <w:p w:rsidR="00FF5D0B" w:rsidRPr="00F7784C" w:rsidRDefault="00FF5D0B" w:rsidP="005A31B6">
            <w:pPr>
              <w:keepNext/>
              <w:keepLines/>
              <w:tabs>
                <w:tab w:val="clear" w:pos="567"/>
              </w:tabs>
              <w:spacing w:after="0" w:line="240" w:lineRule="auto"/>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Assessment</w:t>
            </w:r>
          </w:p>
        </w:tc>
      </w:tr>
      <w:tr w:rsidR="00FF5D0B" w:rsidRPr="00F7784C" w:rsidTr="005A31B6">
        <w:trPr>
          <w:trHeight w:val="315"/>
        </w:trPr>
        <w:tc>
          <w:tcPr>
            <w:tcW w:w="2560" w:type="dxa"/>
            <w:tcBorders>
              <w:top w:val="nil"/>
              <w:left w:val="nil"/>
              <w:bottom w:val="nil"/>
              <w:right w:val="nil"/>
            </w:tcBorders>
            <w:shd w:val="clear" w:color="auto" w:fill="auto"/>
            <w:noWrap/>
            <w:vAlign w:val="bottom"/>
            <w:hideMark/>
          </w:tcPr>
          <w:p w:rsidR="00FF5D0B" w:rsidRPr="00F7784C" w:rsidRDefault="00FF5D0B" w:rsidP="005A31B6">
            <w:pPr>
              <w:keepNext/>
              <w:keepLines/>
              <w:tabs>
                <w:tab w:val="clear" w:pos="567"/>
              </w:tabs>
              <w:spacing w:after="0" w:line="240" w:lineRule="auto"/>
              <w:ind w:left="193" w:hanging="142"/>
              <w:rPr>
                <w:rFonts w:ascii="Calibri" w:eastAsia="Times New Roman" w:hAnsi="Calibri" w:cs="Times New Roman"/>
                <w:color w:val="000000"/>
                <w:sz w:val="18"/>
                <w:szCs w:val="18"/>
                <w:lang w:eastAsia="en-AU"/>
              </w:rPr>
            </w:pPr>
            <w:r w:rsidRPr="00F7784C">
              <w:rPr>
                <w:rFonts w:ascii="Calibri" w:eastAsia="Times New Roman" w:hAnsi="Calibri" w:cs="Times New Roman"/>
                <w:color w:val="000000"/>
                <w:sz w:val="18"/>
                <w:szCs w:val="18"/>
                <w:lang w:eastAsia="en-AU"/>
              </w:rPr>
              <w:t>2013-14</w:t>
            </w:r>
          </w:p>
        </w:tc>
        <w:tc>
          <w:tcPr>
            <w:tcW w:w="3819" w:type="dxa"/>
            <w:tcBorders>
              <w:top w:val="nil"/>
              <w:left w:val="nil"/>
              <w:bottom w:val="nil"/>
              <w:right w:val="nil"/>
            </w:tcBorders>
            <w:shd w:val="clear" w:color="auto" w:fill="auto"/>
            <w:noWrap/>
            <w:vAlign w:val="bottom"/>
            <w:hideMark/>
          </w:tcPr>
          <w:p w:rsidR="00FF5D0B" w:rsidRPr="00F7784C" w:rsidRDefault="00FF5D0B" w:rsidP="005A31B6">
            <w:pPr>
              <w:keepNext/>
              <w:keepLines/>
              <w:tabs>
                <w:tab w:val="clear" w:pos="567"/>
              </w:tabs>
              <w:spacing w:after="0" w:line="240" w:lineRule="auto"/>
              <w:rPr>
                <w:rFonts w:ascii="Calibri" w:eastAsia="Times New Roman" w:hAnsi="Calibri" w:cs="Times New Roman"/>
                <w:color w:val="000000"/>
                <w:sz w:val="18"/>
                <w:szCs w:val="18"/>
                <w:lang w:eastAsia="en-AU"/>
              </w:rPr>
            </w:pPr>
            <w:r w:rsidRPr="00F7784C">
              <w:rPr>
                <w:rFonts w:ascii="Calibri" w:eastAsia="Times New Roman" w:hAnsi="Calibri" w:cs="Times New Roman"/>
                <w:color w:val="000000"/>
                <w:sz w:val="18"/>
                <w:szCs w:val="18"/>
                <w:lang w:eastAsia="en-AU"/>
              </w:rPr>
              <w:t>EPC with cross border</w:t>
            </w:r>
          </w:p>
        </w:tc>
        <w:tc>
          <w:tcPr>
            <w:tcW w:w="2693" w:type="dxa"/>
            <w:tcBorders>
              <w:top w:val="nil"/>
              <w:left w:val="nil"/>
              <w:bottom w:val="nil"/>
              <w:right w:val="nil"/>
            </w:tcBorders>
            <w:vAlign w:val="bottom"/>
          </w:tcPr>
          <w:p w:rsidR="00FF5D0B" w:rsidRPr="00F7784C" w:rsidRDefault="00FF5D0B" w:rsidP="005A31B6">
            <w:pPr>
              <w:keepNext/>
              <w:keepLines/>
              <w:tabs>
                <w:tab w:val="clear" w:pos="567"/>
              </w:tabs>
              <w:spacing w:after="0" w:line="240" w:lineRule="auto"/>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Assessment</w:t>
            </w:r>
          </w:p>
        </w:tc>
      </w:tr>
      <w:tr w:rsidR="00FF5D0B" w:rsidRPr="00F7784C" w:rsidTr="005A31B6">
        <w:trPr>
          <w:trHeight w:val="315"/>
        </w:trPr>
        <w:tc>
          <w:tcPr>
            <w:tcW w:w="2560" w:type="dxa"/>
            <w:tcBorders>
              <w:top w:val="nil"/>
              <w:left w:val="nil"/>
              <w:bottom w:val="nil"/>
              <w:right w:val="nil"/>
            </w:tcBorders>
            <w:shd w:val="clear" w:color="auto" w:fill="auto"/>
            <w:noWrap/>
            <w:vAlign w:val="bottom"/>
            <w:hideMark/>
          </w:tcPr>
          <w:p w:rsidR="00FF5D0B" w:rsidRPr="00F7784C" w:rsidRDefault="00FF5D0B" w:rsidP="005A31B6">
            <w:pPr>
              <w:keepNext/>
              <w:keepLines/>
              <w:tabs>
                <w:tab w:val="clear" w:pos="567"/>
              </w:tabs>
              <w:spacing w:after="0" w:line="240" w:lineRule="auto"/>
              <w:ind w:left="193" w:hanging="142"/>
              <w:rPr>
                <w:rFonts w:ascii="Calibri" w:eastAsia="Times New Roman" w:hAnsi="Calibri" w:cs="Times New Roman"/>
                <w:color w:val="000000"/>
                <w:sz w:val="18"/>
                <w:szCs w:val="18"/>
                <w:lang w:eastAsia="en-AU"/>
              </w:rPr>
            </w:pPr>
            <w:r w:rsidRPr="00F7784C">
              <w:rPr>
                <w:rFonts w:ascii="Calibri" w:eastAsia="Times New Roman" w:hAnsi="Calibri" w:cs="Times New Roman"/>
                <w:color w:val="000000"/>
                <w:sz w:val="18"/>
                <w:szCs w:val="18"/>
                <w:lang w:eastAsia="en-AU"/>
              </w:rPr>
              <w:t>2014-15</w:t>
            </w:r>
          </w:p>
        </w:tc>
        <w:tc>
          <w:tcPr>
            <w:tcW w:w="3819" w:type="dxa"/>
            <w:tcBorders>
              <w:top w:val="nil"/>
              <w:left w:val="nil"/>
              <w:bottom w:val="nil"/>
              <w:right w:val="nil"/>
            </w:tcBorders>
            <w:shd w:val="clear" w:color="auto" w:fill="auto"/>
            <w:noWrap/>
            <w:vAlign w:val="bottom"/>
            <w:hideMark/>
          </w:tcPr>
          <w:p w:rsidR="00FF5D0B" w:rsidRPr="00F7784C" w:rsidRDefault="00FF5D0B" w:rsidP="005A31B6">
            <w:pPr>
              <w:keepNext/>
              <w:keepLines/>
              <w:tabs>
                <w:tab w:val="clear" w:pos="567"/>
              </w:tabs>
              <w:spacing w:after="0" w:line="240" w:lineRule="auto"/>
              <w:rPr>
                <w:rFonts w:ascii="Calibri" w:eastAsia="Times New Roman" w:hAnsi="Calibri" w:cs="Times New Roman"/>
                <w:color w:val="000000"/>
                <w:sz w:val="18"/>
                <w:szCs w:val="18"/>
                <w:lang w:eastAsia="en-AU"/>
              </w:rPr>
            </w:pPr>
            <w:r w:rsidRPr="00F7784C">
              <w:rPr>
                <w:rFonts w:ascii="Calibri" w:eastAsia="Times New Roman" w:hAnsi="Calibri" w:cs="Times New Roman"/>
                <w:color w:val="000000"/>
                <w:sz w:val="18"/>
                <w:szCs w:val="18"/>
                <w:lang w:eastAsia="en-AU"/>
              </w:rPr>
              <w:t>EPC + actual growth + cross border</w:t>
            </w:r>
          </w:p>
        </w:tc>
        <w:tc>
          <w:tcPr>
            <w:tcW w:w="2693" w:type="dxa"/>
            <w:tcBorders>
              <w:top w:val="nil"/>
              <w:left w:val="nil"/>
              <w:bottom w:val="nil"/>
              <w:right w:val="nil"/>
            </w:tcBorders>
            <w:vAlign w:val="bottom"/>
          </w:tcPr>
          <w:p w:rsidR="00FF5D0B" w:rsidRPr="00F7784C" w:rsidRDefault="00FF5D0B" w:rsidP="005A31B6">
            <w:pPr>
              <w:keepNext/>
              <w:keepLines/>
              <w:tabs>
                <w:tab w:val="clear" w:pos="567"/>
              </w:tabs>
              <w:spacing w:after="0" w:line="240" w:lineRule="auto"/>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Mid</w:t>
            </w:r>
            <w:r w:rsidR="00380570">
              <w:rPr>
                <w:rFonts w:ascii="Calibri" w:eastAsia="Times New Roman" w:hAnsi="Calibri" w:cs="Times New Roman"/>
                <w:color w:val="000000"/>
                <w:sz w:val="18"/>
                <w:szCs w:val="18"/>
                <w:lang w:eastAsia="en-AU"/>
              </w:rPr>
              <w:t>dle</w:t>
            </w:r>
          </w:p>
        </w:tc>
      </w:tr>
      <w:tr w:rsidR="00FF5D0B" w:rsidRPr="00F7784C" w:rsidTr="005A31B6">
        <w:trPr>
          <w:trHeight w:val="315"/>
        </w:trPr>
        <w:tc>
          <w:tcPr>
            <w:tcW w:w="2560" w:type="dxa"/>
            <w:tcBorders>
              <w:top w:val="nil"/>
              <w:left w:val="nil"/>
              <w:bottom w:val="single" w:sz="4" w:space="0" w:color="auto"/>
              <w:right w:val="nil"/>
            </w:tcBorders>
            <w:shd w:val="clear" w:color="auto" w:fill="auto"/>
            <w:noWrap/>
            <w:vAlign w:val="bottom"/>
            <w:hideMark/>
          </w:tcPr>
          <w:p w:rsidR="00FF5D0B" w:rsidRPr="00F7784C" w:rsidRDefault="00FF5D0B" w:rsidP="005A31B6">
            <w:pPr>
              <w:keepNext/>
              <w:keepLines/>
              <w:tabs>
                <w:tab w:val="clear" w:pos="567"/>
              </w:tabs>
              <w:spacing w:after="0" w:line="240" w:lineRule="auto"/>
              <w:ind w:left="193" w:hanging="142"/>
              <w:rPr>
                <w:rFonts w:ascii="Calibri" w:eastAsia="Times New Roman" w:hAnsi="Calibri" w:cs="Times New Roman"/>
                <w:color w:val="000000"/>
                <w:sz w:val="18"/>
                <w:szCs w:val="18"/>
                <w:lang w:eastAsia="en-AU"/>
              </w:rPr>
            </w:pPr>
            <w:r w:rsidRPr="00F7784C">
              <w:rPr>
                <w:rFonts w:ascii="Calibri" w:eastAsia="Times New Roman" w:hAnsi="Calibri" w:cs="Times New Roman"/>
                <w:color w:val="000000"/>
                <w:sz w:val="18"/>
                <w:szCs w:val="18"/>
                <w:lang w:eastAsia="en-AU"/>
              </w:rPr>
              <w:t>2015-16</w:t>
            </w:r>
          </w:p>
        </w:tc>
        <w:tc>
          <w:tcPr>
            <w:tcW w:w="3819" w:type="dxa"/>
            <w:tcBorders>
              <w:top w:val="nil"/>
              <w:left w:val="nil"/>
              <w:bottom w:val="single" w:sz="4" w:space="0" w:color="auto"/>
              <w:right w:val="nil"/>
            </w:tcBorders>
            <w:shd w:val="clear" w:color="auto" w:fill="auto"/>
            <w:noWrap/>
            <w:vAlign w:val="bottom"/>
            <w:hideMark/>
          </w:tcPr>
          <w:p w:rsidR="00FF5D0B" w:rsidRPr="00F7784C" w:rsidRDefault="00FF5D0B" w:rsidP="005A31B6">
            <w:pPr>
              <w:keepNext/>
              <w:keepLines/>
              <w:tabs>
                <w:tab w:val="clear" w:pos="567"/>
              </w:tabs>
              <w:spacing w:after="0" w:line="240" w:lineRule="auto"/>
              <w:rPr>
                <w:rFonts w:ascii="Calibri" w:eastAsia="Times New Roman" w:hAnsi="Calibri" w:cs="Times New Roman"/>
                <w:color w:val="000000"/>
                <w:sz w:val="18"/>
                <w:szCs w:val="18"/>
                <w:lang w:eastAsia="en-AU"/>
              </w:rPr>
            </w:pPr>
            <w:r w:rsidRPr="00F7784C">
              <w:rPr>
                <w:rFonts w:ascii="Calibri" w:eastAsia="Times New Roman" w:hAnsi="Calibri" w:cs="Times New Roman"/>
                <w:color w:val="000000"/>
                <w:sz w:val="18"/>
                <w:szCs w:val="18"/>
                <w:lang w:eastAsia="en-AU"/>
              </w:rPr>
              <w:t>EPC + actual growth + cross border</w:t>
            </w:r>
          </w:p>
        </w:tc>
        <w:tc>
          <w:tcPr>
            <w:tcW w:w="2693" w:type="dxa"/>
            <w:tcBorders>
              <w:top w:val="nil"/>
              <w:left w:val="nil"/>
              <w:bottom w:val="single" w:sz="4" w:space="0" w:color="auto"/>
              <w:right w:val="nil"/>
            </w:tcBorders>
            <w:vAlign w:val="bottom"/>
          </w:tcPr>
          <w:p w:rsidR="00FF5D0B" w:rsidRPr="00F7784C" w:rsidRDefault="00FF5D0B" w:rsidP="005A31B6">
            <w:pPr>
              <w:keepNext/>
              <w:keepLines/>
              <w:tabs>
                <w:tab w:val="clear" w:pos="567"/>
              </w:tabs>
              <w:spacing w:after="0" w:line="240" w:lineRule="auto"/>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Application</w:t>
            </w:r>
          </w:p>
        </w:tc>
      </w:tr>
    </w:tbl>
    <w:p w:rsidR="002C7D95" w:rsidRDefault="002C7D95" w:rsidP="002C7D95">
      <w:pPr>
        <w:pStyle w:val="CGCTableFootnote"/>
        <w:ind w:left="0" w:firstLine="0"/>
      </w:pPr>
      <w:r>
        <w:t>Source:</w:t>
      </w:r>
      <w:r>
        <w:tab/>
      </w:r>
      <w:r w:rsidRPr="00FD40BA">
        <w:rPr>
          <w:i/>
        </w:rPr>
        <w:t>Federal Financial Relations</w:t>
      </w:r>
      <w:r>
        <w:t xml:space="preserve"> </w:t>
      </w:r>
      <w:r w:rsidRPr="00BC07AC">
        <w:rPr>
          <w:i/>
        </w:rPr>
        <w:t>Budget Paper No. 3</w:t>
      </w:r>
      <w:r>
        <w:rPr>
          <w:i/>
        </w:rPr>
        <w:t>, 2014-15.</w:t>
      </w:r>
    </w:p>
    <w:p w:rsidR="00FF5D0B" w:rsidRDefault="00FF5D0B" w:rsidP="00FF5D0B">
      <w:pPr>
        <w:pStyle w:val="CGCNumberedPara"/>
        <w:numPr>
          <w:ilvl w:val="1"/>
          <w:numId w:val="12"/>
        </w:numPr>
      </w:pPr>
      <w:r w:rsidRPr="000B3ADB">
        <w:rPr>
          <w:rStyle w:val="Heading6Char"/>
        </w:rPr>
        <w:t>Removing cross-border payments.</w:t>
      </w:r>
      <w:r>
        <w:t xml:space="preserve"> The Commonwealth has published the net cross-border adjustments it made to NHR funding for 2013-14 in </w:t>
      </w:r>
      <w:r w:rsidRPr="00FD40BA">
        <w:rPr>
          <w:i/>
        </w:rPr>
        <w:t>Federal Financial Relations</w:t>
      </w:r>
      <w:r>
        <w:t xml:space="preserve"> </w:t>
      </w:r>
      <w:r w:rsidRPr="00BC07AC">
        <w:rPr>
          <w:i/>
        </w:rPr>
        <w:t>Budget Paper No. 3</w:t>
      </w:r>
      <w:r>
        <w:rPr>
          <w:i/>
        </w:rPr>
        <w:t xml:space="preserve">, 2014-15 </w:t>
      </w:r>
      <w:r>
        <w:t>(BP3). Therefore</w:t>
      </w:r>
      <w:r w:rsidR="007A1F38">
        <w:t>,</w:t>
      </w:r>
      <w:r>
        <w:t xml:space="preserve"> we can derive a reliable estimate of NHR funding by place of residence for that year.</w:t>
      </w:r>
    </w:p>
    <w:p w:rsidR="00FF5D0B" w:rsidRPr="00FF5D0B" w:rsidRDefault="00FF5D0B" w:rsidP="00FF5D0B">
      <w:pPr>
        <w:pStyle w:val="CGCNumberedPara"/>
        <w:rPr>
          <w:rStyle w:val="Heading6Char"/>
          <w:rFonts w:eastAsiaTheme="minorHAnsi" w:cstheme="minorBidi"/>
          <w:b w:val="0"/>
          <w:i w:val="0"/>
          <w:iCs w:val="0"/>
          <w:color w:val="auto"/>
          <w:sz w:val="24"/>
        </w:rPr>
      </w:pPr>
      <w:r w:rsidRPr="00FF5D0B">
        <w:rPr>
          <w:rStyle w:val="Heading6Char"/>
          <w:rFonts w:eastAsiaTheme="minorHAnsi" w:cstheme="minorBidi"/>
          <w:b w:val="0"/>
          <w:i w:val="0"/>
          <w:iCs w:val="0"/>
          <w:color w:val="auto"/>
          <w:sz w:val="24"/>
        </w:rPr>
        <w:t>We are seeking the advice of the Commonwealth Treasury on whether similar information will be provided in relation to the net cross</w:t>
      </w:r>
      <w:r w:rsidR="007A1F38">
        <w:rPr>
          <w:rStyle w:val="Heading6Char"/>
          <w:rFonts w:eastAsiaTheme="minorHAnsi" w:cstheme="minorBidi"/>
          <w:b w:val="0"/>
          <w:i w:val="0"/>
          <w:iCs w:val="0"/>
          <w:color w:val="auto"/>
          <w:sz w:val="24"/>
        </w:rPr>
        <w:t>-</w:t>
      </w:r>
      <w:r w:rsidRPr="00FF5D0B">
        <w:rPr>
          <w:rStyle w:val="Heading6Char"/>
          <w:rFonts w:eastAsiaTheme="minorHAnsi" w:cstheme="minorBidi"/>
          <w:b w:val="0"/>
          <w:i w:val="0"/>
          <w:iCs w:val="0"/>
          <w:color w:val="auto"/>
          <w:sz w:val="24"/>
        </w:rPr>
        <w:t xml:space="preserve">border adjustments for </w:t>
      </w:r>
      <w:r w:rsidR="00380570">
        <w:rPr>
          <w:rStyle w:val="Heading6Char"/>
          <w:rFonts w:eastAsiaTheme="minorHAnsi" w:cstheme="minorBidi"/>
          <w:b w:val="0"/>
          <w:i w:val="0"/>
          <w:iCs w:val="0"/>
          <w:color w:val="auto"/>
          <w:sz w:val="24"/>
        </w:rPr>
        <w:t>current and budget out</w:t>
      </w:r>
      <w:r w:rsidR="007A1F38">
        <w:rPr>
          <w:rStyle w:val="Heading6Char"/>
          <w:rFonts w:eastAsiaTheme="minorHAnsi" w:cstheme="minorBidi"/>
          <w:b w:val="0"/>
          <w:i w:val="0"/>
          <w:iCs w:val="0"/>
          <w:color w:val="auto"/>
          <w:sz w:val="24"/>
        </w:rPr>
        <w:t>-</w:t>
      </w:r>
      <w:r w:rsidR="00380570">
        <w:rPr>
          <w:rStyle w:val="Heading6Char"/>
          <w:rFonts w:eastAsiaTheme="minorHAnsi" w:cstheme="minorBidi"/>
          <w:b w:val="0"/>
          <w:i w:val="0"/>
          <w:iCs w:val="0"/>
          <w:color w:val="auto"/>
          <w:sz w:val="24"/>
        </w:rPr>
        <w:t>years in future budget papers (including MYEFO)</w:t>
      </w:r>
      <w:r w:rsidRPr="00FF5D0B">
        <w:rPr>
          <w:rStyle w:val="Heading6Char"/>
          <w:rFonts w:eastAsiaTheme="minorHAnsi" w:cstheme="minorBidi"/>
          <w:b w:val="0"/>
          <w:i w:val="0"/>
          <w:iCs w:val="0"/>
          <w:color w:val="auto"/>
          <w:sz w:val="24"/>
        </w:rPr>
        <w:t>.</w:t>
      </w:r>
    </w:p>
    <w:p w:rsidR="00FF5D0B" w:rsidRDefault="00FF5D0B" w:rsidP="00FF5D0B">
      <w:pPr>
        <w:pStyle w:val="CGCNumberedPara"/>
        <w:numPr>
          <w:ilvl w:val="1"/>
          <w:numId w:val="12"/>
        </w:numPr>
      </w:pPr>
      <w:r w:rsidRPr="00093A45">
        <w:rPr>
          <w:rStyle w:val="Heading6Char"/>
        </w:rPr>
        <w:t>Backcasting.</w:t>
      </w:r>
      <w:r>
        <w:t xml:space="preserve"> The payment in 2013-14, after adjusting for cross-border flows, is very similar to EPC (Treasury use slightly different population estimates to us), as shown in </w:t>
      </w:r>
      <w:r>
        <w:fldChar w:fldCharType="begin"/>
      </w:r>
      <w:r>
        <w:instrText xml:space="preserve"> REF _Ref395611690 \h </w:instrText>
      </w:r>
      <w:r>
        <w:fldChar w:fldCharType="separate"/>
      </w:r>
      <w:r w:rsidR="0040671D">
        <w:t xml:space="preserve">Table </w:t>
      </w:r>
      <w:r w:rsidR="0040671D">
        <w:rPr>
          <w:noProof/>
        </w:rPr>
        <w:t>10</w:t>
      </w:r>
      <w:r>
        <w:fldChar w:fldCharType="end"/>
      </w:r>
      <w:r>
        <w:t>. For 2015</w:t>
      </w:r>
      <w:r>
        <w:noBreakHyphen/>
        <w:t xml:space="preserve">16, the budgeted payments (in BP3) are materially different to an EPC distribution. </w:t>
      </w:r>
    </w:p>
    <w:p w:rsidR="00FF5D0B" w:rsidRDefault="00FF5D0B" w:rsidP="00FF5D0B">
      <w:pPr>
        <w:pStyle w:val="CGCTableHeading"/>
      </w:pPr>
      <w:bookmarkStart w:id="94" w:name="_Ref395611690"/>
      <w:r>
        <w:t xml:space="preserve">Table </w:t>
      </w:r>
      <w:fldSimple w:instr=" SEQ Table \* ARABIC ">
        <w:r w:rsidR="0040671D">
          <w:rPr>
            <w:noProof/>
          </w:rPr>
          <w:t>10</w:t>
        </w:r>
      </w:fldSimple>
      <w:bookmarkEnd w:id="94"/>
      <w:r w:rsidR="00A25CDF">
        <w:tab/>
        <w:t>National h</w:t>
      </w:r>
      <w:r>
        <w:t xml:space="preserve">ealth reform funding, 2013-14 </w:t>
      </w:r>
    </w:p>
    <w:tbl>
      <w:tblPr>
        <w:tblW w:w="8940" w:type="dxa"/>
        <w:tblLayout w:type="fixed"/>
        <w:tblCellMar>
          <w:left w:w="0" w:type="dxa"/>
          <w:right w:w="0" w:type="dxa"/>
        </w:tblCellMar>
        <w:tblLook w:val="04A0" w:firstRow="1" w:lastRow="0" w:firstColumn="1" w:lastColumn="0" w:noHBand="0" w:noVBand="1"/>
      </w:tblPr>
      <w:tblGrid>
        <w:gridCol w:w="3460"/>
        <w:gridCol w:w="620"/>
        <w:gridCol w:w="600"/>
        <w:gridCol w:w="600"/>
        <w:gridCol w:w="600"/>
        <w:gridCol w:w="600"/>
        <w:gridCol w:w="600"/>
        <w:gridCol w:w="600"/>
        <w:gridCol w:w="600"/>
        <w:gridCol w:w="660"/>
      </w:tblGrid>
      <w:tr w:rsidR="00FF5D0B" w:rsidRPr="006C0ADE" w:rsidTr="005A31B6">
        <w:trPr>
          <w:trHeight w:val="379"/>
        </w:trPr>
        <w:tc>
          <w:tcPr>
            <w:tcW w:w="3460" w:type="dxa"/>
            <w:tcBorders>
              <w:top w:val="single" w:sz="4" w:space="0" w:color="auto"/>
              <w:left w:val="nil"/>
              <w:bottom w:val="single" w:sz="4" w:space="0" w:color="auto"/>
              <w:right w:val="nil"/>
            </w:tcBorders>
            <w:shd w:val="clear" w:color="auto" w:fill="auto"/>
            <w:noWrap/>
            <w:vAlign w:val="center"/>
            <w:hideMark/>
          </w:tcPr>
          <w:p w:rsidR="00FF5D0B" w:rsidRPr="006C0ADE" w:rsidRDefault="00FF5D0B" w:rsidP="005A31B6">
            <w:pPr>
              <w:keepNext/>
              <w:keepLines/>
              <w:tabs>
                <w:tab w:val="clear" w:pos="567"/>
              </w:tabs>
              <w:spacing w:after="0" w:line="240" w:lineRule="auto"/>
              <w:ind w:left="193" w:hanging="142"/>
              <w:jc w:val="right"/>
              <w:rPr>
                <w:rFonts w:ascii="Calibri" w:eastAsia="Times New Roman" w:hAnsi="Calibri" w:cs="Times New Roman"/>
                <w:color w:val="000000"/>
                <w:sz w:val="20"/>
                <w:szCs w:val="20"/>
                <w:lang w:eastAsia="en-AU"/>
              </w:rPr>
            </w:pPr>
            <w:bookmarkStart w:id="95" w:name="RANGE!A8:J14"/>
            <w:r w:rsidRPr="006C0ADE">
              <w:rPr>
                <w:rFonts w:ascii="Calibri" w:eastAsia="Times New Roman" w:hAnsi="Calibri" w:cs="Times New Roman"/>
                <w:color w:val="000000"/>
                <w:sz w:val="20"/>
                <w:szCs w:val="20"/>
                <w:lang w:eastAsia="en-AU"/>
              </w:rPr>
              <w:t> </w:t>
            </w:r>
            <w:bookmarkEnd w:id="95"/>
          </w:p>
        </w:tc>
        <w:tc>
          <w:tcPr>
            <w:tcW w:w="620" w:type="dxa"/>
            <w:tcBorders>
              <w:top w:val="single" w:sz="4" w:space="0" w:color="auto"/>
              <w:left w:val="nil"/>
              <w:bottom w:val="single" w:sz="4" w:space="0" w:color="auto"/>
              <w:right w:val="nil"/>
            </w:tcBorders>
            <w:shd w:val="clear" w:color="auto" w:fill="auto"/>
            <w:noWrap/>
            <w:vAlign w:val="center"/>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NSW</w:t>
            </w:r>
          </w:p>
        </w:tc>
        <w:tc>
          <w:tcPr>
            <w:tcW w:w="600" w:type="dxa"/>
            <w:tcBorders>
              <w:top w:val="single" w:sz="4" w:space="0" w:color="auto"/>
              <w:left w:val="nil"/>
              <w:bottom w:val="single" w:sz="4" w:space="0" w:color="auto"/>
              <w:right w:val="nil"/>
            </w:tcBorders>
            <w:shd w:val="clear" w:color="auto" w:fill="auto"/>
            <w:noWrap/>
            <w:vAlign w:val="center"/>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Vic</w:t>
            </w:r>
          </w:p>
        </w:tc>
        <w:tc>
          <w:tcPr>
            <w:tcW w:w="600" w:type="dxa"/>
            <w:tcBorders>
              <w:top w:val="single" w:sz="4" w:space="0" w:color="auto"/>
              <w:left w:val="nil"/>
              <w:bottom w:val="single" w:sz="4" w:space="0" w:color="auto"/>
              <w:right w:val="nil"/>
            </w:tcBorders>
            <w:shd w:val="clear" w:color="auto" w:fill="auto"/>
            <w:noWrap/>
            <w:vAlign w:val="center"/>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Qld</w:t>
            </w:r>
          </w:p>
        </w:tc>
        <w:tc>
          <w:tcPr>
            <w:tcW w:w="600" w:type="dxa"/>
            <w:tcBorders>
              <w:top w:val="single" w:sz="4" w:space="0" w:color="auto"/>
              <w:left w:val="nil"/>
              <w:bottom w:val="single" w:sz="4" w:space="0" w:color="auto"/>
              <w:right w:val="nil"/>
            </w:tcBorders>
            <w:shd w:val="clear" w:color="auto" w:fill="auto"/>
            <w:noWrap/>
            <w:vAlign w:val="center"/>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WA</w:t>
            </w:r>
          </w:p>
        </w:tc>
        <w:tc>
          <w:tcPr>
            <w:tcW w:w="600" w:type="dxa"/>
            <w:tcBorders>
              <w:top w:val="single" w:sz="4" w:space="0" w:color="auto"/>
              <w:left w:val="nil"/>
              <w:bottom w:val="single" w:sz="4" w:space="0" w:color="auto"/>
              <w:right w:val="nil"/>
            </w:tcBorders>
            <w:shd w:val="clear" w:color="auto" w:fill="auto"/>
            <w:noWrap/>
            <w:vAlign w:val="center"/>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SA</w:t>
            </w:r>
          </w:p>
        </w:tc>
        <w:tc>
          <w:tcPr>
            <w:tcW w:w="600" w:type="dxa"/>
            <w:tcBorders>
              <w:top w:val="single" w:sz="4" w:space="0" w:color="auto"/>
              <w:left w:val="nil"/>
              <w:bottom w:val="single" w:sz="4" w:space="0" w:color="auto"/>
              <w:right w:val="nil"/>
            </w:tcBorders>
            <w:shd w:val="clear" w:color="auto" w:fill="auto"/>
            <w:noWrap/>
            <w:vAlign w:val="center"/>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Tas</w:t>
            </w:r>
          </w:p>
        </w:tc>
        <w:tc>
          <w:tcPr>
            <w:tcW w:w="600" w:type="dxa"/>
            <w:tcBorders>
              <w:top w:val="single" w:sz="4" w:space="0" w:color="auto"/>
              <w:left w:val="nil"/>
              <w:bottom w:val="single" w:sz="4" w:space="0" w:color="auto"/>
              <w:right w:val="nil"/>
            </w:tcBorders>
            <w:shd w:val="clear" w:color="auto" w:fill="auto"/>
            <w:noWrap/>
            <w:vAlign w:val="center"/>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ACT</w:t>
            </w:r>
          </w:p>
        </w:tc>
        <w:tc>
          <w:tcPr>
            <w:tcW w:w="600" w:type="dxa"/>
            <w:tcBorders>
              <w:top w:val="single" w:sz="4" w:space="0" w:color="auto"/>
              <w:left w:val="nil"/>
              <w:bottom w:val="single" w:sz="4" w:space="0" w:color="auto"/>
              <w:right w:val="nil"/>
            </w:tcBorders>
            <w:shd w:val="clear" w:color="auto" w:fill="auto"/>
            <w:noWrap/>
            <w:vAlign w:val="center"/>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NT</w:t>
            </w:r>
          </w:p>
        </w:tc>
        <w:tc>
          <w:tcPr>
            <w:tcW w:w="660" w:type="dxa"/>
            <w:tcBorders>
              <w:top w:val="single" w:sz="4" w:space="0" w:color="auto"/>
              <w:left w:val="nil"/>
              <w:bottom w:val="single" w:sz="4" w:space="0" w:color="auto"/>
              <w:right w:val="nil"/>
            </w:tcBorders>
            <w:shd w:val="clear" w:color="auto" w:fill="auto"/>
            <w:noWrap/>
            <w:vAlign w:val="center"/>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Total</w:t>
            </w:r>
          </w:p>
        </w:tc>
      </w:tr>
      <w:tr w:rsidR="00FF5D0B" w:rsidRPr="006C0ADE" w:rsidTr="005A31B6">
        <w:trPr>
          <w:trHeight w:val="259"/>
        </w:trPr>
        <w:tc>
          <w:tcPr>
            <w:tcW w:w="3460" w:type="dxa"/>
            <w:tcBorders>
              <w:top w:val="nil"/>
              <w:left w:val="nil"/>
              <w:bottom w:val="nil"/>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ind w:left="193" w:hanging="142"/>
              <w:jc w:val="right"/>
              <w:rPr>
                <w:rFonts w:ascii="Calibri" w:eastAsia="Times New Roman" w:hAnsi="Calibri" w:cs="Times New Roman"/>
                <w:color w:val="000000"/>
                <w:sz w:val="20"/>
                <w:szCs w:val="20"/>
                <w:lang w:eastAsia="en-AU"/>
              </w:rPr>
            </w:pPr>
          </w:p>
        </w:tc>
        <w:tc>
          <w:tcPr>
            <w:tcW w:w="620" w:type="dxa"/>
            <w:tcBorders>
              <w:top w:val="nil"/>
              <w:left w:val="nil"/>
              <w:bottom w:val="nil"/>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$pc</w:t>
            </w:r>
          </w:p>
        </w:tc>
        <w:tc>
          <w:tcPr>
            <w:tcW w:w="600" w:type="dxa"/>
            <w:tcBorders>
              <w:top w:val="nil"/>
              <w:left w:val="nil"/>
              <w:bottom w:val="nil"/>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$pc</w:t>
            </w:r>
          </w:p>
        </w:tc>
        <w:tc>
          <w:tcPr>
            <w:tcW w:w="600" w:type="dxa"/>
            <w:tcBorders>
              <w:top w:val="nil"/>
              <w:left w:val="nil"/>
              <w:bottom w:val="nil"/>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$pc</w:t>
            </w:r>
          </w:p>
        </w:tc>
        <w:tc>
          <w:tcPr>
            <w:tcW w:w="600" w:type="dxa"/>
            <w:tcBorders>
              <w:top w:val="nil"/>
              <w:left w:val="nil"/>
              <w:bottom w:val="nil"/>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$pc</w:t>
            </w:r>
          </w:p>
        </w:tc>
        <w:tc>
          <w:tcPr>
            <w:tcW w:w="600" w:type="dxa"/>
            <w:tcBorders>
              <w:top w:val="nil"/>
              <w:left w:val="nil"/>
              <w:bottom w:val="nil"/>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$pc</w:t>
            </w:r>
          </w:p>
        </w:tc>
        <w:tc>
          <w:tcPr>
            <w:tcW w:w="600" w:type="dxa"/>
            <w:tcBorders>
              <w:top w:val="nil"/>
              <w:left w:val="nil"/>
              <w:bottom w:val="nil"/>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$pc</w:t>
            </w:r>
          </w:p>
        </w:tc>
        <w:tc>
          <w:tcPr>
            <w:tcW w:w="600" w:type="dxa"/>
            <w:tcBorders>
              <w:top w:val="nil"/>
              <w:left w:val="nil"/>
              <w:bottom w:val="nil"/>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$pc</w:t>
            </w:r>
          </w:p>
        </w:tc>
        <w:tc>
          <w:tcPr>
            <w:tcW w:w="600" w:type="dxa"/>
            <w:tcBorders>
              <w:top w:val="nil"/>
              <w:left w:val="nil"/>
              <w:bottom w:val="nil"/>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$pc</w:t>
            </w:r>
          </w:p>
        </w:tc>
        <w:tc>
          <w:tcPr>
            <w:tcW w:w="660" w:type="dxa"/>
            <w:tcBorders>
              <w:top w:val="nil"/>
              <w:left w:val="nil"/>
              <w:bottom w:val="nil"/>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$pc</w:t>
            </w:r>
          </w:p>
        </w:tc>
      </w:tr>
      <w:tr w:rsidR="00FF5D0B" w:rsidRPr="006C0ADE" w:rsidTr="005A31B6">
        <w:trPr>
          <w:trHeight w:val="259"/>
        </w:trPr>
        <w:tc>
          <w:tcPr>
            <w:tcW w:w="346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ind w:left="193" w:hanging="142"/>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2013-14</w:t>
            </w:r>
          </w:p>
        </w:tc>
        <w:tc>
          <w:tcPr>
            <w:tcW w:w="62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p>
        </w:tc>
        <w:tc>
          <w:tcPr>
            <w:tcW w:w="66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p>
        </w:tc>
      </w:tr>
      <w:tr w:rsidR="00FF5D0B" w:rsidRPr="006C0ADE" w:rsidTr="005A31B6">
        <w:trPr>
          <w:trHeight w:val="315"/>
        </w:trPr>
        <w:tc>
          <w:tcPr>
            <w:tcW w:w="3460" w:type="dxa"/>
            <w:tcBorders>
              <w:top w:val="nil"/>
              <w:left w:val="nil"/>
              <w:bottom w:val="nil"/>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ind w:left="193" w:firstLineChars="100" w:firstLine="200"/>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NHR funding</w:t>
            </w:r>
          </w:p>
        </w:tc>
        <w:tc>
          <w:tcPr>
            <w:tcW w:w="62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583</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598</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598</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595</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600</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582</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708</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557</w:t>
            </w:r>
          </w:p>
        </w:tc>
        <w:tc>
          <w:tcPr>
            <w:tcW w:w="66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594</w:t>
            </w:r>
          </w:p>
        </w:tc>
      </w:tr>
      <w:tr w:rsidR="00FF5D0B" w:rsidRPr="006C0ADE" w:rsidTr="005A31B6">
        <w:trPr>
          <w:trHeight w:val="315"/>
        </w:trPr>
        <w:tc>
          <w:tcPr>
            <w:tcW w:w="346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ind w:left="193" w:firstLineChars="100" w:firstLine="200"/>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Net cross border adjustment</w:t>
            </w:r>
          </w:p>
        </w:tc>
        <w:tc>
          <w:tcPr>
            <w:tcW w:w="62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-11</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4</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3</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0</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6</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-12</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114</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-38</w:t>
            </w:r>
          </w:p>
        </w:tc>
        <w:tc>
          <w:tcPr>
            <w:tcW w:w="66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0</w:t>
            </w:r>
          </w:p>
        </w:tc>
      </w:tr>
      <w:tr w:rsidR="00FF5D0B" w:rsidRPr="006C0ADE" w:rsidTr="005A31B6">
        <w:trPr>
          <w:trHeight w:val="315"/>
        </w:trPr>
        <w:tc>
          <w:tcPr>
            <w:tcW w:w="346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ind w:left="193" w:firstLineChars="100" w:firstLine="200"/>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State of residence based funding</w:t>
            </w:r>
            <w:r w:rsidR="00A25CDF">
              <w:rPr>
                <w:rFonts w:ascii="Calibri" w:eastAsia="Times New Roman" w:hAnsi="Calibri" w:cs="Times New Roman"/>
                <w:color w:val="000000"/>
                <w:sz w:val="20"/>
                <w:szCs w:val="20"/>
                <w:lang w:eastAsia="en-AU"/>
              </w:rPr>
              <w:t>(a)</w:t>
            </w:r>
          </w:p>
        </w:tc>
        <w:tc>
          <w:tcPr>
            <w:tcW w:w="62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593</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594</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594</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595</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593</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594</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594</w:t>
            </w:r>
          </w:p>
        </w:tc>
        <w:tc>
          <w:tcPr>
            <w:tcW w:w="60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594</w:t>
            </w:r>
          </w:p>
        </w:tc>
        <w:tc>
          <w:tcPr>
            <w:tcW w:w="660" w:type="dxa"/>
            <w:tcBorders>
              <w:top w:val="nil"/>
              <w:left w:val="nil"/>
              <w:bottom w:val="nil"/>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594</w:t>
            </w:r>
          </w:p>
        </w:tc>
      </w:tr>
      <w:tr w:rsidR="00FF5D0B" w:rsidRPr="006C0ADE" w:rsidTr="005A31B6">
        <w:trPr>
          <w:trHeight w:val="315"/>
        </w:trPr>
        <w:tc>
          <w:tcPr>
            <w:tcW w:w="3460" w:type="dxa"/>
            <w:tcBorders>
              <w:top w:val="nil"/>
              <w:left w:val="nil"/>
              <w:bottom w:val="single" w:sz="4" w:space="0" w:color="auto"/>
              <w:right w:val="nil"/>
            </w:tcBorders>
            <w:shd w:val="clear" w:color="auto" w:fill="auto"/>
            <w:noWrap/>
            <w:vAlign w:val="bottom"/>
            <w:hideMark/>
          </w:tcPr>
          <w:p w:rsidR="00FF5D0B" w:rsidRPr="006C0ADE" w:rsidRDefault="00FF5D0B" w:rsidP="005A31B6">
            <w:pPr>
              <w:keepNext/>
              <w:keepLines/>
              <w:tabs>
                <w:tab w:val="clear" w:pos="567"/>
              </w:tabs>
              <w:spacing w:after="0" w:line="240" w:lineRule="auto"/>
              <w:ind w:left="193" w:hanging="142"/>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2015-16 NHR Funding</w:t>
            </w:r>
          </w:p>
        </w:tc>
        <w:tc>
          <w:tcPr>
            <w:tcW w:w="620" w:type="dxa"/>
            <w:tcBorders>
              <w:top w:val="nil"/>
              <w:left w:val="nil"/>
              <w:bottom w:val="single" w:sz="4" w:space="0" w:color="auto"/>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682</w:t>
            </w:r>
          </w:p>
        </w:tc>
        <w:tc>
          <w:tcPr>
            <w:tcW w:w="600" w:type="dxa"/>
            <w:tcBorders>
              <w:top w:val="nil"/>
              <w:left w:val="nil"/>
              <w:bottom w:val="single" w:sz="4" w:space="0" w:color="auto"/>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684</w:t>
            </w:r>
          </w:p>
        </w:tc>
        <w:tc>
          <w:tcPr>
            <w:tcW w:w="600" w:type="dxa"/>
            <w:tcBorders>
              <w:top w:val="nil"/>
              <w:left w:val="nil"/>
              <w:bottom w:val="single" w:sz="4" w:space="0" w:color="auto"/>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723</w:t>
            </w:r>
          </w:p>
        </w:tc>
        <w:tc>
          <w:tcPr>
            <w:tcW w:w="600" w:type="dxa"/>
            <w:tcBorders>
              <w:top w:val="nil"/>
              <w:left w:val="nil"/>
              <w:bottom w:val="single" w:sz="4" w:space="0" w:color="auto"/>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728</w:t>
            </w:r>
          </w:p>
        </w:tc>
        <w:tc>
          <w:tcPr>
            <w:tcW w:w="600" w:type="dxa"/>
            <w:tcBorders>
              <w:top w:val="nil"/>
              <w:left w:val="nil"/>
              <w:bottom w:val="single" w:sz="4" w:space="0" w:color="auto"/>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689</w:t>
            </w:r>
          </w:p>
        </w:tc>
        <w:tc>
          <w:tcPr>
            <w:tcW w:w="600" w:type="dxa"/>
            <w:tcBorders>
              <w:top w:val="nil"/>
              <w:left w:val="nil"/>
              <w:bottom w:val="single" w:sz="4" w:space="0" w:color="auto"/>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708</w:t>
            </w:r>
          </w:p>
        </w:tc>
        <w:tc>
          <w:tcPr>
            <w:tcW w:w="600" w:type="dxa"/>
            <w:tcBorders>
              <w:top w:val="nil"/>
              <w:left w:val="nil"/>
              <w:bottom w:val="single" w:sz="4" w:space="0" w:color="auto"/>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754</w:t>
            </w:r>
          </w:p>
        </w:tc>
        <w:tc>
          <w:tcPr>
            <w:tcW w:w="600" w:type="dxa"/>
            <w:tcBorders>
              <w:top w:val="nil"/>
              <w:left w:val="nil"/>
              <w:bottom w:val="single" w:sz="4" w:space="0" w:color="auto"/>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659</w:t>
            </w:r>
          </w:p>
        </w:tc>
        <w:tc>
          <w:tcPr>
            <w:tcW w:w="660" w:type="dxa"/>
            <w:tcBorders>
              <w:top w:val="nil"/>
              <w:left w:val="nil"/>
              <w:bottom w:val="single" w:sz="4" w:space="0" w:color="auto"/>
              <w:right w:val="nil"/>
            </w:tcBorders>
            <w:shd w:val="clear" w:color="auto" w:fill="auto"/>
            <w:vAlign w:val="bottom"/>
            <w:hideMark/>
          </w:tcPr>
          <w:p w:rsidR="00FF5D0B" w:rsidRPr="006C0ADE" w:rsidRDefault="00FF5D0B" w:rsidP="005A31B6">
            <w:pPr>
              <w:keepNext/>
              <w:keepLines/>
              <w:tabs>
                <w:tab w:val="clear" w:pos="567"/>
              </w:tabs>
              <w:spacing w:after="0" w:line="240" w:lineRule="auto"/>
              <w:jc w:val="right"/>
              <w:rPr>
                <w:rFonts w:ascii="Calibri" w:eastAsia="Times New Roman" w:hAnsi="Calibri" w:cs="Times New Roman"/>
                <w:color w:val="000000"/>
                <w:sz w:val="20"/>
                <w:szCs w:val="20"/>
                <w:lang w:eastAsia="en-AU"/>
              </w:rPr>
            </w:pPr>
            <w:r w:rsidRPr="006C0ADE">
              <w:rPr>
                <w:rFonts w:ascii="Calibri" w:eastAsia="Times New Roman" w:hAnsi="Calibri" w:cs="Times New Roman"/>
                <w:color w:val="000000"/>
                <w:sz w:val="20"/>
                <w:szCs w:val="20"/>
                <w:lang w:eastAsia="en-AU"/>
              </w:rPr>
              <w:t>698</w:t>
            </w:r>
          </w:p>
        </w:tc>
      </w:tr>
    </w:tbl>
    <w:p w:rsidR="00FF5D0B" w:rsidRDefault="00FF5D0B" w:rsidP="00FF5D0B">
      <w:pPr>
        <w:pStyle w:val="CGCTableFootnote"/>
      </w:pPr>
      <w:r>
        <w:t>(a)</w:t>
      </w:r>
      <w:r>
        <w:tab/>
        <w:t>Derived by subtracting the amounts shown as cross-border adjustments</w:t>
      </w:r>
      <w:r w:rsidR="007A1F38">
        <w:t>.</w:t>
      </w:r>
    </w:p>
    <w:p w:rsidR="00FF5D0B" w:rsidRDefault="00FF5D0B" w:rsidP="00FF5D0B">
      <w:pPr>
        <w:pStyle w:val="CGCTableFootnote"/>
      </w:pPr>
      <w:r>
        <w:t>Source:</w:t>
      </w:r>
      <w:r>
        <w:tab/>
      </w:r>
      <w:r w:rsidRPr="00FD40BA">
        <w:rPr>
          <w:i/>
        </w:rPr>
        <w:t>Federal Financial Relations</w:t>
      </w:r>
      <w:r>
        <w:t xml:space="preserve"> </w:t>
      </w:r>
      <w:r w:rsidRPr="00BC07AC">
        <w:rPr>
          <w:i/>
        </w:rPr>
        <w:t>Budget Paper No. 3</w:t>
      </w:r>
      <w:r>
        <w:rPr>
          <w:i/>
        </w:rPr>
        <w:t>, 2014-15</w:t>
      </w:r>
      <w:r w:rsidR="007A1F38">
        <w:rPr>
          <w:i/>
        </w:rPr>
        <w:t>.</w:t>
      </w:r>
    </w:p>
    <w:p w:rsidR="00FF5D0B" w:rsidRDefault="00FF5D0B" w:rsidP="00FF5D0B">
      <w:pPr>
        <w:pStyle w:val="CGCNumberedPara"/>
        <w:numPr>
          <w:ilvl w:val="1"/>
          <w:numId w:val="12"/>
        </w:numPr>
      </w:pPr>
      <w:r>
        <w:t>The 2015-16 estimates reflect each State’s projections of their level of activity.</w:t>
      </w:r>
    </w:p>
    <w:p w:rsidR="00FF5D0B" w:rsidRPr="00FF5D0B" w:rsidRDefault="00FF5D0B" w:rsidP="00FF5D0B">
      <w:pPr>
        <w:pStyle w:val="CGCNumberedPara"/>
        <w:rPr>
          <w:rStyle w:val="Heading6Char"/>
          <w:rFonts w:eastAsiaTheme="minorHAnsi" w:cstheme="minorBidi"/>
          <w:b w:val="0"/>
          <w:i w:val="0"/>
          <w:iCs w:val="0"/>
          <w:color w:val="auto"/>
          <w:sz w:val="24"/>
        </w:rPr>
      </w:pPr>
      <w:r w:rsidRPr="00FF5D0B">
        <w:rPr>
          <w:rStyle w:val="Heading6Char"/>
          <w:rFonts w:eastAsiaTheme="minorHAnsi" w:cstheme="minorBidi"/>
          <w:b w:val="0"/>
          <w:i w:val="0"/>
          <w:iCs w:val="0"/>
          <w:color w:val="auto"/>
          <w:sz w:val="24"/>
        </w:rPr>
        <w:t xml:space="preserve">We consider this a major change in Commonwealth-State financial relations, and would seek to reflect the circumstances prevailing in 2015-16. </w:t>
      </w:r>
    </w:p>
    <w:p w:rsidR="00FF5D0B" w:rsidRPr="00FF5D0B" w:rsidRDefault="00FF5D0B" w:rsidP="00FF5D0B">
      <w:pPr>
        <w:pStyle w:val="CGCNumberedPara"/>
        <w:rPr>
          <w:rStyle w:val="Heading6Char"/>
          <w:rFonts w:eastAsiaTheme="minorHAnsi" w:cstheme="minorBidi"/>
          <w:b w:val="0"/>
          <w:i w:val="0"/>
          <w:iCs w:val="0"/>
          <w:color w:val="auto"/>
          <w:sz w:val="24"/>
        </w:rPr>
      </w:pPr>
      <w:r w:rsidRPr="00FF5D0B">
        <w:rPr>
          <w:rStyle w:val="Heading6Char"/>
          <w:rFonts w:eastAsiaTheme="minorHAnsi" w:cstheme="minorBidi"/>
          <w:b w:val="0"/>
          <w:i w:val="0"/>
          <w:iCs w:val="0"/>
          <w:color w:val="auto"/>
          <w:sz w:val="24"/>
        </w:rPr>
        <w:t>Ideally, we would use the out-year estimates for 2015-16 from BP3, and we would make an adjustment for cross-border use. We could derive the cross</w:t>
      </w:r>
      <w:r w:rsidR="007A1F38">
        <w:rPr>
          <w:rStyle w:val="Heading6Char"/>
          <w:rFonts w:eastAsiaTheme="minorHAnsi" w:cstheme="minorBidi"/>
          <w:b w:val="0"/>
          <w:i w:val="0"/>
          <w:iCs w:val="0"/>
          <w:color w:val="auto"/>
          <w:sz w:val="24"/>
        </w:rPr>
        <w:t>-</w:t>
      </w:r>
      <w:r w:rsidRPr="00FF5D0B">
        <w:rPr>
          <w:rStyle w:val="Heading6Char"/>
          <w:rFonts w:eastAsiaTheme="minorHAnsi" w:cstheme="minorBidi"/>
          <w:b w:val="0"/>
          <w:i w:val="0"/>
          <w:iCs w:val="0"/>
          <w:color w:val="auto"/>
          <w:sz w:val="24"/>
        </w:rPr>
        <w:t>border estimate by indexing the 2013</w:t>
      </w:r>
      <w:r w:rsidRPr="00FF5D0B">
        <w:rPr>
          <w:rStyle w:val="Heading6Char"/>
          <w:rFonts w:eastAsiaTheme="minorHAnsi" w:cstheme="minorBidi"/>
          <w:b w:val="0"/>
          <w:i w:val="0"/>
          <w:iCs w:val="0"/>
          <w:color w:val="auto"/>
          <w:sz w:val="24"/>
        </w:rPr>
        <w:noBreakHyphen/>
        <w:t xml:space="preserve">14 estimate or using Treasury’s estimates if they were available. </w:t>
      </w:r>
    </w:p>
    <w:p w:rsidR="00FF5D0B" w:rsidRPr="00FF5D0B" w:rsidRDefault="00FF5D0B" w:rsidP="00FF5D0B">
      <w:pPr>
        <w:pStyle w:val="CGCNumberedPara"/>
        <w:rPr>
          <w:rStyle w:val="Heading6Char"/>
          <w:rFonts w:eastAsiaTheme="minorHAnsi" w:cstheme="minorBidi"/>
          <w:b w:val="0"/>
          <w:i w:val="0"/>
          <w:iCs w:val="0"/>
          <w:color w:val="auto"/>
          <w:sz w:val="24"/>
        </w:rPr>
      </w:pPr>
      <w:r w:rsidRPr="00FF5D0B">
        <w:rPr>
          <w:rStyle w:val="Heading6Char"/>
          <w:rFonts w:eastAsiaTheme="minorHAnsi" w:cstheme="minorBidi"/>
          <w:b w:val="0"/>
          <w:i w:val="0"/>
          <w:iCs w:val="0"/>
          <w:color w:val="auto"/>
          <w:sz w:val="24"/>
        </w:rPr>
        <w:t xml:space="preserve">If this approach were not deemed sufficiently reliable, we could use a similar approach for 2014-15, from estimates published in MYEFO. This has the advantage of potentially using some actual hospitalisation information from 2014-15, and </w:t>
      </w:r>
      <w:r w:rsidRPr="00FF5D0B">
        <w:rPr>
          <w:rStyle w:val="Heading6Char"/>
          <w:rFonts w:eastAsiaTheme="minorHAnsi" w:cstheme="minorBidi"/>
          <w:b w:val="0"/>
          <w:i w:val="0"/>
          <w:iCs w:val="0"/>
          <w:color w:val="auto"/>
          <w:sz w:val="24"/>
        </w:rPr>
        <w:lastRenderedPageBreak/>
        <w:t>therefore</w:t>
      </w:r>
      <w:r w:rsidR="007A1F38">
        <w:rPr>
          <w:rStyle w:val="Heading6Char"/>
          <w:rFonts w:eastAsiaTheme="minorHAnsi" w:cstheme="minorBidi"/>
          <w:b w:val="0"/>
          <w:i w:val="0"/>
          <w:iCs w:val="0"/>
          <w:color w:val="auto"/>
          <w:sz w:val="24"/>
        </w:rPr>
        <w:t>,</w:t>
      </w:r>
      <w:r w:rsidRPr="00FF5D0B">
        <w:rPr>
          <w:rStyle w:val="Heading6Char"/>
          <w:rFonts w:eastAsiaTheme="minorHAnsi" w:cstheme="minorBidi"/>
          <w:b w:val="0"/>
          <w:i w:val="0"/>
          <w:iCs w:val="0"/>
          <w:color w:val="auto"/>
          <w:sz w:val="24"/>
        </w:rPr>
        <w:t xml:space="preserve"> should be </w:t>
      </w:r>
      <w:r w:rsidR="007A1F38">
        <w:rPr>
          <w:rStyle w:val="Heading6Char"/>
          <w:rFonts w:eastAsiaTheme="minorHAnsi" w:cstheme="minorBidi"/>
          <w:b w:val="0"/>
          <w:i w:val="0"/>
          <w:iCs w:val="0"/>
          <w:color w:val="auto"/>
          <w:sz w:val="24"/>
        </w:rPr>
        <w:t xml:space="preserve">a </w:t>
      </w:r>
      <w:r w:rsidRPr="00FF5D0B">
        <w:rPr>
          <w:rStyle w:val="Heading6Char"/>
          <w:rFonts w:eastAsiaTheme="minorHAnsi" w:cstheme="minorBidi"/>
          <w:b w:val="0"/>
          <w:i w:val="0"/>
          <w:iCs w:val="0"/>
          <w:color w:val="auto"/>
          <w:sz w:val="24"/>
        </w:rPr>
        <w:t xml:space="preserve">more reliable indicator of which States have faster than average growth in health expenditure. </w:t>
      </w:r>
    </w:p>
    <w:p w:rsidR="00FF5D0B" w:rsidRPr="00FF5D0B" w:rsidRDefault="00FF5D0B" w:rsidP="00FF5D0B">
      <w:pPr>
        <w:pStyle w:val="CGCNumberedPara"/>
        <w:rPr>
          <w:rStyle w:val="Heading6Char"/>
          <w:rFonts w:eastAsiaTheme="minorHAnsi" w:cstheme="minorBidi"/>
          <w:b w:val="0"/>
          <w:i w:val="0"/>
          <w:iCs w:val="0"/>
          <w:color w:val="auto"/>
          <w:sz w:val="24"/>
        </w:rPr>
      </w:pPr>
      <w:r w:rsidRPr="00FF5D0B">
        <w:rPr>
          <w:rStyle w:val="Heading6Char"/>
          <w:rFonts w:eastAsiaTheme="minorHAnsi" w:cstheme="minorBidi"/>
          <w:b w:val="0"/>
          <w:i w:val="0"/>
          <w:iCs w:val="0"/>
          <w:color w:val="auto"/>
          <w:sz w:val="24"/>
        </w:rPr>
        <w:t xml:space="preserve">The third option, which is reliable but not reflective of the distribution in the application year, is to use the 2013-14 distribution as published in the Final Budget Outcome later this year, with an adjustment for cross-border. This is not materially different from an EPC distribution, but is conceptually more valid. </w:t>
      </w:r>
    </w:p>
    <w:p w:rsidR="00FF5D0B" w:rsidRPr="00FF5D0B" w:rsidRDefault="00FF5D0B" w:rsidP="00FF5D0B">
      <w:pPr>
        <w:pStyle w:val="CGCNumberedPara"/>
        <w:rPr>
          <w:rStyle w:val="Heading6Char"/>
          <w:rFonts w:eastAsiaTheme="minorHAnsi" w:cstheme="minorBidi"/>
          <w:b w:val="0"/>
          <w:i w:val="0"/>
          <w:iCs w:val="0"/>
          <w:color w:val="auto"/>
          <w:sz w:val="24"/>
        </w:rPr>
      </w:pPr>
      <w:r w:rsidRPr="00FF5D0B">
        <w:rPr>
          <w:rStyle w:val="Heading6Char"/>
          <w:rFonts w:eastAsiaTheme="minorHAnsi" w:cstheme="minorBidi"/>
          <w:b w:val="0"/>
          <w:i w:val="0"/>
          <w:iCs w:val="0"/>
          <w:color w:val="auto"/>
          <w:sz w:val="24"/>
        </w:rPr>
        <w:t>Staff consider that the 2nd option represents the best balance between reflecting State circumstances and using reliable information.</w:t>
      </w:r>
    </w:p>
    <w:p w:rsidR="00FF5D0B" w:rsidRPr="00E674AF" w:rsidRDefault="00FF5D0B" w:rsidP="00FF5D0B">
      <w:pPr>
        <w:pStyle w:val="Heading4"/>
      </w:pPr>
      <w:bookmarkStart w:id="96" w:name="_Toc395685901"/>
      <w:bookmarkStart w:id="97" w:name="_Toc395686225"/>
      <w:bookmarkStart w:id="98" w:name="_Toc396231001"/>
      <w:bookmarkStart w:id="99" w:name="_Toc396300342"/>
      <w:r w:rsidRPr="00E674AF">
        <w:t>Recommendations</w:t>
      </w:r>
      <w:bookmarkEnd w:id="96"/>
      <w:bookmarkEnd w:id="97"/>
      <w:bookmarkEnd w:id="98"/>
      <w:bookmarkEnd w:id="99"/>
    </w:p>
    <w:tbl>
      <w:tblPr>
        <w:tblW w:w="0" w:type="auto"/>
        <w:tblInd w:w="108" w:type="dxa"/>
        <w:shd w:val="clear" w:color="auto" w:fill="D9F3E6"/>
        <w:tblLook w:val="0000" w:firstRow="0" w:lastRow="0" w:firstColumn="0" w:lastColumn="0" w:noHBand="0" w:noVBand="0"/>
      </w:tblPr>
      <w:tblGrid>
        <w:gridCol w:w="8931"/>
      </w:tblGrid>
      <w:tr w:rsidR="00FF5D0B" w:rsidRPr="00E674AF" w:rsidTr="005A31B6">
        <w:tc>
          <w:tcPr>
            <w:tcW w:w="8931" w:type="dxa"/>
            <w:shd w:val="clear" w:color="auto" w:fill="D9F3E6"/>
          </w:tcPr>
          <w:p w:rsidR="00FF5D0B" w:rsidRDefault="00FF5D0B" w:rsidP="005A31B6">
            <w:pPr>
              <w:tabs>
                <w:tab w:val="clear" w:pos="567"/>
              </w:tabs>
              <w:rPr>
                <w:bCs/>
              </w:rPr>
            </w:pPr>
            <w:r w:rsidRPr="00E674AF">
              <w:rPr>
                <w:bCs/>
              </w:rPr>
              <w:t xml:space="preserve">Staff </w:t>
            </w:r>
            <w:r>
              <w:rPr>
                <w:bCs/>
              </w:rPr>
              <w:t xml:space="preserve">propose to </w:t>
            </w:r>
            <w:r w:rsidRPr="00E674AF">
              <w:rPr>
                <w:bCs/>
              </w:rPr>
              <w:t xml:space="preserve">recommend the </w:t>
            </w:r>
            <w:r>
              <w:rPr>
                <w:bCs/>
              </w:rPr>
              <w:t>Commission:</w:t>
            </w:r>
          </w:p>
          <w:p w:rsidR="00FF5D0B" w:rsidRPr="00E674AF" w:rsidRDefault="00FF5D0B" w:rsidP="00A25CDF">
            <w:pPr>
              <w:pStyle w:val="CGCBulletlist"/>
              <w:numPr>
                <w:ilvl w:val="0"/>
                <w:numId w:val="11"/>
              </w:numPr>
              <w:tabs>
                <w:tab w:val="clear" w:pos="927"/>
              </w:tabs>
              <w:ind w:left="1134" w:hanging="567"/>
            </w:pPr>
            <w:r>
              <w:t>backcast the National Health Reform funding using the 2014-15 N</w:t>
            </w:r>
            <w:r w:rsidR="00A25CDF">
              <w:t>ational health reform</w:t>
            </w:r>
            <w:r>
              <w:t xml:space="preserve"> distribution in MYEFO, adjusted for cross-border payments.</w:t>
            </w:r>
          </w:p>
        </w:tc>
      </w:tr>
    </w:tbl>
    <w:p w:rsidR="00381A8A" w:rsidRDefault="009777C2" w:rsidP="009777C2">
      <w:pPr>
        <w:pStyle w:val="Heading3"/>
      </w:pPr>
      <w:bookmarkStart w:id="100" w:name="_Toc396300343"/>
      <w:r>
        <w:t>Treatment of payments not made in the application year</w:t>
      </w:r>
      <w:bookmarkEnd w:id="100"/>
    </w:p>
    <w:p w:rsidR="00381A8A" w:rsidRDefault="00381A8A" w:rsidP="009777C2">
      <w:pPr>
        <w:pStyle w:val="Heading4"/>
        <w:rPr>
          <w:lang w:val="en-US"/>
        </w:rPr>
      </w:pPr>
      <w:bookmarkStart w:id="101" w:name="_Toc395104238"/>
      <w:bookmarkStart w:id="102" w:name="_Toc396300344"/>
      <w:r>
        <w:rPr>
          <w:lang w:val="en-US"/>
        </w:rPr>
        <w:t>Background</w:t>
      </w:r>
      <w:bookmarkEnd w:id="101"/>
      <w:bookmarkEnd w:id="102"/>
    </w:p>
    <w:p w:rsidR="00381A8A" w:rsidRDefault="00381A8A" w:rsidP="00380570">
      <w:pPr>
        <w:pStyle w:val="CGCNumberedPara"/>
      </w:pPr>
      <w:r>
        <w:t xml:space="preserve">In the 2015 Review Draft Report, the Commission said it would consider whether the payments made in the assessment years for this review but not in the 2015-16 application year (ceased payments) should be removed from the assessment years’ data. This might better reflect the Commonwealth funding States would receive in the application year. The Commission noted that individually they do not constitute a major change in Commonwealth-State financial relations, but in aggregate, they may have a material impact on GST distribution. </w:t>
      </w:r>
    </w:p>
    <w:p w:rsidR="00381A8A" w:rsidRDefault="00381A8A" w:rsidP="00380570">
      <w:pPr>
        <w:pStyle w:val="CGCNumberedPara"/>
      </w:pPr>
      <w:bookmarkStart w:id="103" w:name="_Toc395104239"/>
      <w:r>
        <w:t xml:space="preserve">Based on the information in the </w:t>
      </w:r>
      <w:r w:rsidR="00A25CDF">
        <w:rPr>
          <w:i/>
        </w:rPr>
        <w:t>Federal Financial Relations</w:t>
      </w:r>
      <w:r>
        <w:rPr>
          <w:i/>
        </w:rPr>
        <w:t xml:space="preserve"> Budget Paper No. 3</w:t>
      </w:r>
      <w:r w:rsidR="00A25CDF">
        <w:rPr>
          <w:i/>
        </w:rPr>
        <w:t>,</w:t>
      </w:r>
      <w:r>
        <w:rPr>
          <w:i/>
        </w:rPr>
        <w:t xml:space="preserve"> 2014</w:t>
      </w:r>
      <w:r>
        <w:rPr>
          <w:i/>
        </w:rPr>
        <w:noBreakHyphen/>
        <w:t>15</w:t>
      </w:r>
      <w:r>
        <w:t>, there are a total of 227 payments</w:t>
      </w:r>
      <w:r>
        <w:rPr>
          <w:rStyle w:val="FootnoteReference"/>
        </w:rPr>
        <w:footnoteReference w:id="5"/>
      </w:r>
      <w:r>
        <w:t xml:space="preserve"> and 99 of them will not be paid in 2015</w:t>
      </w:r>
      <w:r>
        <w:noBreakHyphen/>
        <w:t>16. A list of payments made in the assessment years and not made in 2015-16 is shown in Attachment A. While most of the terminated payments are less than $1 million, in aggregate they are around $3 billion (obtained by adding the payments made in the year before they were terminated). The amount is big because it includes some one-off payments for infrastructure investment. It also includes Commonwealth payments for Certain concessions for pensioners and senior card holders</w:t>
      </w:r>
      <w:r>
        <w:rPr>
          <w:rStyle w:val="FootnoteReference"/>
        </w:rPr>
        <w:footnoteReference w:id="6"/>
      </w:r>
      <w:r>
        <w:t>, which was around $300m ($12 per capita) each year during the period 2011-12 to 2013-14.</w:t>
      </w:r>
    </w:p>
    <w:p w:rsidR="00381A8A" w:rsidRDefault="00381A8A" w:rsidP="00381A8A">
      <w:pPr>
        <w:pStyle w:val="Heading4"/>
        <w:rPr>
          <w:lang w:val="en-US"/>
        </w:rPr>
      </w:pPr>
      <w:bookmarkStart w:id="104" w:name="_Toc395685903"/>
      <w:bookmarkStart w:id="105" w:name="_Toc395686227"/>
      <w:bookmarkStart w:id="106" w:name="_Toc396300345"/>
      <w:r>
        <w:rPr>
          <w:lang w:val="en-US"/>
        </w:rPr>
        <w:lastRenderedPageBreak/>
        <w:t>Issue</w:t>
      </w:r>
      <w:bookmarkEnd w:id="103"/>
      <w:bookmarkEnd w:id="104"/>
      <w:bookmarkEnd w:id="105"/>
      <w:bookmarkEnd w:id="106"/>
    </w:p>
    <w:p w:rsidR="00381A8A" w:rsidRPr="000B054F" w:rsidRDefault="00381A8A" w:rsidP="00380570">
      <w:pPr>
        <w:pStyle w:val="CGCNumberedPara"/>
      </w:pPr>
      <w:r>
        <w:rPr>
          <w:lang w:val="en-US"/>
        </w:rPr>
        <w:t>Following the contemporaneity principle, the Commission backcasts major changes in Commonwealth-State financial arrangements, and only if the change is reliably known. This is done on a case-by-case basis. Staff consider the Commission should use the same approach when deciding how to treat ceased payments.</w:t>
      </w:r>
    </w:p>
    <w:p w:rsidR="00381A8A" w:rsidRDefault="00381A8A" w:rsidP="00380570">
      <w:pPr>
        <w:pStyle w:val="CGCNumberedPara"/>
      </w:pPr>
      <w:r>
        <w:rPr>
          <w:lang w:val="en-US"/>
        </w:rPr>
        <w:t>None of the ceased payments were backcast into the assessment years when they commenced in the application year. This means the Commission did not consider their individual introduction represented a major change in Commonwealth-State financial arrangements.</w:t>
      </w:r>
      <w:r>
        <w:t xml:space="preserve"> Similarly their cessation cannot be regarded as a major change, including the cessation of payments for Certain concessions for pensioners and senior card holders.</w:t>
      </w:r>
    </w:p>
    <w:p w:rsidR="00877568" w:rsidRDefault="00877568" w:rsidP="00380570">
      <w:pPr>
        <w:pStyle w:val="CGCNumberedPara"/>
      </w:pPr>
      <w:r>
        <w:t xml:space="preserve">It is also unclear that in aggregate the cessation would have a material impact on the </w:t>
      </w:r>
      <w:r w:rsidR="0090086A">
        <w:t>G</w:t>
      </w:r>
      <w:r>
        <w:t>ST distribution because:</w:t>
      </w:r>
    </w:p>
    <w:p w:rsidR="0090086A" w:rsidRDefault="0090086A" w:rsidP="0090086A">
      <w:pPr>
        <w:pStyle w:val="CGCBulletlist"/>
      </w:pPr>
      <w:r>
        <w:t>some payments have been replaced by others, such as new infrastructure payments</w:t>
      </w:r>
    </w:p>
    <w:p w:rsidR="0090086A" w:rsidRDefault="0090086A" w:rsidP="0090086A">
      <w:pPr>
        <w:pStyle w:val="CGCBulletlist"/>
      </w:pPr>
      <w:r>
        <w:t xml:space="preserve">some payments have reached the end of negotiated timeframes and State expenditures might adjust accordingly and </w:t>
      </w:r>
    </w:p>
    <w:p w:rsidR="0090086A" w:rsidRDefault="0090086A" w:rsidP="0090086A">
      <w:pPr>
        <w:pStyle w:val="CGCBulletlist"/>
      </w:pPr>
      <w:r>
        <w:t>overall Commonwealth funding has increased.</w:t>
      </w:r>
    </w:p>
    <w:p w:rsidR="00381A8A" w:rsidRDefault="00381A8A" w:rsidP="00380570">
      <w:pPr>
        <w:pStyle w:val="CGCNumberedPara"/>
      </w:pPr>
      <w:r>
        <w:t>Staff therefore consider that the cessation of these payments should not be backcast into the assessment years</w:t>
      </w:r>
      <w:r>
        <w:rPr>
          <w:rStyle w:val="FootnoteReference"/>
        </w:rPr>
        <w:footnoteReference w:id="7"/>
      </w:r>
      <w:r>
        <w:t>.</w:t>
      </w:r>
    </w:p>
    <w:p w:rsidR="00381A8A" w:rsidRDefault="00381A8A" w:rsidP="00381A8A">
      <w:pPr>
        <w:pStyle w:val="Heading4"/>
      </w:pPr>
      <w:bookmarkStart w:id="107" w:name="_Toc395104240"/>
      <w:bookmarkStart w:id="108" w:name="_Toc395685904"/>
      <w:bookmarkStart w:id="109" w:name="_Toc395686228"/>
      <w:bookmarkStart w:id="110" w:name="_Toc396231005"/>
      <w:bookmarkStart w:id="111" w:name="_Toc396300346"/>
      <w:r>
        <w:t>Recommendations</w:t>
      </w:r>
      <w:bookmarkEnd w:id="107"/>
      <w:bookmarkEnd w:id="108"/>
      <w:bookmarkEnd w:id="109"/>
      <w:bookmarkEnd w:id="110"/>
      <w:bookmarkEnd w:id="111"/>
    </w:p>
    <w:tbl>
      <w:tblPr>
        <w:tblW w:w="0" w:type="auto"/>
        <w:tblInd w:w="108" w:type="dxa"/>
        <w:shd w:val="clear" w:color="auto" w:fill="D9F3E6"/>
        <w:tblLook w:val="04A0" w:firstRow="1" w:lastRow="0" w:firstColumn="1" w:lastColumn="0" w:noHBand="0" w:noVBand="1"/>
      </w:tblPr>
      <w:tblGrid>
        <w:gridCol w:w="8931"/>
      </w:tblGrid>
      <w:tr w:rsidR="00381A8A" w:rsidTr="00A367FB">
        <w:tc>
          <w:tcPr>
            <w:tcW w:w="8931" w:type="dxa"/>
            <w:shd w:val="clear" w:color="auto" w:fill="D9F3E6"/>
            <w:hideMark/>
          </w:tcPr>
          <w:p w:rsidR="00381A8A" w:rsidRDefault="00381A8A" w:rsidP="00A367FB">
            <w:pPr>
              <w:tabs>
                <w:tab w:val="clear" w:pos="567"/>
                <w:tab w:val="left" w:pos="720"/>
              </w:tabs>
              <w:rPr>
                <w:bCs/>
              </w:rPr>
            </w:pPr>
            <w:r>
              <w:rPr>
                <w:bCs/>
              </w:rPr>
              <w:t>Staff propose to recommend the Commission:</w:t>
            </w:r>
          </w:p>
          <w:p w:rsidR="00381A8A" w:rsidRDefault="00381A8A" w:rsidP="00381A8A">
            <w:pPr>
              <w:pStyle w:val="CGCBulletlist"/>
              <w:numPr>
                <w:ilvl w:val="0"/>
                <w:numId w:val="27"/>
              </w:numPr>
            </w:pPr>
            <w:r>
              <w:t>only consider backcasting payments not made in the application year when they are the result of major change in Commonwealth-State financial arrangements</w:t>
            </w:r>
          </w:p>
          <w:p w:rsidR="00381A8A" w:rsidRDefault="00381A8A" w:rsidP="00381A8A">
            <w:pPr>
              <w:pStyle w:val="CGCBulletlist"/>
              <w:numPr>
                <w:ilvl w:val="0"/>
                <w:numId w:val="27"/>
              </w:numPr>
            </w:pPr>
            <w:r>
              <w:t xml:space="preserve">not backcast any of the payments made in the assessment years but not </w:t>
            </w:r>
            <w:r w:rsidR="004445C6">
              <w:t xml:space="preserve">made </w:t>
            </w:r>
            <w:r>
              <w:t xml:space="preserve">in the 2015-16 application year because their cessation is not the result of major change in Commonwealth-State funding arrangements. </w:t>
            </w:r>
          </w:p>
        </w:tc>
      </w:tr>
    </w:tbl>
    <w:p w:rsidR="00381A8A" w:rsidRPr="00C21EF9" w:rsidRDefault="00381A8A" w:rsidP="00381A8A"/>
    <w:p w:rsidR="002F0756" w:rsidRPr="00EA09EC" w:rsidRDefault="002F0756" w:rsidP="00EF04CC">
      <w:pPr>
        <w:pStyle w:val="Heading3"/>
      </w:pPr>
      <w:bookmarkStart w:id="112" w:name="_Toc396300347"/>
      <w:r w:rsidRPr="00EA09EC">
        <w:lastRenderedPageBreak/>
        <w:t xml:space="preserve">Treatment of </w:t>
      </w:r>
      <w:r w:rsidR="003C27BA" w:rsidRPr="00EA09EC">
        <w:t>other</w:t>
      </w:r>
      <w:r w:rsidR="00EF04CC" w:rsidRPr="00EA09EC">
        <w:t xml:space="preserve"> </w:t>
      </w:r>
      <w:r w:rsidRPr="00EA09EC">
        <w:t>Commonwealth payments</w:t>
      </w:r>
      <w:bookmarkEnd w:id="112"/>
    </w:p>
    <w:p w:rsidR="002F0756" w:rsidRPr="00EA09EC" w:rsidRDefault="002F0756" w:rsidP="002F0756">
      <w:pPr>
        <w:pStyle w:val="CGCNumberedPara"/>
      </w:pPr>
      <w:r w:rsidRPr="00EA09EC">
        <w:t>The Commission is directed to treat some payments in particular ways</w:t>
      </w:r>
      <w:r w:rsidR="00577E3C" w:rsidRPr="00EA09EC">
        <w:t>; for example,</w:t>
      </w:r>
      <w:r w:rsidRPr="00EA09EC">
        <w:t xml:space="preserve"> reward payments or </w:t>
      </w:r>
      <w:r w:rsidR="00577E3C" w:rsidRPr="00EA09EC">
        <w:t xml:space="preserve">other particular </w:t>
      </w:r>
      <w:r w:rsidRPr="00EA09EC">
        <w:t xml:space="preserve">payments </w:t>
      </w:r>
      <w:r w:rsidR="00577E3C" w:rsidRPr="00EA09EC">
        <w:t>which must be</w:t>
      </w:r>
      <w:r w:rsidRPr="00EA09EC">
        <w:t xml:space="preserve"> treated so that they have no impact on relativities. In these cases</w:t>
      </w:r>
      <w:r w:rsidR="00577E3C" w:rsidRPr="00EA09EC">
        <w:t>, the Commission</w:t>
      </w:r>
      <w:r w:rsidRPr="00EA09EC">
        <w:t xml:space="preserve"> has no discretion.</w:t>
      </w:r>
    </w:p>
    <w:p w:rsidR="002F0756" w:rsidRPr="00EA09EC" w:rsidRDefault="002F0756" w:rsidP="002F0756">
      <w:pPr>
        <w:pStyle w:val="CGCNumberedPara"/>
      </w:pPr>
      <w:r w:rsidRPr="00EA09EC">
        <w:t>For other payments</w:t>
      </w:r>
      <w:r w:rsidR="00577E3C" w:rsidRPr="00EA09EC">
        <w:t>,</w:t>
      </w:r>
      <w:r w:rsidRPr="00EA09EC">
        <w:t xml:space="preserve"> the Commission is provided </w:t>
      </w:r>
      <w:r w:rsidR="00577E3C" w:rsidRPr="00EA09EC">
        <w:t>with advice. For example,</w:t>
      </w:r>
      <w:r w:rsidRPr="00EA09EC">
        <w:t xml:space="preserve"> facilitation payments should not affect relativities, but it is also given discretion to change that treatment.</w:t>
      </w:r>
    </w:p>
    <w:p w:rsidR="002F0756" w:rsidRPr="00EA09EC" w:rsidRDefault="002F0756" w:rsidP="002F0756">
      <w:pPr>
        <w:pStyle w:val="CGCNumberedPara"/>
      </w:pPr>
      <w:r w:rsidRPr="00EA09EC">
        <w:t xml:space="preserve">Staff propose to recommend to the Commission that it only exercise that discretion where doing so will make a material change at the proposed </w:t>
      </w:r>
      <w:r w:rsidR="00577E3C" w:rsidRPr="00EA09EC">
        <w:t xml:space="preserve">disability </w:t>
      </w:r>
      <w:r w:rsidRPr="00EA09EC">
        <w:t>materiality threshold and the impact can be assessed reliably. In other cases</w:t>
      </w:r>
      <w:r w:rsidR="00577E3C" w:rsidRPr="00EA09EC">
        <w:t>,</w:t>
      </w:r>
      <w:r w:rsidRPr="00EA09EC">
        <w:t xml:space="preserve"> the treatment would be as advised. For example</w:t>
      </w:r>
      <w:r w:rsidR="00577E3C" w:rsidRPr="00EA09EC">
        <w:t>,</w:t>
      </w:r>
      <w:r w:rsidRPr="00EA09EC">
        <w:t xml:space="preserve"> a small facilitation payment would have no impact on the relativities.</w:t>
      </w:r>
    </w:p>
    <w:p w:rsidR="002F0756" w:rsidRPr="00EA09EC" w:rsidRDefault="002F0756" w:rsidP="002F0756">
      <w:pPr>
        <w:pStyle w:val="CGCNumberedPara"/>
      </w:pPr>
      <w:r w:rsidRPr="00EA09EC">
        <w:t>It is often difficult to distinguish between project and facilitation payments. We propose to treat all payments as project payments, which appear to be the majority, unless informed otherwise.</w:t>
      </w:r>
    </w:p>
    <w:p w:rsidR="002F0756" w:rsidRPr="00EA09EC" w:rsidRDefault="002F0756" w:rsidP="002F0756">
      <w:pPr>
        <w:pStyle w:val="CGCNumberedPara"/>
      </w:pPr>
      <w:r w:rsidRPr="00EA09EC">
        <w:t>Where changing the treatment would be material and the impact can be assessed reliably, the propos</w:t>
      </w:r>
      <w:r w:rsidR="00577E3C" w:rsidRPr="00EA09EC">
        <w:t>ed guideline governing the treatment of C</w:t>
      </w:r>
      <w:r w:rsidRPr="00EA09EC">
        <w:t>ommonwealth payments in the Draft report would be used.</w:t>
      </w:r>
    </w:p>
    <w:p w:rsidR="002F0756" w:rsidRPr="00EA09EC" w:rsidRDefault="002F0756" w:rsidP="002F0756">
      <w:pPr>
        <w:pStyle w:val="CGCNumberedPara"/>
      </w:pPr>
      <w:r w:rsidRPr="00EA09EC">
        <w:t>Because we seek State views on this proposal, in the sections below we have used the approach set out in the draft report.</w:t>
      </w:r>
    </w:p>
    <w:p w:rsidR="00577E3C" w:rsidRPr="00EA09EC" w:rsidRDefault="00577E3C" w:rsidP="00577E3C">
      <w:pPr>
        <w:pStyle w:val="Heading4"/>
      </w:pPr>
      <w:bookmarkStart w:id="113" w:name="_Toc396300348"/>
      <w:r w:rsidRPr="00EA09EC">
        <w:t>Recommendations</w:t>
      </w:r>
      <w:bookmarkEnd w:id="113"/>
    </w:p>
    <w:tbl>
      <w:tblPr>
        <w:tblW w:w="0" w:type="auto"/>
        <w:tblInd w:w="108" w:type="dxa"/>
        <w:shd w:val="clear" w:color="auto" w:fill="D9F3E6"/>
        <w:tblLook w:val="04A0" w:firstRow="1" w:lastRow="0" w:firstColumn="1" w:lastColumn="0" w:noHBand="0" w:noVBand="1"/>
      </w:tblPr>
      <w:tblGrid>
        <w:gridCol w:w="8931"/>
      </w:tblGrid>
      <w:tr w:rsidR="00577E3C" w:rsidTr="00EF04CC">
        <w:tc>
          <w:tcPr>
            <w:tcW w:w="8931" w:type="dxa"/>
            <w:shd w:val="clear" w:color="auto" w:fill="D9F3E6"/>
            <w:hideMark/>
          </w:tcPr>
          <w:p w:rsidR="00577E3C" w:rsidRPr="00EA09EC" w:rsidRDefault="00577E3C" w:rsidP="00EF04CC">
            <w:pPr>
              <w:tabs>
                <w:tab w:val="clear" w:pos="567"/>
                <w:tab w:val="left" w:pos="720"/>
              </w:tabs>
              <w:rPr>
                <w:bCs/>
              </w:rPr>
            </w:pPr>
            <w:r w:rsidRPr="00EA09EC">
              <w:rPr>
                <w:bCs/>
              </w:rPr>
              <w:t>Staff propose to recommend the Commission:</w:t>
            </w:r>
          </w:p>
          <w:p w:rsidR="00577E3C" w:rsidRPr="00EA09EC" w:rsidRDefault="00577E3C" w:rsidP="00577E3C">
            <w:pPr>
              <w:pStyle w:val="CGCBulletlist"/>
              <w:numPr>
                <w:ilvl w:val="0"/>
                <w:numId w:val="27"/>
              </w:numPr>
            </w:pPr>
            <w:r w:rsidRPr="00EA09EC">
              <w:t xml:space="preserve">only exercise its discretion in relation to the treatment of Commonwealth payments </w:t>
            </w:r>
            <w:proofErr w:type="spellStart"/>
            <w:r w:rsidRPr="00EA09EC">
              <w:t>where</w:t>
            </w:r>
            <w:proofErr w:type="spellEnd"/>
            <w:r w:rsidRPr="00EA09EC">
              <w:t xml:space="preserve"> doing so will make a material change at the proposed disability materiality threshold and the impact can be assessed reliably.</w:t>
            </w:r>
          </w:p>
        </w:tc>
      </w:tr>
    </w:tbl>
    <w:p w:rsidR="00C44A1E" w:rsidRDefault="00C44A1E" w:rsidP="00C44A1E">
      <w:pPr>
        <w:pStyle w:val="Heading3"/>
      </w:pPr>
      <w:bookmarkStart w:id="114" w:name="_Toc396300349"/>
      <w:r>
        <w:t>Treatment of Commonwealth payments commencing in 2013-14</w:t>
      </w:r>
      <w:bookmarkEnd w:id="114"/>
    </w:p>
    <w:bookmarkEnd w:id="83"/>
    <w:p w:rsidR="00260624" w:rsidRPr="007D15AF" w:rsidRDefault="001C7C8E" w:rsidP="00260624">
      <w:pPr>
        <w:pStyle w:val="CGCNumberedPara"/>
        <w:rPr>
          <w:lang w:val="en-US"/>
        </w:rPr>
      </w:pPr>
      <w:r w:rsidRPr="005E13CB">
        <w:rPr>
          <w:lang w:val="en-US"/>
        </w:rPr>
        <w:t xml:space="preserve">This section discusses </w:t>
      </w:r>
      <w:r w:rsidR="00260624">
        <w:rPr>
          <w:lang w:val="en-US"/>
        </w:rPr>
        <w:t>staff</w:t>
      </w:r>
      <w:r w:rsidRPr="005E13CB">
        <w:rPr>
          <w:lang w:val="en-US"/>
        </w:rPr>
        <w:t xml:space="preserve"> propos</w:t>
      </w:r>
      <w:r w:rsidR="00260624">
        <w:rPr>
          <w:lang w:val="en-US"/>
        </w:rPr>
        <w:t>als on the</w:t>
      </w:r>
      <w:r w:rsidRPr="005E13CB">
        <w:rPr>
          <w:lang w:val="en-US"/>
        </w:rPr>
        <w:t xml:space="preserve"> treatment of Commonwealth payments that commenced in 20</w:t>
      </w:r>
      <w:r>
        <w:rPr>
          <w:lang w:val="en-US"/>
        </w:rPr>
        <w:t>13-14</w:t>
      </w:r>
      <w:r w:rsidRPr="005E13CB">
        <w:rPr>
          <w:lang w:val="en-US"/>
        </w:rPr>
        <w:t xml:space="preserve">, as listed in </w:t>
      </w:r>
      <w:r w:rsidR="00A25CDF">
        <w:rPr>
          <w:i/>
          <w:lang w:val="en-US"/>
        </w:rPr>
        <w:t>Federal Financial Relations, Budget Paper No. </w:t>
      </w:r>
      <w:r w:rsidRPr="002E65DF">
        <w:rPr>
          <w:i/>
          <w:lang w:val="en-US"/>
        </w:rPr>
        <w:t>3, 201</w:t>
      </w:r>
      <w:r>
        <w:rPr>
          <w:i/>
          <w:lang w:val="en-US"/>
        </w:rPr>
        <w:t>4-15</w:t>
      </w:r>
      <w:r w:rsidRPr="005E13CB">
        <w:rPr>
          <w:lang w:val="en-US"/>
        </w:rPr>
        <w:t xml:space="preserve">. </w:t>
      </w:r>
      <w:r w:rsidR="00260624">
        <w:rPr>
          <w:lang w:val="en-US"/>
        </w:rPr>
        <w:t>T</w:t>
      </w:r>
      <w:r w:rsidRPr="00260624">
        <w:rPr>
          <w:lang w:val="en-US"/>
        </w:rPr>
        <w:t xml:space="preserve">he proposals </w:t>
      </w:r>
      <w:r w:rsidR="00260624">
        <w:rPr>
          <w:lang w:val="en-US"/>
        </w:rPr>
        <w:t>are made using the</w:t>
      </w:r>
      <w:r w:rsidR="00260624" w:rsidRPr="007D15AF">
        <w:rPr>
          <w:lang w:val="en-US"/>
        </w:rPr>
        <w:t xml:space="preserve"> </w:t>
      </w:r>
      <w:r w:rsidR="00260624">
        <w:rPr>
          <w:lang w:val="en-US"/>
        </w:rPr>
        <w:t xml:space="preserve">following </w:t>
      </w:r>
      <w:r w:rsidR="00260624" w:rsidRPr="007D15AF">
        <w:rPr>
          <w:lang w:val="en-US"/>
        </w:rPr>
        <w:t xml:space="preserve">guideline </w:t>
      </w:r>
      <w:r w:rsidR="00260624">
        <w:rPr>
          <w:lang w:val="en-US"/>
        </w:rPr>
        <w:t>developed in the 2015 Review</w:t>
      </w:r>
      <w:r w:rsidR="00260624" w:rsidRPr="007D15AF">
        <w:rPr>
          <w:lang w:val="en-US"/>
        </w:rPr>
        <w:t>:</w:t>
      </w:r>
    </w:p>
    <w:p w:rsidR="00260624" w:rsidRDefault="00260624" w:rsidP="00260624">
      <w:pPr>
        <w:pStyle w:val="CGCQuotation"/>
        <w:rPr>
          <w:lang w:val="en-US"/>
        </w:rPr>
      </w:pPr>
      <w:r>
        <w:rPr>
          <w:lang w:val="en-US"/>
        </w:rPr>
        <w:lastRenderedPageBreak/>
        <w:t>payments which support State services, and for which expenditure needs</w:t>
      </w:r>
      <w:r>
        <w:rPr>
          <w:rStyle w:val="FootnoteReference"/>
          <w:lang w:val="en-US"/>
        </w:rPr>
        <w:footnoteReference w:id="8"/>
      </w:r>
      <w:r>
        <w:rPr>
          <w:lang w:val="en-US"/>
        </w:rPr>
        <w:t xml:space="preserve"> are assessed, will impact on relativities. </w:t>
      </w:r>
    </w:p>
    <w:p w:rsidR="002F0756" w:rsidRPr="002F0756" w:rsidRDefault="001C7C8E" w:rsidP="002F0756">
      <w:pPr>
        <w:pStyle w:val="CGCNumberedPara"/>
        <w:rPr>
          <w:lang w:val="en-US"/>
        </w:rPr>
      </w:pPr>
      <w:r w:rsidRPr="005E13CB">
        <w:rPr>
          <w:lang w:val="en-US"/>
        </w:rPr>
        <w:t xml:space="preserve">A summary of staff proposals on the treatment of each payment is in Attachment </w:t>
      </w:r>
      <w:r w:rsidR="00A3586B">
        <w:rPr>
          <w:lang w:val="en-US"/>
        </w:rPr>
        <w:t>B</w:t>
      </w:r>
      <w:r w:rsidRPr="005E13CB">
        <w:rPr>
          <w:lang w:val="en-US"/>
        </w:rPr>
        <w:t xml:space="preserve">, Table </w:t>
      </w:r>
      <w:r w:rsidR="00A3586B">
        <w:rPr>
          <w:lang w:val="en-US"/>
        </w:rPr>
        <w:t>B</w:t>
      </w:r>
      <w:r w:rsidRPr="005E13CB">
        <w:rPr>
          <w:lang w:val="en-US"/>
        </w:rPr>
        <w:t>-1.</w:t>
      </w:r>
    </w:p>
    <w:p w:rsidR="001C7C8E" w:rsidRPr="00E674AF" w:rsidRDefault="001C7C8E" w:rsidP="001C7C8E">
      <w:pPr>
        <w:pStyle w:val="Heading4"/>
      </w:pPr>
      <w:bookmarkStart w:id="115" w:name="_Toc395104242"/>
      <w:bookmarkStart w:id="116" w:name="_Toc395685906"/>
      <w:bookmarkStart w:id="117" w:name="_Toc395686230"/>
      <w:bookmarkStart w:id="118" w:name="_Toc396300350"/>
      <w:bookmarkStart w:id="119" w:name="_Toc106707729"/>
      <w:bookmarkStart w:id="120" w:name="_Toc155675939"/>
      <w:bookmarkStart w:id="121" w:name="_Toc174415774"/>
      <w:bookmarkStart w:id="122" w:name="_Toc174415848"/>
      <w:bookmarkStart w:id="123" w:name="_Toc174415939"/>
      <w:bookmarkStart w:id="124" w:name="_Toc174416624"/>
      <w:bookmarkStart w:id="125" w:name="_Toc174416666"/>
      <w:bookmarkStart w:id="126" w:name="_Toc174416679"/>
      <w:r w:rsidRPr="00E674AF">
        <w:t>Recommendations</w:t>
      </w:r>
      <w:bookmarkEnd w:id="115"/>
      <w:bookmarkEnd w:id="116"/>
      <w:bookmarkEnd w:id="117"/>
      <w:bookmarkEnd w:id="118"/>
      <w:r>
        <w:t xml:space="preserve"> </w:t>
      </w:r>
    </w:p>
    <w:tbl>
      <w:tblPr>
        <w:tblW w:w="0" w:type="auto"/>
        <w:tblInd w:w="108" w:type="dxa"/>
        <w:shd w:val="clear" w:color="auto" w:fill="D9F3E6"/>
        <w:tblLook w:val="0000" w:firstRow="0" w:lastRow="0" w:firstColumn="0" w:lastColumn="0" w:noHBand="0" w:noVBand="0"/>
      </w:tblPr>
      <w:tblGrid>
        <w:gridCol w:w="8931"/>
      </w:tblGrid>
      <w:tr w:rsidR="001C7C8E" w:rsidRPr="00E674AF" w:rsidTr="001C7C8E">
        <w:tc>
          <w:tcPr>
            <w:tcW w:w="8931" w:type="dxa"/>
            <w:shd w:val="clear" w:color="auto" w:fill="D9F3E6"/>
          </w:tcPr>
          <w:p w:rsidR="001C7C8E" w:rsidRPr="00E674AF" w:rsidRDefault="001C7C8E" w:rsidP="001C7C8E">
            <w:pPr>
              <w:tabs>
                <w:tab w:val="clear" w:pos="567"/>
              </w:tabs>
              <w:rPr>
                <w:bCs/>
              </w:rPr>
            </w:pPr>
            <w:r w:rsidRPr="00E674AF">
              <w:rPr>
                <w:bCs/>
              </w:rPr>
              <w:t xml:space="preserve">Staff </w:t>
            </w:r>
            <w:r w:rsidR="00A3586B">
              <w:rPr>
                <w:bCs/>
              </w:rPr>
              <w:t xml:space="preserve">propose to </w:t>
            </w:r>
            <w:r w:rsidR="00A3586B" w:rsidRPr="00E674AF">
              <w:rPr>
                <w:bCs/>
              </w:rPr>
              <w:t xml:space="preserve">recommend the </w:t>
            </w:r>
            <w:r w:rsidR="00A3586B">
              <w:rPr>
                <w:bCs/>
              </w:rPr>
              <w:t>Commission:</w:t>
            </w:r>
          </w:p>
          <w:p w:rsidR="001C7C8E" w:rsidRPr="00E674AF" w:rsidRDefault="001C7C8E" w:rsidP="00A3586B">
            <w:pPr>
              <w:pStyle w:val="CGCBulletlist"/>
            </w:pPr>
            <w:r>
              <w:t>adopt the treatment of each Commonwealth payment</w:t>
            </w:r>
            <w:r w:rsidR="00A435A3">
              <w:t>s</w:t>
            </w:r>
            <w:r>
              <w:t xml:space="preserve"> commenced in 2013</w:t>
            </w:r>
            <w:r>
              <w:noBreakHyphen/>
              <w:t>14 as set</w:t>
            </w:r>
            <w:r w:rsidR="00A435A3">
              <w:t>s</w:t>
            </w:r>
            <w:r>
              <w:t xml:space="preserve"> out in Table </w:t>
            </w:r>
            <w:r w:rsidR="00A3586B">
              <w:t>B-1 of Attachment B</w:t>
            </w:r>
            <w:r>
              <w:t>.</w:t>
            </w:r>
          </w:p>
        </w:tc>
      </w:tr>
    </w:tbl>
    <w:p w:rsidR="00C44A1E" w:rsidRDefault="00C44A1E" w:rsidP="00465F84">
      <w:pPr>
        <w:pStyle w:val="Heading3"/>
        <w:widowControl/>
      </w:pPr>
      <w:bookmarkStart w:id="127" w:name="_Toc396300351"/>
      <w:bookmarkStart w:id="128" w:name="_Toc395104243"/>
      <w:bookmarkStart w:id="129" w:name="_Toc106707731"/>
      <w:bookmarkStart w:id="130" w:name="_Toc155675942"/>
      <w:bookmarkStart w:id="131" w:name="_Toc174415777"/>
      <w:bookmarkStart w:id="132" w:name="_Toc174415851"/>
      <w:bookmarkStart w:id="133" w:name="_Toc174415942"/>
      <w:bookmarkStart w:id="134" w:name="_Toc174416627"/>
      <w:bookmarkStart w:id="135" w:name="_Toc174416669"/>
      <w:bookmarkStart w:id="136" w:name="_Toc174416682"/>
      <w:bookmarkStart w:id="137" w:name="_Toc91666152"/>
      <w:bookmarkStart w:id="138" w:name="_Toc92771233"/>
      <w:bookmarkStart w:id="139" w:name="_Toc92771627"/>
      <w:bookmarkStart w:id="140" w:name="_Toc92792304"/>
      <w:bookmarkEnd w:id="84"/>
      <w:bookmarkEnd w:id="85"/>
      <w:bookmarkEnd w:id="86"/>
      <w:bookmarkEnd w:id="87"/>
      <w:bookmarkEnd w:id="88"/>
      <w:bookmarkEnd w:id="89"/>
      <w:bookmarkEnd w:id="90"/>
      <w:bookmarkEnd w:id="91"/>
      <w:bookmarkEnd w:id="119"/>
      <w:bookmarkEnd w:id="120"/>
      <w:bookmarkEnd w:id="121"/>
      <w:bookmarkEnd w:id="122"/>
      <w:bookmarkEnd w:id="123"/>
      <w:bookmarkEnd w:id="124"/>
      <w:bookmarkEnd w:id="125"/>
      <w:bookmarkEnd w:id="126"/>
      <w:r>
        <w:t>Treatment of Commonwealth payments commencing in 2014-15 and 2015-16</w:t>
      </w:r>
      <w:bookmarkEnd w:id="127"/>
    </w:p>
    <w:bookmarkEnd w:id="128"/>
    <w:p w:rsidR="00B10445" w:rsidRDefault="00A3586B" w:rsidP="00B10445">
      <w:pPr>
        <w:pStyle w:val="CGCNumberedPara"/>
        <w:rPr>
          <w:lang w:val="en-US"/>
        </w:rPr>
      </w:pPr>
      <w:r>
        <w:rPr>
          <w:lang w:val="en-US"/>
        </w:rPr>
        <w:t>Table B</w:t>
      </w:r>
      <w:r w:rsidR="00B10445" w:rsidRPr="001C41E8">
        <w:rPr>
          <w:lang w:val="en-US"/>
        </w:rPr>
        <w:t xml:space="preserve">-2 in Attachment </w:t>
      </w:r>
      <w:r>
        <w:rPr>
          <w:lang w:val="en-US"/>
        </w:rPr>
        <w:t>B</w:t>
      </w:r>
      <w:r w:rsidR="00B10445" w:rsidRPr="001C41E8">
        <w:rPr>
          <w:lang w:val="en-US"/>
        </w:rPr>
        <w:t xml:space="preserve"> provides a list of new </w:t>
      </w:r>
      <w:r w:rsidR="00553DA1">
        <w:rPr>
          <w:lang w:val="en-US"/>
        </w:rPr>
        <w:t>national partnership</w:t>
      </w:r>
      <w:r w:rsidR="001C41E8">
        <w:rPr>
          <w:lang w:val="en-US"/>
        </w:rPr>
        <w:t xml:space="preserve"> </w:t>
      </w:r>
      <w:r w:rsidR="00B10445" w:rsidRPr="001C41E8">
        <w:rPr>
          <w:lang w:val="en-US"/>
        </w:rPr>
        <w:t>payments that will commence in 201</w:t>
      </w:r>
      <w:r w:rsidR="001C41E8" w:rsidRPr="001C41E8">
        <w:rPr>
          <w:lang w:val="en-US"/>
        </w:rPr>
        <w:t>4</w:t>
      </w:r>
      <w:r w:rsidR="00B10445" w:rsidRPr="001C41E8">
        <w:rPr>
          <w:lang w:val="en-US"/>
        </w:rPr>
        <w:t>-1</w:t>
      </w:r>
      <w:r w:rsidR="001C41E8" w:rsidRPr="001C41E8">
        <w:rPr>
          <w:lang w:val="en-US"/>
        </w:rPr>
        <w:t>5 and 2015-16</w:t>
      </w:r>
      <w:r w:rsidR="00B10445" w:rsidRPr="001C41E8">
        <w:rPr>
          <w:lang w:val="en-US"/>
        </w:rPr>
        <w:t>. Although the payments shown will affect the year in which the 201</w:t>
      </w:r>
      <w:r w:rsidR="00A25CDF">
        <w:rPr>
          <w:lang w:val="en-US"/>
        </w:rPr>
        <w:t>5</w:t>
      </w:r>
      <w:r w:rsidR="00B10445" w:rsidRPr="001C41E8">
        <w:rPr>
          <w:lang w:val="en-US"/>
        </w:rPr>
        <w:t xml:space="preserve"> </w:t>
      </w:r>
      <w:r w:rsidR="00A25CDF">
        <w:rPr>
          <w:lang w:val="en-US"/>
        </w:rPr>
        <w:t xml:space="preserve">Review </w:t>
      </w:r>
      <w:r w:rsidR="00B10445" w:rsidRPr="001C41E8">
        <w:rPr>
          <w:lang w:val="en-US"/>
        </w:rPr>
        <w:t xml:space="preserve">relativities will be applied, </w:t>
      </w:r>
      <w:r w:rsidR="00FD40BA">
        <w:rPr>
          <w:lang w:val="en-US"/>
        </w:rPr>
        <w:t>Commission</w:t>
      </w:r>
      <w:r w:rsidR="00B10445" w:rsidRPr="001C41E8">
        <w:rPr>
          <w:lang w:val="en-US"/>
        </w:rPr>
        <w:t xml:space="preserve"> staff do not propose to backcast any of them because they are not </w:t>
      </w:r>
      <w:r>
        <w:rPr>
          <w:lang w:val="en-US"/>
        </w:rPr>
        <w:t>the</w:t>
      </w:r>
      <w:r w:rsidR="00B10445" w:rsidRPr="001C41E8">
        <w:rPr>
          <w:lang w:val="en-US"/>
        </w:rPr>
        <w:t xml:space="preserve"> result of major change in </w:t>
      </w:r>
      <w:r w:rsidR="001C41E8">
        <w:rPr>
          <w:lang w:val="en-US"/>
        </w:rPr>
        <w:t>Commonwealth-State</w:t>
      </w:r>
      <w:r w:rsidR="00B10445" w:rsidRPr="001C41E8">
        <w:rPr>
          <w:lang w:val="en-US"/>
        </w:rPr>
        <w:t xml:space="preserve"> financial arrangements</w:t>
      </w:r>
      <w:r w:rsidR="00A120DE">
        <w:rPr>
          <w:lang w:val="en-US"/>
        </w:rPr>
        <w:t xml:space="preserve"> </w:t>
      </w:r>
      <w:r w:rsidR="00C8234A">
        <w:rPr>
          <w:lang w:val="en-US"/>
        </w:rPr>
        <w:t>and/or</w:t>
      </w:r>
      <w:r w:rsidR="00A120DE">
        <w:rPr>
          <w:lang w:val="en-US"/>
        </w:rPr>
        <w:t xml:space="preserve"> the information is not reliable</w:t>
      </w:r>
      <w:r w:rsidR="00B10445" w:rsidRPr="001C41E8">
        <w:rPr>
          <w:lang w:val="en-US"/>
        </w:rPr>
        <w:t xml:space="preserve">. The new payments will be reflected in the relativities when they appear in the data for the assessment period. </w:t>
      </w:r>
      <w:r>
        <w:rPr>
          <w:lang w:val="en-US"/>
        </w:rPr>
        <w:t>However, two new payments are worth noting:</w:t>
      </w:r>
    </w:p>
    <w:p w:rsidR="00BD349B" w:rsidRPr="00BD349B" w:rsidRDefault="00A120DE" w:rsidP="00BD349B">
      <w:pPr>
        <w:pStyle w:val="CGCNumberedPara"/>
        <w:rPr>
          <w:lang w:eastAsia="en-AU"/>
        </w:rPr>
      </w:pPr>
      <w:r w:rsidRPr="00151590">
        <w:rPr>
          <w:rStyle w:val="Heading5Char"/>
        </w:rPr>
        <w:t>P</w:t>
      </w:r>
      <w:r w:rsidR="00A3586B" w:rsidRPr="00151590">
        <w:rPr>
          <w:rStyle w:val="Heading5Char"/>
        </w:rPr>
        <w:t>ayments from DisabilityCare Australia Fund</w:t>
      </w:r>
      <w:r w:rsidR="00DC6EEF" w:rsidRPr="00151590">
        <w:rPr>
          <w:rStyle w:val="Heading5Char"/>
        </w:rPr>
        <w:t>.</w:t>
      </w:r>
      <w:r w:rsidR="00A3586B" w:rsidRPr="00BD349B">
        <w:rPr>
          <w:lang w:val="en-US"/>
        </w:rPr>
        <w:t xml:space="preserve"> </w:t>
      </w:r>
      <w:r w:rsidR="00BD349B" w:rsidRPr="00BD349B">
        <w:rPr>
          <w:lang w:eastAsia="en-AU"/>
        </w:rPr>
        <w:t>The Commonwealth will assist the States with their contribution to DisabilityCare Australia for 10 years, by allo</w:t>
      </w:r>
      <w:r w:rsidR="00BD349B">
        <w:rPr>
          <w:lang w:eastAsia="en-AU"/>
        </w:rPr>
        <w:t>wing them to draw on</w:t>
      </w:r>
      <w:r w:rsidR="00BD349B" w:rsidRPr="00BD349B">
        <w:rPr>
          <w:lang w:eastAsia="en-AU"/>
        </w:rPr>
        <w:t xml:space="preserve"> payments going into the DisabilityCare Australia Fund. </w:t>
      </w:r>
    </w:p>
    <w:p w:rsidR="00BD349B" w:rsidRPr="00BD349B" w:rsidRDefault="00BD349B" w:rsidP="00BD349B">
      <w:pPr>
        <w:pStyle w:val="CGCNumberedPara"/>
        <w:rPr>
          <w:lang w:eastAsia="en-AU"/>
        </w:rPr>
      </w:pPr>
      <w:r>
        <w:rPr>
          <w:lang w:eastAsia="en-AU"/>
        </w:rPr>
        <w:t>We understand that a</w:t>
      </w:r>
      <w:r w:rsidRPr="00BD349B">
        <w:rPr>
          <w:lang w:eastAsia="en-AU"/>
        </w:rPr>
        <w:t>ll States that have committed to fully implement DisabilityCare Australia will be eligible to draw down from the Fund once at least 50 per cent of their eligible population is covered by the scheme. In addition, once those States and Territories have people participating in DisabilityCare Australia, they will be able to access 10 per cent of their allocation in 2015</w:t>
      </w:r>
      <w:r w:rsidRPr="00BD349B">
        <w:rPr>
          <w:lang w:eastAsia="en-AU"/>
        </w:rPr>
        <w:noBreakHyphen/>
        <w:t>16 and 20 per cent of their allocation in 2016</w:t>
      </w:r>
      <w:r w:rsidRPr="00BD349B">
        <w:rPr>
          <w:lang w:eastAsia="en-AU"/>
        </w:rPr>
        <w:noBreakHyphen/>
        <w:t>17 and 2017</w:t>
      </w:r>
      <w:r w:rsidRPr="00BD349B">
        <w:rPr>
          <w:lang w:eastAsia="en-AU"/>
        </w:rPr>
        <w:noBreakHyphen/>
        <w:t xml:space="preserve">18 to support early establishment costs related to DisabilityCare Australia. </w:t>
      </w:r>
    </w:p>
    <w:p w:rsidR="00BD349B" w:rsidRDefault="00380570" w:rsidP="00BD349B">
      <w:pPr>
        <w:pStyle w:val="CGCNumberedPara"/>
        <w:rPr>
          <w:lang w:val="en-US"/>
        </w:rPr>
      </w:pPr>
      <w:r>
        <w:rPr>
          <w:lang w:val="en-US"/>
        </w:rPr>
        <w:t>The 2014-15 B</w:t>
      </w:r>
      <w:r w:rsidR="00A25CDF">
        <w:rPr>
          <w:lang w:val="en-US"/>
        </w:rPr>
        <w:t>P</w:t>
      </w:r>
      <w:r>
        <w:rPr>
          <w:lang w:val="en-US"/>
        </w:rPr>
        <w:t>3 shows total draw-downs in 2015-16 of $79.3 million and $188.5 million and $298 million in subsequent years.</w:t>
      </w:r>
    </w:p>
    <w:p w:rsidR="0068695A" w:rsidRDefault="00BD349B" w:rsidP="00BD349B">
      <w:pPr>
        <w:pStyle w:val="CGCNumberedPara"/>
        <w:rPr>
          <w:lang w:val="en-US"/>
        </w:rPr>
      </w:pPr>
      <w:r w:rsidRPr="00AA58E8">
        <w:rPr>
          <w:lang w:val="en-US"/>
        </w:rPr>
        <w:t xml:space="preserve">In the Draft Report, the Commission said </w:t>
      </w:r>
      <w:r w:rsidR="00AA58E8">
        <w:rPr>
          <w:lang w:val="en-US"/>
        </w:rPr>
        <w:t>it would backcast the introduction of the NDIS because it considers it a major change i</w:t>
      </w:r>
      <w:r w:rsidR="008C4F05">
        <w:rPr>
          <w:lang w:val="en-US"/>
        </w:rPr>
        <w:t xml:space="preserve">n Commonwealth-State relations and it </w:t>
      </w:r>
      <w:r w:rsidR="008C4F05">
        <w:rPr>
          <w:lang w:val="en-US"/>
        </w:rPr>
        <w:lastRenderedPageBreak/>
        <w:t xml:space="preserve">would improve the contemporaneity of the assessment. It expected this to happen in 2016-17 when all States have agreed to enter the transition phase of the program. </w:t>
      </w:r>
      <w:r w:rsidR="0068695A">
        <w:rPr>
          <w:lang w:val="en-US"/>
        </w:rPr>
        <w:t xml:space="preserve">It also said, in the absence of contrary direction in the terms of reference, it would treat </w:t>
      </w:r>
      <w:r w:rsidR="008C4F05">
        <w:rPr>
          <w:lang w:val="en-US"/>
        </w:rPr>
        <w:t xml:space="preserve">drawdowns </w:t>
      </w:r>
      <w:r w:rsidR="0068695A">
        <w:rPr>
          <w:lang w:val="en-US"/>
        </w:rPr>
        <w:t xml:space="preserve">as it would other Commonwealth payments. </w:t>
      </w:r>
      <w:r w:rsidR="00380570">
        <w:rPr>
          <w:lang w:val="en-US"/>
        </w:rPr>
        <w:t>The interstate pattern of draw-downs would then influence State GST shares in that year.</w:t>
      </w:r>
    </w:p>
    <w:p w:rsidR="00702397" w:rsidRPr="00702397" w:rsidRDefault="00702397" w:rsidP="00DC6EEF">
      <w:pPr>
        <w:pStyle w:val="CGCNumberedPara"/>
        <w:rPr>
          <w:rStyle w:val="Heading5Char"/>
          <w:rFonts w:eastAsiaTheme="minorHAnsi" w:cstheme="minorBidi"/>
          <w:b w:val="0"/>
          <w:i w:val="0"/>
          <w:color w:val="auto"/>
          <w:sz w:val="24"/>
          <w:lang w:val="en-US"/>
        </w:rPr>
      </w:pPr>
      <w:r>
        <w:rPr>
          <w:rStyle w:val="Heading5Char"/>
          <w:rFonts w:eastAsiaTheme="minorHAnsi" w:cstheme="minorBidi"/>
          <w:b w:val="0"/>
          <w:i w:val="0"/>
          <w:color w:val="auto"/>
          <w:sz w:val="24"/>
          <w:lang w:val="en-US"/>
        </w:rPr>
        <w:t>Because the Commi</w:t>
      </w:r>
      <w:r w:rsidR="00A25CDF">
        <w:rPr>
          <w:rStyle w:val="Heading5Char"/>
          <w:rFonts w:eastAsiaTheme="minorHAnsi" w:cstheme="minorBidi"/>
          <w:b w:val="0"/>
          <w:i w:val="0"/>
          <w:color w:val="auto"/>
          <w:sz w:val="24"/>
          <w:lang w:val="en-US"/>
        </w:rPr>
        <w:t>s</w:t>
      </w:r>
      <w:r>
        <w:rPr>
          <w:rStyle w:val="Heading5Char"/>
          <w:rFonts w:eastAsiaTheme="minorHAnsi" w:cstheme="minorBidi"/>
          <w:b w:val="0"/>
          <w:i w:val="0"/>
          <w:color w:val="auto"/>
          <w:sz w:val="24"/>
          <w:lang w:val="en-US"/>
        </w:rPr>
        <w:t>sion does not intend to backcast any changed arrangements relating to DisabilityCare Australia in 2015-16, the payments made in 2015-16 will have no impact on the assessment years for the 2015 Re</w:t>
      </w:r>
      <w:r w:rsidR="00A25CDF">
        <w:rPr>
          <w:rStyle w:val="Heading5Char"/>
          <w:rFonts w:eastAsiaTheme="minorHAnsi" w:cstheme="minorBidi"/>
          <w:b w:val="0"/>
          <w:i w:val="0"/>
          <w:color w:val="auto"/>
          <w:sz w:val="24"/>
          <w:lang w:val="en-US"/>
        </w:rPr>
        <w:t>view and therefore the relativi</w:t>
      </w:r>
      <w:r>
        <w:rPr>
          <w:rStyle w:val="Heading5Char"/>
          <w:rFonts w:eastAsiaTheme="minorHAnsi" w:cstheme="minorBidi"/>
          <w:b w:val="0"/>
          <w:i w:val="0"/>
          <w:color w:val="auto"/>
          <w:sz w:val="24"/>
          <w:lang w:val="en-US"/>
        </w:rPr>
        <w:t>t</w:t>
      </w:r>
      <w:r w:rsidR="00A25CDF">
        <w:rPr>
          <w:rStyle w:val="Heading5Char"/>
          <w:rFonts w:eastAsiaTheme="minorHAnsi" w:cstheme="minorBidi"/>
          <w:b w:val="0"/>
          <w:i w:val="0"/>
          <w:color w:val="auto"/>
          <w:sz w:val="24"/>
          <w:lang w:val="en-US"/>
        </w:rPr>
        <w:t>i</w:t>
      </w:r>
      <w:r>
        <w:rPr>
          <w:rStyle w:val="Heading5Char"/>
          <w:rFonts w:eastAsiaTheme="minorHAnsi" w:cstheme="minorBidi"/>
          <w:b w:val="0"/>
          <w:i w:val="0"/>
          <w:color w:val="auto"/>
          <w:sz w:val="24"/>
          <w:lang w:val="en-US"/>
        </w:rPr>
        <w:t>es.</w:t>
      </w:r>
    </w:p>
    <w:p w:rsidR="00C8234A" w:rsidRPr="00151590" w:rsidRDefault="00702397" w:rsidP="00DC6EEF">
      <w:pPr>
        <w:pStyle w:val="CGCNumberedPara"/>
        <w:rPr>
          <w:lang w:val="en-US"/>
        </w:rPr>
      </w:pPr>
      <w:r>
        <w:rPr>
          <w:rStyle w:val="Heading5Char"/>
        </w:rPr>
        <w:t>I</w:t>
      </w:r>
      <w:r w:rsidR="00A3586B" w:rsidRPr="00151590">
        <w:rPr>
          <w:rStyle w:val="Heading5Char"/>
        </w:rPr>
        <w:t>nfrastructure Growth Package</w:t>
      </w:r>
      <w:r w:rsidR="00A120DE" w:rsidRPr="00151590">
        <w:rPr>
          <w:rStyle w:val="Heading5Char"/>
        </w:rPr>
        <w:t>,</w:t>
      </w:r>
      <w:r w:rsidR="00A3586B" w:rsidRPr="00151590">
        <w:rPr>
          <w:rStyle w:val="Heading5Char"/>
        </w:rPr>
        <w:t xml:space="preserve"> payments from the Asset Recycling Fund</w:t>
      </w:r>
      <w:r w:rsidR="00DC6EEF" w:rsidRPr="00151590">
        <w:rPr>
          <w:rStyle w:val="Heading5Char"/>
        </w:rPr>
        <w:t>.</w:t>
      </w:r>
      <w:r w:rsidR="00A120DE" w:rsidRPr="00151590">
        <w:rPr>
          <w:lang w:val="en-US"/>
        </w:rPr>
        <w:t xml:space="preserve"> The Commonwealth will establish an Asset Recycling Fund to provide funding for additional investment in high quality economic infrastructure. It comprises</w:t>
      </w:r>
      <w:r w:rsidR="00C8234A" w:rsidRPr="00151590">
        <w:rPr>
          <w:lang w:val="en-US"/>
        </w:rPr>
        <w:t>:</w:t>
      </w:r>
    </w:p>
    <w:p w:rsidR="00C8234A" w:rsidRPr="00151590" w:rsidRDefault="00DC6EEF" w:rsidP="00C8234A">
      <w:pPr>
        <w:pStyle w:val="CGCBulletlist"/>
        <w:rPr>
          <w:lang w:val="en-US"/>
        </w:rPr>
      </w:pPr>
      <w:r w:rsidRPr="00151590">
        <w:rPr>
          <w:lang w:val="en-US"/>
        </w:rPr>
        <w:t>incentive payments to Sates to sell assets and reinvest the sale proceeds into new productive infrastructure</w:t>
      </w:r>
    </w:p>
    <w:p w:rsidR="00C8234A" w:rsidRPr="00151590" w:rsidRDefault="00DC6EEF" w:rsidP="00C8234A">
      <w:pPr>
        <w:pStyle w:val="CGCBulletlist"/>
        <w:rPr>
          <w:lang w:val="en-US"/>
        </w:rPr>
      </w:pPr>
      <w:r w:rsidRPr="00151590">
        <w:rPr>
          <w:lang w:val="en-US"/>
        </w:rPr>
        <w:t>funding for high quality projects that support economic growth and employment</w:t>
      </w:r>
    </w:p>
    <w:p w:rsidR="00C8234A" w:rsidRPr="00151590" w:rsidRDefault="00DC6EEF" w:rsidP="00C8234A">
      <w:pPr>
        <w:pStyle w:val="CGCBulletlist"/>
        <w:rPr>
          <w:lang w:val="en-US"/>
        </w:rPr>
      </w:pPr>
      <w:r w:rsidRPr="00151590">
        <w:rPr>
          <w:lang w:val="en-US"/>
        </w:rPr>
        <w:t xml:space="preserve">payments for Western Sydney Infrastructure Plan. </w:t>
      </w:r>
    </w:p>
    <w:p w:rsidR="002122C2" w:rsidRPr="00C21EF9" w:rsidRDefault="00DC6EEF" w:rsidP="002122C2">
      <w:pPr>
        <w:pStyle w:val="CGCNumberedPara"/>
      </w:pPr>
      <w:r w:rsidRPr="00151590">
        <w:rPr>
          <w:lang w:val="en-US"/>
        </w:rPr>
        <w:t>A</w:t>
      </w:r>
      <w:r w:rsidR="00A120DE" w:rsidRPr="00151590">
        <w:rPr>
          <w:lang w:val="en-US"/>
        </w:rPr>
        <w:t xml:space="preserve">round $640 million will be paid to the States in 2014-15 ($2.5 billion in 2015-16). </w:t>
      </w:r>
      <w:r w:rsidR="002122C2" w:rsidRPr="00151590">
        <w:rPr>
          <w:lang w:val="en-US"/>
        </w:rPr>
        <w:t>Although the payments will be large in 2015-16 and could be said to be the result of a major change in Commonwealth-State relations</w:t>
      </w:r>
      <w:r w:rsidR="002122C2">
        <w:rPr>
          <w:lang w:val="en-US"/>
        </w:rPr>
        <w:t xml:space="preserve"> requiring backcasting</w:t>
      </w:r>
      <w:r w:rsidR="002122C2" w:rsidRPr="00151590">
        <w:rPr>
          <w:lang w:val="en-US"/>
        </w:rPr>
        <w:t xml:space="preserve">, </w:t>
      </w:r>
      <w:r w:rsidR="002122C2">
        <w:rPr>
          <w:lang w:val="en-US"/>
        </w:rPr>
        <w:t xml:space="preserve">staff understand that </w:t>
      </w:r>
      <w:r w:rsidR="008C4F05">
        <w:rPr>
          <w:lang w:val="en-US"/>
        </w:rPr>
        <w:t xml:space="preserve">an amendment to the </w:t>
      </w:r>
      <w:r w:rsidR="002122C2">
        <w:rPr>
          <w:lang w:val="en-US"/>
        </w:rPr>
        <w:t xml:space="preserve">terms of reference </w:t>
      </w:r>
      <w:r w:rsidR="008C4F05">
        <w:rPr>
          <w:lang w:val="en-US"/>
        </w:rPr>
        <w:t xml:space="preserve">for the 2015 Review </w:t>
      </w:r>
      <w:r w:rsidR="002122C2">
        <w:rPr>
          <w:lang w:val="en-US"/>
        </w:rPr>
        <w:t>will require the Commission to ensure the payments have no impact on the relativities.</w:t>
      </w:r>
    </w:p>
    <w:p w:rsidR="00A435A3" w:rsidRPr="00E674AF" w:rsidRDefault="00A435A3" w:rsidP="00A435A3">
      <w:pPr>
        <w:pStyle w:val="Heading4"/>
      </w:pPr>
      <w:bookmarkStart w:id="141" w:name="_Toc395104244"/>
      <w:bookmarkStart w:id="142" w:name="_Toc395685908"/>
      <w:bookmarkStart w:id="143" w:name="_Toc395686232"/>
      <w:bookmarkStart w:id="144" w:name="_Toc396300352"/>
      <w:r w:rsidRPr="00E674AF">
        <w:t>Recommendations</w:t>
      </w:r>
      <w:bookmarkEnd w:id="141"/>
      <w:bookmarkEnd w:id="142"/>
      <w:bookmarkEnd w:id="143"/>
      <w:bookmarkEnd w:id="144"/>
      <w:r>
        <w:t xml:space="preserve"> </w:t>
      </w:r>
    </w:p>
    <w:tbl>
      <w:tblPr>
        <w:tblW w:w="0" w:type="auto"/>
        <w:tblInd w:w="108" w:type="dxa"/>
        <w:shd w:val="clear" w:color="auto" w:fill="D9F3E6"/>
        <w:tblLook w:val="0000" w:firstRow="0" w:lastRow="0" w:firstColumn="0" w:lastColumn="0" w:noHBand="0" w:noVBand="0"/>
      </w:tblPr>
      <w:tblGrid>
        <w:gridCol w:w="8931"/>
      </w:tblGrid>
      <w:tr w:rsidR="00A435A3" w:rsidRPr="00E674AF" w:rsidTr="007849DD">
        <w:tc>
          <w:tcPr>
            <w:tcW w:w="8931" w:type="dxa"/>
            <w:shd w:val="clear" w:color="auto" w:fill="D9F3E6"/>
          </w:tcPr>
          <w:p w:rsidR="00A435A3" w:rsidRPr="00E674AF" w:rsidRDefault="00A435A3" w:rsidP="007849DD">
            <w:pPr>
              <w:tabs>
                <w:tab w:val="clear" w:pos="567"/>
              </w:tabs>
              <w:rPr>
                <w:bCs/>
              </w:rPr>
            </w:pPr>
            <w:r w:rsidRPr="00E674AF">
              <w:rPr>
                <w:bCs/>
              </w:rPr>
              <w:t xml:space="preserve">Staff </w:t>
            </w:r>
            <w:r w:rsidR="00A3586B">
              <w:rPr>
                <w:bCs/>
              </w:rPr>
              <w:t xml:space="preserve">propose to </w:t>
            </w:r>
            <w:r w:rsidR="00A3586B" w:rsidRPr="00E674AF">
              <w:rPr>
                <w:bCs/>
              </w:rPr>
              <w:t xml:space="preserve">recommend the </w:t>
            </w:r>
            <w:r w:rsidR="00A3586B">
              <w:rPr>
                <w:bCs/>
              </w:rPr>
              <w:t>Commission:</w:t>
            </w:r>
          </w:p>
          <w:p w:rsidR="00151B15" w:rsidRDefault="000712EF" w:rsidP="00F2269C">
            <w:pPr>
              <w:pStyle w:val="CGCBulletlist"/>
            </w:pPr>
            <w:r>
              <w:t>not backcast</w:t>
            </w:r>
            <w:r w:rsidR="00A435A3">
              <w:t xml:space="preserve"> Commonwealth payments commencing in 2014-15 and 2015</w:t>
            </w:r>
            <w:r>
              <w:noBreakHyphen/>
            </w:r>
            <w:r w:rsidR="00A435A3">
              <w:t xml:space="preserve">16 as set out in Table </w:t>
            </w:r>
            <w:r w:rsidR="00A3586B">
              <w:t>B</w:t>
            </w:r>
            <w:r w:rsidR="00A435A3">
              <w:t xml:space="preserve">-2 of Attachment </w:t>
            </w:r>
            <w:r w:rsidR="00A3586B">
              <w:t>B</w:t>
            </w:r>
            <w:r w:rsidR="002122C2">
              <w:t xml:space="preserve"> because </w:t>
            </w:r>
            <w:r w:rsidR="00AD1E62">
              <w:t xml:space="preserve">they are not the result of major change in Commonwealth-State financial arrangements. </w:t>
            </w:r>
          </w:p>
          <w:p w:rsidR="00A435A3" w:rsidRPr="00E674AF" w:rsidRDefault="00F2269C" w:rsidP="00151B15">
            <w:pPr>
              <w:pStyle w:val="CGCBulletlist"/>
              <w:numPr>
                <w:ilvl w:val="0"/>
                <w:numId w:val="0"/>
              </w:numPr>
            </w:pPr>
            <w:r>
              <w:t>W</w:t>
            </w:r>
            <w:r w:rsidR="00AD1E62">
              <w:t xml:space="preserve">e expect </w:t>
            </w:r>
            <w:r w:rsidR="002122C2">
              <w:rPr>
                <w:lang w:val="en-US"/>
              </w:rPr>
              <w:t xml:space="preserve">terms of reference </w:t>
            </w:r>
            <w:r w:rsidR="00AD1E62">
              <w:rPr>
                <w:lang w:val="en-US"/>
              </w:rPr>
              <w:t xml:space="preserve">for the 2015 Review </w:t>
            </w:r>
            <w:r w:rsidR="002122C2">
              <w:rPr>
                <w:lang w:val="en-US"/>
              </w:rPr>
              <w:t xml:space="preserve">will require the Commission to ensure the </w:t>
            </w:r>
            <w:r>
              <w:t>Infrastructure Growth Package, payments from the Asset Recycling Fund</w:t>
            </w:r>
            <w:r>
              <w:rPr>
                <w:lang w:val="en-US"/>
              </w:rPr>
              <w:t xml:space="preserve"> </w:t>
            </w:r>
            <w:r w:rsidR="002122C2">
              <w:rPr>
                <w:lang w:val="en-US"/>
              </w:rPr>
              <w:t>have no impact on the relativities</w:t>
            </w:r>
            <w:r w:rsidR="00A435A3">
              <w:t>.</w:t>
            </w:r>
            <w:r>
              <w:t xml:space="preserve"> </w:t>
            </w:r>
            <w:r w:rsidR="00151B15">
              <w:t>The Commission will act accordingly.</w:t>
            </w:r>
          </w:p>
        </w:tc>
      </w:tr>
    </w:tbl>
    <w:p w:rsidR="00AB1B27" w:rsidRDefault="00C44A1E" w:rsidP="00C44A1E">
      <w:pPr>
        <w:pStyle w:val="Heading3"/>
      </w:pPr>
      <w:bookmarkStart w:id="145" w:name="_Toc395104245"/>
      <w:bookmarkStart w:id="146" w:name="_Toc396300353"/>
      <w:r>
        <w:t>Water for the future</w:t>
      </w:r>
      <w:bookmarkEnd w:id="145"/>
      <w:bookmarkEnd w:id="146"/>
    </w:p>
    <w:p w:rsidR="00AB1B27" w:rsidRDefault="00AB1B27" w:rsidP="00A435A3">
      <w:pPr>
        <w:pStyle w:val="Heading4"/>
      </w:pPr>
      <w:bookmarkStart w:id="147" w:name="_Toc395104246"/>
      <w:bookmarkStart w:id="148" w:name="_Toc395685910"/>
      <w:bookmarkStart w:id="149" w:name="_Toc395686234"/>
      <w:bookmarkStart w:id="150" w:name="_Toc396300354"/>
      <w:r>
        <w:t>Background</w:t>
      </w:r>
      <w:bookmarkEnd w:id="147"/>
      <w:bookmarkEnd w:id="148"/>
      <w:bookmarkEnd w:id="149"/>
      <w:bookmarkEnd w:id="150"/>
    </w:p>
    <w:p w:rsidR="00AB1B27" w:rsidRDefault="00AB1B27" w:rsidP="00AB1B27">
      <w:pPr>
        <w:pStyle w:val="CGCNumberedPara"/>
        <w:numPr>
          <w:ilvl w:val="1"/>
          <w:numId w:val="12"/>
        </w:numPr>
      </w:pPr>
      <w:r>
        <w:t>In the 2014 Update, South Australia argued that a number of significant projects under the Water for the Future N</w:t>
      </w:r>
      <w:r w:rsidR="00AD1E62">
        <w:t xml:space="preserve">ational </w:t>
      </w:r>
      <w:r>
        <w:t>P</w:t>
      </w:r>
      <w:r w:rsidR="00AD1E62">
        <w:t>artnership (NP) agreement</w:t>
      </w:r>
      <w:r w:rsidRPr="000A6D1A">
        <w:t xml:space="preserve"> </w:t>
      </w:r>
      <w:r>
        <w:t xml:space="preserve">were for protection of the environment purposes and asked the Commission to review </w:t>
      </w:r>
      <w:r w:rsidR="009535CE">
        <w:t>the</w:t>
      </w:r>
      <w:r>
        <w:t xml:space="preserve"> </w:t>
      </w:r>
      <w:r>
        <w:lastRenderedPageBreak/>
        <w:t>treatment</w:t>
      </w:r>
      <w:r w:rsidR="00AD1E62">
        <w:t xml:space="preserve"> of the payment</w:t>
      </w:r>
      <w:r>
        <w:t xml:space="preserve">. The Commission decided to review </w:t>
      </w:r>
      <w:r w:rsidR="009535CE">
        <w:t>its</w:t>
      </w:r>
      <w:r>
        <w:t xml:space="preserve"> treatment in the 2015 Review after seeking information from States on the projects covered by the NP</w:t>
      </w:r>
      <w:r w:rsidR="00AD1E62">
        <w:t xml:space="preserve"> payment</w:t>
      </w:r>
      <w:r>
        <w:t>.</w:t>
      </w:r>
    </w:p>
    <w:p w:rsidR="009535CE" w:rsidRDefault="009535CE" w:rsidP="009535CE">
      <w:pPr>
        <w:pStyle w:val="CGCNumberedPara"/>
        <w:numPr>
          <w:ilvl w:val="1"/>
          <w:numId w:val="12"/>
        </w:numPr>
      </w:pPr>
      <w:r>
        <w:t xml:space="preserve">In </w:t>
      </w:r>
      <w:r w:rsidR="00AD1E62">
        <w:t>the 2014 Update,</w:t>
      </w:r>
      <w:r>
        <w:t xml:space="preserve"> the Commission treated the </w:t>
      </w:r>
      <w:r w:rsidRPr="000A6D1A">
        <w:t>W</w:t>
      </w:r>
      <w:r>
        <w:t xml:space="preserve">ater for the </w:t>
      </w:r>
      <w:r w:rsidRPr="000A6D1A">
        <w:t>F</w:t>
      </w:r>
      <w:r>
        <w:t>uture</w:t>
      </w:r>
      <w:r w:rsidRPr="000A6D1A">
        <w:t xml:space="preserve"> </w:t>
      </w:r>
      <w:r>
        <w:t xml:space="preserve">NPP </w:t>
      </w:r>
      <w:r w:rsidR="00C41BE8">
        <w:t xml:space="preserve">as impacting on the relativities </w:t>
      </w:r>
      <w:r>
        <w:t>because the majority of the payments were for projects relating to agriculture (</w:t>
      </w:r>
      <w:r w:rsidRPr="000A6D1A">
        <w:t>irrigation</w:t>
      </w:r>
      <w:r>
        <w:t>) and</w:t>
      </w:r>
      <w:r w:rsidRPr="000A6D1A">
        <w:t xml:space="preserve"> urban water supply</w:t>
      </w:r>
      <w:r>
        <w:t>,</w:t>
      </w:r>
      <w:r w:rsidRPr="000A6D1A">
        <w:t xml:space="preserve"> </w:t>
      </w:r>
      <w:r>
        <w:t xml:space="preserve">for which needs are assessed. Some payments were for protection of the environment purposes. The Commission usually treats payments for this purpose as no impact on the relativities because protection of the environment expenses are assessed equal per capita as needs </w:t>
      </w:r>
      <w:r w:rsidR="001027F6">
        <w:t>cannot</w:t>
      </w:r>
      <w:r>
        <w:t xml:space="preserve"> be assessed.</w:t>
      </w:r>
    </w:p>
    <w:p w:rsidR="00AB1B27" w:rsidRDefault="00AB1B27" w:rsidP="00AB1B27">
      <w:pPr>
        <w:pStyle w:val="CGCNumberedPara"/>
        <w:numPr>
          <w:ilvl w:val="1"/>
          <w:numId w:val="12"/>
        </w:numPr>
      </w:pPr>
      <w:r>
        <w:t xml:space="preserve">The </w:t>
      </w:r>
      <w:r w:rsidR="00AD1E62">
        <w:rPr>
          <w:i/>
        </w:rPr>
        <w:t>Federal Financial Relations, Budget Paper No. 3, 2013-14</w:t>
      </w:r>
      <w:r>
        <w:t>refers to the Water for the Future NPP as having three components. The 2014-15 BP3 no longer places the three components under the Water for the Future umbrella. Each component is viewed as a separate NPP.</w:t>
      </w:r>
    </w:p>
    <w:p w:rsidR="00AB1B27" w:rsidRDefault="00AB1B27" w:rsidP="00A435A3">
      <w:pPr>
        <w:pStyle w:val="Heading4"/>
      </w:pPr>
      <w:bookmarkStart w:id="151" w:name="_Toc395104247"/>
      <w:bookmarkStart w:id="152" w:name="_Toc395685911"/>
      <w:bookmarkStart w:id="153" w:name="_Toc395686235"/>
      <w:bookmarkStart w:id="154" w:name="_Toc396300355"/>
      <w:r>
        <w:t>Issues</w:t>
      </w:r>
      <w:bookmarkEnd w:id="151"/>
      <w:bookmarkEnd w:id="152"/>
      <w:bookmarkEnd w:id="153"/>
      <w:bookmarkEnd w:id="154"/>
    </w:p>
    <w:p w:rsidR="00AB1B27" w:rsidRDefault="00AB1B27" w:rsidP="00AB1B27">
      <w:pPr>
        <w:pStyle w:val="CGCNumberedPara"/>
        <w:numPr>
          <w:ilvl w:val="1"/>
          <w:numId w:val="12"/>
        </w:numPr>
      </w:pPr>
      <w:r>
        <w:t>The three components that were covered by Water for the Future national partnership are:</w:t>
      </w:r>
    </w:p>
    <w:p w:rsidR="00AB1B27" w:rsidRDefault="00AB1B27" w:rsidP="00AB1B27">
      <w:pPr>
        <w:pStyle w:val="CGCBulletlist"/>
        <w:numPr>
          <w:ilvl w:val="0"/>
          <w:numId w:val="11"/>
        </w:numPr>
        <w:tabs>
          <w:tab w:val="left" w:pos="1134"/>
        </w:tabs>
      </w:pPr>
      <w:r>
        <w:t>National urban water and desalination plan</w:t>
      </w:r>
    </w:p>
    <w:p w:rsidR="00AB1B27" w:rsidRDefault="00AB1B27" w:rsidP="00AB1B27">
      <w:pPr>
        <w:pStyle w:val="CGCBulletlist"/>
        <w:numPr>
          <w:ilvl w:val="0"/>
          <w:numId w:val="11"/>
        </w:numPr>
        <w:tabs>
          <w:tab w:val="left" w:pos="1134"/>
        </w:tabs>
      </w:pPr>
      <w:r>
        <w:t>National water security plan for cities and towns</w:t>
      </w:r>
    </w:p>
    <w:p w:rsidR="00AB1B27" w:rsidRDefault="00AB1B27" w:rsidP="00AB1B27">
      <w:pPr>
        <w:pStyle w:val="CGCBulletlist"/>
        <w:numPr>
          <w:ilvl w:val="0"/>
          <w:numId w:val="11"/>
        </w:numPr>
        <w:tabs>
          <w:tab w:val="left" w:pos="1134"/>
        </w:tabs>
      </w:pPr>
      <w:r>
        <w:t xml:space="preserve">Sustainable rural water use and infrastructure. </w:t>
      </w:r>
    </w:p>
    <w:p w:rsidR="00AB1B27" w:rsidRDefault="00394661" w:rsidP="00AB1B27">
      <w:pPr>
        <w:pStyle w:val="CGCNumberedPara"/>
        <w:numPr>
          <w:ilvl w:val="1"/>
          <w:numId w:val="12"/>
        </w:numPr>
      </w:pPr>
      <w:r>
        <w:fldChar w:fldCharType="begin"/>
      </w:r>
      <w:r>
        <w:instrText xml:space="preserve"> REF _Ref393357652 \h </w:instrText>
      </w:r>
      <w:r>
        <w:fldChar w:fldCharType="separate"/>
      </w:r>
      <w:r w:rsidR="0040671D">
        <w:t xml:space="preserve">Table </w:t>
      </w:r>
      <w:r w:rsidR="0040671D">
        <w:rPr>
          <w:noProof/>
        </w:rPr>
        <w:t>11</w:t>
      </w:r>
      <w:r>
        <w:fldChar w:fldCharType="end"/>
      </w:r>
      <w:r>
        <w:t xml:space="preserve"> </w:t>
      </w:r>
      <w:r w:rsidR="00AB1B27">
        <w:t xml:space="preserve">shows the </w:t>
      </w:r>
      <w:r w:rsidR="00AB1B27" w:rsidRPr="00C161B2">
        <w:t>Commonwealth</w:t>
      </w:r>
      <w:r w:rsidR="00AB1B27">
        <w:t xml:space="preserve"> payments for each component in 2013-14. </w:t>
      </w:r>
    </w:p>
    <w:p w:rsidR="00AB1B27" w:rsidRDefault="00394661" w:rsidP="00394661">
      <w:pPr>
        <w:pStyle w:val="Caption"/>
      </w:pPr>
      <w:bookmarkStart w:id="155" w:name="_Ref393357652"/>
      <w:r>
        <w:t xml:space="preserve">Table </w:t>
      </w:r>
      <w:fldSimple w:instr=" SEQ Table \* ARABIC ">
        <w:r w:rsidR="0040671D">
          <w:rPr>
            <w:noProof/>
          </w:rPr>
          <w:t>11</w:t>
        </w:r>
      </w:fldSimple>
      <w:bookmarkEnd w:id="155"/>
      <w:r w:rsidR="00AB1B27">
        <w:tab/>
        <w:t>Water for the Future funding, 2013-14</w:t>
      </w:r>
    </w:p>
    <w:tbl>
      <w:tblPr>
        <w:tblW w:w="5000" w:type="pct"/>
        <w:tblCellMar>
          <w:left w:w="85" w:type="dxa"/>
          <w:right w:w="85" w:type="dxa"/>
        </w:tblCellMar>
        <w:tblLook w:val="0000" w:firstRow="0" w:lastRow="0" w:firstColumn="0" w:lastColumn="0" w:noHBand="0" w:noVBand="0"/>
      </w:tblPr>
      <w:tblGrid>
        <w:gridCol w:w="2470"/>
        <w:gridCol w:w="739"/>
        <w:gridCol w:w="739"/>
        <w:gridCol w:w="739"/>
        <w:gridCol w:w="739"/>
        <w:gridCol w:w="739"/>
        <w:gridCol w:w="739"/>
        <w:gridCol w:w="739"/>
        <w:gridCol w:w="739"/>
        <w:gridCol w:w="739"/>
      </w:tblGrid>
      <w:tr w:rsidR="00AB1B27" w:rsidTr="003A52E3">
        <w:tc>
          <w:tcPr>
            <w:tcW w:w="1354" w:type="pct"/>
            <w:tcBorders>
              <w:top w:val="single" w:sz="6" w:space="0" w:color="auto"/>
              <w:bottom w:val="single" w:sz="6" w:space="0" w:color="auto"/>
            </w:tcBorders>
            <w:vAlign w:val="bottom"/>
          </w:tcPr>
          <w:p w:rsidR="00AB1B27" w:rsidRDefault="00AB1B27" w:rsidP="003A52E3">
            <w:pPr>
              <w:pStyle w:val="CGCTableStub"/>
              <w:spacing w:line="240" w:lineRule="auto"/>
              <w:ind w:left="142" w:hanging="142"/>
            </w:pPr>
          </w:p>
        </w:tc>
        <w:tc>
          <w:tcPr>
            <w:tcW w:w="405" w:type="pct"/>
            <w:tcBorders>
              <w:top w:val="single" w:sz="6" w:space="0" w:color="auto"/>
              <w:bottom w:val="single" w:sz="6" w:space="0" w:color="auto"/>
            </w:tcBorders>
            <w:vAlign w:val="bottom"/>
          </w:tcPr>
          <w:p w:rsidR="00AB1B27" w:rsidRDefault="00AB1B27" w:rsidP="003A52E3">
            <w:pPr>
              <w:pStyle w:val="TableColHeadings"/>
            </w:pPr>
            <w:r>
              <w:t>NSW</w:t>
            </w:r>
          </w:p>
        </w:tc>
        <w:tc>
          <w:tcPr>
            <w:tcW w:w="405" w:type="pct"/>
            <w:tcBorders>
              <w:top w:val="single" w:sz="6" w:space="0" w:color="auto"/>
              <w:bottom w:val="single" w:sz="6" w:space="0" w:color="auto"/>
            </w:tcBorders>
            <w:vAlign w:val="bottom"/>
          </w:tcPr>
          <w:p w:rsidR="00AB1B27" w:rsidRDefault="00AB1B27" w:rsidP="003A52E3">
            <w:pPr>
              <w:pStyle w:val="TableColHeadings"/>
            </w:pPr>
            <w:r>
              <w:t>Vic</w:t>
            </w:r>
          </w:p>
        </w:tc>
        <w:tc>
          <w:tcPr>
            <w:tcW w:w="405" w:type="pct"/>
            <w:tcBorders>
              <w:top w:val="single" w:sz="6" w:space="0" w:color="auto"/>
              <w:bottom w:val="single" w:sz="6" w:space="0" w:color="auto"/>
            </w:tcBorders>
            <w:vAlign w:val="bottom"/>
          </w:tcPr>
          <w:p w:rsidR="00AB1B27" w:rsidRDefault="00AB1B27" w:rsidP="003A52E3">
            <w:pPr>
              <w:pStyle w:val="TableColHeadings"/>
            </w:pPr>
            <w:r>
              <w:t>Qld</w:t>
            </w:r>
          </w:p>
        </w:tc>
        <w:tc>
          <w:tcPr>
            <w:tcW w:w="405" w:type="pct"/>
            <w:tcBorders>
              <w:top w:val="single" w:sz="6" w:space="0" w:color="auto"/>
              <w:bottom w:val="single" w:sz="6" w:space="0" w:color="auto"/>
            </w:tcBorders>
            <w:vAlign w:val="bottom"/>
          </w:tcPr>
          <w:p w:rsidR="00AB1B27" w:rsidRDefault="00AB1B27" w:rsidP="003A52E3">
            <w:pPr>
              <w:pStyle w:val="TableColHeadings"/>
            </w:pPr>
            <w:r>
              <w:t>WA</w:t>
            </w:r>
          </w:p>
        </w:tc>
        <w:tc>
          <w:tcPr>
            <w:tcW w:w="405" w:type="pct"/>
            <w:tcBorders>
              <w:top w:val="single" w:sz="6" w:space="0" w:color="auto"/>
              <w:bottom w:val="single" w:sz="6" w:space="0" w:color="auto"/>
            </w:tcBorders>
            <w:vAlign w:val="bottom"/>
          </w:tcPr>
          <w:p w:rsidR="00AB1B27" w:rsidRDefault="00AB1B27" w:rsidP="003A52E3">
            <w:pPr>
              <w:pStyle w:val="TableColHeadings"/>
            </w:pPr>
            <w:r>
              <w:t>SA</w:t>
            </w:r>
          </w:p>
        </w:tc>
        <w:tc>
          <w:tcPr>
            <w:tcW w:w="405" w:type="pct"/>
            <w:tcBorders>
              <w:top w:val="single" w:sz="6" w:space="0" w:color="auto"/>
              <w:bottom w:val="single" w:sz="6" w:space="0" w:color="auto"/>
            </w:tcBorders>
            <w:vAlign w:val="bottom"/>
          </w:tcPr>
          <w:p w:rsidR="00AB1B27" w:rsidRDefault="00AB1B27" w:rsidP="003A52E3">
            <w:pPr>
              <w:pStyle w:val="TableColHeadings"/>
            </w:pPr>
            <w:r>
              <w:t>Tas</w:t>
            </w:r>
          </w:p>
        </w:tc>
        <w:tc>
          <w:tcPr>
            <w:tcW w:w="405" w:type="pct"/>
            <w:tcBorders>
              <w:top w:val="single" w:sz="6" w:space="0" w:color="auto"/>
              <w:bottom w:val="single" w:sz="6" w:space="0" w:color="auto"/>
            </w:tcBorders>
            <w:vAlign w:val="bottom"/>
          </w:tcPr>
          <w:p w:rsidR="00AB1B27" w:rsidRDefault="00AB1B27" w:rsidP="003A52E3">
            <w:pPr>
              <w:pStyle w:val="TableColHeadings"/>
            </w:pPr>
            <w:r>
              <w:t>ACT</w:t>
            </w:r>
          </w:p>
        </w:tc>
        <w:tc>
          <w:tcPr>
            <w:tcW w:w="405" w:type="pct"/>
            <w:tcBorders>
              <w:top w:val="single" w:sz="6" w:space="0" w:color="auto"/>
              <w:bottom w:val="single" w:sz="6" w:space="0" w:color="auto"/>
            </w:tcBorders>
            <w:vAlign w:val="bottom"/>
          </w:tcPr>
          <w:p w:rsidR="00AB1B27" w:rsidRDefault="00AB1B27" w:rsidP="003A52E3">
            <w:pPr>
              <w:pStyle w:val="TableColHeadings"/>
            </w:pPr>
            <w:r>
              <w:t>NT</w:t>
            </w:r>
          </w:p>
        </w:tc>
        <w:tc>
          <w:tcPr>
            <w:tcW w:w="405" w:type="pct"/>
            <w:tcBorders>
              <w:top w:val="single" w:sz="6" w:space="0" w:color="auto"/>
              <w:bottom w:val="single" w:sz="6" w:space="0" w:color="auto"/>
            </w:tcBorders>
            <w:vAlign w:val="bottom"/>
          </w:tcPr>
          <w:p w:rsidR="00AB1B27" w:rsidRDefault="00AB1B27" w:rsidP="003A52E3">
            <w:pPr>
              <w:pStyle w:val="TableColHeadings"/>
            </w:pPr>
            <w:r>
              <w:t>Total</w:t>
            </w:r>
          </w:p>
        </w:tc>
      </w:tr>
      <w:tr w:rsidR="00AB1B27" w:rsidTr="003A52E3">
        <w:tc>
          <w:tcPr>
            <w:tcW w:w="1354" w:type="pct"/>
            <w:tcMar>
              <w:top w:w="0" w:type="dxa"/>
              <w:bottom w:w="0" w:type="dxa"/>
            </w:tcMar>
            <w:vAlign w:val="bottom"/>
          </w:tcPr>
          <w:p w:rsidR="00AB1B27" w:rsidRDefault="00AB1B27" w:rsidP="003A52E3">
            <w:pPr>
              <w:pStyle w:val="CGCTableStub"/>
              <w:spacing w:before="0" w:after="0" w:line="240" w:lineRule="auto"/>
              <w:jc w:val="right"/>
            </w:pPr>
          </w:p>
        </w:tc>
        <w:tc>
          <w:tcPr>
            <w:tcW w:w="405" w:type="pct"/>
            <w:tcMar>
              <w:top w:w="0" w:type="dxa"/>
              <w:bottom w:w="0" w:type="dxa"/>
            </w:tcMar>
            <w:vAlign w:val="bottom"/>
          </w:tcPr>
          <w:p w:rsidR="00AB1B27" w:rsidRDefault="00AB1B27" w:rsidP="003A52E3">
            <w:pPr>
              <w:pStyle w:val="TableRowNormal"/>
              <w:spacing w:before="0" w:after="0" w:line="240" w:lineRule="auto"/>
              <w:ind w:left="0" w:firstLine="0"/>
            </w:pPr>
            <w:r>
              <w:t>$m</w:t>
            </w:r>
          </w:p>
        </w:tc>
        <w:tc>
          <w:tcPr>
            <w:tcW w:w="405" w:type="pct"/>
            <w:tcMar>
              <w:top w:w="0" w:type="dxa"/>
              <w:bottom w:w="0" w:type="dxa"/>
            </w:tcMar>
            <w:vAlign w:val="bottom"/>
          </w:tcPr>
          <w:p w:rsidR="00AB1B27" w:rsidRDefault="00AB1B27" w:rsidP="003A52E3">
            <w:pPr>
              <w:pStyle w:val="TableRowNormal"/>
              <w:spacing w:before="0" w:after="0" w:line="240" w:lineRule="auto"/>
              <w:ind w:left="0" w:firstLine="0"/>
            </w:pPr>
            <w:r>
              <w:t>$m</w:t>
            </w:r>
          </w:p>
        </w:tc>
        <w:tc>
          <w:tcPr>
            <w:tcW w:w="405" w:type="pct"/>
            <w:tcMar>
              <w:top w:w="0" w:type="dxa"/>
              <w:bottom w:w="0" w:type="dxa"/>
            </w:tcMar>
            <w:vAlign w:val="bottom"/>
          </w:tcPr>
          <w:p w:rsidR="00AB1B27" w:rsidRDefault="00AB1B27" w:rsidP="003A52E3">
            <w:pPr>
              <w:pStyle w:val="TableRowNormal"/>
              <w:spacing w:before="0" w:after="0" w:line="240" w:lineRule="auto"/>
              <w:ind w:left="0" w:firstLine="0"/>
            </w:pPr>
            <w:r>
              <w:t>$m</w:t>
            </w:r>
          </w:p>
        </w:tc>
        <w:tc>
          <w:tcPr>
            <w:tcW w:w="405" w:type="pct"/>
            <w:tcMar>
              <w:top w:w="0" w:type="dxa"/>
              <w:bottom w:w="0" w:type="dxa"/>
            </w:tcMar>
            <w:vAlign w:val="bottom"/>
          </w:tcPr>
          <w:p w:rsidR="00AB1B27" w:rsidRDefault="00AB1B27" w:rsidP="003A52E3">
            <w:pPr>
              <w:pStyle w:val="TableRowNormal"/>
              <w:spacing w:before="0" w:after="0" w:line="240" w:lineRule="auto"/>
              <w:ind w:left="0" w:firstLine="0"/>
            </w:pPr>
            <w:r>
              <w:t>$m</w:t>
            </w:r>
          </w:p>
        </w:tc>
        <w:tc>
          <w:tcPr>
            <w:tcW w:w="405" w:type="pct"/>
            <w:tcMar>
              <w:top w:w="0" w:type="dxa"/>
              <w:bottom w:w="0" w:type="dxa"/>
            </w:tcMar>
            <w:vAlign w:val="bottom"/>
          </w:tcPr>
          <w:p w:rsidR="00AB1B27" w:rsidRDefault="00AB1B27" w:rsidP="003A52E3">
            <w:pPr>
              <w:pStyle w:val="TableRowNormal"/>
              <w:spacing w:before="0" w:after="0" w:line="240" w:lineRule="auto"/>
              <w:ind w:left="0" w:firstLine="0"/>
            </w:pPr>
            <w:r>
              <w:t>$m</w:t>
            </w:r>
          </w:p>
        </w:tc>
        <w:tc>
          <w:tcPr>
            <w:tcW w:w="405" w:type="pct"/>
            <w:tcMar>
              <w:top w:w="0" w:type="dxa"/>
              <w:bottom w:w="0" w:type="dxa"/>
            </w:tcMar>
            <w:vAlign w:val="bottom"/>
          </w:tcPr>
          <w:p w:rsidR="00AB1B27" w:rsidRDefault="00AB1B27" w:rsidP="003A52E3">
            <w:pPr>
              <w:pStyle w:val="TableRowNormal"/>
              <w:spacing w:before="0" w:after="0" w:line="240" w:lineRule="auto"/>
              <w:ind w:left="0" w:firstLine="0"/>
            </w:pPr>
            <w:r>
              <w:t>$m</w:t>
            </w:r>
          </w:p>
        </w:tc>
        <w:tc>
          <w:tcPr>
            <w:tcW w:w="405" w:type="pct"/>
            <w:tcMar>
              <w:top w:w="0" w:type="dxa"/>
              <w:bottom w:w="0" w:type="dxa"/>
            </w:tcMar>
            <w:vAlign w:val="bottom"/>
          </w:tcPr>
          <w:p w:rsidR="00AB1B27" w:rsidRDefault="00AB1B27" w:rsidP="003A52E3">
            <w:pPr>
              <w:pStyle w:val="TableRowNormal"/>
              <w:spacing w:before="0" w:after="0" w:line="240" w:lineRule="auto"/>
              <w:ind w:left="0" w:firstLine="0"/>
            </w:pPr>
            <w:r>
              <w:t>$m</w:t>
            </w:r>
          </w:p>
        </w:tc>
        <w:tc>
          <w:tcPr>
            <w:tcW w:w="405" w:type="pct"/>
            <w:tcMar>
              <w:top w:w="0" w:type="dxa"/>
              <w:bottom w:w="0" w:type="dxa"/>
            </w:tcMar>
            <w:vAlign w:val="bottom"/>
          </w:tcPr>
          <w:p w:rsidR="00AB1B27" w:rsidRDefault="00AB1B27" w:rsidP="003A52E3">
            <w:pPr>
              <w:pStyle w:val="TableRowNormal"/>
              <w:spacing w:before="0" w:after="0" w:line="240" w:lineRule="auto"/>
              <w:ind w:left="0" w:firstLine="0"/>
            </w:pPr>
            <w:r>
              <w:t>$m</w:t>
            </w:r>
          </w:p>
        </w:tc>
        <w:tc>
          <w:tcPr>
            <w:tcW w:w="405" w:type="pct"/>
            <w:tcMar>
              <w:top w:w="0" w:type="dxa"/>
              <w:bottom w:w="0" w:type="dxa"/>
            </w:tcMar>
            <w:vAlign w:val="bottom"/>
          </w:tcPr>
          <w:p w:rsidR="00AB1B27" w:rsidRDefault="00AB1B27" w:rsidP="003A52E3">
            <w:pPr>
              <w:pStyle w:val="TableRowNormal"/>
              <w:spacing w:before="0" w:after="0" w:line="240" w:lineRule="auto"/>
              <w:ind w:left="0" w:firstLine="0"/>
            </w:pPr>
            <w:r>
              <w:t>$m</w:t>
            </w:r>
          </w:p>
        </w:tc>
      </w:tr>
      <w:tr w:rsidR="00AB1B27" w:rsidTr="003A52E3">
        <w:tc>
          <w:tcPr>
            <w:tcW w:w="1354" w:type="pct"/>
            <w:vAlign w:val="bottom"/>
          </w:tcPr>
          <w:p w:rsidR="00AB1B27" w:rsidRDefault="00AB1B27" w:rsidP="003A52E3">
            <w:pPr>
              <w:pStyle w:val="CGCTableStub"/>
              <w:tabs>
                <w:tab w:val="left" w:pos="142"/>
                <w:tab w:val="left" w:pos="425"/>
                <w:tab w:val="left" w:pos="709"/>
                <w:tab w:val="left" w:pos="851"/>
              </w:tabs>
              <w:ind w:left="142" w:hanging="142"/>
            </w:pPr>
            <w:r>
              <w:t>National urban water and desalination plan</w:t>
            </w:r>
          </w:p>
        </w:tc>
        <w:tc>
          <w:tcPr>
            <w:tcW w:w="405" w:type="pct"/>
            <w:vAlign w:val="bottom"/>
          </w:tcPr>
          <w:p w:rsidR="00AB1B27" w:rsidRDefault="00AB1B27" w:rsidP="003A52E3">
            <w:pPr>
              <w:pStyle w:val="TableRowNormal"/>
              <w:ind w:left="0" w:firstLine="0"/>
            </w:pPr>
            <w:r>
              <w:t>0.0</w:t>
            </w:r>
          </w:p>
        </w:tc>
        <w:tc>
          <w:tcPr>
            <w:tcW w:w="405" w:type="pct"/>
            <w:vAlign w:val="bottom"/>
          </w:tcPr>
          <w:p w:rsidR="00AB1B27" w:rsidRPr="0093102C" w:rsidRDefault="00AB1B27" w:rsidP="003A52E3">
            <w:pPr>
              <w:pStyle w:val="TableRowNormal"/>
              <w:ind w:left="0" w:firstLine="0"/>
            </w:pPr>
            <w:r w:rsidRPr="0093102C">
              <w:t>5.6</w:t>
            </w:r>
          </w:p>
        </w:tc>
        <w:tc>
          <w:tcPr>
            <w:tcW w:w="405" w:type="pct"/>
            <w:vAlign w:val="bottom"/>
          </w:tcPr>
          <w:p w:rsidR="00AB1B27" w:rsidRDefault="00AB1B27" w:rsidP="003A52E3">
            <w:pPr>
              <w:pStyle w:val="TableRowNormal"/>
              <w:ind w:left="0" w:firstLine="0"/>
            </w:pPr>
            <w:r>
              <w:t>0.0</w:t>
            </w:r>
          </w:p>
        </w:tc>
        <w:tc>
          <w:tcPr>
            <w:tcW w:w="405" w:type="pct"/>
            <w:vAlign w:val="bottom"/>
          </w:tcPr>
          <w:p w:rsidR="00AB1B27" w:rsidRDefault="00AB1B27" w:rsidP="003A52E3">
            <w:pPr>
              <w:pStyle w:val="TableRowNormal"/>
              <w:ind w:left="0" w:firstLine="0"/>
            </w:pPr>
            <w:r>
              <w:t>0.0</w:t>
            </w:r>
          </w:p>
        </w:tc>
        <w:tc>
          <w:tcPr>
            <w:tcW w:w="405" w:type="pct"/>
            <w:vAlign w:val="bottom"/>
          </w:tcPr>
          <w:p w:rsidR="00AB1B27" w:rsidRPr="0093102C" w:rsidRDefault="00AB1B27" w:rsidP="003A52E3">
            <w:pPr>
              <w:pStyle w:val="TableRowNormal"/>
              <w:ind w:left="0" w:firstLine="0"/>
            </w:pPr>
            <w:r w:rsidRPr="0093102C">
              <w:t>1</w:t>
            </w:r>
            <w:r>
              <w:t>.0</w:t>
            </w:r>
          </w:p>
        </w:tc>
        <w:tc>
          <w:tcPr>
            <w:tcW w:w="405" w:type="pct"/>
            <w:vAlign w:val="bottom"/>
          </w:tcPr>
          <w:p w:rsidR="00AB1B27" w:rsidRDefault="00AB1B27" w:rsidP="003A52E3">
            <w:pPr>
              <w:pStyle w:val="TableRowNormal"/>
              <w:ind w:left="0" w:firstLine="0"/>
            </w:pPr>
            <w:r>
              <w:t>0.0</w:t>
            </w:r>
          </w:p>
        </w:tc>
        <w:tc>
          <w:tcPr>
            <w:tcW w:w="405" w:type="pct"/>
            <w:vAlign w:val="bottom"/>
          </w:tcPr>
          <w:p w:rsidR="00AB1B27" w:rsidRDefault="00AB1B27" w:rsidP="003A52E3">
            <w:pPr>
              <w:pStyle w:val="TableRowNormal"/>
              <w:ind w:left="0" w:firstLine="0"/>
            </w:pPr>
            <w:r>
              <w:t>0.0</w:t>
            </w:r>
          </w:p>
        </w:tc>
        <w:tc>
          <w:tcPr>
            <w:tcW w:w="405" w:type="pct"/>
            <w:vAlign w:val="bottom"/>
          </w:tcPr>
          <w:p w:rsidR="00AB1B27" w:rsidRDefault="00AB1B27" w:rsidP="003A52E3">
            <w:pPr>
              <w:pStyle w:val="TableRowNormal"/>
              <w:ind w:left="0" w:firstLine="0"/>
            </w:pPr>
            <w:r>
              <w:t>0.0</w:t>
            </w:r>
          </w:p>
        </w:tc>
        <w:tc>
          <w:tcPr>
            <w:tcW w:w="405" w:type="pct"/>
            <w:vAlign w:val="bottom"/>
          </w:tcPr>
          <w:p w:rsidR="00AB1B27" w:rsidRPr="0093102C" w:rsidRDefault="00AB1B27" w:rsidP="003A52E3">
            <w:pPr>
              <w:pStyle w:val="TableRowNormal"/>
              <w:ind w:left="0" w:firstLine="0"/>
            </w:pPr>
            <w:r w:rsidRPr="0093102C">
              <w:t>6.5</w:t>
            </w:r>
          </w:p>
        </w:tc>
      </w:tr>
      <w:tr w:rsidR="00AB1B27" w:rsidTr="003A52E3">
        <w:tc>
          <w:tcPr>
            <w:tcW w:w="1354" w:type="pct"/>
            <w:vAlign w:val="bottom"/>
          </w:tcPr>
          <w:p w:rsidR="00AB1B27" w:rsidRDefault="00AB1B27" w:rsidP="003A52E3">
            <w:pPr>
              <w:pStyle w:val="CGCTableStub"/>
              <w:tabs>
                <w:tab w:val="left" w:pos="142"/>
                <w:tab w:val="left" w:pos="425"/>
                <w:tab w:val="left" w:pos="709"/>
                <w:tab w:val="left" w:pos="851"/>
              </w:tabs>
              <w:ind w:left="142" w:hanging="142"/>
            </w:pPr>
            <w:r>
              <w:t>National water security plan for cities and towns</w:t>
            </w:r>
          </w:p>
        </w:tc>
        <w:tc>
          <w:tcPr>
            <w:tcW w:w="405" w:type="pct"/>
            <w:vAlign w:val="bottom"/>
          </w:tcPr>
          <w:p w:rsidR="00AB1B27" w:rsidRPr="0093102C" w:rsidRDefault="00AB1B27" w:rsidP="003A52E3">
            <w:pPr>
              <w:pStyle w:val="TableRowNormal"/>
              <w:ind w:left="0" w:firstLine="0"/>
            </w:pPr>
            <w:r w:rsidRPr="0093102C">
              <w:t>14.2</w:t>
            </w:r>
          </w:p>
        </w:tc>
        <w:tc>
          <w:tcPr>
            <w:tcW w:w="405" w:type="pct"/>
            <w:vAlign w:val="bottom"/>
          </w:tcPr>
          <w:p w:rsidR="00AB1B27" w:rsidRDefault="00AB1B27" w:rsidP="003A52E3">
            <w:pPr>
              <w:pStyle w:val="TableRowNormal"/>
              <w:ind w:left="0" w:firstLine="0"/>
            </w:pPr>
            <w:r>
              <w:t>0.0</w:t>
            </w:r>
          </w:p>
        </w:tc>
        <w:tc>
          <w:tcPr>
            <w:tcW w:w="405" w:type="pct"/>
            <w:vAlign w:val="bottom"/>
          </w:tcPr>
          <w:p w:rsidR="00AB1B27" w:rsidRPr="0093102C" w:rsidRDefault="00AB1B27" w:rsidP="003A52E3">
            <w:pPr>
              <w:pStyle w:val="TableRowNormal"/>
              <w:ind w:left="0" w:firstLine="0"/>
            </w:pPr>
            <w:r w:rsidRPr="0093102C">
              <w:t>1.3</w:t>
            </w:r>
          </w:p>
        </w:tc>
        <w:tc>
          <w:tcPr>
            <w:tcW w:w="405" w:type="pct"/>
            <w:vAlign w:val="bottom"/>
          </w:tcPr>
          <w:p w:rsidR="00AB1B27" w:rsidRPr="0093102C" w:rsidRDefault="00AB1B27" w:rsidP="003A52E3">
            <w:pPr>
              <w:pStyle w:val="TableRowNormal"/>
              <w:ind w:left="0" w:firstLine="0"/>
            </w:pPr>
            <w:r w:rsidRPr="0093102C">
              <w:t>7.4</w:t>
            </w:r>
          </w:p>
        </w:tc>
        <w:tc>
          <w:tcPr>
            <w:tcW w:w="405" w:type="pct"/>
            <w:vAlign w:val="bottom"/>
          </w:tcPr>
          <w:p w:rsidR="00AB1B27" w:rsidRPr="0093102C" w:rsidRDefault="00AB1B27" w:rsidP="003A52E3">
            <w:pPr>
              <w:pStyle w:val="TableRowNormal"/>
              <w:ind w:left="0" w:firstLine="0"/>
            </w:pPr>
            <w:r w:rsidRPr="0093102C">
              <w:t>0.3</w:t>
            </w:r>
          </w:p>
        </w:tc>
        <w:tc>
          <w:tcPr>
            <w:tcW w:w="405" w:type="pct"/>
            <w:vAlign w:val="bottom"/>
          </w:tcPr>
          <w:p w:rsidR="00AB1B27" w:rsidRDefault="00AB1B27" w:rsidP="003A52E3">
            <w:pPr>
              <w:pStyle w:val="TableRowNormal"/>
              <w:ind w:left="0" w:firstLine="0"/>
            </w:pPr>
            <w:r>
              <w:t>0.0</w:t>
            </w:r>
          </w:p>
        </w:tc>
        <w:tc>
          <w:tcPr>
            <w:tcW w:w="405" w:type="pct"/>
            <w:vAlign w:val="bottom"/>
          </w:tcPr>
          <w:p w:rsidR="00AB1B27" w:rsidRDefault="00AB1B27" w:rsidP="003A52E3">
            <w:pPr>
              <w:pStyle w:val="TableRowNormal"/>
              <w:ind w:left="0" w:firstLine="0"/>
            </w:pPr>
            <w:r>
              <w:t>0.0</w:t>
            </w:r>
          </w:p>
        </w:tc>
        <w:tc>
          <w:tcPr>
            <w:tcW w:w="405" w:type="pct"/>
            <w:vAlign w:val="bottom"/>
          </w:tcPr>
          <w:p w:rsidR="00AB1B27" w:rsidRDefault="00AB1B27" w:rsidP="003A52E3">
            <w:pPr>
              <w:pStyle w:val="TableRowNormal"/>
              <w:ind w:left="0" w:firstLine="0"/>
            </w:pPr>
            <w:r>
              <w:t>0.0</w:t>
            </w:r>
          </w:p>
        </w:tc>
        <w:tc>
          <w:tcPr>
            <w:tcW w:w="405" w:type="pct"/>
            <w:vAlign w:val="bottom"/>
          </w:tcPr>
          <w:p w:rsidR="00AB1B27" w:rsidRPr="0093102C" w:rsidRDefault="00AB1B27" w:rsidP="003A52E3">
            <w:pPr>
              <w:pStyle w:val="TableRowNormal"/>
              <w:ind w:left="0" w:firstLine="0"/>
            </w:pPr>
            <w:r w:rsidRPr="0093102C">
              <w:t>23.1</w:t>
            </w:r>
          </w:p>
        </w:tc>
      </w:tr>
      <w:tr w:rsidR="00AB1B27" w:rsidTr="003A52E3">
        <w:tc>
          <w:tcPr>
            <w:tcW w:w="1354" w:type="pct"/>
            <w:tcBorders>
              <w:bottom w:val="single" w:sz="4" w:space="0" w:color="auto"/>
            </w:tcBorders>
            <w:vAlign w:val="bottom"/>
          </w:tcPr>
          <w:p w:rsidR="00AB1B27" w:rsidRDefault="00AB1B27" w:rsidP="003A52E3">
            <w:pPr>
              <w:pStyle w:val="CGCTableStub"/>
              <w:tabs>
                <w:tab w:val="left" w:pos="142"/>
                <w:tab w:val="left" w:pos="425"/>
                <w:tab w:val="left" w:pos="709"/>
                <w:tab w:val="left" w:pos="851"/>
              </w:tabs>
              <w:ind w:left="142" w:hanging="142"/>
            </w:pPr>
            <w:r>
              <w:t>Sustainable rural water use and infrastructure</w:t>
            </w:r>
          </w:p>
        </w:tc>
        <w:tc>
          <w:tcPr>
            <w:tcW w:w="405" w:type="pct"/>
            <w:tcBorders>
              <w:bottom w:val="single" w:sz="4" w:space="0" w:color="auto"/>
            </w:tcBorders>
            <w:vAlign w:val="bottom"/>
          </w:tcPr>
          <w:p w:rsidR="00AB1B27" w:rsidRPr="0093102C" w:rsidRDefault="00AB1B27" w:rsidP="003A52E3">
            <w:pPr>
              <w:pStyle w:val="TableRowNormal"/>
              <w:ind w:left="0" w:firstLine="0"/>
            </w:pPr>
            <w:r w:rsidRPr="0093102C">
              <w:t>77.6</w:t>
            </w:r>
          </w:p>
        </w:tc>
        <w:tc>
          <w:tcPr>
            <w:tcW w:w="405" w:type="pct"/>
            <w:tcBorders>
              <w:bottom w:val="single" w:sz="4" w:space="0" w:color="auto"/>
            </w:tcBorders>
            <w:vAlign w:val="bottom"/>
          </w:tcPr>
          <w:p w:rsidR="00AB1B27" w:rsidRPr="0093102C" w:rsidRDefault="00AB1B27" w:rsidP="003A52E3">
            <w:pPr>
              <w:pStyle w:val="TableRowNormal"/>
              <w:ind w:left="0" w:firstLine="0"/>
            </w:pPr>
            <w:r w:rsidRPr="0093102C">
              <w:t>187.6</w:t>
            </w:r>
          </w:p>
        </w:tc>
        <w:tc>
          <w:tcPr>
            <w:tcW w:w="405" w:type="pct"/>
            <w:tcBorders>
              <w:bottom w:val="single" w:sz="4" w:space="0" w:color="auto"/>
            </w:tcBorders>
            <w:vAlign w:val="bottom"/>
          </w:tcPr>
          <w:p w:rsidR="00AB1B27" w:rsidRPr="0093102C" w:rsidRDefault="00AB1B27" w:rsidP="003A52E3">
            <w:pPr>
              <w:pStyle w:val="TableRowNormal"/>
              <w:ind w:left="0" w:firstLine="0"/>
            </w:pPr>
            <w:r w:rsidRPr="0093102C">
              <w:t>19</w:t>
            </w:r>
          </w:p>
        </w:tc>
        <w:tc>
          <w:tcPr>
            <w:tcW w:w="405" w:type="pct"/>
            <w:tcBorders>
              <w:bottom w:val="single" w:sz="4" w:space="0" w:color="auto"/>
            </w:tcBorders>
            <w:vAlign w:val="bottom"/>
          </w:tcPr>
          <w:p w:rsidR="00AB1B27" w:rsidRPr="0093102C" w:rsidRDefault="00AB1B27" w:rsidP="003A52E3">
            <w:pPr>
              <w:pStyle w:val="TableRowNormal"/>
              <w:ind w:left="0" w:firstLine="0"/>
            </w:pPr>
            <w:r w:rsidRPr="0093102C">
              <w:t>1.9</w:t>
            </w:r>
          </w:p>
        </w:tc>
        <w:tc>
          <w:tcPr>
            <w:tcW w:w="405" w:type="pct"/>
            <w:tcBorders>
              <w:bottom w:val="single" w:sz="4" w:space="0" w:color="auto"/>
            </w:tcBorders>
            <w:vAlign w:val="bottom"/>
          </w:tcPr>
          <w:p w:rsidR="00AB1B27" w:rsidRPr="0093102C" w:rsidRDefault="00AB1B27" w:rsidP="003A52E3">
            <w:pPr>
              <w:pStyle w:val="TableRowNormal"/>
              <w:ind w:left="0" w:firstLine="0"/>
            </w:pPr>
            <w:r w:rsidRPr="0093102C">
              <w:t>46.8</w:t>
            </w:r>
          </w:p>
        </w:tc>
        <w:tc>
          <w:tcPr>
            <w:tcW w:w="405" w:type="pct"/>
            <w:tcBorders>
              <w:bottom w:val="single" w:sz="4" w:space="0" w:color="auto"/>
            </w:tcBorders>
            <w:vAlign w:val="bottom"/>
          </w:tcPr>
          <w:p w:rsidR="00AB1B27" w:rsidRPr="0093102C" w:rsidRDefault="00AB1B27" w:rsidP="003A52E3">
            <w:pPr>
              <w:pStyle w:val="TableRowNormal"/>
              <w:ind w:left="0" w:firstLine="0"/>
            </w:pPr>
            <w:r w:rsidRPr="0093102C">
              <w:t>28</w:t>
            </w:r>
          </w:p>
        </w:tc>
        <w:tc>
          <w:tcPr>
            <w:tcW w:w="405" w:type="pct"/>
            <w:tcBorders>
              <w:bottom w:val="single" w:sz="4" w:space="0" w:color="auto"/>
            </w:tcBorders>
            <w:vAlign w:val="bottom"/>
          </w:tcPr>
          <w:p w:rsidR="00AB1B27" w:rsidRPr="0093102C" w:rsidRDefault="00AB1B27" w:rsidP="003A52E3">
            <w:pPr>
              <w:pStyle w:val="TableRowNormal"/>
              <w:ind w:left="0" w:firstLine="0"/>
            </w:pPr>
            <w:r w:rsidRPr="0093102C">
              <w:t>2.3</w:t>
            </w:r>
          </w:p>
        </w:tc>
        <w:tc>
          <w:tcPr>
            <w:tcW w:w="405" w:type="pct"/>
            <w:tcBorders>
              <w:bottom w:val="single" w:sz="4" w:space="0" w:color="auto"/>
            </w:tcBorders>
            <w:vAlign w:val="bottom"/>
          </w:tcPr>
          <w:p w:rsidR="00AB1B27" w:rsidRPr="0093102C" w:rsidRDefault="00AB1B27" w:rsidP="003A52E3">
            <w:pPr>
              <w:pStyle w:val="TableRowNormal"/>
              <w:ind w:left="0" w:firstLine="0"/>
            </w:pPr>
            <w:r w:rsidRPr="0093102C">
              <w:t>0.6</w:t>
            </w:r>
          </w:p>
        </w:tc>
        <w:tc>
          <w:tcPr>
            <w:tcW w:w="405" w:type="pct"/>
            <w:tcBorders>
              <w:bottom w:val="single" w:sz="4" w:space="0" w:color="auto"/>
            </w:tcBorders>
            <w:vAlign w:val="bottom"/>
          </w:tcPr>
          <w:p w:rsidR="00AB1B27" w:rsidRPr="0093102C" w:rsidRDefault="00AB1B27" w:rsidP="003A52E3">
            <w:pPr>
              <w:pStyle w:val="TableRowNormal"/>
              <w:ind w:left="0" w:firstLine="0"/>
            </w:pPr>
            <w:r w:rsidRPr="0093102C">
              <w:t>363.8</w:t>
            </w:r>
          </w:p>
        </w:tc>
      </w:tr>
    </w:tbl>
    <w:p w:rsidR="00AB1B27" w:rsidRDefault="00AB1B27" w:rsidP="00AB1B27">
      <w:pPr>
        <w:pStyle w:val="CGCTableFootnote"/>
      </w:pPr>
      <w:r>
        <w:t>Source:</w:t>
      </w:r>
      <w:r>
        <w:tab/>
      </w:r>
      <w:r w:rsidR="00AD1E62" w:rsidRPr="00FD40BA">
        <w:rPr>
          <w:i/>
        </w:rPr>
        <w:t>Federal Financial Relations</w:t>
      </w:r>
      <w:r w:rsidR="00AD1E62">
        <w:t xml:space="preserve"> </w:t>
      </w:r>
      <w:r w:rsidR="00AD1E62" w:rsidRPr="00BC07AC">
        <w:rPr>
          <w:i/>
        </w:rPr>
        <w:t>Budget Paper No. 3</w:t>
      </w:r>
      <w:r w:rsidR="00AD1E62">
        <w:rPr>
          <w:i/>
        </w:rPr>
        <w:t>, 2014-15.</w:t>
      </w:r>
    </w:p>
    <w:p w:rsidR="00C41BE8" w:rsidRDefault="00AB1B27" w:rsidP="00AB1B27">
      <w:pPr>
        <w:pStyle w:val="CGCNumberedPara"/>
        <w:numPr>
          <w:ilvl w:val="1"/>
          <w:numId w:val="12"/>
        </w:numPr>
      </w:pPr>
      <w:r>
        <w:t xml:space="preserve">The first two components are clearly related to urban water services. </w:t>
      </w:r>
      <w:r w:rsidR="00C41BE8">
        <w:t xml:space="preserve">Staff consider needs are assessed and </w:t>
      </w:r>
      <w:r w:rsidR="00CC63E5">
        <w:t>the payments should impact on the relativities.</w:t>
      </w:r>
    </w:p>
    <w:p w:rsidR="00AB1B27" w:rsidRDefault="00AB1B27" w:rsidP="00AB1B27">
      <w:pPr>
        <w:pStyle w:val="CGCNumberedPara"/>
        <w:numPr>
          <w:ilvl w:val="1"/>
          <w:numId w:val="12"/>
        </w:numPr>
      </w:pPr>
      <w:r>
        <w:t xml:space="preserve">Evidence from South Australia and the Commonwealth Department of the Environment suggest that the third component contains projects relating to urban water, agriculture (irrigation) and protection of the environment. </w:t>
      </w:r>
      <w:r w:rsidR="00CC63E5">
        <w:t xml:space="preserve">Needs are assessed </w:t>
      </w:r>
      <w:r w:rsidR="00CC63E5">
        <w:lastRenderedPageBreak/>
        <w:t>for urban water and agriculture (irrigation) and not assessed for protection of the environment.</w:t>
      </w:r>
    </w:p>
    <w:p w:rsidR="00AB1B27" w:rsidRDefault="00AB1B27" w:rsidP="00AB1B27">
      <w:pPr>
        <w:pStyle w:val="CGCNumberedPara"/>
        <w:numPr>
          <w:ilvl w:val="1"/>
          <w:numId w:val="12"/>
        </w:numPr>
      </w:pPr>
      <w:r>
        <w:t xml:space="preserve">A data request seeking information on the projects covered by the Sustainable rural water use and infrastructure </w:t>
      </w:r>
      <w:r w:rsidR="00FD40BA">
        <w:t>program</w:t>
      </w:r>
      <w:r>
        <w:t>, their purposes and the funding has been sent to the States.</w:t>
      </w:r>
    </w:p>
    <w:p w:rsidR="00AB1B27" w:rsidRPr="00E674AF" w:rsidRDefault="00AB1B27" w:rsidP="00AB1B27">
      <w:pPr>
        <w:pStyle w:val="CGCNumberedPara"/>
        <w:numPr>
          <w:ilvl w:val="1"/>
          <w:numId w:val="12"/>
        </w:numPr>
      </w:pPr>
      <w:r>
        <w:t>Going forward, the Commission has two options.</w:t>
      </w:r>
    </w:p>
    <w:p w:rsidR="00AB1B27" w:rsidRDefault="00AB1B27" w:rsidP="00AB1B27">
      <w:pPr>
        <w:pStyle w:val="CGCBulletlist"/>
        <w:numPr>
          <w:ilvl w:val="0"/>
          <w:numId w:val="11"/>
        </w:numPr>
        <w:tabs>
          <w:tab w:val="left" w:pos="1134"/>
        </w:tabs>
      </w:pPr>
      <w:r>
        <w:t>Retain the current approach of having all the expenses impact on the relativities</w:t>
      </w:r>
      <w:r w:rsidR="00FA64DA">
        <w:t>, if the majority of the payments are for agriculture and</w:t>
      </w:r>
      <w:r w:rsidR="00FA64DA" w:rsidRPr="000A6D1A">
        <w:t xml:space="preserve"> urban water supply</w:t>
      </w:r>
      <w:r>
        <w:t xml:space="preserve">. </w:t>
      </w:r>
    </w:p>
    <w:p w:rsidR="00AB1B27" w:rsidRDefault="00AB1B27" w:rsidP="00AB1B27">
      <w:pPr>
        <w:pStyle w:val="CGCBulletlist"/>
        <w:numPr>
          <w:ilvl w:val="0"/>
          <w:numId w:val="11"/>
        </w:numPr>
        <w:tabs>
          <w:tab w:val="left" w:pos="1134"/>
        </w:tabs>
      </w:pPr>
      <w:r>
        <w:t>Split the expenses into environmental spending and other, using data collected from State</w:t>
      </w:r>
      <w:r w:rsidR="009D7A2E">
        <w:t>s</w:t>
      </w:r>
      <w:r>
        <w:t>, and ensure that the environmental spending has no impact o</w:t>
      </w:r>
      <w:r w:rsidR="00AD1E62">
        <w:t>n</w:t>
      </w:r>
      <w:r>
        <w:t xml:space="preserve"> the GST distribution.</w:t>
      </w:r>
    </w:p>
    <w:p w:rsidR="00AB1B27" w:rsidRDefault="00476345" w:rsidP="00AB1B27">
      <w:pPr>
        <w:pStyle w:val="CGCNumberedPara"/>
        <w:numPr>
          <w:ilvl w:val="1"/>
          <w:numId w:val="12"/>
        </w:numPr>
      </w:pPr>
      <w:r>
        <w:t>Experience has suggested that States find it difficult to split their spending for environmental purposes from other purposes. In addition, if the data are made available, t</w:t>
      </w:r>
      <w:r w:rsidR="00AB1B27">
        <w:t xml:space="preserve">he </w:t>
      </w:r>
      <w:r w:rsidR="00AB1B27" w:rsidRPr="00FD1F80">
        <w:t>Commission</w:t>
      </w:r>
      <w:r w:rsidR="00AB1B27">
        <w:t xml:space="preserve"> will need to consider whether the split between environmental and other purposes is the result of State policy.</w:t>
      </w:r>
      <w:r w:rsidR="00CC63E5">
        <w:t xml:space="preserve"> Information on how </w:t>
      </w:r>
      <w:r>
        <w:t xml:space="preserve">decisions on </w:t>
      </w:r>
      <w:r w:rsidR="00CC63E5">
        <w:t>how th</w:t>
      </w:r>
      <w:r>
        <w:t>is</w:t>
      </w:r>
      <w:r w:rsidR="00CC63E5">
        <w:t xml:space="preserve"> funding is used would be helpful.</w:t>
      </w:r>
    </w:p>
    <w:p w:rsidR="00663616" w:rsidRPr="00E674AF" w:rsidRDefault="00663616" w:rsidP="00663616">
      <w:pPr>
        <w:pStyle w:val="Heading4"/>
      </w:pPr>
      <w:bookmarkStart w:id="156" w:name="_Toc395104248"/>
      <w:bookmarkStart w:id="157" w:name="_Toc395685912"/>
      <w:bookmarkStart w:id="158" w:name="_Toc395686236"/>
      <w:bookmarkStart w:id="159" w:name="_Toc396300356"/>
      <w:r w:rsidRPr="00E674AF">
        <w:t>Recommendations</w:t>
      </w:r>
      <w:bookmarkEnd w:id="156"/>
      <w:bookmarkEnd w:id="157"/>
      <w:bookmarkEnd w:id="158"/>
      <w:bookmarkEnd w:id="159"/>
      <w:r>
        <w:t xml:space="preserve"> </w:t>
      </w:r>
    </w:p>
    <w:tbl>
      <w:tblPr>
        <w:tblStyle w:val="TableGrid"/>
        <w:tblW w:w="0" w:type="auto"/>
        <w:tblInd w:w="108" w:type="dxa"/>
        <w:tblLook w:val="04A0" w:firstRow="1" w:lastRow="0" w:firstColumn="1" w:lastColumn="0" w:noHBand="0" w:noVBand="1"/>
      </w:tblPr>
      <w:tblGrid>
        <w:gridCol w:w="9059"/>
      </w:tblGrid>
      <w:tr w:rsidR="00AB1B27" w:rsidTr="00663616">
        <w:tc>
          <w:tcPr>
            <w:tcW w:w="9059" w:type="dxa"/>
            <w:tcBorders>
              <w:top w:val="nil"/>
              <w:left w:val="nil"/>
              <w:bottom w:val="nil"/>
              <w:right w:val="nil"/>
            </w:tcBorders>
            <w:shd w:val="clear" w:color="auto" w:fill="D9F3E6"/>
          </w:tcPr>
          <w:p w:rsidR="00663616" w:rsidRDefault="00663616" w:rsidP="003A52E3">
            <w:r>
              <w:t xml:space="preserve">Staff </w:t>
            </w:r>
            <w:r w:rsidR="004445C6">
              <w:t xml:space="preserve">propose to </w:t>
            </w:r>
            <w:r>
              <w:t>recommend the Commission</w:t>
            </w:r>
            <w:r w:rsidR="0010196C">
              <w:t>:</w:t>
            </w:r>
          </w:p>
          <w:p w:rsidR="00AB1B27" w:rsidRDefault="00476345" w:rsidP="009D7A2E">
            <w:pPr>
              <w:pStyle w:val="CGCBulletlist"/>
            </w:pPr>
            <w:r>
              <w:t>retain the current approach to all three components of the program unless data and other information from the States can establish that environmental spending is now the main purpose of the third component of the program</w:t>
            </w:r>
            <w:r w:rsidR="00702397">
              <w:t xml:space="preserve"> and that the interstate pattern is not overly influenced by State policy</w:t>
            </w:r>
            <w:r>
              <w:t>.</w:t>
            </w:r>
          </w:p>
        </w:tc>
      </w:tr>
      <w:bookmarkEnd w:id="129"/>
      <w:bookmarkEnd w:id="130"/>
      <w:bookmarkEnd w:id="131"/>
      <w:bookmarkEnd w:id="132"/>
      <w:bookmarkEnd w:id="133"/>
      <w:bookmarkEnd w:id="134"/>
      <w:bookmarkEnd w:id="135"/>
      <w:bookmarkEnd w:id="136"/>
      <w:bookmarkEnd w:id="137"/>
      <w:bookmarkEnd w:id="138"/>
      <w:bookmarkEnd w:id="139"/>
      <w:bookmarkEnd w:id="140"/>
    </w:tbl>
    <w:p w:rsidR="007710CD" w:rsidRDefault="007710CD" w:rsidP="007710CD">
      <w:pPr>
        <w:tabs>
          <w:tab w:val="clear" w:pos="567"/>
        </w:tabs>
      </w:pPr>
    </w:p>
    <w:p w:rsidR="0028375C" w:rsidRPr="00E674AF" w:rsidRDefault="0028375C" w:rsidP="007710CD">
      <w:pPr>
        <w:tabs>
          <w:tab w:val="clear" w:pos="567"/>
        </w:tabs>
        <w:sectPr w:rsidR="0028375C" w:rsidRPr="00E674AF" w:rsidSect="00564B80">
          <w:footerReference w:type="first" r:id="rId22"/>
          <w:pgSz w:w="11899" w:h="16838" w:code="9"/>
          <w:pgMar w:top="1701" w:right="1474" w:bottom="1701" w:left="1474" w:header="709" w:footer="709" w:gutter="0"/>
          <w:pgNumType w:start="1"/>
          <w:cols w:space="708"/>
          <w:titlePg/>
          <w:docGrid w:linePitch="299"/>
        </w:sectPr>
      </w:pPr>
    </w:p>
    <w:p w:rsidR="0000494C" w:rsidRDefault="0000494C" w:rsidP="00564B80">
      <w:pPr>
        <w:pStyle w:val="CGCTableHeading"/>
      </w:pPr>
      <w:r>
        <w:lastRenderedPageBreak/>
        <w:t>Table A-</w:t>
      </w:r>
      <w:fldSimple w:instr=" SEQ Table \* ARABIC ">
        <w:r w:rsidR="0040671D">
          <w:rPr>
            <w:noProof/>
          </w:rPr>
          <w:t>12</w:t>
        </w:r>
      </w:fldSimple>
      <w:r>
        <w:tab/>
        <w:t>List of payments not paid in 2015-16</w:t>
      </w:r>
    </w:p>
    <w:tbl>
      <w:tblPr>
        <w:tblW w:w="5000" w:type="pct"/>
        <w:tblCellMar>
          <w:left w:w="85" w:type="dxa"/>
          <w:right w:w="85" w:type="dxa"/>
        </w:tblCellMar>
        <w:tblLook w:val="0000" w:firstRow="0" w:lastRow="0" w:firstColumn="0" w:lastColumn="0" w:noHBand="0" w:noVBand="0"/>
      </w:tblPr>
      <w:tblGrid>
        <w:gridCol w:w="9128"/>
      </w:tblGrid>
      <w:tr w:rsidR="0000494C" w:rsidRPr="004537EA" w:rsidTr="0000494C">
        <w:tc>
          <w:tcPr>
            <w:tcW w:w="5000" w:type="pct"/>
            <w:tcBorders>
              <w:top w:val="single" w:sz="6" w:space="0" w:color="auto"/>
              <w:bottom w:val="single" w:sz="6" w:space="0" w:color="auto"/>
            </w:tcBorders>
            <w:vAlign w:val="bottom"/>
          </w:tcPr>
          <w:p w:rsidR="0000494C" w:rsidRPr="004537EA" w:rsidRDefault="00037E3F" w:rsidP="0000494C">
            <w:pPr>
              <w:pStyle w:val="TableColHeadings"/>
              <w:spacing w:before="0" w:after="0"/>
              <w:jc w:val="left"/>
              <w:rPr>
                <w:rFonts w:cstheme="minorHAnsi"/>
              </w:rPr>
            </w:pPr>
            <w:r>
              <w:rPr>
                <w:rFonts w:cstheme="minorHAnsi"/>
              </w:rPr>
              <w:t>Payment</w:t>
            </w:r>
          </w:p>
        </w:tc>
      </w:tr>
      <w:tr w:rsidR="0000494C" w:rsidRPr="004537EA" w:rsidTr="0000494C">
        <w:tc>
          <w:tcPr>
            <w:tcW w:w="5000" w:type="pct"/>
            <w:tcMar>
              <w:top w:w="0" w:type="dxa"/>
              <w:bottom w:w="0" w:type="dxa"/>
            </w:tcMar>
            <w:vAlign w:val="bottom"/>
          </w:tcPr>
          <w:p w:rsidR="0000494C" w:rsidRPr="0000494C" w:rsidRDefault="0000494C" w:rsidP="0000494C">
            <w:pPr>
              <w:pStyle w:val="TableRowUnits"/>
              <w:jc w:val="left"/>
              <w:rPr>
                <w:rFonts w:cstheme="minorHAnsi"/>
                <w:b/>
              </w:rPr>
            </w:pPr>
            <w:r>
              <w:rPr>
                <w:rFonts w:cstheme="minorHAnsi"/>
                <w:b/>
              </w:rPr>
              <w:t>Health services</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BreastScreen Australia radiography workforce initiatives</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COAG long stay older patients initiative</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Early intervention pilot program</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Healthy kids health checks</w:t>
            </w:r>
          </w:p>
        </w:tc>
      </w:tr>
      <w:tr w:rsidR="0000494C" w:rsidRPr="007A325B" w:rsidTr="0000494C">
        <w:tc>
          <w:tcPr>
            <w:tcW w:w="5000" w:type="pct"/>
            <w:vAlign w:val="bottom"/>
          </w:tcPr>
          <w:p w:rsidR="0000494C" w:rsidRPr="00621366" w:rsidRDefault="0000494C" w:rsidP="0000494C">
            <w:pPr>
              <w:pStyle w:val="TableRowNormal"/>
              <w:spacing w:before="0" w:after="0" w:line="240" w:lineRule="auto"/>
              <w:jc w:val="left"/>
              <w:rPr>
                <w:rFonts w:cstheme="minorHAnsi"/>
                <w:lang w:val="fr-CA"/>
              </w:rPr>
            </w:pPr>
            <w:r w:rsidRPr="00621366">
              <w:rPr>
                <w:rFonts w:cstheme="minorHAnsi"/>
                <w:lang w:val="fr-CA"/>
              </w:rPr>
              <w:t>National antimicrobial utilisation surveillance program</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National public health – human quarantine services</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NT medical school – funding contribution</w:t>
            </w:r>
          </w:p>
        </w:tc>
      </w:tr>
      <w:tr w:rsidR="0000494C" w:rsidRPr="004537EA" w:rsidTr="0000494C">
        <w:tc>
          <w:tcPr>
            <w:tcW w:w="5000" w:type="pct"/>
            <w:vAlign w:val="bottom"/>
          </w:tcPr>
          <w:p w:rsidR="0000494C" w:rsidRPr="0000494C" w:rsidRDefault="0000494C" w:rsidP="0000494C">
            <w:pPr>
              <w:pStyle w:val="TableRowNormal"/>
              <w:spacing w:before="0" w:after="0" w:line="240" w:lineRule="auto"/>
              <w:jc w:val="left"/>
              <w:rPr>
                <w:rFonts w:cstheme="minorHAnsi"/>
                <w:b/>
              </w:rPr>
            </w:pPr>
            <w:r w:rsidRPr="0000494C">
              <w:rPr>
                <w:rFonts w:cstheme="minorHAnsi"/>
                <w:b/>
              </w:rPr>
              <w:t>Indigenous health</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Health services — Sexual assault counselling in remote NT areas</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Health infrastructure – Indigenous mobile dental program</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Indigenous early childhood development – Antenatal and reproductive health</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Renal dialysis services in Central Australia</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Satellite renal dialysis facilities in remote NT communities</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Torres Strait health protection strategy – Saibai Island Health Clinic</w:t>
            </w:r>
          </w:p>
        </w:tc>
      </w:tr>
      <w:tr w:rsidR="0000494C" w:rsidRPr="004537EA" w:rsidTr="0000494C">
        <w:tc>
          <w:tcPr>
            <w:tcW w:w="5000" w:type="pct"/>
            <w:vAlign w:val="bottom"/>
          </w:tcPr>
          <w:p w:rsidR="0000494C" w:rsidRPr="0000494C" w:rsidRDefault="0000494C" w:rsidP="0000494C">
            <w:pPr>
              <w:pStyle w:val="TableRowNormal"/>
              <w:spacing w:before="0" w:after="0" w:line="240" w:lineRule="auto"/>
              <w:jc w:val="left"/>
              <w:rPr>
                <w:rFonts w:cstheme="minorHAnsi"/>
                <w:b/>
              </w:rPr>
            </w:pPr>
            <w:r w:rsidRPr="0000494C">
              <w:rPr>
                <w:rFonts w:cstheme="minorHAnsi"/>
                <w:b/>
              </w:rPr>
              <w:t>Preventive health</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Enabling infrastructure</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Healthy children</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Healthy communities</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Healthy workers</w:t>
            </w:r>
          </w:p>
        </w:tc>
      </w:tr>
      <w:tr w:rsidR="0000494C" w:rsidRPr="004537EA" w:rsidTr="0000494C">
        <w:tc>
          <w:tcPr>
            <w:tcW w:w="5000" w:type="pct"/>
            <w:vAlign w:val="bottom"/>
          </w:tcPr>
          <w:p w:rsidR="0000494C" w:rsidRPr="004537EA" w:rsidRDefault="0000494C" w:rsidP="0000494C">
            <w:pPr>
              <w:pStyle w:val="TableRowNormal"/>
              <w:spacing w:before="0" w:after="0" w:line="240" w:lineRule="auto"/>
              <w:jc w:val="left"/>
              <w:rPr>
                <w:rFonts w:cstheme="minorHAnsi"/>
              </w:rPr>
            </w:pPr>
            <w:r w:rsidRPr="0000494C">
              <w:rPr>
                <w:rFonts w:cstheme="minorHAnsi"/>
              </w:rPr>
              <w:t>Social marketing</w:t>
            </w:r>
          </w:p>
        </w:tc>
      </w:tr>
      <w:tr w:rsidR="0000494C" w:rsidRPr="004537EA" w:rsidTr="0000494C">
        <w:tc>
          <w:tcPr>
            <w:tcW w:w="5000" w:type="pct"/>
            <w:vAlign w:val="bottom"/>
          </w:tcPr>
          <w:p w:rsidR="0000494C" w:rsidRPr="0000494C" w:rsidRDefault="0000494C" w:rsidP="0000494C">
            <w:pPr>
              <w:pStyle w:val="TableRowNormal"/>
              <w:spacing w:before="0" w:after="0" w:line="240" w:lineRule="auto"/>
              <w:jc w:val="left"/>
              <w:rPr>
                <w:rFonts w:cstheme="minorHAnsi"/>
                <w:b/>
              </w:rPr>
            </w:pPr>
            <w:r w:rsidRPr="0000494C">
              <w:rPr>
                <w:rFonts w:cstheme="minorHAnsi"/>
                <w:b/>
              </w:rPr>
              <w:t>Other healt</w:t>
            </w:r>
            <w:r>
              <w:rPr>
                <w:rFonts w:cstheme="minorHAnsi"/>
                <w:b/>
              </w:rPr>
              <w:t>h</w:t>
            </w:r>
          </w:p>
        </w:tc>
      </w:tr>
      <w:tr w:rsidR="0000494C" w:rsidRPr="004537EA" w:rsidTr="0000494C">
        <w:tc>
          <w:tcPr>
            <w:tcW w:w="5000" w:type="pct"/>
            <w:vAlign w:val="bottom"/>
          </w:tcPr>
          <w:p w:rsidR="0000494C" w:rsidRPr="004537EA" w:rsidRDefault="002C7E2F" w:rsidP="0000494C">
            <w:pPr>
              <w:pStyle w:val="TableRowNormal"/>
              <w:spacing w:before="0" w:after="0" w:line="240" w:lineRule="auto"/>
              <w:jc w:val="left"/>
              <w:rPr>
                <w:rFonts w:cstheme="minorHAnsi"/>
              </w:rPr>
            </w:pPr>
            <w:r w:rsidRPr="002C7E2F">
              <w:rPr>
                <w:rFonts w:cstheme="minorHAnsi"/>
              </w:rPr>
              <w:t>East Kimberley development package - health related project</w:t>
            </w:r>
          </w:p>
        </w:tc>
      </w:tr>
      <w:tr w:rsidR="0000494C" w:rsidRPr="004537EA" w:rsidTr="0000494C">
        <w:tc>
          <w:tcPr>
            <w:tcW w:w="5000" w:type="pct"/>
            <w:vAlign w:val="bottom"/>
          </w:tcPr>
          <w:p w:rsidR="0000494C" w:rsidRPr="004537EA" w:rsidRDefault="002C7E2F" w:rsidP="0000494C">
            <w:pPr>
              <w:pStyle w:val="TableRowNormal"/>
              <w:spacing w:before="0" w:after="0" w:line="240" w:lineRule="auto"/>
              <w:jc w:val="left"/>
              <w:rPr>
                <w:rFonts w:cstheme="minorHAnsi"/>
              </w:rPr>
            </w:pPr>
            <w:r w:rsidRPr="002C7E2F">
              <w:rPr>
                <w:rFonts w:cstheme="minorHAnsi"/>
              </w:rPr>
              <w:t>Hospital and health workforce reform – activity based funding</w:t>
            </w:r>
          </w:p>
        </w:tc>
      </w:tr>
      <w:tr w:rsidR="0000494C" w:rsidRPr="004537EA" w:rsidTr="0000494C">
        <w:tc>
          <w:tcPr>
            <w:tcW w:w="5000" w:type="pct"/>
            <w:vAlign w:val="bottom"/>
          </w:tcPr>
          <w:p w:rsidR="0000494C" w:rsidRPr="004537EA" w:rsidRDefault="002C7E2F" w:rsidP="0000494C">
            <w:pPr>
              <w:pStyle w:val="TableRowNormal"/>
              <w:spacing w:before="0" w:after="0" w:line="240" w:lineRule="auto"/>
              <w:jc w:val="left"/>
              <w:rPr>
                <w:rFonts w:cstheme="minorHAnsi"/>
              </w:rPr>
            </w:pPr>
            <w:r w:rsidRPr="002C7E2F">
              <w:rPr>
                <w:rFonts w:cstheme="minorHAnsi"/>
              </w:rPr>
              <w:t>National coronial information system</w:t>
            </w:r>
          </w:p>
        </w:tc>
      </w:tr>
      <w:tr w:rsidR="0000494C" w:rsidRPr="004537EA" w:rsidTr="0000494C">
        <w:tc>
          <w:tcPr>
            <w:tcW w:w="5000" w:type="pct"/>
            <w:vAlign w:val="bottom"/>
          </w:tcPr>
          <w:p w:rsidR="0000494C" w:rsidRPr="004537EA" w:rsidRDefault="002C7E2F" w:rsidP="0000494C">
            <w:pPr>
              <w:pStyle w:val="TableRowNormal"/>
              <w:spacing w:before="0" w:after="0" w:line="240" w:lineRule="auto"/>
              <w:jc w:val="left"/>
              <w:rPr>
                <w:rFonts w:cstheme="minorHAnsi"/>
              </w:rPr>
            </w:pPr>
            <w:r w:rsidRPr="002C7E2F">
              <w:rPr>
                <w:rFonts w:cstheme="minorHAnsi"/>
              </w:rPr>
              <w:t>Treating more public dental patients</w:t>
            </w:r>
          </w:p>
        </w:tc>
      </w:tr>
      <w:tr w:rsidR="0000494C" w:rsidRPr="004537EA" w:rsidTr="0000494C">
        <w:tc>
          <w:tcPr>
            <w:tcW w:w="5000" w:type="pct"/>
            <w:vAlign w:val="bottom"/>
          </w:tcPr>
          <w:p w:rsidR="0000494C" w:rsidRPr="004537EA" w:rsidRDefault="002C7E2F" w:rsidP="0000494C">
            <w:pPr>
              <w:pStyle w:val="TableRowNormal"/>
              <w:spacing w:before="0" w:after="0" w:line="240" w:lineRule="auto"/>
              <w:jc w:val="left"/>
              <w:rPr>
                <w:rFonts w:cstheme="minorHAnsi"/>
              </w:rPr>
            </w:pPr>
            <w:r>
              <w:rPr>
                <w:rFonts w:cstheme="minorHAnsi"/>
                <w:b/>
              </w:rPr>
              <w:t>Education</w:t>
            </w:r>
          </w:p>
        </w:tc>
      </w:tr>
      <w:tr w:rsidR="0000494C" w:rsidRPr="004537EA" w:rsidTr="0000494C">
        <w:tc>
          <w:tcPr>
            <w:tcW w:w="5000" w:type="pct"/>
            <w:vAlign w:val="bottom"/>
          </w:tcPr>
          <w:p w:rsidR="0000494C" w:rsidRPr="004537EA" w:rsidRDefault="002C7E2F" w:rsidP="0000494C">
            <w:pPr>
              <w:pStyle w:val="TableRowNormal"/>
              <w:spacing w:before="0" w:after="0" w:line="240" w:lineRule="auto"/>
              <w:jc w:val="left"/>
              <w:rPr>
                <w:rFonts w:cstheme="minorHAnsi"/>
              </w:rPr>
            </w:pPr>
            <w:r w:rsidRPr="002C7E2F">
              <w:rPr>
                <w:rFonts w:cstheme="minorHAnsi"/>
              </w:rPr>
              <w:t>Digital education revolution</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East Kimberley development package – education related payments</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Fort Street High School - noise insulation</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Improving literacy and numeracy</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Indigenous early childhood development – children and family centres</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Investing in focus schools</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More support for students with disabilities</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Nation Building and Jobs Plan – Building the education revolution</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National solar schools program</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School pathways program</w:t>
            </w:r>
          </w:p>
        </w:tc>
      </w:tr>
      <w:tr w:rsidR="002C7E2F" w:rsidRPr="004537EA" w:rsidTr="0000494C">
        <w:tc>
          <w:tcPr>
            <w:tcW w:w="5000" w:type="pct"/>
            <w:vAlign w:val="bottom"/>
          </w:tcPr>
          <w:p w:rsidR="002C7E2F" w:rsidRPr="002C7E2F" w:rsidRDefault="002C7E2F" w:rsidP="002C7E2F">
            <w:pPr>
              <w:pStyle w:val="TableRowNormal"/>
              <w:spacing w:before="0" w:after="0" w:line="240" w:lineRule="auto"/>
              <w:jc w:val="left"/>
              <w:rPr>
                <w:rFonts w:cstheme="minorHAnsi"/>
                <w:b/>
              </w:rPr>
            </w:pPr>
            <w:r w:rsidRPr="002C7E2F">
              <w:rPr>
                <w:rFonts w:cstheme="minorHAnsi"/>
                <w:b/>
              </w:rPr>
              <w:t>National Skills and Workforce Development</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Training places for single and teen parents</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Commonwealth/State and Territory joint group training</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Education Investment Fund</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Industry and Indigenous skills centre</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National Disaster Queensland–Community Work Placements</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Productivity places program</w:t>
            </w:r>
          </w:p>
        </w:tc>
      </w:tr>
      <w:tr w:rsidR="0000494C" w:rsidRPr="004537EA" w:rsidTr="0000494C">
        <w:tc>
          <w:tcPr>
            <w:tcW w:w="5000" w:type="pct"/>
            <w:vAlign w:val="bottom"/>
          </w:tcPr>
          <w:p w:rsidR="0000494C" w:rsidRPr="004537EA" w:rsidRDefault="002C7E2F" w:rsidP="0000494C">
            <w:pPr>
              <w:pStyle w:val="TableRowNormal"/>
              <w:spacing w:before="0" w:after="0" w:line="240" w:lineRule="auto"/>
              <w:jc w:val="left"/>
              <w:rPr>
                <w:rFonts w:cstheme="minorHAnsi"/>
              </w:rPr>
            </w:pPr>
            <w:r w:rsidRPr="002C7E2F">
              <w:rPr>
                <w:rFonts w:cstheme="minorHAnsi"/>
              </w:rPr>
              <w:t>TAFE fee waivers for childhood qualifications</w:t>
            </w:r>
          </w:p>
        </w:tc>
      </w:tr>
      <w:tr w:rsidR="0000494C" w:rsidRPr="004537EA" w:rsidTr="007B2893">
        <w:tc>
          <w:tcPr>
            <w:tcW w:w="5000" w:type="pct"/>
            <w:vAlign w:val="bottom"/>
          </w:tcPr>
          <w:p w:rsidR="0000494C" w:rsidRPr="004537EA" w:rsidRDefault="002C7E2F" w:rsidP="0000494C">
            <w:pPr>
              <w:pStyle w:val="TableRowNormal"/>
              <w:spacing w:before="0" w:after="0" w:line="240" w:lineRule="auto"/>
              <w:jc w:val="left"/>
              <w:rPr>
                <w:rFonts w:cstheme="minorHAnsi"/>
              </w:rPr>
            </w:pPr>
            <w:r w:rsidRPr="002C7E2F">
              <w:rPr>
                <w:rFonts w:cstheme="minorHAnsi"/>
              </w:rPr>
              <w:t>Maximising engagement, attainment and successful transitions</w:t>
            </w:r>
          </w:p>
        </w:tc>
      </w:tr>
      <w:tr w:rsidR="0000494C" w:rsidRPr="004537EA" w:rsidTr="007B2893">
        <w:tc>
          <w:tcPr>
            <w:tcW w:w="5000" w:type="pct"/>
            <w:tcBorders>
              <w:bottom w:val="single" w:sz="4" w:space="0" w:color="auto"/>
            </w:tcBorders>
            <w:vAlign w:val="bottom"/>
          </w:tcPr>
          <w:p w:rsidR="0000494C" w:rsidRPr="004537EA" w:rsidRDefault="002C7E2F" w:rsidP="0000494C">
            <w:pPr>
              <w:pStyle w:val="TableRowNormal"/>
              <w:spacing w:before="0" w:after="0" w:line="240" w:lineRule="auto"/>
              <w:jc w:val="left"/>
              <w:rPr>
                <w:rFonts w:cstheme="minorHAnsi"/>
              </w:rPr>
            </w:pPr>
            <w:r w:rsidRPr="002C7E2F">
              <w:rPr>
                <w:rFonts w:cstheme="minorHAnsi"/>
              </w:rPr>
              <w:t>Year 12 attainment and transitions</w:t>
            </w:r>
          </w:p>
        </w:tc>
      </w:tr>
    </w:tbl>
    <w:p w:rsidR="00317F9A" w:rsidRDefault="00317F9A"/>
    <w:p w:rsidR="00317F9A" w:rsidRDefault="00317F9A" w:rsidP="00317F9A">
      <w:pPr>
        <w:pStyle w:val="CGCTableHeading"/>
      </w:pPr>
      <w:r>
        <w:lastRenderedPageBreak/>
        <w:t>Table A-1</w:t>
      </w:r>
      <w:r>
        <w:tab/>
        <w:t>List of payments not paid in 2015-16 (cont’d)</w:t>
      </w:r>
    </w:p>
    <w:tbl>
      <w:tblPr>
        <w:tblW w:w="5000" w:type="pct"/>
        <w:tblCellMar>
          <w:left w:w="85" w:type="dxa"/>
          <w:right w:w="85" w:type="dxa"/>
        </w:tblCellMar>
        <w:tblLook w:val="0000" w:firstRow="0" w:lastRow="0" w:firstColumn="0" w:lastColumn="0" w:noHBand="0" w:noVBand="0"/>
      </w:tblPr>
      <w:tblGrid>
        <w:gridCol w:w="9128"/>
      </w:tblGrid>
      <w:tr w:rsidR="00317F9A" w:rsidRPr="00317F9A" w:rsidTr="00317F9A">
        <w:tc>
          <w:tcPr>
            <w:tcW w:w="5000" w:type="pct"/>
            <w:tcBorders>
              <w:top w:val="single" w:sz="4" w:space="0" w:color="auto"/>
              <w:bottom w:val="single" w:sz="4" w:space="0" w:color="auto"/>
            </w:tcBorders>
            <w:vAlign w:val="bottom"/>
          </w:tcPr>
          <w:p w:rsidR="00317F9A" w:rsidRPr="00317F9A" w:rsidRDefault="00317F9A" w:rsidP="00317F9A">
            <w:pPr>
              <w:pStyle w:val="TableRowNormal"/>
              <w:spacing w:before="0" w:after="0" w:line="240" w:lineRule="auto"/>
              <w:ind w:left="142" w:hanging="142"/>
              <w:jc w:val="left"/>
              <w:rPr>
                <w:rFonts w:cstheme="minorHAnsi"/>
              </w:rPr>
            </w:pPr>
            <w:r w:rsidRPr="00317F9A">
              <w:rPr>
                <w:rFonts w:cstheme="minorHAnsi"/>
              </w:rPr>
              <w:t>Payment</w:t>
            </w:r>
          </w:p>
        </w:tc>
      </w:tr>
      <w:tr w:rsidR="0000494C" w:rsidRPr="004537EA" w:rsidTr="00317F9A">
        <w:tc>
          <w:tcPr>
            <w:tcW w:w="5000" w:type="pct"/>
            <w:tcBorders>
              <w:top w:val="single" w:sz="4" w:space="0" w:color="auto"/>
            </w:tcBorders>
            <w:vAlign w:val="bottom"/>
          </w:tcPr>
          <w:p w:rsidR="0000494C" w:rsidRPr="002C7E2F" w:rsidRDefault="002C7E2F" w:rsidP="0000494C">
            <w:pPr>
              <w:pStyle w:val="TableRowNormal"/>
              <w:spacing w:before="0" w:after="0" w:line="240" w:lineRule="auto"/>
              <w:jc w:val="left"/>
              <w:rPr>
                <w:rFonts w:cstheme="minorHAnsi"/>
                <w:b/>
              </w:rPr>
            </w:pPr>
            <w:r>
              <w:rPr>
                <w:rFonts w:cstheme="minorHAnsi"/>
                <w:b/>
              </w:rPr>
              <w:t>Community Services</w:t>
            </w:r>
          </w:p>
        </w:tc>
      </w:tr>
      <w:tr w:rsidR="0000494C" w:rsidRPr="004537EA" w:rsidTr="0000494C">
        <w:tc>
          <w:tcPr>
            <w:tcW w:w="5000" w:type="pct"/>
            <w:vAlign w:val="bottom"/>
          </w:tcPr>
          <w:p w:rsidR="0000494C" w:rsidRPr="004537EA" w:rsidRDefault="002C7E2F" w:rsidP="0000494C">
            <w:pPr>
              <w:pStyle w:val="TableRowNormal"/>
              <w:spacing w:before="0" w:after="0" w:line="240" w:lineRule="auto"/>
              <w:jc w:val="left"/>
              <w:rPr>
                <w:rFonts w:cstheme="minorHAnsi"/>
              </w:rPr>
            </w:pPr>
            <w:r w:rsidRPr="002C7E2F">
              <w:rPr>
                <w:rFonts w:cstheme="minorHAnsi"/>
              </w:rPr>
              <w:t>Aged care assessment</w:t>
            </w:r>
          </w:p>
        </w:tc>
      </w:tr>
      <w:tr w:rsidR="0000494C" w:rsidRPr="004537EA" w:rsidTr="0000494C">
        <w:tc>
          <w:tcPr>
            <w:tcW w:w="5000" w:type="pct"/>
            <w:vAlign w:val="bottom"/>
          </w:tcPr>
          <w:p w:rsidR="0000494C" w:rsidRPr="004537EA" w:rsidRDefault="002C7E2F" w:rsidP="0000494C">
            <w:pPr>
              <w:pStyle w:val="TableRowNormal"/>
              <w:spacing w:before="0" w:after="0" w:line="240" w:lineRule="auto"/>
              <w:jc w:val="left"/>
              <w:rPr>
                <w:rFonts w:cstheme="minorHAnsi"/>
              </w:rPr>
            </w:pPr>
            <w:r w:rsidRPr="002C7E2F">
              <w:rPr>
                <w:rFonts w:cstheme="minorHAnsi"/>
              </w:rPr>
              <w:t>Certain concessions for pensioners</w:t>
            </w:r>
          </w:p>
        </w:tc>
      </w:tr>
      <w:tr w:rsidR="0000494C" w:rsidRPr="004537EA" w:rsidTr="0000494C">
        <w:tc>
          <w:tcPr>
            <w:tcW w:w="5000" w:type="pct"/>
            <w:vAlign w:val="bottom"/>
          </w:tcPr>
          <w:p w:rsidR="0000494C" w:rsidRPr="004537EA" w:rsidRDefault="002C7E2F" w:rsidP="0000494C">
            <w:pPr>
              <w:pStyle w:val="TableRowNormal"/>
              <w:spacing w:before="0" w:after="0" w:line="240" w:lineRule="auto"/>
              <w:jc w:val="left"/>
              <w:rPr>
                <w:rFonts w:cstheme="minorHAnsi"/>
              </w:rPr>
            </w:pPr>
            <w:r w:rsidRPr="002C7E2F">
              <w:rPr>
                <w:rFonts w:cstheme="minorHAnsi"/>
              </w:rPr>
              <w:t>National reciprocal transport concessions</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Home and community care – services for veterans</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Social and community services - Queensland pay equity regulation - back pay</w:t>
            </w:r>
          </w:p>
        </w:tc>
      </w:tr>
      <w:tr w:rsidR="002C7E2F" w:rsidRPr="004537EA" w:rsidTr="0000494C">
        <w:tc>
          <w:tcPr>
            <w:tcW w:w="5000" w:type="pct"/>
            <w:vAlign w:val="bottom"/>
          </w:tcPr>
          <w:p w:rsidR="002C7E2F" w:rsidRPr="002C7E2F" w:rsidRDefault="002C7E2F" w:rsidP="0000494C">
            <w:pPr>
              <w:pStyle w:val="TableRowNormal"/>
              <w:spacing w:before="0" w:after="0" w:line="240" w:lineRule="auto"/>
              <w:jc w:val="left"/>
              <w:rPr>
                <w:rFonts w:cstheme="minorHAnsi"/>
                <w:b/>
              </w:rPr>
            </w:pPr>
            <w:r>
              <w:rPr>
                <w:rFonts w:cstheme="minorHAnsi"/>
                <w:b/>
              </w:rPr>
              <w:t>Affordable Housing</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Building better regional cities</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East Kimberley development package – social and transitional housing projects</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First home owners boost</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Homelessness</w:t>
            </w:r>
          </w:p>
        </w:tc>
      </w:tr>
      <w:tr w:rsidR="002C7E2F" w:rsidRPr="004537EA" w:rsidTr="0000494C">
        <w:tc>
          <w:tcPr>
            <w:tcW w:w="5000" w:type="pct"/>
            <w:vAlign w:val="bottom"/>
          </w:tcPr>
          <w:p w:rsidR="002C7E2F" w:rsidRPr="004537EA" w:rsidRDefault="002C7E2F" w:rsidP="002C7E2F">
            <w:pPr>
              <w:pStyle w:val="TableRowNormal"/>
              <w:spacing w:before="0" w:after="0" w:line="240" w:lineRule="auto"/>
              <w:jc w:val="left"/>
              <w:rPr>
                <w:rFonts w:cstheme="minorHAnsi"/>
              </w:rPr>
            </w:pPr>
            <w:r w:rsidRPr="002C7E2F">
              <w:rPr>
                <w:rFonts w:cstheme="minorHAnsi"/>
              </w:rPr>
              <w:t>Nation building and jobs plan – social housing</w:t>
            </w:r>
          </w:p>
        </w:tc>
      </w:tr>
      <w:tr w:rsidR="002C7E2F" w:rsidRPr="004537EA" w:rsidTr="0000494C">
        <w:tc>
          <w:tcPr>
            <w:tcW w:w="5000" w:type="pct"/>
            <w:vAlign w:val="bottom"/>
          </w:tcPr>
          <w:p w:rsidR="002C7E2F" w:rsidRPr="002C7E2F" w:rsidRDefault="002C7E2F" w:rsidP="0000494C">
            <w:pPr>
              <w:pStyle w:val="TableRowNormal"/>
              <w:spacing w:before="0" w:after="0" w:line="240" w:lineRule="auto"/>
              <w:jc w:val="left"/>
              <w:rPr>
                <w:rFonts w:cstheme="minorHAnsi"/>
                <w:b/>
              </w:rPr>
            </w:pPr>
            <w:r>
              <w:rPr>
                <w:rFonts w:cstheme="minorHAnsi"/>
                <w:b/>
              </w:rPr>
              <w:t>Infrastructure</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ABT Railway</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Adelaide oval redevelopment and precinct work</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Centenary of Canberra 2013 –</w:t>
            </w:r>
            <w:r>
              <w:rPr>
                <w:rFonts w:cstheme="minorHAnsi"/>
              </w:rPr>
              <w:t xml:space="preserve"> A gift to the national capital</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Cloncurry community precinct</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Community infrastructure grants – Glenbrook precinct upgrade</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East Kimberley development package</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Infrastructure Investment programme (Nation building program)</w:t>
            </w:r>
            <w:r>
              <w:rPr>
                <w:rFonts w:cstheme="minorHAnsi"/>
              </w:rPr>
              <w:t xml:space="preserve"> – Improving local roads</w:t>
            </w:r>
          </w:p>
        </w:tc>
      </w:tr>
      <w:tr w:rsidR="002C7E2F" w:rsidRPr="004537EA" w:rsidTr="0000494C">
        <w:tc>
          <w:tcPr>
            <w:tcW w:w="5000" w:type="pct"/>
            <w:vAlign w:val="bottom"/>
          </w:tcPr>
          <w:p w:rsidR="002C7E2F" w:rsidRPr="004537EA" w:rsidRDefault="002C7E2F" w:rsidP="002C7E2F">
            <w:pPr>
              <w:pStyle w:val="TableRowNormal"/>
              <w:spacing w:before="0" w:after="0" w:line="240" w:lineRule="auto"/>
              <w:jc w:val="left"/>
              <w:rPr>
                <w:rFonts w:cstheme="minorHAnsi"/>
              </w:rPr>
            </w:pPr>
            <w:r w:rsidRPr="002C7E2F">
              <w:rPr>
                <w:rFonts w:cstheme="minorHAnsi"/>
              </w:rPr>
              <w:t>Infrastructure Investment programme (Nation building program)</w:t>
            </w:r>
            <w:r>
              <w:rPr>
                <w:rFonts w:cstheme="minorHAnsi"/>
              </w:rPr>
              <w:t xml:space="preserve"> – Off-network projects (supplementary)</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King George V sports and community precinct</w:t>
            </w:r>
          </w:p>
        </w:tc>
      </w:tr>
      <w:tr w:rsidR="002C7E2F" w:rsidRPr="004537EA" w:rsidTr="0000494C">
        <w:tc>
          <w:tcPr>
            <w:tcW w:w="5000" w:type="pct"/>
            <w:vAlign w:val="bottom"/>
          </w:tcPr>
          <w:p w:rsidR="002C7E2F" w:rsidRPr="004537EA" w:rsidRDefault="002C7E2F" w:rsidP="0000494C">
            <w:pPr>
              <w:pStyle w:val="TableRowNormal"/>
              <w:spacing w:before="0" w:after="0" w:line="240" w:lineRule="auto"/>
              <w:jc w:val="left"/>
              <w:rPr>
                <w:rFonts w:cstheme="minorHAnsi"/>
              </w:rPr>
            </w:pPr>
            <w:r w:rsidRPr="002C7E2F">
              <w:rPr>
                <w:rFonts w:cstheme="minorHAnsi"/>
              </w:rPr>
              <w:t>Local Government and Regional Development — Infrastructure employment projects</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Macquarie Point</w:t>
            </w:r>
            <w:r>
              <w:rPr>
                <w:rFonts w:cstheme="minorHAnsi"/>
              </w:rPr>
              <w:t xml:space="preserve"> Railyards precinct remediation</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Managed motorways</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Manuka oval lighting upgrade</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Mission beach safe anchorage</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National transport regulator reforms</w:t>
            </w:r>
            <w:r>
              <w:rPr>
                <w:rFonts w:cstheme="minorHAnsi"/>
              </w:rPr>
              <w:t xml:space="preserve"> - </w:t>
            </w:r>
            <w:r w:rsidRPr="00037E3F">
              <w:rPr>
                <w:rFonts w:cstheme="minorHAnsi"/>
              </w:rPr>
              <w:t>Transitional assistance</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National transport regulator reforms</w:t>
            </w:r>
            <w:r>
              <w:rPr>
                <w:rFonts w:cstheme="minorHAnsi"/>
              </w:rPr>
              <w:t xml:space="preserve"> - </w:t>
            </w:r>
            <w:r w:rsidRPr="00037E3F">
              <w:rPr>
                <w:rFonts w:cstheme="minorHAnsi"/>
              </w:rPr>
              <w:t>National heavy vehicle regulator</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National transport regulator reforms</w:t>
            </w:r>
            <w:r>
              <w:rPr>
                <w:rFonts w:cstheme="minorHAnsi"/>
              </w:rPr>
              <w:t xml:space="preserve"> - </w:t>
            </w:r>
            <w:r w:rsidRPr="00037E3F">
              <w:rPr>
                <w:rFonts w:cstheme="minorHAnsi"/>
              </w:rPr>
              <w:t>National rail safety regulator</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North Penrith Thornton Park Car Park</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Regional and Local Community Infrastructure Program</w:t>
            </w:r>
          </w:p>
        </w:tc>
      </w:tr>
      <w:tr w:rsidR="002C7E2F" w:rsidRPr="004537EA" w:rsidTr="0000494C">
        <w:tc>
          <w:tcPr>
            <w:tcW w:w="5000" w:type="pct"/>
            <w:vAlign w:val="bottom"/>
          </w:tcPr>
          <w:p w:rsidR="002C7E2F" w:rsidRPr="004537EA" w:rsidRDefault="00037E3F" w:rsidP="00037E3F">
            <w:pPr>
              <w:pStyle w:val="TableRowNormal"/>
              <w:spacing w:after="0" w:line="240" w:lineRule="auto"/>
              <w:jc w:val="left"/>
              <w:rPr>
                <w:rFonts w:cstheme="minorHAnsi"/>
              </w:rPr>
            </w:pPr>
            <w:r w:rsidRPr="00037E3F">
              <w:rPr>
                <w:rFonts w:cstheme="minorHAnsi"/>
              </w:rPr>
              <w:t>Regional Infr</w:t>
            </w:r>
            <w:r>
              <w:rPr>
                <w:rFonts w:cstheme="minorHAnsi"/>
              </w:rPr>
              <w:t>astructure Fund Streams 1 and 2</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Sydney Cricket Ground redevelopment</w:t>
            </w:r>
          </w:p>
        </w:tc>
      </w:tr>
      <w:tr w:rsidR="00037E3F" w:rsidRPr="004537EA" w:rsidTr="0000494C">
        <w:tc>
          <w:tcPr>
            <w:tcW w:w="5000" w:type="pct"/>
            <w:vAlign w:val="bottom"/>
          </w:tcPr>
          <w:p w:rsidR="00037E3F" w:rsidRPr="00037E3F" w:rsidRDefault="00037E3F" w:rsidP="0000494C">
            <w:pPr>
              <w:pStyle w:val="TableRowNormal"/>
              <w:spacing w:before="0" w:after="0" w:line="240" w:lineRule="auto"/>
              <w:jc w:val="left"/>
              <w:rPr>
                <w:rFonts w:cstheme="minorHAnsi"/>
              </w:rPr>
            </w:pPr>
            <w:r w:rsidRPr="00037E3F">
              <w:rPr>
                <w:rFonts w:cstheme="minorHAnsi"/>
              </w:rPr>
              <w:t>Townsville Convention and Entertainment Centre</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Upgrade of Parramatta Stadium</w:t>
            </w:r>
          </w:p>
        </w:tc>
      </w:tr>
      <w:tr w:rsidR="00037E3F" w:rsidRPr="004537EA" w:rsidTr="0000494C">
        <w:tc>
          <w:tcPr>
            <w:tcW w:w="5000" w:type="pct"/>
            <w:vAlign w:val="bottom"/>
          </w:tcPr>
          <w:p w:rsidR="00037E3F" w:rsidRPr="00037E3F" w:rsidRDefault="00037E3F" w:rsidP="0000494C">
            <w:pPr>
              <w:pStyle w:val="TableRowNormal"/>
              <w:spacing w:before="0" w:after="0" w:line="240" w:lineRule="auto"/>
              <w:jc w:val="left"/>
              <w:rPr>
                <w:rFonts w:cstheme="minorHAnsi"/>
                <w:b/>
              </w:rPr>
            </w:pPr>
            <w:r>
              <w:rPr>
                <w:rFonts w:cstheme="minorHAnsi"/>
                <w:b/>
              </w:rPr>
              <w:t>Environment</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Assistance for water infrastructure and pest management in drought-affected areas</w:t>
            </w:r>
          </w:p>
        </w:tc>
      </w:tr>
      <w:tr w:rsidR="00037E3F" w:rsidRPr="004537EA" w:rsidTr="0000494C">
        <w:tc>
          <w:tcPr>
            <w:tcW w:w="5000" w:type="pct"/>
            <w:vAlign w:val="bottom"/>
          </w:tcPr>
          <w:p w:rsidR="00037E3F" w:rsidRPr="004537EA" w:rsidRDefault="00037E3F" w:rsidP="00037E3F">
            <w:pPr>
              <w:pStyle w:val="TableRowNormal"/>
              <w:spacing w:before="0" w:after="0" w:line="240" w:lineRule="auto"/>
              <w:jc w:val="left"/>
              <w:rPr>
                <w:rFonts w:cstheme="minorHAnsi"/>
              </w:rPr>
            </w:pPr>
            <w:r>
              <w:rPr>
                <w:rFonts w:cstheme="minorHAnsi"/>
              </w:rPr>
              <w:t xml:space="preserve">Assistance </w:t>
            </w:r>
            <w:r w:rsidRPr="00037E3F">
              <w:rPr>
                <w:rFonts w:cstheme="minorHAnsi"/>
              </w:rPr>
              <w:t>to farm businesses for water-related infrastructure</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Pr>
                <w:rFonts w:cstheme="minorHAnsi"/>
              </w:rPr>
              <w:t>Caring for our Country</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Coal seam gas and large coal mining development</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Natural disaster recovery and rebuilding – donation to Queensland flood appeal</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Northern Australia sustainable futures</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Exotic disease preparedness</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Sustainable Australia – sustainable regional development</w:t>
            </w:r>
          </w:p>
        </w:tc>
      </w:tr>
      <w:tr w:rsidR="00037E3F" w:rsidRPr="004537EA" w:rsidTr="00317F9A">
        <w:tc>
          <w:tcPr>
            <w:tcW w:w="5000" w:type="pct"/>
            <w:vAlign w:val="bottom"/>
          </w:tcPr>
          <w:p w:rsidR="00037E3F" w:rsidRPr="00037E3F" w:rsidRDefault="00037E3F" w:rsidP="0000494C">
            <w:pPr>
              <w:pStyle w:val="TableRowNormal"/>
              <w:spacing w:before="0" w:after="0" w:line="240" w:lineRule="auto"/>
              <w:jc w:val="left"/>
              <w:rPr>
                <w:rFonts w:cstheme="minorHAnsi"/>
                <w:b/>
              </w:rPr>
            </w:pPr>
            <w:r>
              <w:rPr>
                <w:rFonts w:cstheme="minorHAnsi"/>
                <w:b/>
              </w:rPr>
              <w:t>Contingent payments</w:t>
            </w:r>
          </w:p>
        </w:tc>
      </w:tr>
      <w:tr w:rsidR="00037E3F" w:rsidRPr="004537EA" w:rsidTr="00317F9A">
        <w:tc>
          <w:tcPr>
            <w:tcW w:w="5000" w:type="pct"/>
            <w:tcBorders>
              <w:bottom w:val="single" w:sz="4" w:space="0" w:color="auto"/>
            </w:tcBorders>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Exceptional circumstances assistance</w:t>
            </w:r>
          </w:p>
        </w:tc>
      </w:tr>
    </w:tbl>
    <w:p w:rsidR="00317F9A" w:rsidRDefault="00317F9A"/>
    <w:p w:rsidR="00317F9A" w:rsidRDefault="00317F9A"/>
    <w:p w:rsidR="00317F9A" w:rsidRDefault="00317F9A" w:rsidP="00317F9A">
      <w:pPr>
        <w:pStyle w:val="CGCTableHeading"/>
      </w:pPr>
      <w:r>
        <w:lastRenderedPageBreak/>
        <w:t>Table A-1</w:t>
      </w:r>
      <w:r>
        <w:tab/>
        <w:t>List of payments not paid in 2015-16 (cont’d)</w:t>
      </w:r>
    </w:p>
    <w:tbl>
      <w:tblPr>
        <w:tblW w:w="5000" w:type="pct"/>
        <w:tblCellMar>
          <w:left w:w="85" w:type="dxa"/>
          <w:right w:w="85" w:type="dxa"/>
        </w:tblCellMar>
        <w:tblLook w:val="0000" w:firstRow="0" w:lastRow="0" w:firstColumn="0" w:lastColumn="0" w:noHBand="0" w:noVBand="0"/>
      </w:tblPr>
      <w:tblGrid>
        <w:gridCol w:w="9128"/>
      </w:tblGrid>
      <w:tr w:rsidR="00317F9A" w:rsidRPr="00317F9A" w:rsidTr="00317F9A">
        <w:tc>
          <w:tcPr>
            <w:tcW w:w="5000" w:type="pct"/>
            <w:tcBorders>
              <w:top w:val="single" w:sz="4" w:space="0" w:color="auto"/>
              <w:bottom w:val="single" w:sz="4" w:space="0" w:color="auto"/>
            </w:tcBorders>
            <w:vAlign w:val="bottom"/>
          </w:tcPr>
          <w:p w:rsidR="00317F9A" w:rsidRPr="00317F9A" w:rsidRDefault="00317F9A" w:rsidP="00317F9A">
            <w:pPr>
              <w:pStyle w:val="TableRowNormal"/>
              <w:spacing w:before="0" w:after="0" w:line="240" w:lineRule="auto"/>
              <w:jc w:val="left"/>
              <w:rPr>
                <w:rFonts w:cstheme="minorHAnsi"/>
              </w:rPr>
            </w:pPr>
            <w:r w:rsidRPr="00317F9A">
              <w:rPr>
                <w:rFonts w:cstheme="minorHAnsi"/>
              </w:rPr>
              <w:t>Payment</w:t>
            </w:r>
          </w:p>
        </w:tc>
      </w:tr>
      <w:tr w:rsidR="00037E3F" w:rsidRPr="004537EA" w:rsidTr="00317F9A">
        <w:tc>
          <w:tcPr>
            <w:tcW w:w="5000" w:type="pct"/>
            <w:tcBorders>
              <w:top w:val="single" w:sz="4" w:space="0" w:color="auto"/>
            </w:tcBorders>
            <w:vAlign w:val="bottom"/>
          </w:tcPr>
          <w:p w:rsidR="00037E3F" w:rsidRPr="00037E3F" w:rsidRDefault="00037E3F" w:rsidP="0000494C">
            <w:pPr>
              <w:pStyle w:val="TableRowNormal"/>
              <w:spacing w:before="0" w:after="0" w:line="240" w:lineRule="auto"/>
              <w:jc w:val="left"/>
              <w:rPr>
                <w:rFonts w:cstheme="minorHAnsi"/>
                <w:b/>
              </w:rPr>
            </w:pPr>
            <w:r>
              <w:rPr>
                <w:rFonts w:cstheme="minorHAnsi"/>
                <w:b/>
              </w:rPr>
              <w:t>Other State services</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2014 G20 leaders' summit security</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2018 Gold Coast Commonwealth Games</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Australian Capital Territory emergency services</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Centenary of Canberra 2013 – joint national program</w:t>
            </w:r>
          </w:p>
        </w:tc>
      </w:tr>
      <w:tr w:rsidR="002C7E2F" w:rsidRPr="004537EA" w:rsidTr="0000494C">
        <w:tc>
          <w:tcPr>
            <w:tcW w:w="5000" w:type="pct"/>
            <w:vAlign w:val="bottom"/>
          </w:tcPr>
          <w:p w:rsidR="002C7E2F" w:rsidRPr="004537EA" w:rsidRDefault="00037E3F" w:rsidP="0000494C">
            <w:pPr>
              <w:pStyle w:val="TableRowNormal"/>
              <w:spacing w:before="0" w:after="0" w:line="240" w:lineRule="auto"/>
              <w:jc w:val="left"/>
              <w:rPr>
                <w:rFonts w:cstheme="minorHAnsi"/>
              </w:rPr>
            </w:pPr>
            <w:r w:rsidRPr="00037E3F">
              <w:rPr>
                <w:rFonts w:cstheme="minorHAnsi"/>
              </w:rPr>
              <w:t>Commonwealth Heads of Government Meeting 2011</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Digital regions initiative</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Supplementary road funding to South Australia for local roads</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Local Government and Regional Development – Local government reform fund</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Location-based mobile telephone emergency warning capability</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Pilot of drought refor</w:t>
            </w:r>
            <w:r>
              <w:rPr>
                <w:rFonts w:cstheme="minorHAnsi"/>
              </w:rPr>
              <w:t>m measures in Western Australia</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Protection and promotion of the Melbourne Royal Exhibition Building world heritage property</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Seamless national economy</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Standard business reporting program</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Temporary assistance for Tasmania exporters</w:t>
            </w:r>
          </w:p>
        </w:tc>
      </w:tr>
      <w:tr w:rsidR="00037E3F" w:rsidRPr="004537EA" w:rsidTr="0000494C">
        <w:tc>
          <w:tcPr>
            <w:tcW w:w="5000" w:type="pct"/>
            <w:vAlign w:val="bottom"/>
          </w:tcPr>
          <w:p w:rsidR="00037E3F" w:rsidRPr="004537EA" w:rsidRDefault="00037E3F" w:rsidP="0000494C">
            <w:pPr>
              <w:pStyle w:val="TableRowNormal"/>
              <w:spacing w:before="0" w:after="0" w:line="240" w:lineRule="auto"/>
              <w:jc w:val="left"/>
              <w:rPr>
                <w:rFonts w:cstheme="minorHAnsi"/>
              </w:rPr>
            </w:pPr>
            <w:r w:rsidRPr="00037E3F">
              <w:rPr>
                <w:rFonts w:cstheme="minorHAnsi"/>
              </w:rPr>
              <w:t>Victorian local hospital networks</w:t>
            </w:r>
          </w:p>
        </w:tc>
      </w:tr>
      <w:tr w:rsidR="0000494C" w:rsidRPr="004537EA" w:rsidTr="0000494C">
        <w:tc>
          <w:tcPr>
            <w:tcW w:w="5000" w:type="pct"/>
            <w:tcBorders>
              <w:bottom w:val="single" w:sz="6" w:space="0" w:color="auto"/>
            </w:tcBorders>
            <w:vAlign w:val="bottom"/>
          </w:tcPr>
          <w:p w:rsidR="0000494C" w:rsidRPr="004537EA" w:rsidRDefault="00037E3F" w:rsidP="0000494C">
            <w:pPr>
              <w:pStyle w:val="TableRowNormal"/>
              <w:spacing w:before="0" w:after="0" w:line="240" w:lineRule="auto"/>
              <w:jc w:val="left"/>
              <w:rPr>
                <w:rFonts w:cstheme="minorHAnsi"/>
              </w:rPr>
            </w:pPr>
            <w:r w:rsidRPr="00037E3F">
              <w:rPr>
                <w:rFonts w:cstheme="minorHAnsi"/>
              </w:rPr>
              <w:t>World Sailing Championships</w:t>
            </w:r>
          </w:p>
        </w:tc>
      </w:tr>
    </w:tbl>
    <w:p w:rsidR="0000494C" w:rsidRDefault="0000494C" w:rsidP="00564B80">
      <w:pPr>
        <w:pStyle w:val="CGCTableFootnote"/>
      </w:pPr>
      <w:r>
        <w:t>Source:</w:t>
      </w:r>
      <w:r>
        <w:tab/>
      </w:r>
      <w:r w:rsidR="00AD1E62" w:rsidRPr="00FD40BA">
        <w:rPr>
          <w:i/>
        </w:rPr>
        <w:t>Federal Financial Relations</w:t>
      </w:r>
      <w:r w:rsidR="00AD1E62">
        <w:t xml:space="preserve"> </w:t>
      </w:r>
      <w:r w:rsidR="00AD1E62" w:rsidRPr="00BC07AC">
        <w:rPr>
          <w:i/>
        </w:rPr>
        <w:t>Budget Paper No. 3</w:t>
      </w:r>
      <w:r w:rsidR="00AD1E62">
        <w:rPr>
          <w:i/>
        </w:rPr>
        <w:t>, 2014-15.</w:t>
      </w:r>
    </w:p>
    <w:p w:rsidR="0000494C" w:rsidRDefault="0000494C" w:rsidP="00564B80">
      <w:pPr>
        <w:pStyle w:val="Single"/>
      </w:pPr>
    </w:p>
    <w:p w:rsidR="0000494C" w:rsidRPr="000F6176" w:rsidRDefault="0000494C" w:rsidP="000F6176">
      <w:pPr>
        <w:pStyle w:val="CGCNumberedPara"/>
        <w:numPr>
          <w:ilvl w:val="0"/>
          <w:numId w:val="0"/>
        </w:numPr>
      </w:pPr>
    </w:p>
    <w:p w:rsidR="0000494C" w:rsidRDefault="0000494C" w:rsidP="00203838"/>
    <w:p w:rsidR="0000494C" w:rsidRDefault="0000494C" w:rsidP="00203838">
      <w:pPr>
        <w:sectPr w:rsidR="0000494C" w:rsidSect="00203838">
          <w:footerReference w:type="default" r:id="rId23"/>
          <w:headerReference w:type="first" r:id="rId24"/>
          <w:footerReference w:type="first" r:id="rId25"/>
          <w:pgSz w:w="11906" w:h="16838" w:code="9"/>
          <w:pgMar w:top="1701" w:right="1474" w:bottom="1701" w:left="1474" w:header="709" w:footer="709" w:gutter="0"/>
          <w:cols w:space="708"/>
          <w:titlePg/>
          <w:docGrid w:linePitch="360"/>
        </w:sectPr>
      </w:pPr>
    </w:p>
    <w:p w:rsidR="007F10F1" w:rsidRPr="00BC59D2" w:rsidRDefault="007F10F1" w:rsidP="007F10F1">
      <w:pPr>
        <w:pStyle w:val="CGCTableHeading"/>
        <w:rPr>
          <w:sz w:val="20"/>
        </w:rPr>
      </w:pPr>
      <w:r w:rsidRPr="001B45C5">
        <w:rPr>
          <w:b w:val="0"/>
          <w:noProof/>
          <w:sz w:val="20"/>
          <w:lang w:eastAsia="en-AU"/>
        </w:rPr>
        <w:lastRenderedPageBreak/>
        <mc:AlternateContent>
          <mc:Choice Requires="wps">
            <w:drawing>
              <wp:anchor distT="0" distB="0" distL="114300" distR="114300" simplePos="0" relativeHeight="251660288" behindDoc="0" locked="0" layoutInCell="1" allowOverlap="1" wp14:anchorId="45893EA9" wp14:editId="3D35A66C">
                <wp:simplePos x="0" y="0"/>
                <wp:positionH relativeFrom="column">
                  <wp:posOffset>-631825</wp:posOffset>
                </wp:positionH>
                <wp:positionV relativeFrom="paragraph">
                  <wp:posOffset>187960</wp:posOffset>
                </wp:positionV>
                <wp:extent cx="430530" cy="5648325"/>
                <wp:effectExtent l="0" t="0" r="762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564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9EC" w:rsidRPr="004C6DAD" w:rsidRDefault="00EA09EC" w:rsidP="007F10F1">
                            <w:pPr>
                              <w:spacing w:after="0" w:line="240" w:lineRule="auto"/>
                              <w:rPr>
                                <w:sz w:val="20"/>
                                <w:szCs w:val="20"/>
                              </w:rPr>
                            </w:pPr>
                            <w:r w:rsidRPr="007B2893">
                              <w:rPr>
                                <w:szCs w:val="24"/>
                              </w:rPr>
                              <w:t>Attachment B</w:t>
                            </w:r>
                            <w:r w:rsidRPr="004C6DAD">
                              <w:rPr>
                                <w:sz w:val="20"/>
                                <w:szCs w:val="20"/>
                              </w:rPr>
                              <w:tab/>
                            </w:r>
                            <w:r w:rsidRPr="004C6DAD">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9.75pt;margin-top:14.8pt;width:33.9pt;height:4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" stroked="f">
                <v:textbox style="layout-flow:vertical">
                  <w:txbxContent>
                    <w:p w:rsidR="00EA09EC" w:rsidRPr="004C6DAD" w:rsidRDefault="00EA09EC" w:rsidP="007F10F1">
                      <w:pPr>
                        <w:spacing w:after="0" w:line="240" w:lineRule="auto"/>
                        <w:rPr>
                          <w:sz w:val="20"/>
                          <w:szCs w:val="20"/>
                        </w:rPr>
                      </w:pPr>
                      <w:r w:rsidRPr="007B2893">
                        <w:rPr>
                          <w:szCs w:val="24"/>
                        </w:rPr>
                        <w:t>Attachment B</w:t>
                      </w:r>
                      <w:r w:rsidRPr="004C6DAD">
                        <w:rPr>
                          <w:sz w:val="20"/>
                          <w:szCs w:val="20"/>
                        </w:rPr>
                        <w:tab/>
                      </w:r>
                      <w:r w:rsidRPr="004C6DAD">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v:textbox>
              </v:shape>
            </w:pict>
          </mc:Fallback>
        </mc:AlternateContent>
      </w:r>
      <w:r w:rsidR="007B2893">
        <w:rPr>
          <w:sz w:val="20"/>
        </w:rPr>
        <w:t>Table B</w:t>
      </w:r>
      <w:r>
        <w:rPr>
          <w:sz w:val="20"/>
        </w:rPr>
        <w:t>-1</w:t>
      </w:r>
      <w:r>
        <w:rPr>
          <w:sz w:val="20"/>
        </w:rPr>
        <w:tab/>
        <w:t>P</w:t>
      </w:r>
      <w:r w:rsidRPr="00BC59D2">
        <w:rPr>
          <w:sz w:val="20"/>
        </w:rPr>
        <w:t xml:space="preserve">roposed treatment of Commonwealth payments commenced in </w:t>
      </w:r>
      <w:r>
        <w:rPr>
          <w:sz w:val="20"/>
        </w:rPr>
        <w:t>2013-14</w:t>
      </w:r>
      <w:r w:rsidR="00AD1E62">
        <w:rPr>
          <w:sz w:val="20"/>
        </w:rPr>
        <w:t xml:space="preserve">, </w:t>
      </w:r>
      <w:r w:rsidRPr="00BC59D2">
        <w:rPr>
          <w:i/>
          <w:sz w:val="20"/>
        </w:rPr>
        <w:t xml:space="preserve">Federal </w:t>
      </w:r>
      <w:r w:rsidR="00AD1E62">
        <w:rPr>
          <w:i/>
          <w:sz w:val="20"/>
        </w:rPr>
        <w:t xml:space="preserve">Financial </w:t>
      </w:r>
      <w:r w:rsidRPr="00BC59D2">
        <w:rPr>
          <w:i/>
          <w:sz w:val="20"/>
        </w:rPr>
        <w:t>Relations, Budget Paper No. 3, 201</w:t>
      </w:r>
      <w:r>
        <w:rPr>
          <w:i/>
          <w:sz w:val="20"/>
        </w:rPr>
        <w:t>4-15</w:t>
      </w:r>
    </w:p>
    <w:tbl>
      <w:tblPr>
        <w:tblStyle w:val="TableGrid"/>
        <w:tblW w:w="5000" w:type="pct"/>
        <w:tblLook w:val="04A0" w:firstRow="1" w:lastRow="0" w:firstColumn="1" w:lastColumn="0" w:noHBand="0" w:noVBand="1"/>
      </w:tblPr>
      <w:tblGrid>
        <w:gridCol w:w="3628"/>
        <w:gridCol w:w="5648"/>
        <w:gridCol w:w="900"/>
        <w:gridCol w:w="1162"/>
        <w:gridCol w:w="2314"/>
      </w:tblGrid>
      <w:tr w:rsidR="00DE5229" w:rsidRPr="00194C79" w:rsidTr="00F44A19">
        <w:tc>
          <w:tcPr>
            <w:tcW w:w="1336" w:type="pct"/>
            <w:vAlign w:val="bottom"/>
          </w:tcPr>
          <w:p w:rsidR="007F10F1" w:rsidRPr="00194C79" w:rsidRDefault="007F10F1" w:rsidP="003A52E3">
            <w:pPr>
              <w:spacing w:before="40" w:after="40"/>
              <w:rPr>
                <w:b/>
                <w:sz w:val="20"/>
                <w:szCs w:val="20"/>
              </w:rPr>
            </w:pPr>
            <w:r w:rsidRPr="00194C79">
              <w:rPr>
                <w:b/>
                <w:sz w:val="20"/>
                <w:szCs w:val="20"/>
              </w:rPr>
              <w:t>Commonwealth payment</w:t>
            </w:r>
          </w:p>
        </w:tc>
        <w:tc>
          <w:tcPr>
            <w:tcW w:w="2076" w:type="pct"/>
            <w:vAlign w:val="bottom"/>
          </w:tcPr>
          <w:p w:rsidR="007F10F1" w:rsidRDefault="007F10F1" w:rsidP="003A52E3">
            <w:pPr>
              <w:spacing w:before="40" w:after="40"/>
              <w:rPr>
                <w:b/>
                <w:sz w:val="20"/>
                <w:szCs w:val="20"/>
              </w:rPr>
            </w:pPr>
            <w:r>
              <w:rPr>
                <w:b/>
                <w:sz w:val="20"/>
                <w:szCs w:val="20"/>
              </w:rPr>
              <w:t>Description</w:t>
            </w:r>
          </w:p>
        </w:tc>
        <w:tc>
          <w:tcPr>
            <w:tcW w:w="337" w:type="pct"/>
            <w:vAlign w:val="bottom"/>
          </w:tcPr>
          <w:p w:rsidR="007F10F1" w:rsidRPr="00194C79" w:rsidRDefault="007F10F1" w:rsidP="00BD4540">
            <w:pPr>
              <w:spacing w:before="40" w:after="40"/>
              <w:jc w:val="right"/>
              <w:rPr>
                <w:b/>
                <w:sz w:val="20"/>
                <w:szCs w:val="20"/>
              </w:rPr>
            </w:pPr>
            <w:r>
              <w:rPr>
                <w:b/>
                <w:sz w:val="20"/>
                <w:szCs w:val="20"/>
              </w:rPr>
              <w:t>2013</w:t>
            </w:r>
            <w:r w:rsidR="00BD4540">
              <w:rPr>
                <w:b/>
                <w:sz w:val="20"/>
                <w:szCs w:val="20"/>
              </w:rPr>
              <w:t>-14</w:t>
            </w:r>
            <w:r>
              <w:rPr>
                <w:b/>
                <w:sz w:val="20"/>
                <w:szCs w:val="20"/>
              </w:rPr>
              <w:t xml:space="preserve"> $m</w:t>
            </w:r>
          </w:p>
        </w:tc>
        <w:tc>
          <w:tcPr>
            <w:tcW w:w="396" w:type="pct"/>
            <w:vAlign w:val="bottom"/>
          </w:tcPr>
          <w:p w:rsidR="007F10F1" w:rsidRPr="00194C79" w:rsidRDefault="007F10F1" w:rsidP="00F44A19">
            <w:pPr>
              <w:spacing w:before="40" w:after="40"/>
              <w:ind w:left="-30"/>
              <w:rPr>
                <w:b/>
                <w:sz w:val="20"/>
                <w:szCs w:val="20"/>
              </w:rPr>
            </w:pPr>
            <w:r w:rsidRPr="00194C79">
              <w:rPr>
                <w:b/>
                <w:sz w:val="20"/>
                <w:szCs w:val="20"/>
              </w:rPr>
              <w:t>Proposed treatment</w:t>
            </w:r>
          </w:p>
        </w:tc>
        <w:tc>
          <w:tcPr>
            <w:tcW w:w="855" w:type="pct"/>
            <w:tcBorders>
              <w:bottom w:val="single" w:sz="4" w:space="0" w:color="auto"/>
            </w:tcBorders>
            <w:vAlign w:val="bottom"/>
          </w:tcPr>
          <w:p w:rsidR="007F10F1" w:rsidRPr="00194C79" w:rsidRDefault="007F10F1" w:rsidP="003A52E3">
            <w:pPr>
              <w:spacing w:before="40" w:after="40"/>
              <w:rPr>
                <w:b/>
                <w:sz w:val="20"/>
                <w:szCs w:val="20"/>
              </w:rPr>
            </w:pPr>
            <w:r>
              <w:rPr>
                <w:b/>
                <w:sz w:val="20"/>
                <w:szCs w:val="20"/>
              </w:rPr>
              <w:t>Reason for No impact treatment</w:t>
            </w:r>
          </w:p>
        </w:tc>
      </w:tr>
      <w:tr w:rsidR="007F10F1" w:rsidRPr="00194C79" w:rsidTr="004C6DAD">
        <w:tc>
          <w:tcPr>
            <w:tcW w:w="5000" w:type="pct"/>
            <w:gridSpan w:val="5"/>
            <w:tcBorders>
              <w:bottom w:val="single" w:sz="4" w:space="0" w:color="auto"/>
            </w:tcBorders>
          </w:tcPr>
          <w:p w:rsidR="007F10F1" w:rsidRPr="00AB768F" w:rsidRDefault="007F10F1" w:rsidP="003A52E3">
            <w:pPr>
              <w:spacing w:before="40" w:after="40"/>
              <w:rPr>
                <w:b/>
                <w:sz w:val="20"/>
                <w:szCs w:val="20"/>
              </w:rPr>
            </w:pPr>
            <w:r>
              <w:rPr>
                <w:b/>
                <w:sz w:val="20"/>
                <w:szCs w:val="20"/>
              </w:rPr>
              <w:t>Health</w:t>
            </w:r>
          </w:p>
        </w:tc>
      </w:tr>
      <w:tr w:rsidR="00DE5229" w:rsidRPr="00194C79" w:rsidTr="00216C93">
        <w:tc>
          <w:tcPr>
            <w:tcW w:w="1336" w:type="pct"/>
            <w:tcBorders>
              <w:bottom w:val="single" w:sz="4" w:space="0" w:color="auto"/>
            </w:tcBorders>
          </w:tcPr>
          <w:p w:rsidR="007F10F1" w:rsidRDefault="007F10F1" w:rsidP="003A52E3">
            <w:pPr>
              <w:spacing w:before="40" w:after="40"/>
              <w:rPr>
                <w:sz w:val="20"/>
                <w:szCs w:val="20"/>
              </w:rPr>
            </w:pPr>
            <w:r>
              <w:rPr>
                <w:sz w:val="20"/>
                <w:szCs w:val="20"/>
              </w:rPr>
              <w:t xml:space="preserve">Supporting National Health Reform Arrangements  – </w:t>
            </w:r>
          </w:p>
          <w:p w:rsidR="007F10F1" w:rsidRPr="000F2278" w:rsidRDefault="007F10F1" w:rsidP="00216C93">
            <w:pPr>
              <w:pStyle w:val="ListParagraph"/>
              <w:numPr>
                <w:ilvl w:val="0"/>
                <w:numId w:val="25"/>
              </w:numPr>
              <w:tabs>
                <w:tab w:val="left" w:pos="1418"/>
                <w:tab w:val="left" w:pos="2268"/>
                <w:tab w:val="left" w:pos="2835"/>
              </w:tabs>
              <w:spacing w:before="40" w:after="40" w:line="240" w:lineRule="auto"/>
              <w:ind w:left="426" w:hanging="284"/>
              <w:rPr>
                <w:sz w:val="20"/>
                <w:szCs w:val="20"/>
              </w:rPr>
            </w:pPr>
            <w:r>
              <w:rPr>
                <w:sz w:val="20"/>
                <w:szCs w:val="20"/>
              </w:rPr>
              <w:t>Public hospital system – additional funding</w:t>
            </w:r>
          </w:p>
        </w:tc>
        <w:tc>
          <w:tcPr>
            <w:tcW w:w="2076" w:type="pct"/>
            <w:tcBorders>
              <w:bottom w:val="single" w:sz="4" w:space="0" w:color="auto"/>
            </w:tcBorders>
          </w:tcPr>
          <w:p w:rsidR="004C6DAD" w:rsidRDefault="004C6DAD" w:rsidP="003A52E3">
            <w:pPr>
              <w:spacing w:before="40" w:after="40"/>
              <w:rPr>
                <w:sz w:val="20"/>
                <w:szCs w:val="20"/>
              </w:rPr>
            </w:pPr>
            <w:r>
              <w:rPr>
                <w:sz w:val="20"/>
                <w:szCs w:val="20"/>
              </w:rPr>
              <w:t>Funding to offset downward adjustments in National Health Reform funding during 2013-14. This funding will increase certainty to Local Hospital Networks from these within-year adjustments.</w:t>
            </w:r>
          </w:p>
        </w:tc>
        <w:tc>
          <w:tcPr>
            <w:tcW w:w="337" w:type="pct"/>
            <w:tcBorders>
              <w:bottom w:val="single" w:sz="4" w:space="0" w:color="auto"/>
            </w:tcBorders>
          </w:tcPr>
          <w:p w:rsidR="007F10F1" w:rsidRDefault="00BD4540" w:rsidP="003A52E3">
            <w:pPr>
              <w:spacing w:before="40" w:after="40"/>
              <w:jc w:val="right"/>
              <w:rPr>
                <w:sz w:val="20"/>
                <w:szCs w:val="20"/>
              </w:rPr>
            </w:pPr>
            <w:r>
              <w:rPr>
                <w:sz w:val="20"/>
                <w:szCs w:val="20"/>
              </w:rPr>
              <w:t>170.5</w:t>
            </w:r>
          </w:p>
        </w:tc>
        <w:tc>
          <w:tcPr>
            <w:tcW w:w="396" w:type="pct"/>
            <w:tcBorders>
              <w:bottom w:val="single" w:sz="4" w:space="0" w:color="auto"/>
            </w:tcBorders>
          </w:tcPr>
          <w:p w:rsidR="004C6DAD" w:rsidRDefault="004C6DAD" w:rsidP="003A52E3">
            <w:pPr>
              <w:spacing w:before="40" w:after="40"/>
              <w:rPr>
                <w:sz w:val="20"/>
                <w:szCs w:val="20"/>
              </w:rPr>
            </w:pPr>
            <w:r>
              <w:rPr>
                <w:sz w:val="20"/>
                <w:szCs w:val="20"/>
              </w:rPr>
              <w:t>Impact</w:t>
            </w:r>
          </w:p>
        </w:tc>
        <w:tc>
          <w:tcPr>
            <w:tcW w:w="855" w:type="pct"/>
            <w:tcBorders>
              <w:bottom w:val="single" w:sz="4" w:space="0" w:color="auto"/>
            </w:tcBorders>
          </w:tcPr>
          <w:p w:rsidR="007F10F1" w:rsidRPr="00194C79" w:rsidRDefault="002310FA" w:rsidP="003A52E3">
            <w:pPr>
              <w:spacing w:before="40" w:after="40"/>
              <w:rPr>
                <w:sz w:val="20"/>
                <w:szCs w:val="20"/>
              </w:rPr>
            </w:pPr>
            <w:r>
              <w:rPr>
                <w:sz w:val="20"/>
                <w:szCs w:val="20"/>
              </w:rPr>
              <w:t xml:space="preserve"> </w:t>
            </w:r>
          </w:p>
        </w:tc>
      </w:tr>
      <w:tr w:rsidR="00DE5229" w:rsidRPr="005365DA" w:rsidTr="00216C93">
        <w:tc>
          <w:tcPr>
            <w:tcW w:w="1336" w:type="pct"/>
            <w:tcBorders>
              <w:top w:val="single" w:sz="4" w:space="0" w:color="auto"/>
              <w:bottom w:val="single" w:sz="4" w:space="0" w:color="auto"/>
            </w:tcBorders>
          </w:tcPr>
          <w:p w:rsidR="007A38AB" w:rsidRDefault="007A38AB" w:rsidP="007A38AB">
            <w:pPr>
              <w:spacing w:before="40" w:after="40"/>
              <w:rPr>
                <w:sz w:val="20"/>
                <w:szCs w:val="20"/>
              </w:rPr>
            </w:pPr>
            <w:r>
              <w:rPr>
                <w:sz w:val="20"/>
                <w:szCs w:val="20"/>
              </w:rPr>
              <w:t xml:space="preserve">Health Services – </w:t>
            </w:r>
          </w:p>
          <w:p w:rsidR="007A38AB" w:rsidRDefault="007A38AB" w:rsidP="007A38AB">
            <w:pPr>
              <w:pStyle w:val="ListParagraph"/>
              <w:numPr>
                <w:ilvl w:val="0"/>
                <w:numId w:val="25"/>
              </w:numPr>
              <w:tabs>
                <w:tab w:val="left" w:pos="1418"/>
                <w:tab w:val="left" w:pos="2268"/>
                <w:tab w:val="left" w:pos="2835"/>
              </w:tabs>
              <w:spacing w:before="40" w:after="40" w:line="240" w:lineRule="auto"/>
              <w:ind w:left="426" w:hanging="284"/>
              <w:rPr>
                <w:sz w:val="20"/>
                <w:szCs w:val="20"/>
              </w:rPr>
            </w:pPr>
            <w:r>
              <w:rPr>
                <w:sz w:val="20"/>
                <w:szCs w:val="20"/>
              </w:rPr>
              <w:t>Expansion of the BreastScreen Australia Program</w:t>
            </w:r>
          </w:p>
        </w:tc>
        <w:tc>
          <w:tcPr>
            <w:tcW w:w="2076" w:type="pct"/>
            <w:tcBorders>
              <w:top w:val="single" w:sz="4" w:space="0" w:color="auto"/>
              <w:bottom w:val="single" w:sz="4" w:space="0" w:color="auto"/>
            </w:tcBorders>
          </w:tcPr>
          <w:p w:rsidR="00216C93" w:rsidRDefault="00216C93" w:rsidP="00216C93">
            <w:pPr>
              <w:spacing w:before="40"/>
              <w:rPr>
                <w:sz w:val="20"/>
                <w:szCs w:val="20"/>
              </w:rPr>
            </w:pPr>
            <w:r>
              <w:rPr>
                <w:sz w:val="20"/>
                <w:szCs w:val="20"/>
              </w:rPr>
              <w:t xml:space="preserve">Funding to improve the early detection of breast cancer by expanding the target age range of the BreastScreen Australia </w:t>
            </w:r>
            <w:r w:rsidR="00FD40BA">
              <w:rPr>
                <w:sz w:val="20"/>
                <w:szCs w:val="20"/>
              </w:rPr>
              <w:t>program</w:t>
            </w:r>
            <w:r>
              <w:rPr>
                <w:sz w:val="20"/>
                <w:szCs w:val="20"/>
              </w:rPr>
              <w:t xml:space="preserve"> from women 50 to 69 years of age to women 50 to 74 years of age. This builds on the existing BreastScreen Australia </w:t>
            </w:r>
            <w:r w:rsidR="00FD40BA">
              <w:rPr>
                <w:sz w:val="20"/>
                <w:szCs w:val="20"/>
              </w:rPr>
              <w:t>program</w:t>
            </w:r>
            <w:r>
              <w:rPr>
                <w:sz w:val="20"/>
                <w:szCs w:val="20"/>
              </w:rPr>
              <w:t>.</w:t>
            </w:r>
          </w:p>
        </w:tc>
        <w:tc>
          <w:tcPr>
            <w:tcW w:w="337" w:type="pct"/>
            <w:tcBorders>
              <w:top w:val="single" w:sz="4" w:space="0" w:color="auto"/>
              <w:bottom w:val="single" w:sz="4" w:space="0" w:color="auto"/>
            </w:tcBorders>
          </w:tcPr>
          <w:p w:rsidR="00216C93" w:rsidRDefault="00216C93" w:rsidP="001C7C8E">
            <w:pPr>
              <w:spacing w:before="40" w:after="40"/>
              <w:jc w:val="right"/>
              <w:rPr>
                <w:sz w:val="20"/>
                <w:szCs w:val="20"/>
              </w:rPr>
            </w:pPr>
            <w:r>
              <w:rPr>
                <w:sz w:val="20"/>
                <w:szCs w:val="20"/>
              </w:rPr>
              <w:t>5.5</w:t>
            </w:r>
          </w:p>
        </w:tc>
        <w:tc>
          <w:tcPr>
            <w:tcW w:w="396" w:type="pct"/>
            <w:tcBorders>
              <w:top w:val="single" w:sz="4" w:space="0" w:color="auto"/>
              <w:bottom w:val="single" w:sz="4" w:space="0" w:color="auto"/>
            </w:tcBorders>
          </w:tcPr>
          <w:p w:rsidR="00216C93" w:rsidRDefault="00216C93" w:rsidP="001C7C8E">
            <w:pPr>
              <w:spacing w:before="40" w:after="40"/>
              <w:rPr>
                <w:sz w:val="20"/>
                <w:szCs w:val="20"/>
              </w:rPr>
            </w:pPr>
            <w:r>
              <w:rPr>
                <w:sz w:val="20"/>
                <w:szCs w:val="20"/>
              </w:rPr>
              <w:t>Impact</w:t>
            </w:r>
          </w:p>
        </w:tc>
        <w:tc>
          <w:tcPr>
            <w:tcW w:w="855" w:type="pct"/>
            <w:tcBorders>
              <w:top w:val="single" w:sz="4" w:space="0" w:color="auto"/>
              <w:bottom w:val="single" w:sz="4" w:space="0" w:color="auto"/>
            </w:tcBorders>
          </w:tcPr>
          <w:p w:rsidR="007A38AB" w:rsidRDefault="007A38AB" w:rsidP="00791B31">
            <w:pPr>
              <w:spacing w:before="40"/>
              <w:rPr>
                <w:sz w:val="20"/>
                <w:szCs w:val="20"/>
              </w:rPr>
            </w:pPr>
          </w:p>
        </w:tc>
      </w:tr>
      <w:tr w:rsidR="00DE5229" w:rsidRPr="00515F66" w:rsidTr="001C7C8E">
        <w:tc>
          <w:tcPr>
            <w:tcW w:w="1336" w:type="pct"/>
            <w:tcBorders>
              <w:top w:val="single" w:sz="4" w:space="0" w:color="auto"/>
              <w:bottom w:val="single" w:sz="4" w:space="0" w:color="auto"/>
            </w:tcBorders>
            <w:vAlign w:val="bottom"/>
          </w:tcPr>
          <w:p w:rsidR="00F44A19" w:rsidRPr="00DF682C" w:rsidRDefault="00F44A19" w:rsidP="001C7C8E">
            <w:pPr>
              <w:spacing w:before="40" w:after="40"/>
              <w:rPr>
                <w:b/>
                <w:sz w:val="20"/>
                <w:szCs w:val="20"/>
              </w:rPr>
            </w:pPr>
            <w:r>
              <w:rPr>
                <w:b/>
                <w:sz w:val="20"/>
                <w:szCs w:val="20"/>
              </w:rPr>
              <w:t>Education</w:t>
            </w:r>
          </w:p>
        </w:tc>
        <w:tc>
          <w:tcPr>
            <w:tcW w:w="2076" w:type="pct"/>
            <w:tcBorders>
              <w:top w:val="single" w:sz="4" w:space="0" w:color="auto"/>
              <w:bottom w:val="single" w:sz="4" w:space="0" w:color="auto"/>
            </w:tcBorders>
            <w:vAlign w:val="bottom"/>
          </w:tcPr>
          <w:p w:rsidR="00F44A19" w:rsidRPr="00DF682C" w:rsidRDefault="00F44A19" w:rsidP="001C7C8E">
            <w:pPr>
              <w:spacing w:before="40" w:after="40"/>
              <w:rPr>
                <w:b/>
                <w:sz w:val="20"/>
                <w:szCs w:val="20"/>
              </w:rPr>
            </w:pPr>
          </w:p>
        </w:tc>
        <w:tc>
          <w:tcPr>
            <w:tcW w:w="337" w:type="pct"/>
            <w:tcBorders>
              <w:top w:val="single" w:sz="4" w:space="0" w:color="auto"/>
              <w:bottom w:val="single" w:sz="4" w:space="0" w:color="auto"/>
            </w:tcBorders>
            <w:vAlign w:val="bottom"/>
          </w:tcPr>
          <w:p w:rsidR="00F44A19" w:rsidRDefault="00F44A19" w:rsidP="001C7C8E">
            <w:pPr>
              <w:spacing w:before="40" w:after="40"/>
              <w:jc w:val="right"/>
              <w:rPr>
                <w:b/>
                <w:sz w:val="20"/>
                <w:szCs w:val="20"/>
              </w:rPr>
            </w:pPr>
          </w:p>
        </w:tc>
        <w:tc>
          <w:tcPr>
            <w:tcW w:w="396" w:type="pct"/>
            <w:tcBorders>
              <w:top w:val="single" w:sz="4" w:space="0" w:color="auto"/>
              <w:bottom w:val="single" w:sz="4" w:space="0" w:color="auto"/>
            </w:tcBorders>
            <w:vAlign w:val="bottom"/>
          </w:tcPr>
          <w:p w:rsidR="00F44A19" w:rsidRPr="00DF682C" w:rsidRDefault="00F44A19" w:rsidP="001C7C8E">
            <w:pPr>
              <w:spacing w:before="40" w:after="40"/>
              <w:rPr>
                <w:b/>
                <w:sz w:val="20"/>
                <w:szCs w:val="20"/>
              </w:rPr>
            </w:pPr>
          </w:p>
        </w:tc>
        <w:tc>
          <w:tcPr>
            <w:tcW w:w="855" w:type="pct"/>
            <w:tcBorders>
              <w:top w:val="single" w:sz="4" w:space="0" w:color="auto"/>
              <w:bottom w:val="single" w:sz="4" w:space="0" w:color="auto"/>
            </w:tcBorders>
            <w:vAlign w:val="bottom"/>
          </w:tcPr>
          <w:p w:rsidR="00F44A19" w:rsidRPr="00DF682C" w:rsidRDefault="00F44A19" w:rsidP="001C7C8E">
            <w:pPr>
              <w:spacing w:before="40" w:after="40"/>
              <w:rPr>
                <w:b/>
                <w:sz w:val="20"/>
                <w:szCs w:val="20"/>
              </w:rPr>
            </w:pPr>
          </w:p>
        </w:tc>
      </w:tr>
      <w:tr w:rsidR="00DE5229" w:rsidRPr="00515F66" w:rsidTr="001C7C8E">
        <w:tc>
          <w:tcPr>
            <w:tcW w:w="1336" w:type="pct"/>
            <w:tcBorders>
              <w:top w:val="single" w:sz="4" w:space="0" w:color="auto"/>
              <w:bottom w:val="single" w:sz="4" w:space="0" w:color="auto"/>
            </w:tcBorders>
          </w:tcPr>
          <w:p w:rsidR="007A38AB" w:rsidRDefault="007A38AB" w:rsidP="001C7C8E">
            <w:pPr>
              <w:pStyle w:val="CGCBulletlist"/>
              <w:numPr>
                <w:ilvl w:val="0"/>
                <w:numId w:val="0"/>
              </w:numPr>
              <w:tabs>
                <w:tab w:val="left" w:pos="709"/>
                <w:tab w:val="left" w:pos="1418"/>
                <w:tab w:val="left" w:pos="2268"/>
                <w:tab w:val="left" w:pos="2835"/>
              </w:tabs>
              <w:spacing w:before="40" w:after="40" w:line="240" w:lineRule="auto"/>
              <w:rPr>
                <w:sz w:val="20"/>
              </w:rPr>
            </w:pPr>
            <w:r>
              <w:rPr>
                <w:sz w:val="20"/>
              </w:rPr>
              <w:t>Students First funding</w:t>
            </w:r>
          </w:p>
        </w:tc>
        <w:tc>
          <w:tcPr>
            <w:tcW w:w="2076" w:type="pct"/>
            <w:tcBorders>
              <w:top w:val="single" w:sz="4" w:space="0" w:color="auto"/>
              <w:bottom w:val="single" w:sz="4" w:space="0" w:color="auto"/>
            </w:tcBorders>
          </w:tcPr>
          <w:p w:rsidR="00B447D8" w:rsidRDefault="00B447D8" w:rsidP="001C7C8E">
            <w:pPr>
              <w:rPr>
                <w:sz w:val="20"/>
                <w:szCs w:val="20"/>
                <w:lang w:val="en"/>
              </w:rPr>
            </w:pPr>
            <w:r>
              <w:rPr>
                <w:sz w:val="20"/>
                <w:szCs w:val="20"/>
                <w:lang w:val="en"/>
              </w:rPr>
              <w:t xml:space="preserve">Students First funding replaced the National Schools SPP and various schools-related NP payments </w:t>
            </w:r>
            <w:r w:rsidR="00DE5229">
              <w:rPr>
                <w:sz w:val="20"/>
                <w:szCs w:val="20"/>
                <w:lang w:val="en"/>
              </w:rPr>
              <w:t xml:space="preserve">(Rewards for great teachers, Smarter schools – low socio-economic status school communities, Empowering local schools) </w:t>
            </w:r>
            <w:r>
              <w:rPr>
                <w:sz w:val="20"/>
                <w:szCs w:val="20"/>
                <w:lang w:val="en"/>
              </w:rPr>
              <w:t xml:space="preserve">from January 2014. </w:t>
            </w:r>
          </w:p>
          <w:p w:rsidR="007A38AB" w:rsidRPr="00346D22" w:rsidRDefault="00B447D8" w:rsidP="00B447D8">
            <w:pPr>
              <w:rPr>
                <w:sz w:val="20"/>
                <w:szCs w:val="20"/>
                <w:lang w:val="en"/>
              </w:rPr>
            </w:pPr>
            <w:r>
              <w:rPr>
                <w:sz w:val="20"/>
                <w:szCs w:val="20"/>
                <w:lang w:val="en"/>
              </w:rPr>
              <w:t xml:space="preserve">It includes recurrent funding for government and </w:t>
            </w:r>
            <w:r w:rsidR="00DE5229">
              <w:rPr>
                <w:sz w:val="20"/>
                <w:szCs w:val="20"/>
                <w:lang w:val="en"/>
              </w:rPr>
              <w:t>n</w:t>
            </w:r>
            <w:r>
              <w:rPr>
                <w:sz w:val="20"/>
                <w:szCs w:val="20"/>
                <w:lang w:val="en"/>
              </w:rPr>
              <w:t>on-government schools, capital funding and special circumstances funding for non-government schools and funding for non-government representative bodies.</w:t>
            </w:r>
          </w:p>
        </w:tc>
        <w:tc>
          <w:tcPr>
            <w:tcW w:w="337" w:type="pct"/>
            <w:tcBorders>
              <w:top w:val="single" w:sz="4" w:space="0" w:color="auto"/>
              <w:bottom w:val="single" w:sz="4" w:space="0" w:color="auto"/>
            </w:tcBorders>
          </w:tcPr>
          <w:p w:rsidR="007A38AB" w:rsidRDefault="007A38AB" w:rsidP="001C7C8E">
            <w:pPr>
              <w:spacing w:before="40" w:after="40"/>
              <w:jc w:val="right"/>
              <w:rPr>
                <w:sz w:val="20"/>
                <w:szCs w:val="20"/>
              </w:rPr>
            </w:pPr>
            <w:r>
              <w:rPr>
                <w:sz w:val="20"/>
                <w:szCs w:val="20"/>
              </w:rPr>
              <w:t>6 872.0</w:t>
            </w:r>
          </w:p>
        </w:tc>
        <w:tc>
          <w:tcPr>
            <w:tcW w:w="396" w:type="pct"/>
            <w:tcBorders>
              <w:top w:val="single" w:sz="4" w:space="0" w:color="auto"/>
              <w:bottom w:val="single" w:sz="4" w:space="0" w:color="auto"/>
            </w:tcBorders>
          </w:tcPr>
          <w:p w:rsidR="007A38AB" w:rsidRPr="00DE5229" w:rsidRDefault="00B447D8" w:rsidP="00DE5229">
            <w:pPr>
              <w:spacing w:before="40" w:after="40"/>
              <w:rPr>
                <w:sz w:val="20"/>
                <w:szCs w:val="20"/>
              </w:rPr>
            </w:pPr>
            <w:r w:rsidRPr="00DE5229">
              <w:rPr>
                <w:sz w:val="20"/>
                <w:szCs w:val="20"/>
              </w:rPr>
              <w:t>Impact</w:t>
            </w:r>
            <w:r w:rsidR="00DE5229" w:rsidRPr="00DE5229">
              <w:rPr>
                <w:sz w:val="20"/>
                <w:szCs w:val="20"/>
              </w:rPr>
              <w:t xml:space="preserve"> </w:t>
            </w:r>
            <w:r w:rsidR="00DE5229">
              <w:rPr>
                <w:sz w:val="20"/>
                <w:szCs w:val="20"/>
              </w:rPr>
              <w:t xml:space="preserve">for govt schools </w:t>
            </w:r>
            <w:r w:rsidR="00DE5229" w:rsidRPr="00DE5229">
              <w:rPr>
                <w:sz w:val="20"/>
                <w:szCs w:val="20"/>
              </w:rPr>
              <w:t>(backcast 2015-16 distribution</w:t>
            </w:r>
            <w:r w:rsidR="00DE5229">
              <w:rPr>
                <w:sz w:val="20"/>
                <w:szCs w:val="20"/>
              </w:rPr>
              <w:t xml:space="preserve"> into assessment years</w:t>
            </w:r>
            <w:r w:rsidR="00DE5229" w:rsidRPr="00DE5229">
              <w:rPr>
                <w:sz w:val="20"/>
                <w:szCs w:val="20"/>
              </w:rPr>
              <w:t>)</w:t>
            </w:r>
            <w:r w:rsidR="00DE5229">
              <w:rPr>
                <w:sz w:val="20"/>
                <w:szCs w:val="20"/>
              </w:rPr>
              <w:t>;</w:t>
            </w:r>
            <w:r w:rsidR="00DE5229" w:rsidRPr="00DE5229">
              <w:rPr>
                <w:sz w:val="20"/>
                <w:szCs w:val="20"/>
              </w:rPr>
              <w:t xml:space="preserve"> no impact </w:t>
            </w:r>
            <w:r w:rsidR="00DE5229">
              <w:rPr>
                <w:sz w:val="20"/>
                <w:szCs w:val="20"/>
              </w:rPr>
              <w:t>for</w:t>
            </w:r>
            <w:r w:rsidR="00DE5229" w:rsidRPr="00DE5229">
              <w:rPr>
                <w:sz w:val="20"/>
                <w:szCs w:val="20"/>
              </w:rPr>
              <w:t xml:space="preserve"> non-govt </w:t>
            </w:r>
            <w:r w:rsidR="00DE5229">
              <w:rPr>
                <w:sz w:val="20"/>
                <w:szCs w:val="20"/>
              </w:rPr>
              <w:t>schools</w:t>
            </w:r>
          </w:p>
        </w:tc>
        <w:tc>
          <w:tcPr>
            <w:tcW w:w="855" w:type="pct"/>
            <w:tcBorders>
              <w:top w:val="single" w:sz="4" w:space="0" w:color="auto"/>
              <w:bottom w:val="single" w:sz="4" w:space="0" w:color="auto"/>
            </w:tcBorders>
          </w:tcPr>
          <w:p w:rsidR="007A38AB" w:rsidRPr="00DF682C" w:rsidRDefault="007A38AB" w:rsidP="001C7C8E">
            <w:pPr>
              <w:spacing w:before="40" w:after="40"/>
              <w:rPr>
                <w:sz w:val="20"/>
                <w:szCs w:val="20"/>
              </w:rPr>
            </w:pPr>
          </w:p>
        </w:tc>
      </w:tr>
      <w:tr w:rsidR="00DE5229" w:rsidRPr="00515F66" w:rsidTr="001C7C8E">
        <w:tc>
          <w:tcPr>
            <w:tcW w:w="1336" w:type="pct"/>
            <w:tcBorders>
              <w:top w:val="single" w:sz="4" w:space="0" w:color="auto"/>
              <w:bottom w:val="single" w:sz="4" w:space="0" w:color="auto"/>
            </w:tcBorders>
          </w:tcPr>
          <w:p w:rsidR="00F44A19" w:rsidRPr="00DF682C" w:rsidRDefault="00F44A19" w:rsidP="001C7C8E">
            <w:pPr>
              <w:pStyle w:val="CGCBulletlist"/>
              <w:numPr>
                <w:ilvl w:val="0"/>
                <w:numId w:val="0"/>
              </w:numPr>
              <w:tabs>
                <w:tab w:val="left" w:pos="709"/>
                <w:tab w:val="left" w:pos="1418"/>
                <w:tab w:val="left" w:pos="2268"/>
                <w:tab w:val="left" w:pos="2835"/>
              </w:tabs>
              <w:spacing w:before="40" w:after="40" w:line="240" w:lineRule="auto"/>
              <w:rPr>
                <w:sz w:val="20"/>
              </w:rPr>
            </w:pPr>
            <w:r>
              <w:rPr>
                <w:sz w:val="20"/>
              </w:rPr>
              <w:t>Independent public schools</w:t>
            </w:r>
          </w:p>
        </w:tc>
        <w:tc>
          <w:tcPr>
            <w:tcW w:w="2076" w:type="pct"/>
            <w:tcBorders>
              <w:top w:val="single" w:sz="4" w:space="0" w:color="auto"/>
              <w:bottom w:val="single" w:sz="4" w:space="0" w:color="auto"/>
            </w:tcBorders>
          </w:tcPr>
          <w:p w:rsidR="00F44A19" w:rsidRPr="00346D22" w:rsidRDefault="00B447D8" w:rsidP="00B447D8">
            <w:pPr>
              <w:rPr>
                <w:sz w:val="20"/>
                <w:szCs w:val="20"/>
              </w:rPr>
            </w:pPr>
            <w:r>
              <w:rPr>
                <w:sz w:val="20"/>
                <w:szCs w:val="20"/>
                <w:lang w:val="en"/>
              </w:rPr>
              <w:t>Funding to</w:t>
            </w:r>
            <w:r w:rsidR="00F44A19" w:rsidRPr="00346D22">
              <w:rPr>
                <w:sz w:val="20"/>
                <w:szCs w:val="20"/>
                <w:lang w:val="en"/>
              </w:rPr>
              <w:t xml:space="preserve"> support</w:t>
            </w:r>
            <w:r w:rsidR="00F44A19">
              <w:rPr>
                <w:sz w:val="20"/>
                <w:szCs w:val="20"/>
                <w:lang w:val="en"/>
              </w:rPr>
              <w:t xml:space="preserve"> increased autonomy in around 1 5</w:t>
            </w:r>
            <w:r w:rsidR="00F44A19" w:rsidRPr="00346D22">
              <w:rPr>
                <w:sz w:val="20"/>
                <w:szCs w:val="20"/>
                <w:lang w:val="en"/>
              </w:rPr>
              <w:t>00 gov</w:t>
            </w:r>
            <w:r w:rsidR="00F44A19">
              <w:rPr>
                <w:sz w:val="20"/>
                <w:szCs w:val="20"/>
                <w:lang w:val="en"/>
              </w:rPr>
              <w:t>ernment schools</w:t>
            </w:r>
            <w:r w:rsidR="00F44A19" w:rsidRPr="00346D22">
              <w:rPr>
                <w:sz w:val="20"/>
                <w:szCs w:val="20"/>
                <w:lang w:val="en"/>
              </w:rPr>
              <w:t>, including through greater engagement of parents and local communities in school decision making and the provision of professional development for principals, school leaders and school communities.</w:t>
            </w:r>
          </w:p>
        </w:tc>
        <w:tc>
          <w:tcPr>
            <w:tcW w:w="337" w:type="pct"/>
            <w:tcBorders>
              <w:top w:val="single" w:sz="4" w:space="0" w:color="auto"/>
              <w:bottom w:val="single" w:sz="4" w:space="0" w:color="auto"/>
            </w:tcBorders>
          </w:tcPr>
          <w:p w:rsidR="00F44A19" w:rsidRPr="00DF682C" w:rsidRDefault="00F44A19" w:rsidP="001C7C8E">
            <w:pPr>
              <w:spacing w:before="40" w:after="40"/>
              <w:jc w:val="right"/>
              <w:rPr>
                <w:sz w:val="20"/>
                <w:szCs w:val="20"/>
              </w:rPr>
            </w:pPr>
            <w:r>
              <w:rPr>
                <w:sz w:val="20"/>
                <w:szCs w:val="20"/>
              </w:rPr>
              <w:t>10.0</w:t>
            </w:r>
          </w:p>
        </w:tc>
        <w:tc>
          <w:tcPr>
            <w:tcW w:w="396" w:type="pct"/>
            <w:tcBorders>
              <w:top w:val="single" w:sz="4" w:space="0" w:color="auto"/>
              <w:bottom w:val="single" w:sz="4" w:space="0" w:color="auto"/>
            </w:tcBorders>
          </w:tcPr>
          <w:p w:rsidR="00F44A19" w:rsidRPr="00DF682C" w:rsidRDefault="00F44A19" w:rsidP="001C7C8E">
            <w:pPr>
              <w:spacing w:before="40" w:after="40"/>
              <w:rPr>
                <w:sz w:val="20"/>
                <w:szCs w:val="20"/>
              </w:rPr>
            </w:pPr>
            <w:r>
              <w:rPr>
                <w:sz w:val="20"/>
                <w:szCs w:val="20"/>
              </w:rPr>
              <w:t>Impact</w:t>
            </w:r>
          </w:p>
        </w:tc>
        <w:tc>
          <w:tcPr>
            <w:tcW w:w="855" w:type="pct"/>
            <w:tcBorders>
              <w:top w:val="single" w:sz="4" w:space="0" w:color="auto"/>
              <w:bottom w:val="single" w:sz="4" w:space="0" w:color="auto"/>
            </w:tcBorders>
          </w:tcPr>
          <w:p w:rsidR="00F44A19" w:rsidRPr="00DF682C" w:rsidRDefault="00F44A19" w:rsidP="001C7C8E">
            <w:pPr>
              <w:spacing w:before="40" w:after="40"/>
              <w:rPr>
                <w:sz w:val="20"/>
                <w:szCs w:val="20"/>
              </w:rPr>
            </w:pPr>
          </w:p>
        </w:tc>
      </w:tr>
    </w:tbl>
    <w:p w:rsidR="005D28F8" w:rsidRPr="00DF682C" w:rsidRDefault="005D28F8" w:rsidP="005D28F8">
      <w:pPr>
        <w:pStyle w:val="CGCTableHeading"/>
        <w:rPr>
          <w:sz w:val="20"/>
        </w:rPr>
      </w:pPr>
      <w:r w:rsidRPr="00DF682C">
        <w:rPr>
          <w:b w:val="0"/>
          <w:noProof/>
          <w:sz w:val="20"/>
          <w:lang w:eastAsia="en-AU"/>
        </w:rPr>
        <w:lastRenderedPageBreak/>
        <mc:AlternateContent>
          <mc:Choice Requires="wps">
            <w:drawing>
              <wp:anchor distT="0" distB="0" distL="114300" distR="114300" simplePos="0" relativeHeight="251676672" behindDoc="0" locked="0" layoutInCell="1" allowOverlap="1" wp14:anchorId="4E3E4C95" wp14:editId="470CD7AE">
                <wp:simplePos x="0" y="0"/>
                <wp:positionH relativeFrom="column">
                  <wp:posOffset>-622935</wp:posOffset>
                </wp:positionH>
                <wp:positionV relativeFrom="paragraph">
                  <wp:posOffset>182209</wp:posOffset>
                </wp:positionV>
                <wp:extent cx="430530" cy="5648325"/>
                <wp:effectExtent l="0" t="0" r="762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564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9EC" w:rsidRPr="005D28F8" w:rsidRDefault="00EA09EC" w:rsidP="005D28F8">
                            <w:pPr>
                              <w:spacing w:after="0" w:line="240" w:lineRule="auto"/>
                              <w:rPr>
                                <w:sz w:val="20"/>
                                <w:szCs w:val="20"/>
                              </w:rPr>
                            </w:pPr>
                            <w:r w:rsidRPr="007B2893">
                              <w:rPr>
                                <w:szCs w:val="24"/>
                              </w:rPr>
                              <w:t xml:space="preserve">Attachment </w:t>
                            </w:r>
                            <w:r>
                              <w:rPr>
                                <w:szCs w:val="24"/>
                              </w:rPr>
                              <w:t>B</w:t>
                            </w:r>
                            <w:r w:rsidRPr="005D28F8">
                              <w:rPr>
                                <w:sz w:val="20"/>
                                <w:szCs w:val="20"/>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9.05pt;margin-top:14.35pt;width:33.9pt;height:44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" stroked="f">
                <v:textbox style="layout-flow:vertical">
                  <w:txbxContent>
                    <w:p w:rsidR="00EA09EC" w:rsidRPr="005D28F8" w:rsidRDefault="00EA09EC" w:rsidP="005D28F8">
                      <w:pPr>
                        <w:spacing w:after="0" w:line="240" w:lineRule="auto"/>
                        <w:rPr>
                          <w:sz w:val="20"/>
                          <w:szCs w:val="20"/>
                        </w:rPr>
                      </w:pPr>
                      <w:r w:rsidRPr="007B2893">
                        <w:rPr>
                          <w:szCs w:val="24"/>
                        </w:rPr>
                        <w:t xml:space="preserve">Attachment </w:t>
                      </w:r>
                      <w:r>
                        <w:rPr>
                          <w:szCs w:val="24"/>
                        </w:rPr>
                        <w:t>B</w:t>
                      </w:r>
                      <w:r w:rsidRPr="005D28F8">
                        <w:rPr>
                          <w:sz w:val="20"/>
                          <w:szCs w:val="20"/>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v:textbox>
              </v:shape>
            </w:pict>
          </mc:Fallback>
        </mc:AlternateContent>
      </w:r>
      <w:r w:rsidRPr="00DF682C">
        <w:rPr>
          <w:sz w:val="20"/>
        </w:rPr>
        <w:t xml:space="preserve">Table </w:t>
      </w:r>
      <w:r w:rsidR="00A57510">
        <w:rPr>
          <w:sz w:val="20"/>
        </w:rPr>
        <w:t>B</w:t>
      </w:r>
      <w:r w:rsidRPr="00DF682C">
        <w:rPr>
          <w:sz w:val="20"/>
        </w:rPr>
        <w:t>-1</w:t>
      </w:r>
      <w:r w:rsidRPr="00DF682C">
        <w:rPr>
          <w:sz w:val="20"/>
        </w:rPr>
        <w:tab/>
        <w:t>Proposed treatment of Commonwealth payments commenced in 2013</w:t>
      </w:r>
      <w:r>
        <w:rPr>
          <w:sz w:val="20"/>
        </w:rPr>
        <w:t>-14</w:t>
      </w:r>
      <w:r w:rsidR="00AD1E62">
        <w:rPr>
          <w:sz w:val="20"/>
        </w:rPr>
        <w:t xml:space="preserve">, </w:t>
      </w:r>
      <w:r w:rsidR="00AD1E62" w:rsidRPr="00BC59D2">
        <w:rPr>
          <w:i/>
          <w:sz w:val="20"/>
        </w:rPr>
        <w:t xml:space="preserve">Federal </w:t>
      </w:r>
      <w:r w:rsidR="00AD1E62">
        <w:rPr>
          <w:i/>
          <w:sz w:val="20"/>
        </w:rPr>
        <w:t xml:space="preserve">Financial </w:t>
      </w:r>
      <w:r w:rsidR="00AD1E62" w:rsidRPr="00BC59D2">
        <w:rPr>
          <w:i/>
          <w:sz w:val="20"/>
        </w:rPr>
        <w:t>Relations, Budget Paper No. 3, 201</w:t>
      </w:r>
      <w:r w:rsidR="00AD1E62">
        <w:rPr>
          <w:i/>
          <w:sz w:val="20"/>
        </w:rPr>
        <w:t>4-15</w:t>
      </w:r>
      <w:r w:rsidRPr="00DF682C">
        <w:rPr>
          <w:i/>
          <w:sz w:val="20"/>
        </w:rPr>
        <w:t xml:space="preserve"> (cont’d)</w:t>
      </w:r>
    </w:p>
    <w:tbl>
      <w:tblPr>
        <w:tblStyle w:val="TableGrid"/>
        <w:tblW w:w="5000" w:type="pct"/>
        <w:tblLook w:val="04A0" w:firstRow="1" w:lastRow="0" w:firstColumn="1" w:lastColumn="0" w:noHBand="0" w:noVBand="1"/>
      </w:tblPr>
      <w:tblGrid>
        <w:gridCol w:w="3649"/>
        <w:gridCol w:w="5668"/>
        <w:gridCol w:w="920"/>
        <w:gridCol w:w="1081"/>
        <w:gridCol w:w="2334"/>
      </w:tblGrid>
      <w:tr w:rsidR="005D28F8" w:rsidRPr="00515F66" w:rsidTr="004A01DA">
        <w:tc>
          <w:tcPr>
            <w:tcW w:w="1336" w:type="pct"/>
            <w:tcBorders>
              <w:top w:val="single" w:sz="4" w:space="0" w:color="auto"/>
              <w:bottom w:val="single" w:sz="4" w:space="0" w:color="auto"/>
            </w:tcBorders>
          </w:tcPr>
          <w:p w:rsidR="005D28F8" w:rsidRPr="00194C79" w:rsidRDefault="005D28F8" w:rsidP="001C7C8E">
            <w:pPr>
              <w:spacing w:before="40" w:after="40"/>
              <w:rPr>
                <w:b/>
                <w:sz w:val="20"/>
                <w:szCs w:val="20"/>
              </w:rPr>
            </w:pPr>
            <w:r w:rsidRPr="00194C79">
              <w:rPr>
                <w:b/>
                <w:sz w:val="20"/>
                <w:szCs w:val="20"/>
              </w:rPr>
              <w:t>Commonwealth payment</w:t>
            </w:r>
          </w:p>
        </w:tc>
        <w:tc>
          <w:tcPr>
            <w:tcW w:w="2076" w:type="pct"/>
            <w:tcBorders>
              <w:top w:val="single" w:sz="4" w:space="0" w:color="auto"/>
              <w:bottom w:val="single" w:sz="4" w:space="0" w:color="auto"/>
            </w:tcBorders>
          </w:tcPr>
          <w:p w:rsidR="005D28F8" w:rsidRDefault="005D28F8" w:rsidP="001C7C8E">
            <w:pPr>
              <w:spacing w:before="40" w:after="40"/>
              <w:rPr>
                <w:b/>
                <w:sz w:val="20"/>
                <w:szCs w:val="20"/>
              </w:rPr>
            </w:pPr>
            <w:r>
              <w:rPr>
                <w:b/>
                <w:sz w:val="20"/>
                <w:szCs w:val="20"/>
              </w:rPr>
              <w:t>Description</w:t>
            </w:r>
          </w:p>
        </w:tc>
        <w:tc>
          <w:tcPr>
            <w:tcW w:w="337" w:type="pct"/>
            <w:tcBorders>
              <w:top w:val="single" w:sz="4" w:space="0" w:color="auto"/>
              <w:bottom w:val="single" w:sz="4" w:space="0" w:color="auto"/>
            </w:tcBorders>
          </w:tcPr>
          <w:p w:rsidR="005D28F8" w:rsidRPr="00194C79" w:rsidRDefault="005D28F8" w:rsidP="001C7C8E">
            <w:pPr>
              <w:spacing w:before="40" w:after="40"/>
              <w:jc w:val="right"/>
              <w:rPr>
                <w:b/>
                <w:sz w:val="20"/>
                <w:szCs w:val="20"/>
              </w:rPr>
            </w:pPr>
            <w:r>
              <w:rPr>
                <w:b/>
                <w:sz w:val="20"/>
                <w:szCs w:val="20"/>
              </w:rPr>
              <w:t>2013-14 $m</w:t>
            </w:r>
          </w:p>
        </w:tc>
        <w:tc>
          <w:tcPr>
            <w:tcW w:w="396" w:type="pct"/>
            <w:tcBorders>
              <w:top w:val="single" w:sz="4" w:space="0" w:color="auto"/>
              <w:bottom w:val="single" w:sz="4" w:space="0" w:color="auto"/>
            </w:tcBorders>
          </w:tcPr>
          <w:p w:rsidR="005D28F8" w:rsidRPr="00194C79" w:rsidRDefault="005D28F8" w:rsidP="001C7C8E">
            <w:pPr>
              <w:spacing w:before="40" w:after="40"/>
              <w:ind w:left="-30"/>
              <w:rPr>
                <w:b/>
                <w:sz w:val="20"/>
                <w:szCs w:val="20"/>
              </w:rPr>
            </w:pPr>
            <w:r w:rsidRPr="00194C79">
              <w:rPr>
                <w:b/>
                <w:sz w:val="20"/>
                <w:szCs w:val="20"/>
              </w:rPr>
              <w:t>Proposed treatment</w:t>
            </w:r>
          </w:p>
        </w:tc>
        <w:tc>
          <w:tcPr>
            <w:tcW w:w="855" w:type="pct"/>
            <w:tcBorders>
              <w:top w:val="single" w:sz="4" w:space="0" w:color="auto"/>
              <w:bottom w:val="single" w:sz="4" w:space="0" w:color="auto"/>
            </w:tcBorders>
          </w:tcPr>
          <w:p w:rsidR="005D28F8" w:rsidRPr="00194C79" w:rsidRDefault="005D28F8" w:rsidP="001C7C8E">
            <w:pPr>
              <w:spacing w:before="40" w:after="40"/>
              <w:rPr>
                <w:b/>
                <w:sz w:val="20"/>
                <w:szCs w:val="20"/>
              </w:rPr>
            </w:pPr>
            <w:r>
              <w:rPr>
                <w:b/>
                <w:sz w:val="20"/>
                <w:szCs w:val="20"/>
              </w:rPr>
              <w:t>Reason for No impact treatment</w:t>
            </w:r>
          </w:p>
        </w:tc>
      </w:tr>
      <w:tr w:rsidR="007A38AB" w:rsidRPr="00515F66" w:rsidTr="004A01DA">
        <w:tc>
          <w:tcPr>
            <w:tcW w:w="1336" w:type="pct"/>
            <w:tcBorders>
              <w:top w:val="single" w:sz="4" w:space="0" w:color="auto"/>
              <w:bottom w:val="single" w:sz="4" w:space="0" w:color="auto"/>
              <w:right w:val="nil"/>
            </w:tcBorders>
          </w:tcPr>
          <w:p w:rsidR="007A38AB" w:rsidRPr="00AD25FB" w:rsidRDefault="007A38AB" w:rsidP="00E94FB3">
            <w:pPr>
              <w:pStyle w:val="CGCBulletlist"/>
              <w:numPr>
                <w:ilvl w:val="0"/>
                <w:numId w:val="0"/>
              </w:numPr>
              <w:tabs>
                <w:tab w:val="left" w:pos="709"/>
                <w:tab w:val="left" w:pos="1418"/>
                <w:tab w:val="left" w:pos="2268"/>
                <w:tab w:val="left" w:pos="2835"/>
              </w:tabs>
              <w:spacing w:before="40" w:after="40" w:line="240" w:lineRule="auto"/>
              <w:rPr>
                <w:b/>
                <w:sz w:val="20"/>
              </w:rPr>
            </w:pPr>
            <w:r w:rsidRPr="00AD25FB">
              <w:rPr>
                <w:b/>
                <w:sz w:val="20"/>
              </w:rPr>
              <w:t>Community services</w:t>
            </w:r>
          </w:p>
        </w:tc>
        <w:tc>
          <w:tcPr>
            <w:tcW w:w="2076" w:type="pct"/>
            <w:tcBorders>
              <w:top w:val="single" w:sz="4" w:space="0" w:color="auto"/>
              <w:left w:val="nil"/>
              <w:bottom w:val="single" w:sz="4" w:space="0" w:color="auto"/>
              <w:right w:val="nil"/>
            </w:tcBorders>
          </w:tcPr>
          <w:p w:rsidR="007A38AB" w:rsidRPr="00346D22" w:rsidRDefault="007A38AB" w:rsidP="00E94FB3">
            <w:pPr>
              <w:rPr>
                <w:sz w:val="20"/>
                <w:szCs w:val="20"/>
                <w:lang w:val="en"/>
              </w:rPr>
            </w:pPr>
          </w:p>
        </w:tc>
        <w:tc>
          <w:tcPr>
            <w:tcW w:w="337" w:type="pct"/>
            <w:tcBorders>
              <w:top w:val="single" w:sz="4" w:space="0" w:color="auto"/>
              <w:left w:val="nil"/>
              <w:bottom w:val="single" w:sz="4" w:space="0" w:color="auto"/>
              <w:right w:val="nil"/>
            </w:tcBorders>
          </w:tcPr>
          <w:p w:rsidR="007A38AB" w:rsidRDefault="007A38AB" w:rsidP="00E94FB3">
            <w:pPr>
              <w:spacing w:before="40" w:after="40"/>
              <w:jc w:val="right"/>
              <w:rPr>
                <w:sz w:val="20"/>
                <w:szCs w:val="20"/>
              </w:rPr>
            </w:pPr>
          </w:p>
        </w:tc>
        <w:tc>
          <w:tcPr>
            <w:tcW w:w="396" w:type="pct"/>
            <w:tcBorders>
              <w:top w:val="single" w:sz="4" w:space="0" w:color="auto"/>
              <w:left w:val="nil"/>
              <w:bottom w:val="single" w:sz="4" w:space="0" w:color="auto"/>
              <w:right w:val="nil"/>
            </w:tcBorders>
          </w:tcPr>
          <w:p w:rsidR="007A38AB" w:rsidRDefault="007A38AB" w:rsidP="00E94FB3">
            <w:pPr>
              <w:spacing w:before="40" w:after="40"/>
              <w:rPr>
                <w:sz w:val="20"/>
                <w:szCs w:val="20"/>
              </w:rPr>
            </w:pPr>
          </w:p>
        </w:tc>
        <w:tc>
          <w:tcPr>
            <w:tcW w:w="855" w:type="pct"/>
            <w:tcBorders>
              <w:top w:val="single" w:sz="4" w:space="0" w:color="auto"/>
              <w:left w:val="nil"/>
              <w:bottom w:val="single" w:sz="4" w:space="0" w:color="auto"/>
            </w:tcBorders>
          </w:tcPr>
          <w:p w:rsidR="007A38AB" w:rsidRPr="00DF682C" w:rsidRDefault="007A38AB" w:rsidP="00E94FB3">
            <w:pPr>
              <w:spacing w:before="40" w:after="40"/>
              <w:rPr>
                <w:sz w:val="20"/>
                <w:szCs w:val="20"/>
              </w:rPr>
            </w:pPr>
          </w:p>
        </w:tc>
      </w:tr>
      <w:tr w:rsidR="007A38AB" w:rsidRPr="00515F66" w:rsidTr="004A01DA">
        <w:tc>
          <w:tcPr>
            <w:tcW w:w="1336" w:type="pct"/>
            <w:tcBorders>
              <w:top w:val="single" w:sz="4" w:space="0" w:color="auto"/>
              <w:bottom w:val="single" w:sz="4" w:space="0" w:color="auto"/>
            </w:tcBorders>
          </w:tcPr>
          <w:p w:rsidR="007A38AB" w:rsidRPr="00DF682C" w:rsidRDefault="007A38AB" w:rsidP="00E94FB3">
            <w:pPr>
              <w:pStyle w:val="CGCBulletlist"/>
              <w:numPr>
                <w:ilvl w:val="0"/>
                <w:numId w:val="0"/>
              </w:numPr>
              <w:tabs>
                <w:tab w:val="left" w:pos="709"/>
              </w:tabs>
              <w:spacing w:before="40" w:after="40" w:line="240" w:lineRule="auto"/>
              <w:rPr>
                <w:sz w:val="20"/>
              </w:rPr>
            </w:pPr>
            <w:r>
              <w:rPr>
                <w:sz w:val="20"/>
              </w:rPr>
              <w:t>Pay equity for social and community service sector</w:t>
            </w:r>
          </w:p>
        </w:tc>
        <w:tc>
          <w:tcPr>
            <w:tcW w:w="2076" w:type="pct"/>
            <w:tcBorders>
              <w:top w:val="single" w:sz="4" w:space="0" w:color="auto"/>
              <w:bottom w:val="single" w:sz="4" w:space="0" w:color="auto"/>
            </w:tcBorders>
          </w:tcPr>
          <w:p w:rsidR="007A38AB" w:rsidRPr="00DF682C" w:rsidRDefault="007A38AB" w:rsidP="00DE5229">
            <w:pPr>
              <w:spacing w:before="40" w:after="40"/>
              <w:rPr>
                <w:sz w:val="20"/>
                <w:szCs w:val="20"/>
              </w:rPr>
            </w:pPr>
            <w:r>
              <w:rPr>
                <w:sz w:val="20"/>
                <w:szCs w:val="20"/>
              </w:rPr>
              <w:t>C</w:t>
            </w:r>
            <w:r w:rsidRPr="009A7B00">
              <w:rPr>
                <w:sz w:val="20"/>
                <w:szCs w:val="20"/>
              </w:rPr>
              <w:t xml:space="preserve">ommonwealth's share of the wage increases arising from Fair Work Australia's decision on 1 February 2012 to grant an Equal Remuneration Order in the </w:t>
            </w:r>
            <w:r w:rsidR="00B447D8">
              <w:rPr>
                <w:sz w:val="20"/>
                <w:szCs w:val="20"/>
              </w:rPr>
              <w:t>s</w:t>
            </w:r>
            <w:r w:rsidRPr="009A7B00">
              <w:rPr>
                <w:sz w:val="20"/>
                <w:szCs w:val="20"/>
              </w:rPr>
              <w:t xml:space="preserve">ocial and </w:t>
            </w:r>
            <w:r w:rsidR="00B447D8">
              <w:rPr>
                <w:sz w:val="20"/>
                <w:szCs w:val="20"/>
              </w:rPr>
              <w:t>c</w:t>
            </w:r>
            <w:r w:rsidRPr="009A7B00">
              <w:rPr>
                <w:sz w:val="20"/>
                <w:szCs w:val="20"/>
              </w:rPr>
              <w:t xml:space="preserve">ommunity </w:t>
            </w:r>
            <w:r w:rsidR="00B447D8">
              <w:rPr>
                <w:sz w:val="20"/>
                <w:szCs w:val="20"/>
              </w:rPr>
              <w:t>s</w:t>
            </w:r>
            <w:r w:rsidRPr="009A7B00">
              <w:rPr>
                <w:sz w:val="20"/>
                <w:szCs w:val="20"/>
              </w:rPr>
              <w:t>ervices sector.</w:t>
            </w:r>
            <w:r>
              <w:t xml:space="preserve"> </w:t>
            </w:r>
            <w:r w:rsidRPr="009A7B00">
              <w:rPr>
                <w:sz w:val="20"/>
                <w:szCs w:val="20"/>
              </w:rPr>
              <w:t>Th</w:t>
            </w:r>
            <w:r>
              <w:rPr>
                <w:sz w:val="20"/>
                <w:szCs w:val="20"/>
              </w:rPr>
              <w:t xml:space="preserve">is </w:t>
            </w:r>
            <w:r w:rsidRPr="009A7B00">
              <w:rPr>
                <w:sz w:val="20"/>
                <w:szCs w:val="20"/>
              </w:rPr>
              <w:t>includes funding for its share of the wage increases for in-scope programs funded through existing SPPs</w:t>
            </w:r>
            <w:r>
              <w:rPr>
                <w:sz w:val="20"/>
                <w:szCs w:val="20"/>
              </w:rPr>
              <w:t xml:space="preserve"> (</w:t>
            </w:r>
            <w:r w:rsidRPr="009A7B00">
              <w:rPr>
                <w:sz w:val="20"/>
                <w:szCs w:val="20"/>
              </w:rPr>
              <w:t>N</w:t>
            </w:r>
            <w:r>
              <w:rPr>
                <w:sz w:val="20"/>
                <w:szCs w:val="20"/>
              </w:rPr>
              <w:t xml:space="preserve">ational Affordable Housing </w:t>
            </w:r>
            <w:r w:rsidR="00B447D8">
              <w:rPr>
                <w:sz w:val="20"/>
                <w:szCs w:val="20"/>
              </w:rPr>
              <w:t>and</w:t>
            </w:r>
            <w:r>
              <w:rPr>
                <w:sz w:val="20"/>
                <w:szCs w:val="20"/>
              </w:rPr>
              <w:t xml:space="preserve"> </w:t>
            </w:r>
            <w:r w:rsidR="00B447D8">
              <w:rPr>
                <w:sz w:val="20"/>
                <w:szCs w:val="20"/>
              </w:rPr>
              <w:t>National Disability Services</w:t>
            </w:r>
            <w:r>
              <w:rPr>
                <w:sz w:val="20"/>
                <w:szCs w:val="20"/>
              </w:rPr>
              <w:t xml:space="preserve">) and </w:t>
            </w:r>
            <w:r w:rsidRPr="009A7B00">
              <w:rPr>
                <w:sz w:val="20"/>
                <w:szCs w:val="20"/>
              </w:rPr>
              <w:t>N</w:t>
            </w:r>
            <w:r>
              <w:rPr>
                <w:sz w:val="20"/>
                <w:szCs w:val="20"/>
              </w:rPr>
              <w:t>PPs</w:t>
            </w:r>
            <w:r w:rsidRPr="009A7B00">
              <w:rPr>
                <w:sz w:val="20"/>
                <w:szCs w:val="20"/>
              </w:rPr>
              <w:t xml:space="preserve"> </w:t>
            </w:r>
            <w:r>
              <w:rPr>
                <w:sz w:val="20"/>
                <w:szCs w:val="20"/>
              </w:rPr>
              <w:t>(H</w:t>
            </w:r>
            <w:r w:rsidRPr="009A7B00">
              <w:rPr>
                <w:sz w:val="20"/>
                <w:szCs w:val="20"/>
              </w:rPr>
              <w:t xml:space="preserve">omelessness, HACC/ Transitioning </w:t>
            </w:r>
            <w:r>
              <w:rPr>
                <w:sz w:val="20"/>
                <w:szCs w:val="20"/>
              </w:rPr>
              <w:t>r</w:t>
            </w:r>
            <w:r w:rsidRPr="009A7B00">
              <w:rPr>
                <w:sz w:val="20"/>
                <w:szCs w:val="20"/>
              </w:rPr>
              <w:t xml:space="preserve">esponsibilities for </w:t>
            </w:r>
            <w:r>
              <w:rPr>
                <w:sz w:val="20"/>
                <w:szCs w:val="20"/>
              </w:rPr>
              <w:t>a</w:t>
            </w:r>
            <w:r w:rsidRPr="009A7B00">
              <w:rPr>
                <w:sz w:val="20"/>
                <w:szCs w:val="20"/>
              </w:rPr>
              <w:t xml:space="preserve">ged </w:t>
            </w:r>
            <w:r>
              <w:rPr>
                <w:sz w:val="20"/>
                <w:szCs w:val="20"/>
              </w:rPr>
              <w:t>c</w:t>
            </w:r>
            <w:r w:rsidRPr="009A7B00">
              <w:rPr>
                <w:sz w:val="20"/>
                <w:szCs w:val="20"/>
              </w:rPr>
              <w:t xml:space="preserve">are and Disability </w:t>
            </w:r>
            <w:r>
              <w:rPr>
                <w:sz w:val="20"/>
                <w:szCs w:val="20"/>
              </w:rPr>
              <w:t>s</w:t>
            </w:r>
            <w:r w:rsidRPr="009A7B00">
              <w:rPr>
                <w:sz w:val="20"/>
                <w:szCs w:val="20"/>
              </w:rPr>
              <w:t>ervices</w:t>
            </w:r>
            <w:r w:rsidR="00DE5229">
              <w:rPr>
                <w:sz w:val="20"/>
                <w:szCs w:val="20"/>
              </w:rPr>
              <w:t>,</w:t>
            </w:r>
            <w:r>
              <w:rPr>
                <w:sz w:val="20"/>
                <w:szCs w:val="20"/>
              </w:rPr>
              <w:t xml:space="preserve"> and National mental and health reform).</w:t>
            </w:r>
          </w:p>
        </w:tc>
        <w:tc>
          <w:tcPr>
            <w:tcW w:w="337" w:type="pct"/>
            <w:tcBorders>
              <w:top w:val="single" w:sz="4" w:space="0" w:color="auto"/>
              <w:bottom w:val="single" w:sz="4" w:space="0" w:color="auto"/>
            </w:tcBorders>
          </w:tcPr>
          <w:p w:rsidR="007A38AB" w:rsidRPr="00DF682C" w:rsidRDefault="007A38AB" w:rsidP="00E94FB3">
            <w:pPr>
              <w:spacing w:before="40" w:after="40"/>
              <w:jc w:val="right"/>
              <w:rPr>
                <w:sz w:val="20"/>
                <w:szCs w:val="20"/>
              </w:rPr>
            </w:pPr>
            <w:r>
              <w:rPr>
                <w:sz w:val="20"/>
                <w:szCs w:val="20"/>
              </w:rPr>
              <w:t>82.4</w:t>
            </w:r>
          </w:p>
        </w:tc>
        <w:tc>
          <w:tcPr>
            <w:tcW w:w="396" w:type="pct"/>
            <w:tcBorders>
              <w:top w:val="single" w:sz="4" w:space="0" w:color="auto"/>
              <w:bottom w:val="single" w:sz="4" w:space="0" w:color="auto"/>
            </w:tcBorders>
          </w:tcPr>
          <w:p w:rsidR="007A38AB" w:rsidRPr="00DF682C" w:rsidRDefault="007A38AB" w:rsidP="00E94FB3">
            <w:pPr>
              <w:spacing w:before="40" w:after="40"/>
              <w:rPr>
                <w:sz w:val="20"/>
                <w:szCs w:val="20"/>
              </w:rPr>
            </w:pPr>
            <w:r>
              <w:rPr>
                <w:sz w:val="20"/>
                <w:szCs w:val="20"/>
              </w:rPr>
              <w:t xml:space="preserve"> Impact</w:t>
            </w:r>
          </w:p>
        </w:tc>
        <w:tc>
          <w:tcPr>
            <w:tcW w:w="855" w:type="pct"/>
            <w:tcBorders>
              <w:top w:val="single" w:sz="4" w:space="0" w:color="auto"/>
              <w:bottom w:val="single" w:sz="4" w:space="0" w:color="auto"/>
            </w:tcBorders>
          </w:tcPr>
          <w:p w:rsidR="007A38AB" w:rsidRPr="00DF682C" w:rsidRDefault="007A38AB" w:rsidP="00E94FB3">
            <w:pPr>
              <w:spacing w:before="40" w:after="40"/>
              <w:rPr>
                <w:sz w:val="20"/>
                <w:szCs w:val="20"/>
              </w:rPr>
            </w:pPr>
            <w:r>
              <w:rPr>
                <w:sz w:val="20"/>
                <w:szCs w:val="20"/>
              </w:rPr>
              <w:t xml:space="preserve"> </w:t>
            </w:r>
          </w:p>
        </w:tc>
      </w:tr>
      <w:tr w:rsidR="007A38AB" w:rsidRPr="00515F66" w:rsidTr="004A01DA">
        <w:tc>
          <w:tcPr>
            <w:tcW w:w="1336" w:type="pct"/>
            <w:tcBorders>
              <w:top w:val="single" w:sz="4" w:space="0" w:color="auto"/>
              <w:bottom w:val="single" w:sz="4" w:space="0" w:color="auto"/>
              <w:right w:val="nil"/>
            </w:tcBorders>
          </w:tcPr>
          <w:p w:rsidR="007A38AB" w:rsidRPr="00D005CE" w:rsidRDefault="007A38AB" w:rsidP="00E94FB3">
            <w:pPr>
              <w:spacing w:before="40" w:after="40"/>
              <w:rPr>
                <w:b/>
                <w:sz w:val="20"/>
                <w:szCs w:val="20"/>
              </w:rPr>
            </w:pPr>
            <w:r w:rsidRPr="00D005CE">
              <w:rPr>
                <w:b/>
                <w:sz w:val="20"/>
                <w:szCs w:val="20"/>
              </w:rPr>
              <w:t>Infrastructure</w:t>
            </w:r>
          </w:p>
        </w:tc>
        <w:tc>
          <w:tcPr>
            <w:tcW w:w="2076" w:type="pct"/>
            <w:tcBorders>
              <w:top w:val="single" w:sz="4" w:space="0" w:color="auto"/>
              <w:left w:val="nil"/>
              <w:bottom w:val="single" w:sz="4" w:space="0" w:color="auto"/>
              <w:right w:val="nil"/>
            </w:tcBorders>
          </w:tcPr>
          <w:p w:rsidR="007A38AB" w:rsidRPr="00BA76D9" w:rsidRDefault="007A38AB" w:rsidP="00E94FB3">
            <w:pPr>
              <w:spacing w:before="40" w:after="40"/>
              <w:rPr>
                <w:sz w:val="20"/>
                <w:szCs w:val="20"/>
              </w:rPr>
            </w:pPr>
          </w:p>
        </w:tc>
        <w:tc>
          <w:tcPr>
            <w:tcW w:w="337" w:type="pct"/>
            <w:tcBorders>
              <w:top w:val="single" w:sz="4" w:space="0" w:color="auto"/>
              <w:left w:val="nil"/>
              <w:bottom w:val="single" w:sz="4" w:space="0" w:color="auto"/>
              <w:right w:val="nil"/>
            </w:tcBorders>
          </w:tcPr>
          <w:p w:rsidR="007A38AB" w:rsidRPr="00BA76D9" w:rsidRDefault="007A38AB" w:rsidP="00E94FB3">
            <w:pPr>
              <w:spacing w:before="40" w:after="40"/>
              <w:jc w:val="right"/>
              <w:rPr>
                <w:sz w:val="20"/>
                <w:szCs w:val="20"/>
              </w:rPr>
            </w:pPr>
            <w:r>
              <w:rPr>
                <w:sz w:val="20"/>
                <w:szCs w:val="20"/>
              </w:rPr>
              <w:t xml:space="preserve"> </w:t>
            </w:r>
          </w:p>
        </w:tc>
        <w:tc>
          <w:tcPr>
            <w:tcW w:w="396" w:type="pct"/>
            <w:tcBorders>
              <w:top w:val="single" w:sz="4" w:space="0" w:color="auto"/>
              <w:left w:val="nil"/>
              <w:bottom w:val="single" w:sz="4" w:space="0" w:color="auto"/>
              <w:right w:val="nil"/>
            </w:tcBorders>
          </w:tcPr>
          <w:p w:rsidR="007A38AB" w:rsidRPr="00BA76D9" w:rsidRDefault="007A38AB" w:rsidP="00E94FB3">
            <w:pPr>
              <w:spacing w:before="40" w:after="40"/>
              <w:rPr>
                <w:sz w:val="20"/>
                <w:szCs w:val="20"/>
              </w:rPr>
            </w:pPr>
            <w:r>
              <w:rPr>
                <w:sz w:val="20"/>
                <w:szCs w:val="20"/>
              </w:rPr>
              <w:t xml:space="preserve"> </w:t>
            </w:r>
          </w:p>
        </w:tc>
        <w:tc>
          <w:tcPr>
            <w:tcW w:w="855" w:type="pct"/>
            <w:tcBorders>
              <w:top w:val="single" w:sz="4" w:space="0" w:color="auto"/>
              <w:left w:val="nil"/>
              <w:bottom w:val="single" w:sz="4" w:space="0" w:color="auto"/>
            </w:tcBorders>
          </w:tcPr>
          <w:p w:rsidR="007A38AB" w:rsidRPr="00BA76D9" w:rsidRDefault="007A38AB" w:rsidP="00E94FB3">
            <w:pPr>
              <w:spacing w:before="40" w:after="40"/>
              <w:rPr>
                <w:sz w:val="20"/>
                <w:szCs w:val="20"/>
              </w:rPr>
            </w:pPr>
          </w:p>
        </w:tc>
      </w:tr>
      <w:tr w:rsidR="005D28F8" w:rsidRPr="00515F66" w:rsidTr="001C7C8E">
        <w:tc>
          <w:tcPr>
            <w:tcW w:w="1336" w:type="pct"/>
            <w:tcBorders>
              <w:top w:val="single" w:sz="4" w:space="0" w:color="auto"/>
              <w:bottom w:val="single" w:sz="4" w:space="0" w:color="auto"/>
            </w:tcBorders>
          </w:tcPr>
          <w:p w:rsidR="005D28F8" w:rsidRPr="00621366" w:rsidRDefault="005D28F8" w:rsidP="00996DC2">
            <w:pPr>
              <w:spacing w:before="40" w:after="40"/>
              <w:rPr>
                <w:sz w:val="20"/>
                <w:szCs w:val="20"/>
              </w:rPr>
            </w:pPr>
            <w:r w:rsidRPr="00621366">
              <w:rPr>
                <w:sz w:val="20"/>
                <w:szCs w:val="20"/>
              </w:rPr>
              <w:t>La Trobe Vall</w:t>
            </w:r>
            <w:r w:rsidR="00EB63D9" w:rsidRPr="00621366">
              <w:rPr>
                <w:sz w:val="20"/>
                <w:szCs w:val="20"/>
              </w:rPr>
              <w:t>e</w:t>
            </w:r>
            <w:r w:rsidRPr="00621366">
              <w:rPr>
                <w:sz w:val="20"/>
                <w:szCs w:val="20"/>
              </w:rPr>
              <w:t>y economic diversification</w:t>
            </w:r>
            <w:r w:rsidR="00DE5229" w:rsidRPr="00621366">
              <w:rPr>
                <w:sz w:val="20"/>
                <w:szCs w:val="20"/>
              </w:rPr>
              <w:t xml:space="preserve"> (some </w:t>
            </w:r>
            <w:r w:rsidR="00996DC2" w:rsidRPr="00621366">
              <w:rPr>
                <w:sz w:val="20"/>
                <w:szCs w:val="20"/>
              </w:rPr>
              <w:t>made</w:t>
            </w:r>
            <w:r w:rsidR="00DE5229" w:rsidRPr="00621366">
              <w:rPr>
                <w:sz w:val="20"/>
                <w:szCs w:val="20"/>
              </w:rPr>
              <w:t xml:space="preserve"> direct to local government)</w:t>
            </w:r>
          </w:p>
        </w:tc>
        <w:tc>
          <w:tcPr>
            <w:tcW w:w="2076" w:type="pct"/>
            <w:tcBorders>
              <w:top w:val="single" w:sz="4" w:space="0" w:color="auto"/>
              <w:bottom w:val="single" w:sz="4" w:space="0" w:color="auto"/>
            </w:tcBorders>
          </w:tcPr>
          <w:p w:rsidR="005D28F8" w:rsidRDefault="005D28F8" w:rsidP="001C7C8E">
            <w:pPr>
              <w:spacing w:before="40" w:after="40"/>
              <w:rPr>
                <w:sz w:val="20"/>
                <w:szCs w:val="20"/>
              </w:rPr>
            </w:pPr>
            <w:r>
              <w:rPr>
                <w:sz w:val="20"/>
                <w:szCs w:val="20"/>
              </w:rPr>
              <w:t>Up to $10.</w:t>
            </w:r>
            <w:r w:rsidR="00553DA1">
              <w:rPr>
                <w:sz w:val="20"/>
                <w:szCs w:val="20"/>
              </w:rPr>
              <w:t>9</w:t>
            </w:r>
            <w:r>
              <w:rPr>
                <w:sz w:val="20"/>
                <w:szCs w:val="20"/>
              </w:rPr>
              <w:t xml:space="preserve">m funding for infrastructure projects to support economic diversification in the La Trobe Valley: </w:t>
            </w:r>
          </w:p>
          <w:p w:rsidR="005D28F8" w:rsidRDefault="005D28F8" w:rsidP="001C7C8E">
            <w:pPr>
              <w:pStyle w:val="ListParagraph"/>
              <w:numPr>
                <w:ilvl w:val="0"/>
                <w:numId w:val="25"/>
              </w:numPr>
              <w:tabs>
                <w:tab w:val="left" w:pos="1418"/>
                <w:tab w:val="left" w:pos="2268"/>
                <w:tab w:val="left" w:pos="2835"/>
              </w:tabs>
              <w:spacing w:before="40" w:after="40" w:line="240" w:lineRule="auto"/>
              <w:ind w:left="426" w:hanging="284"/>
              <w:rPr>
                <w:sz w:val="20"/>
                <w:szCs w:val="20"/>
              </w:rPr>
            </w:pPr>
            <w:r>
              <w:rPr>
                <w:sz w:val="20"/>
                <w:szCs w:val="20"/>
              </w:rPr>
              <w:t>Warragul Station precinct upgrade project – new rail underpass</w:t>
            </w:r>
            <w:r w:rsidR="00C54176">
              <w:rPr>
                <w:sz w:val="20"/>
                <w:szCs w:val="20"/>
              </w:rPr>
              <w:t>,</w:t>
            </w:r>
            <w:r>
              <w:rPr>
                <w:sz w:val="20"/>
                <w:szCs w:val="20"/>
              </w:rPr>
              <w:t xml:space="preserve"> a new car park</w:t>
            </w:r>
            <w:r w:rsidR="00C54176">
              <w:rPr>
                <w:sz w:val="20"/>
                <w:szCs w:val="20"/>
              </w:rPr>
              <w:t xml:space="preserve"> and bus interchange at Warragul railway station</w:t>
            </w:r>
          </w:p>
          <w:p w:rsidR="005D28F8" w:rsidRDefault="005D28F8" w:rsidP="00C54176">
            <w:pPr>
              <w:pStyle w:val="ListParagraph"/>
              <w:numPr>
                <w:ilvl w:val="0"/>
                <w:numId w:val="25"/>
              </w:numPr>
              <w:tabs>
                <w:tab w:val="left" w:pos="1418"/>
                <w:tab w:val="left" w:pos="2268"/>
                <w:tab w:val="left" w:pos="2835"/>
              </w:tabs>
              <w:spacing w:before="40" w:after="40" w:line="240" w:lineRule="auto"/>
              <w:ind w:left="426" w:hanging="284"/>
              <w:rPr>
                <w:sz w:val="20"/>
                <w:szCs w:val="20"/>
              </w:rPr>
            </w:pPr>
            <w:r>
              <w:rPr>
                <w:sz w:val="20"/>
                <w:szCs w:val="20"/>
              </w:rPr>
              <w:t xml:space="preserve">Moe rail precinct revitalisation project – new civic building </w:t>
            </w:r>
            <w:r w:rsidR="00C54176">
              <w:rPr>
                <w:sz w:val="20"/>
                <w:szCs w:val="20"/>
              </w:rPr>
              <w:t>to house community library, council service centre and call centre, and other</w:t>
            </w:r>
            <w:r>
              <w:rPr>
                <w:sz w:val="20"/>
                <w:szCs w:val="20"/>
              </w:rPr>
              <w:t xml:space="preserve"> community </w:t>
            </w:r>
            <w:r w:rsidR="00C54176">
              <w:rPr>
                <w:sz w:val="20"/>
                <w:szCs w:val="20"/>
              </w:rPr>
              <w:t>facilities</w:t>
            </w:r>
            <w:r>
              <w:rPr>
                <w:sz w:val="20"/>
                <w:szCs w:val="20"/>
              </w:rPr>
              <w:t>.</w:t>
            </w:r>
          </w:p>
        </w:tc>
        <w:tc>
          <w:tcPr>
            <w:tcW w:w="337" w:type="pct"/>
            <w:tcBorders>
              <w:top w:val="single" w:sz="4" w:space="0" w:color="auto"/>
              <w:bottom w:val="single" w:sz="4" w:space="0" w:color="auto"/>
            </w:tcBorders>
          </w:tcPr>
          <w:p w:rsidR="005D28F8" w:rsidRDefault="005D28F8" w:rsidP="001C7C8E">
            <w:pPr>
              <w:spacing w:before="40" w:after="40"/>
              <w:jc w:val="right"/>
              <w:rPr>
                <w:sz w:val="20"/>
                <w:szCs w:val="20"/>
              </w:rPr>
            </w:pPr>
            <w:r>
              <w:rPr>
                <w:sz w:val="20"/>
                <w:szCs w:val="20"/>
              </w:rPr>
              <w:t xml:space="preserve"> 2.4</w:t>
            </w:r>
          </w:p>
        </w:tc>
        <w:tc>
          <w:tcPr>
            <w:tcW w:w="396" w:type="pct"/>
            <w:tcBorders>
              <w:top w:val="single" w:sz="4" w:space="0" w:color="auto"/>
              <w:bottom w:val="single" w:sz="4" w:space="0" w:color="auto"/>
            </w:tcBorders>
          </w:tcPr>
          <w:p w:rsidR="005D28F8" w:rsidRDefault="005D28F8" w:rsidP="00DE5229">
            <w:pPr>
              <w:spacing w:before="40" w:after="40"/>
              <w:rPr>
                <w:sz w:val="20"/>
                <w:szCs w:val="20"/>
              </w:rPr>
            </w:pPr>
            <w:r>
              <w:rPr>
                <w:sz w:val="20"/>
                <w:szCs w:val="20"/>
              </w:rPr>
              <w:t>Impact for Warragul</w:t>
            </w:r>
            <w:r w:rsidR="00DE5229">
              <w:rPr>
                <w:sz w:val="20"/>
                <w:szCs w:val="20"/>
              </w:rPr>
              <w:t>;</w:t>
            </w:r>
            <w:r w:rsidR="00A66A05">
              <w:rPr>
                <w:sz w:val="20"/>
                <w:szCs w:val="20"/>
              </w:rPr>
              <w:t xml:space="preserve"> </w:t>
            </w:r>
            <w:r>
              <w:rPr>
                <w:sz w:val="20"/>
                <w:szCs w:val="20"/>
              </w:rPr>
              <w:t xml:space="preserve">No impact </w:t>
            </w:r>
            <w:r w:rsidR="00DE5229">
              <w:rPr>
                <w:sz w:val="20"/>
                <w:szCs w:val="20"/>
              </w:rPr>
              <w:t xml:space="preserve">for </w:t>
            </w:r>
            <w:r>
              <w:rPr>
                <w:sz w:val="20"/>
                <w:szCs w:val="20"/>
              </w:rPr>
              <w:t>Moe</w:t>
            </w:r>
          </w:p>
        </w:tc>
        <w:tc>
          <w:tcPr>
            <w:tcW w:w="855" w:type="pct"/>
            <w:tcBorders>
              <w:top w:val="single" w:sz="4" w:space="0" w:color="auto"/>
              <w:bottom w:val="single" w:sz="4" w:space="0" w:color="auto"/>
            </w:tcBorders>
          </w:tcPr>
          <w:p w:rsidR="005D28F8" w:rsidRPr="00BA76D9" w:rsidRDefault="00A66A05" w:rsidP="00C8551E">
            <w:pPr>
              <w:spacing w:before="40" w:after="40"/>
              <w:rPr>
                <w:sz w:val="20"/>
                <w:szCs w:val="20"/>
              </w:rPr>
            </w:pPr>
            <w:r>
              <w:rPr>
                <w:sz w:val="20"/>
                <w:szCs w:val="20"/>
              </w:rPr>
              <w:t xml:space="preserve">Moe — </w:t>
            </w:r>
            <w:r w:rsidR="00C8551E">
              <w:rPr>
                <w:sz w:val="20"/>
                <w:szCs w:val="20"/>
              </w:rPr>
              <w:t>need</w:t>
            </w:r>
            <w:r w:rsidR="005D28F8">
              <w:rPr>
                <w:sz w:val="20"/>
                <w:szCs w:val="20"/>
              </w:rPr>
              <w:t>s for local government asset</w:t>
            </w:r>
            <w:r w:rsidR="00553DA1">
              <w:rPr>
                <w:sz w:val="20"/>
                <w:szCs w:val="20"/>
              </w:rPr>
              <w:t>s</w:t>
            </w:r>
            <w:r w:rsidR="005D28F8">
              <w:rPr>
                <w:sz w:val="20"/>
                <w:szCs w:val="20"/>
              </w:rPr>
              <w:t xml:space="preserve"> </w:t>
            </w:r>
            <w:r w:rsidR="00C8551E">
              <w:rPr>
                <w:sz w:val="20"/>
                <w:szCs w:val="20"/>
              </w:rPr>
              <w:t>are not assessed</w:t>
            </w:r>
          </w:p>
        </w:tc>
      </w:tr>
      <w:tr w:rsidR="005D28F8" w:rsidRPr="00515F66" w:rsidTr="001C7C8E">
        <w:tc>
          <w:tcPr>
            <w:tcW w:w="1336" w:type="pct"/>
            <w:tcBorders>
              <w:top w:val="single" w:sz="4" w:space="0" w:color="auto"/>
              <w:bottom w:val="single" w:sz="4" w:space="0" w:color="auto"/>
            </w:tcBorders>
          </w:tcPr>
          <w:p w:rsidR="005D28F8" w:rsidRDefault="005D28F8" w:rsidP="001C7C8E">
            <w:pPr>
              <w:spacing w:before="40" w:after="40"/>
              <w:rPr>
                <w:sz w:val="20"/>
                <w:szCs w:val="20"/>
              </w:rPr>
            </w:pPr>
            <w:r>
              <w:rPr>
                <w:sz w:val="20"/>
                <w:szCs w:val="20"/>
              </w:rPr>
              <w:t>Murray – Darling Basin regional economic diversification program</w:t>
            </w:r>
          </w:p>
        </w:tc>
        <w:tc>
          <w:tcPr>
            <w:tcW w:w="2076" w:type="pct"/>
            <w:tcBorders>
              <w:top w:val="single" w:sz="4" w:space="0" w:color="auto"/>
              <w:bottom w:val="single" w:sz="4" w:space="0" w:color="auto"/>
            </w:tcBorders>
          </w:tcPr>
          <w:p w:rsidR="005D28F8" w:rsidRDefault="005D28F8" w:rsidP="001C7C8E">
            <w:pPr>
              <w:spacing w:before="40" w:after="40"/>
              <w:rPr>
                <w:sz w:val="20"/>
                <w:szCs w:val="20"/>
              </w:rPr>
            </w:pPr>
            <w:r>
              <w:rPr>
                <w:sz w:val="20"/>
                <w:szCs w:val="20"/>
              </w:rPr>
              <w:t xml:space="preserve">Funding to </w:t>
            </w:r>
            <w:r w:rsidRPr="00A77BEF">
              <w:rPr>
                <w:sz w:val="20"/>
                <w:szCs w:val="20"/>
              </w:rPr>
              <w:t>support regional communities in adjusting to the changes brought about by the implementation of the Murray – Darling Basin Plan for water reform.</w:t>
            </w:r>
            <w:r>
              <w:t xml:space="preserve"> </w:t>
            </w:r>
          </w:p>
        </w:tc>
        <w:tc>
          <w:tcPr>
            <w:tcW w:w="337" w:type="pct"/>
            <w:tcBorders>
              <w:top w:val="single" w:sz="4" w:space="0" w:color="auto"/>
              <w:bottom w:val="single" w:sz="4" w:space="0" w:color="auto"/>
            </w:tcBorders>
          </w:tcPr>
          <w:p w:rsidR="005D28F8" w:rsidRDefault="005D28F8" w:rsidP="001C7C8E">
            <w:pPr>
              <w:spacing w:before="40" w:after="40"/>
              <w:jc w:val="right"/>
              <w:rPr>
                <w:sz w:val="20"/>
                <w:szCs w:val="20"/>
              </w:rPr>
            </w:pPr>
            <w:r>
              <w:rPr>
                <w:sz w:val="20"/>
                <w:szCs w:val="20"/>
              </w:rPr>
              <w:t>10.0</w:t>
            </w:r>
          </w:p>
        </w:tc>
        <w:tc>
          <w:tcPr>
            <w:tcW w:w="396" w:type="pct"/>
            <w:tcBorders>
              <w:top w:val="single" w:sz="4" w:space="0" w:color="auto"/>
              <w:bottom w:val="single" w:sz="4" w:space="0" w:color="auto"/>
            </w:tcBorders>
          </w:tcPr>
          <w:p w:rsidR="005D28F8" w:rsidRPr="007D0AE9" w:rsidRDefault="005D28F8" w:rsidP="001C7C8E">
            <w:pPr>
              <w:spacing w:before="40" w:after="40"/>
              <w:jc w:val="right"/>
              <w:rPr>
                <w:sz w:val="20"/>
                <w:szCs w:val="20"/>
              </w:rPr>
            </w:pPr>
            <w:r>
              <w:rPr>
                <w:sz w:val="20"/>
                <w:szCs w:val="20"/>
              </w:rPr>
              <w:t>Impact</w:t>
            </w:r>
          </w:p>
        </w:tc>
        <w:tc>
          <w:tcPr>
            <w:tcW w:w="855" w:type="pct"/>
            <w:tcBorders>
              <w:top w:val="single" w:sz="4" w:space="0" w:color="auto"/>
              <w:bottom w:val="single" w:sz="4" w:space="0" w:color="auto"/>
            </w:tcBorders>
          </w:tcPr>
          <w:p w:rsidR="005D28F8" w:rsidRDefault="005D28F8" w:rsidP="001C7C8E">
            <w:pPr>
              <w:spacing w:before="40" w:after="40"/>
              <w:rPr>
                <w:sz w:val="20"/>
                <w:szCs w:val="20"/>
              </w:rPr>
            </w:pPr>
          </w:p>
        </w:tc>
      </w:tr>
      <w:tr w:rsidR="007A38AB" w:rsidRPr="00515F66" w:rsidTr="001C7C8E">
        <w:tc>
          <w:tcPr>
            <w:tcW w:w="1336" w:type="pct"/>
            <w:tcBorders>
              <w:top w:val="single" w:sz="4" w:space="0" w:color="auto"/>
              <w:bottom w:val="single" w:sz="4" w:space="0" w:color="auto"/>
            </w:tcBorders>
          </w:tcPr>
          <w:p w:rsidR="007A38AB" w:rsidRDefault="007A38AB" w:rsidP="00996DC2">
            <w:pPr>
              <w:spacing w:before="40" w:after="40"/>
              <w:rPr>
                <w:sz w:val="20"/>
                <w:szCs w:val="20"/>
              </w:rPr>
            </w:pPr>
            <w:r>
              <w:rPr>
                <w:sz w:val="20"/>
                <w:szCs w:val="20"/>
              </w:rPr>
              <w:t>Townsville Convention and Entertainment Centre</w:t>
            </w:r>
            <w:r w:rsidR="00996DC2" w:rsidRPr="00C54176">
              <w:rPr>
                <w:sz w:val="20"/>
                <w:szCs w:val="20"/>
              </w:rPr>
              <w:t xml:space="preserve"> </w:t>
            </w:r>
            <w:r w:rsidR="00996DC2">
              <w:rPr>
                <w:sz w:val="20"/>
                <w:szCs w:val="20"/>
              </w:rPr>
              <w:t xml:space="preserve">(all </w:t>
            </w:r>
            <w:r w:rsidR="00996DC2" w:rsidRPr="00C54176">
              <w:rPr>
                <w:sz w:val="20"/>
                <w:szCs w:val="20"/>
              </w:rPr>
              <w:t>made direct to local government</w:t>
            </w:r>
            <w:r w:rsidR="00996DC2">
              <w:rPr>
                <w:sz w:val="20"/>
                <w:szCs w:val="20"/>
              </w:rPr>
              <w:t>)</w:t>
            </w:r>
          </w:p>
        </w:tc>
        <w:tc>
          <w:tcPr>
            <w:tcW w:w="2076" w:type="pct"/>
            <w:tcBorders>
              <w:top w:val="single" w:sz="4" w:space="0" w:color="auto"/>
              <w:bottom w:val="single" w:sz="4" w:space="0" w:color="auto"/>
            </w:tcBorders>
          </w:tcPr>
          <w:p w:rsidR="007A38AB" w:rsidRDefault="00C54176" w:rsidP="00996DC2">
            <w:pPr>
              <w:spacing w:before="40" w:after="40"/>
              <w:rPr>
                <w:sz w:val="20"/>
                <w:szCs w:val="20"/>
              </w:rPr>
            </w:pPr>
            <w:r w:rsidRPr="00C54176">
              <w:rPr>
                <w:sz w:val="20"/>
                <w:szCs w:val="20"/>
              </w:rPr>
              <w:t xml:space="preserve">Funding for the construction of the Townsville Convention and Entertainment Centre to deliver on a commitment made as part of the 2010 election. </w:t>
            </w:r>
          </w:p>
        </w:tc>
        <w:tc>
          <w:tcPr>
            <w:tcW w:w="337" w:type="pct"/>
            <w:tcBorders>
              <w:top w:val="single" w:sz="4" w:space="0" w:color="auto"/>
              <w:bottom w:val="single" w:sz="4" w:space="0" w:color="auto"/>
            </w:tcBorders>
          </w:tcPr>
          <w:p w:rsidR="007A38AB" w:rsidRDefault="007A38AB" w:rsidP="001C7C8E">
            <w:pPr>
              <w:spacing w:before="40" w:after="40"/>
              <w:jc w:val="right"/>
              <w:rPr>
                <w:sz w:val="20"/>
                <w:szCs w:val="20"/>
              </w:rPr>
            </w:pPr>
            <w:r>
              <w:rPr>
                <w:sz w:val="20"/>
                <w:szCs w:val="20"/>
              </w:rPr>
              <w:t>5.0</w:t>
            </w:r>
          </w:p>
        </w:tc>
        <w:tc>
          <w:tcPr>
            <w:tcW w:w="396" w:type="pct"/>
            <w:tcBorders>
              <w:top w:val="single" w:sz="4" w:space="0" w:color="auto"/>
              <w:bottom w:val="single" w:sz="4" w:space="0" w:color="auto"/>
            </w:tcBorders>
          </w:tcPr>
          <w:p w:rsidR="007A38AB" w:rsidRDefault="00C54176" w:rsidP="001C7C8E">
            <w:pPr>
              <w:spacing w:before="40" w:after="40"/>
              <w:jc w:val="right"/>
              <w:rPr>
                <w:sz w:val="20"/>
                <w:szCs w:val="20"/>
              </w:rPr>
            </w:pPr>
            <w:r>
              <w:rPr>
                <w:sz w:val="20"/>
                <w:szCs w:val="20"/>
              </w:rPr>
              <w:t>No impact</w:t>
            </w:r>
          </w:p>
        </w:tc>
        <w:tc>
          <w:tcPr>
            <w:tcW w:w="855" w:type="pct"/>
            <w:tcBorders>
              <w:top w:val="single" w:sz="4" w:space="0" w:color="auto"/>
              <w:bottom w:val="single" w:sz="4" w:space="0" w:color="auto"/>
            </w:tcBorders>
          </w:tcPr>
          <w:p w:rsidR="007A38AB" w:rsidRDefault="00C8551E" w:rsidP="001C7C8E">
            <w:pPr>
              <w:spacing w:before="40" w:after="40"/>
              <w:rPr>
                <w:sz w:val="20"/>
                <w:szCs w:val="20"/>
              </w:rPr>
            </w:pPr>
            <w:r>
              <w:rPr>
                <w:sz w:val="20"/>
                <w:szCs w:val="20"/>
              </w:rPr>
              <w:t>Needs for local government assets are not assessed</w:t>
            </w:r>
          </w:p>
        </w:tc>
      </w:tr>
    </w:tbl>
    <w:p w:rsidR="00D93BC4" w:rsidRDefault="00D93BC4" w:rsidP="00D21514">
      <w:pPr>
        <w:pStyle w:val="CGCTableHeading"/>
        <w:rPr>
          <w:sz w:val="20"/>
        </w:rPr>
      </w:pPr>
      <w:r>
        <w:rPr>
          <w:sz w:val="20"/>
        </w:rPr>
        <w:br w:type="page"/>
      </w:r>
    </w:p>
    <w:p w:rsidR="00D21514" w:rsidRPr="00DF682C" w:rsidRDefault="00D21514" w:rsidP="00D21514">
      <w:pPr>
        <w:pStyle w:val="CGCTableHeading"/>
        <w:rPr>
          <w:sz w:val="20"/>
        </w:rPr>
      </w:pPr>
      <w:r w:rsidRPr="00DF682C">
        <w:rPr>
          <w:b w:val="0"/>
          <w:noProof/>
          <w:sz w:val="20"/>
          <w:lang w:eastAsia="en-AU"/>
        </w:rPr>
        <w:lastRenderedPageBreak/>
        <mc:AlternateContent>
          <mc:Choice Requires="wps">
            <w:drawing>
              <wp:anchor distT="0" distB="0" distL="114300" distR="114300" simplePos="0" relativeHeight="251678720" behindDoc="0" locked="0" layoutInCell="1" allowOverlap="1" wp14:anchorId="52BB0919" wp14:editId="6C58EA95">
                <wp:simplePos x="0" y="0"/>
                <wp:positionH relativeFrom="column">
                  <wp:posOffset>-622935</wp:posOffset>
                </wp:positionH>
                <wp:positionV relativeFrom="paragraph">
                  <wp:posOffset>182209</wp:posOffset>
                </wp:positionV>
                <wp:extent cx="430530" cy="5648325"/>
                <wp:effectExtent l="0" t="0" r="762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564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9EC" w:rsidRPr="005D28F8" w:rsidRDefault="00EA09EC" w:rsidP="00D21514">
                            <w:pPr>
                              <w:spacing w:after="0" w:line="240" w:lineRule="auto"/>
                              <w:rPr>
                                <w:sz w:val="20"/>
                                <w:szCs w:val="20"/>
                              </w:rPr>
                            </w:pPr>
                            <w:r w:rsidRPr="007B2893">
                              <w:rPr>
                                <w:szCs w:val="24"/>
                              </w:rPr>
                              <w:t xml:space="preserve">Attachment </w:t>
                            </w:r>
                            <w:r>
                              <w:rPr>
                                <w:szCs w:val="24"/>
                              </w:rPr>
                              <w:t>B</w:t>
                            </w:r>
                            <w:r w:rsidRPr="007B2893">
                              <w:rPr>
                                <w:szCs w:val="24"/>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9.05pt;margin-top:14.35pt;width:33.9pt;height:44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" stroked="f">
                <v:textbox style="layout-flow:vertical">
                  <w:txbxContent>
                    <w:p w:rsidR="00EA09EC" w:rsidRPr="005D28F8" w:rsidRDefault="00EA09EC" w:rsidP="00D21514">
                      <w:pPr>
                        <w:spacing w:after="0" w:line="240" w:lineRule="auto"/>
                        <w:rPr>
                          <w:sz w:val="20"/>
                          <w:szCs w:val="20"/>
                        </w:rPr>
                      </w:pPr>
                      <w:r w:rsidRPr="007B2893">
                        <w:rPr>
                          <w:szCs w:val="24"/>
                        </w:rPr>
                        <w:t xml:space="preserve">Attachment </w:t>
                      </w:r>
                      <w:r>
                        <w:rPr>
                          <w:szCs w:val="24"/>
                        </w:rPr>
                        <w:t>B</w:t>
                      </w:r>
                      <w:r w:rsidRPr="007B2893">
                        <w:rPr>
                          <w:szCs w:val="24"/>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v:textbox>
              </v:shape>
            </w:pict>
          </mc:Fallback>
        </mc:AlternateContent>
      </w:r>
      <w:r w:rsidR="00A57510">
        <w:rPr>
          <w:sz w:val="20"/>
        </w:rPr>
        <w:t>Table B</w:t>
      </w:r>
      <w:r w:rsidRPr="00DF682C">
        <w:rPr>
          <w:sz w:val="20"/>
        </w:rPr>
        <w:t>-1</w:t>
      </w:r>
      <w:r w:rsidRPr="00DF682C">
        <w:rPr>
          <w:sz w:val="20"/>
        </w:rPr>
        <w:tab/>
        <w:t xml:space="preserve">Proposed treatment of Commonwealth payments commenced in </w:t>
      </w:r>
      <w:r w:rsidR="00AD1E62" w:rsidRPr="00DF682C">
        <w:rPr>
          <w:sz w:val="20"/>
        </w:rPr>
        <w:t>2013</w:t>
      </w:r>
      <w:r w:rsidR="00AD1E62">
        <w:rPr>
          <w:sz w:val="20"/>
        </w:rPr>
        <w:t xml:space="preserve">-14, </w:t>
      </w:r>
      <w:r w:rsidR="00AD1E62" w:rsidRPr="00BC59D2">
        <w:rPr>
          <w:i/>
          <w:sz w:val="20"/>
        </w:rPr>
        <w:t xml:space="preserve">Federal </w:t>
      </w:r>
      <w:r w:rsidR="00AD1E62">
        <w:rPr>
          <w:i/>
          <w:sz w:val="20"/>
        </w:rPr>
        <w:t xml:space="preserve">Financial </w:t>
      </w:r>
      <w:r w:rsidR="00AD1E62" w:rsidRPr="00BC59D2">
        <w:rPr>
          <w:i/>
          <w:sz w:val="20"/>
        </w:rPr>
        <w:t>Relations, Budget Paper No. 3, 201</w:t>
      </w:r>
      <w:r w:rsidR="00AD1E62">
        <w:rPr>
          <w:i/>
          <w:sz w:val="20"/>
        </w:rPr>
        <w:t>4-15</w:t>
      </w:r>
      <w:r w:rsidR="00AD1E62" w:rsidRPr="00DF682C">
        <w:rPr>
          <w:i/>
          <w:sz w:val="20"/>
        </w:rPr>
        <w:t xml:space="preserve"> (cont’d)</w:t>
      </w:r>
    </w:p>
    <w:tbl>
      <w:tblPr>
        <w:tblStyle w:val="TableGrid"/>
        <w:tblW w:w="5000" w:type="pct"/>
        <w:tblLayout w:type="fixed"/>
        <w:tblLook w:val="04A0" w:firstRow="1" w:lastRow="0" w:firstColumn="1" w:lastColumn="0" w:noHBand="0" w:noVBand="1"/>
      </w:tblPr>
      <w:tblGrid>
        <w:gridCol w:w="3649"/>
        <w:gridCol w:w="5669"/>
        <w:gridCol w:w="918"/>
        <w:gridCol w:w="1082"/>
        <w:gridCol w:w="2334"/>
      </w:tblGrid>
      <w:tr w:rsidR="00D21514" w:rsidRPr="00515F66" w:rsidTr="004A01DA">
        <w:tc>
          <w:tcPr>
            <w:tcW w:w="1336" w:type="pct"/>
            <w:tcBorders>
              <w:top w:val="single" w:sz="4" w:space="0" w:color="auto"/>
              <w:bottom w:val="single" w:sz="4" w:space="0" w:color="auto"/>
            </w:tcBorders>
          </w:tcPr>
          <w:p w:rsidR="00D21514" w:rsidRPr="00194C79" w:rsidRDefault="00D21514" w:rsidP="00E94FB3">
            <w:pPr>
              <w:spacing w:before="40" w:after="40"/>
              <w:rPr>
                <w:b/>
                <w:sz w:val="20"/>
                <w:szCs w:val="20"/>
              </w:rPr>
            </w:pPr>
            <w:r w:rsidRPr="00194C79">
              <w:rPr>
                <w:b/>
                <w:sz w:val="20"/>
                <w:szCs w:val="20"/>
              </w:rPr>
              <w:t>Commonwealth payment</w:t>
            </w:r>
          </w:p>
        </w:tc>
        <w:tc>
          <w:tcPr>
            <w:tcW w:w="2076" w:type="pct"/>
            <w:tcBorders>
              <w:top w:val="single" w:sz="4" w:space="0" w:color="auto"/>
              <w:bottom w:val="single" w:sz="4" w:space="0" w:color="auto"/>
            </w:tcBorders>
          </w:tcPr>
          <w:p w:rsidR="00D21514" w:rsidRDefault="00D21514" w:rsidP="00E94FB3">
            <w:pPr>
              <w:spacing w:before="40" w:after="40"/>
              <w:rPr>
                <w:b/>
                <w:sz w:val="20"/>
                <w:szCs w:val="20"/>
              </w:rPr>
            </w:pPr>
            <w:r>
              <w:rPr>
                <w:b/>
                <w:sz w:val="20"/>
                <w:szCs w:val="20"/>
              </w:rPr>
              <w:t>Description</w:t>
            </w:r>
          </w:p>
        </w:tc>
        <w:tc>
          <w:tcPr>
            <w:tcW w:w="336" w:type="pct"/>
            <w:tcBorders>
              <w:top w:val="single" w:sz="4" w:space="0" w:color="auto"/>
              <w:bottom w:val="single" w:sz="4" w:space="0" w:color="auto"/>
            </w:tcBorders>
          </w:tcPr>
          <w:p w:rsidR="00D21514" w:rsidRPr="00194C79" w:rsidRDefault="00D21514" w:rsidP="00E94FB3">
            <w:pPr>
              <w:spacing w:before="40" w:after="40"/>
              <w:jc w:val="right"/>
              <w:rPr>
                <w:b/>
                <w:sz w:val="20"/>
                <w:szCs w:val="20"/>
              </w:rPr>
            </w:pPr>
            <w:r>
              <w:rPr>
                <w:b/>
                <w:sz w:val="20"/>
                <w:szCs w:val="20"/>
              </w:rPr>
              <w:t>2013-14 $m</w:t>
            </w:r>
          </w:p>
        </w:tc>
        <w:tc>
          <w:tcPr>
            <w:tcW w:w="396" w:type="pct"/>
            <w:tcBorders>
              <w:top w:val="single" w:sz="4" w:space="0" w:color="auto"/>
              <w:bottom w:val="single" w:sz="4" w:space="0" w:color="auto"/>
            </w:tcBorders>
          </w:tcPr>
          <w:p w:rsidR="00D21514" w:rsidRPr="00194C79" w:rsidRDefault="00D21514" w:rsidP="00E94FB3">
            <w:pPr>
              <w:spacing w:before="40" w:after="40"/>
              <w:ind w:left="-30"/>
              <w:rPr>
                <w:b/>
                <w:sz w:val="20"/>
                <w:szCs w:val="20"/>
              </w:rPr>
            </w:pPr>
            <w:r w:rsidRPr="00194C79">
              <w:rPr>
                <w:b/>
                <w:sz w:val="20"/>
                <w:szCs w:val="20"/>
              </w:rPr>
              <w:t>Proposed treatment</w:t>
            </w:r>
          </w:p>
        </w:tc>
        <w:tc>
          <w:tcPr>
            <w:tcW w:w="855" w:type="pct"/>
            <w:tcBorders>
              <w:top w:val="single" w:sz="4" w:space="0" w:color="auto"/>
              <w:bottom w:val="single" w:sz="4" w:space="0" w:color="auto"/>
            </w:tcBorders>
          </w:tcPr>
          <w:p w:rsidR="00D21514" w:rsidRPr="00194C79" w:rsidRDefault="00D21514" w:rsidP="00E94FB3">
            <w:pPr>
              <w:spacing w:before="40" w:after="40"/>
              <w:rPr>
                <w:b/>
                <w:sz w:val="20"/>
                <w:szCs w:val="20"/>
              </w:rPr>
            </w:pPr>
            <w:r>
              <w:rPr>
                <w:b/>
                <w:sz w:val="20"/>
                <w:szCs w:val="20"/>
              </w:rPr>
              <w:t>Reason for No impact treatment</w:t>
            </w:r>
          </w:p>
        </w:tc>
      </w:tr>
      <w:tr w:rsidR="00D21514" w:rsidRPr="00515F66" w:rsidTr="004A01DA">
        <w:tc>
          <w:tcPr>
            <w:tcW w:w="1336" w:type="pct"/>
            <w:tcBorders>
              <w:top w:val="single" w:sz="4" w:space="0" w:color="auto"/>
              <w:bottom w:val="single" w:sz="4" w:space="0" w:color="auto"/>
              <w:right w:val="nil"/>
            </w:tcBorders>
          </w:tcPr>
          <w:p w:rsidR="005D28F8" w:rsidRPr="00A77BEF" w:rsidRDefault="005D28F8" w:rsidP="001C7C8E">
            <w:pPr>
              <w:spacing w:before="40" w:after="40"/>
              <w:rPr>
                <w:b/>
                <w:sz w:val="20"/>
                <w:szCs w:val="20"/>
              </w:rPr>
            </w:pPr>
            <w:r w:rsidRPr="00A77BEF">
              <w:rPr>
                <w:b/>
                <w:sz w:val="20"/>
                <w:szCs w:val="20"/>
              </w:rPr>
              <w:t>Environment</w:t>
            </w:r>
          </w:p>
        </w:tc>
        <w:tc>
          <w:tcPr>
            <w:tcW w:w="2076" w:type="pct"/>
            <w:tcBorders>
              <w:top w:val="single" w:sz="4" w:space="0" w:color="auto"/>
              <w:left w:val="nil"/>
              <w:bottom w:val="single" w:sz="4" w:space="0" w:color="auto"/>
              <w:right w:val="nil"/>
            </w:tcBorders>
          </w:tcPr>
          <w:p w:rsidR="005D28F8" w:rsidRDefault="005D28F8" w:rsidP="001C7C8E">
            <w:pPr>
              <w:spacing w:before="40" w:after="40"/>
              <w:rPr>
                <w:sz w:val="20"/>
                <w:szCs w:val="20"/>
              </w:rPr>
            </w:pPr>
          </w:p>
        </w:tc>
        <w:tc>
          <w:tcPr>
            <w:tcW w:w="336" w:type="pct"/>
            <w:tcBorders>
              <w:top w:val="single" w:sz="4" w:space="0" w:color="auto"/>
              <w:left w:val="nil"/>
              <w:bottom w:val="single" w:sz="4" w:space="0" w:color="auto"/>
              <w:right w:val="nil"/>
            </w:tcBorders>
          </w:tcPr>
          <w:p w:rsidR="005D28F8" w:rsidRDefault="005D28F8" w:rsidP="001C7C8E">
            <w:pPr>
              <w:spacing w:before="40" w:after="40"/>
              <w:jc w:val="right"/>
              <w:rPr>
                <w:sz w:val="20"/>
                <w:szCs w:val="20"/>
              </w:rPr>
            </w:pPr>
          </w:p>
        </w:tc>
        <w:tc>
          <w:tcPr>
            <w:tcW w:w="396" w:type="pct"/>
            <w:tcBorders>
              <w:top w:val="single" w:sz="4" w:space="0" w:color="auto"/>
              <w:left w:val="nil"/>
              <w:bottom w:val="single" w:sz="4" w:space="0" w:color="auto"/>
              <w:right w:val="nil"/>
            </w:tcBorders>
          </w:tcPr>
          <w:p w:rsidR="005D28F8" w:rsidRDefault="005D28F8" w:rsidP="001C7C8E">
            <w:pPr>
              <w:spacing w:before="40" w:after="40"/>
              <w:jc w:val="right"/>
              <w:rPr>
                <w:sz w:val="20"/>
                <w:szCs w:val="20"/>
              </w:rPr>
            </w:pPr>
          </w:p>
        </w:tc>
        <w:tc>
          <w:tcPr>
            <w:tcW w:w="855" w:type="pct"/>
            <w:tcBorders>
              <w:top w:val="single" w:sz="4" w:space="0" w:color="auto"/>
              <w:left w:val="nil"/>
              <w:bottom w:val="single" w:sz="4" w:space="0" w:color="auto"/>
            </w:tcBorders>
          </w:tcPr>
          <w:p w:rsidR="005D28F8" w:rsidRDefault="005D28F8" w:rsidP="001C7C8E">
            <w:pPr>
              <w:spacing w:before="40" w:after="40"/>
              <w:rPr>
                <w:sz w:val="20"/>
                <w:szCs w:val="20"/>
              </w:rPr>
            </w:pPr>
          </w:p>
        </w:tc>
      </w:tr>
      <w:tr w:rsidR="00D21514" w:rsidRPr="00515F66" w:rsidTr="00D21514">
        <w:tc>
          <w:tcPr>
            <w:tcW w:w="1336" w:type="pct"/>
            <w:tcBorders>
              <w:top w:val="single" w:sz="4" w:space="0" w:color="auto"/>
              <w:bottom w:val="single" w:sz="4" w:space="0" w:color="auto"/>
            </w:tcBorders>
          </w:tcPr>
          <w:p w:rsidR="00D23BE5" w:rsidRDefault="00D23BE5" w:rsidP="001C7C8E">
            <w:pPr>
              <w:spacing w:before="40" w:after="40"/>
              <w:rPr>
                <w:sz w:val="20"/>
                <w:szCs w:val="20"/>
              </w:rPr>
            </w:pPr>
            <w:r>
              <w:rPr>
                <w:sz w:val="20"/>
                <w:szCs w:val="20"/>
              </w:rPr>
              <w:t>Assistance for water infrastructure and pest management in drought-affected areas</w:t>
            </w:r>
          </w:p>
        </w:tc>
        <w:tc>
          <w:tcPr>
            <w:tcW w:w="2076" w:type="pct"/>
            <w:tcBorders>
              <w:top w:val="single" w:sz="4" w:space="0" w:color="auto"/>
              <w:bottom w:val="single" w:sz="4" w:space="0" w:color="auto"/>
            </w:tcBorders>
          </w:tcPr>
          <w:p w:rsidR="00D23BE5" w:rsidRDefault="00211EAD" w:rsidP="00D93BC4">
            <w:pPr>
              <w:spacing w:before="40" w:after="40"/>
              <w:rPr>
                <w:sz w:val="20"/>
                <w:szCs w:val="20"/>
              </w:rPr>
            </w:pPr>
            <w:r>
              <w:rPr>
                <w:sz w:val="20"/>
                <w:szCs w:val="20"/>
              </w:rPr>
              <w:t>T</w:t>
            </w:r>
            <w:r w:rsidR="00D23BE5">
              <w:rPr>
                <w:sz w:val="20"/>
                <w:szCs w:val="20"/>
              </w:rPr>
              <w:t>o</w:t>
            </w:r>
            <w:r w:rsidR="00D23BE5" w:rsidRPr="003050E2">
              <w:rPr>
                <w:sz w:val="20"/>
                <w:szCs w:val="20"/>
              </w:rPr>
              <w:t xml:space="preserve"> assist drought</w:t>
            </w:r>
            <w:r w:rsidR="00D93BC4">
              <w:rPr>
                <w:rFonts w:ascii="MS Gothic" w:eastAsia="MS Gothic" w:hAnsi="MS Gothic" w:cs="MS Gothic"/>
                <w:sz w:val="20"/>
                <w:szCs w:val="20"/>
              </w:rPr>
              <w:t>-</w:t>
            </w:r>
            <w:r w:rsidR="00D23BE5" w:rsidRPr="003050E2">
              <w:rPr>
                <w:sz w:val="20"/>
                <w:szCs w:val="20"/>
              </w:rPr>
              <w:t>affected farm</w:t>
            </w:r>
            <w:r w:rsidR="00D23BE5">
              <w:rPr>
                <w:sz w:val="20"/>
                <w:szCs w:val="20"/>
              </w:rPr>
              <w:t xml:space="preserve"> business</w:t>
            </w:r>
            <w:r w:rsidR="00D23BE5" w:rsidRPr="003050E2">
              <w:rPr>
                <w:sz w:val="20"/>
                <w:szCs w:val="20"/>
              </w:rPr>
              <w:t xml:space="preserve"> with installing water</w:t>
            </w:r>
            <w:r w:rsidR="00D23BE5" w:rsidRPr="003050E2">
              <w:rPr>
                <w:rFonts w:ascii="MS Gothic" w:eastAsia="MS Gothic" w:hAnsi="MS Gothic" w:cs="MS Gothic" w:hint="eastAsia"/>
                <w:sz w:val="20"/>
                <w:szCs w:val="20"/>
              </w:rPr>
              <w:t>‑</w:t>
            </w:r>
            <w:r w:rsidR="00D23BE5" w:rsidRPr="003050E2">
              <w:rPr>
                <w:sz w:val="20"/>
                <w:szCs w:val="20"/>
              </w:rPr>
              <w:t>related infrastructure and with managing the impacts of pest animals in drought</w:t>
            </w:r>
            <w:r w:rsidR="00D93BC4">
              <w:rPr>
                <w:sz w:val="20"/>
                <w:szCs w:val="20"/>
              </w:rPr>
              <w:t>-</w:t>
            </w:r>
            <w:r w:rsidR="00D23BE5" w:rsidRPr="003050E2">
              <w:rPr>
                <w:sz w:val="20"/>
                <w:szCs w:val="20"/>
              </w:rPr>
              <w:t>affected areas</w:t>
            </w:r>
            <w:r>
              <w:rPr>
                <w:sz w:val="20"/>
                <w:szCs w:val="20"/>
              </w:rPr>
              <w:t>, with the pest management component contingent upon equal contribution from the States.</w:t>
            </w:r>
          </w:p>
        </w:tc>
        <w:tc>
          <w:tcPr>
            <w:tcW w:w="336" w:type="pct"/>
            <w:tcBorders>
              <w:top w:val="single" w:sz="4" w:space="0" w:color="auto"/>
              <w:bottom w:val="single" w:sz="4" w:space="0" w:color="auto"/>
            </w:tcBorders>
          </w:tcPr>
          <w:p w:rsidR="00D23BE5" w:rsidRDefault="00D23BE5" w:rsidP="001C7C8E">
            <w:pPr>
              <w:spacing w:before="40" w:after="40"/>
              <w:jc w:val="right"/>
              <w:rPr>
                <w:sz w:val="20"/>
                <w:szCs w:val="20"/>
              </w:rPr>
            </w:pPr>
            <w:r>
              <w:rPr>
                <w:sz w:val="20"/>
                <w:szCs w:val="20"/>
              </w:rPr>
              <w:t>5.0</w:t>
            </w:r>
          </w:p>
        </w:tc>
        <w:tc>
          <w:tcPr>
            <w:tcW w:w="396" w:type="pct"/>
            <w:tcBorders>
              <w:top w:val="single" w:sz="4" w:space="0" w:color="auto"/>
              <w:bottom w:val="single" w:sz="4" w:space="0" w:color="auto"/>
            </w:tcBorders>
          </w:tcPr>
          <w:p w:rsidR="00D23BE5" w:rsidRDefault="00D23BE5" w:rsidP="001C7C8E">
            <w:pPr>
              <w:spacing w:before="40" w:after="40"/>
              <w:jc w:val="right"/>
              <w:rPr>
                <w:sz w:val="20"/>
                <w:szCs w:val="20"/>
              </w:rPr>
            </w:pPr>
            <w:r>
              <w:rPr>
                <w:sz w:val="20"/>
                <w:szCs w:val="20"/>
              </w:rPr>
              <w:t>No impact</w:t>
            </w:r>
          </w:p>
        </w:tc>
        <w:tc>
          <w:tcPr>
            <w:tcW w:w="855" w:type="pct"/>
            <w:tcBorders>
              <w:top w:val="single" w:sz="4" w:space="0" w:color="auto"/>
              <w:bottom w:val="single" w:sz="4" w:space="0" w:color="auto"/>
            </w:tcBorders>
          </w:tcPr>
          <w:p w:rsidR="00D23BE5" w:rsidRDefault="00D23BE5" w:rsidP="001C7C8E">
            <w:pPr>
              <w:spacing w:before="40" w:after="40"/>
              <w:rPr>
                <w:sz w:val="20"/>
                <w:szCs w:val="20"/>
              </w:rPr>
            </w:pPr>
            <w:r>
              <w:rPr>
                <w:sz w:val="20"/>
                <w:szCs w:val="20"/>
              </w:rPr>
              <w:t>Needs for supporting drought-affected areas are not assessed</w:t>
            </w:r>
          </w:p>
        </w:tc>
      </w:tr>
      <w:tr w:rsidR="00D21514" w:rsidRPr="00515F66" w:rsidTr="00D21514">
        <w:tc>
          <w:tcPr>
            <w:tcW w:w="1336" w:type="pct"/>
            <w:tcBorders>
              <w:top w:val="single" w:sz="4" w:space="0" w:color="auto"/>
              <w:bottom w:val="single" w:sz="4" w:space="0" w:color="auto"/>
            </w:tcBorders>
          </w:tcPr>
          <w:p w:rsidR="00D23BE5" w:rsidRDefault="00D23BE5" w:rsidP="001C7C8E">
            <w:pPr>
              <w:spacing w:before="40" w:after="40"/>
              <w:rPr>
                <w:sz w:val="20"/>
                <w:szCs w:val="20"/>
              </w:rPr>
            </w:pPr>
            <w:r>
              <w:rPr>
                <w:sz w:val="20"/>
                <w:szCs w:val="20"/>
              </w:rPr>
              <w:t xml:space="preserve">Assistance to farm business for water-related infrastructure </w:t>
            </w:r>
          </w:p>
        </w:tc>
        <w:tc>
          <w:tcPr>
            <w:tcW w:w="2076" w:type="pct"/>
            <w:tcBorders>
              <w:top w:val="single" w:sz="4" w:space="0" w:color="auto"/>
              <w:bottom w:val="single" w:sz="4" w:space="0" w:color="auto"/>
            </w:tcBorders>
          </w:tcPr>
          <w:p w:rsidR="00D23BE5" w:rsidRDefault="00211EAD" w:rsidP="001C7C8E">
            <w:pPr>
              <w:spacing w:before="40" w:after="40"/>
              <w:rPr>
                <w:sz w:val="20"/>
                <w:szCs w:val="20"/>
              </w:rPr>
            </w:pPr>
            <w:r>
              <w:rPr>
                <w:sz w:val="20"/>
                <w:szCs w:val="20"/>
              </w:rPr>
              <w:t xml:space="preserve">Funding to New South Wales and Queensland to supplement these States’ existing Emergency water infrastructure rebate </w:t>
            </w:r>
            <w:r w:rsidR="00FD40BA">
              <w:rPr>
                <w:sz w:val="20"/>
                <w:szCs w:val="20"/>
              </w:rPr>
              <w:t>program</w:t>
            </w:r>
            <w:r>
              <w:rPr>
                <w:sz w:val="20"/>
                <w:szCs w:val="20"/>
              </w:rPr>
              <w:t>s.</w:t>
            </w:r>
          </w:p>
        </w:tc>
        <w:tc>
          <w:tcPr>
            <w:tcW w:w="336" w:type="pct"/>
            <w:tcBorders>
              <w:top w:val="single" w:sz="4" w:space="0" w:color="auto"/>
              <w:bottom w:val="single" w:sz="4" w:space="0" w:color="auto"/>
            </w:tcBorders>
          </w:tcPr>
          <w:p w:rsidR="00D23BE5" w:rsidRDefault="00D23BE5" w:rsidP="001C7C8E">
            <w:pPr>
              <w:spacing w:before="40" w:after="40"/>
              <w:jc w:val="right"/>
              <w:rPr>
                <w:sz w:val="20"/>
                <w:szCs w:val="20"/>
              </w:rPr>
            </w:pPr>
            <w:r>
              <w:rPr>
                <w:sz w:val="20"/>
                <w:szCs w:val="20"/>
              </w:rPr>
              <w:t>10.1</w:t>
            </w:r>
          </w:p>
        </w:tc>
        <w:tc>
          <w:tcPr>
            <w:tcW w:w="396" w:type="pct"/>
            <w:tcBorders>
              <w:top w:val="single" w:sz="4" w:space="0" w:color="auto"/>
              <w:bottom w:val="single" w:sz="4" w:space="0" w:color="auto"/>
            </w:tcBorders>
          </w:tcPr>
          <w:p w:rsidR="00D23BE5" w:rsidRDefault="00D23BE5" w:rsidP="001C7C8E">
            <w:pPr>
              <w:spacing w:before="40" w:after="40"/>
              <w:jc w:val="right"/>
              <w:rPr>
                <w:sz w:val="20"/>
                <w:szCs w:val="20"/>
              </w:rPr>
            </w:pPr>
            <w:r>
              <w:rPr>
                <w:sz w:val="20"/>
                <w:szCs w:val="20"/>
              </w:rPr>
              <w:t>No impact</w:t>
            </w:r>
          </w:p>
        </w:tc>
        <w:tc>
          <w:tcPr>
            <w:tcW w:w="855" w:type="pct"/>
            <w:tcBorders>
              <w:top w:val="single" w:sz="4" w:space="0" w:color="auto"/>
              <w:bottom w:val="single" w:sz="4" w:space="0" w:color="auto"/>
            </w:tcBorders>
          </w:tcPr>
          <w:p w:rsidR="00D23BE5" w:rsidRDefault="00D23BE5" w:rsidP="001C7C8E">
            <w:pPr>
              <w:spacing w:before="40" w:after="40"/>
              <w:rPr>
                <w:sz w:val="20"/>
                <w:szCs w:val="20"/>
              </w:rPr>
            </w:pPr>
            <w:r>
              <w:rPr>
                <w:sz w:val="20"/>
                <w:szCs w:val="20"/>
              </w:rPr>
              <w:t>Needs for supporting drought-affected areas are not assessed</w:t>
            </w:r>
          </w:p>
        </w:tc>
      </w:tr>
      <w:tr w:rsidR="00D21514" w:rsidTr="00D21514">
        <w:tc>
          <w:tcPr>
            <w:tcW w:w="1336" w:type="pct"/>
          </w:tcPr>
          <w:p w:rsidR="007A38AB" w:rsidRDefault="00003671" w:rsidP="00E94FB3">
            <w:pPr>
              <w:spacing w:before="40" w:after="40"/>
              <w:rPr>
                <w:sz w:val="20"/>
                <w:szCs w:val="20"/>
              </w:rPr>
            </w:pPr>
            <w:r w:rsidRPr="00DF682C">
              <w:rPr>
                <w:b/>
                <w:noProof/>
                <w:sz w:val="20"/>
                <w:lang w:eastAsia="en-AU"/>
              </w:rPr>
              <mc:AlternateContent>
                <mc:Choice Requires="wps">
                  <w:drawing>
                    <wp:anchor distT="0" distB="0" distL="114300" distR="114300" simplePos="0" relativeHeight="251668480" behindDoc="0" locked="0" layoutInCell="1" allowOverlap="1" wp14:anchorId="2A2C428D" wp14:editId="7F01EEC4">
                      <wp:simplePos x="0" y="0"/>
                      <wp:positionH relativeFrom="column">
                        <wp:posOffset>-622935</wp:posOffset>
                      </wp:positionH>
                      <wp:positionV relativeFrom="paragraph">
                        <wp:posOffset>182209</wp:posOffset>
                      </wp:positionV>
                      <wp:extent cx="430530" cy="5648325"/>
                      <wp:effectExtent l="0" t="0" r="762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564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9EC" w:rsidRPr="005D28F8" w:rsidRDefault="00EA09EC" w:rsidP="00003671">
                                  <w:pPr>
                                    <w:spacing w:after="0" w:line="240" w:lineRule="auto"/>
                                    <w:rPr>
                                      <w:sz w:val="20"/>
                                      <w:szCs w:val="20"/>
                                    </w:rPr>
                                  </w:pPr>
                                  <w:r w:rsidRPr="005D28F8">
                                    <w:rPr>
                                      <w:sz w:val="20"/>
                                      <w:szCs w:val="20"/>
                                    </w:rPr>
                                    <w:t>Attachment A</w:t>
                                  </w:r>
                                  <w:r w:rsidRPr="005D28F8">
                                    <w:rPr>
                                      <w:sz w:val="20"/>
                                      <w:szCs w:val="20"/>
                                    </w:rPr>
                                    <w:tab/>
                                  </w:r>
                                  <w:r w:rsidRPr="005D28F8">
                                    <w:rPr>
                                      <w:sz w:val="20"/>
                                      <w:szCs w:val="20"/>
                                    </w:rPr>
                                    <w:ptab w:relativeTo="margin" w:alignment="right" w:leader="none"/>
                                  </w:r>
                                  <w:r>
                                    <w:rPr>
                                      <w:sz w:val="20"/>
                                      <w:szCs w:val="20"/>
                                    </w:rPr>
                                    <w:t>11</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49.05pt;margin-top:14.35pt;width:33.9pt;height:44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" stroked="f">
                      <v:textbox style="layout-flow:vertical">
                        <w:txbxContent>
                          <w:p w:rsidR="00EA09EC" w:rsidRPr="005D28F8" w:rsidRDefault="00EA09EC" w:rsidP="00003671">
                            <w:pPr>
                              <w:spacing w:after="0" w:line="240" w:lineRule="auto"/>
                              <w:rPr>
                                <w:sz w:val="20"/>
                                <w:szCs w:val="20"/>
                              </w:rPr>
                            </w:pPr>
                            <w:r w:rsidRPr="005D28F8">
                              <w:rPr>
                                <w:sz w:val="20"/>
                                <w:szCs w:val="20"/>
                              </w:rPr>
                              <w:t xml:space="preserve">Attachment </w:t>
                            </w:r>
                            <w:proofErr w:type="gramStart"/>
                            <w:r w:rsidRPr="005D28F8">
                              <w:rPr>
                                <w:sz w:val="20"/>
                                <w:szCs w:val="20"/>
                              </w:rPr>
                              <w:t>A</w:t>
                            </w:r>
                            <w:proofErr w:type="gramEnd"/>
                            <w:r w:rsidRPr="005D28F8">
                              <w:rPr>
                                <w:sz w:val="20"/>
                                <w:szCs w:val="20"/>
                              </w:rPr>
                              <w:tab/>
                            </w:r>
                            <w:r w:rsidRPr="005D28F8">
                              <w:rPr>
                                <w:sz w:val="20"/>
                                <w:szCs w:val="20"/>
                              </w:rPr>
                              <w:ptab w:relativeTo="margin" w:alignment="right" w:leader="none"/>
                            </w:r>
                            <w:r>
                              <w:rPr>
                                <w:sz w:val="20"/>
                                <w:szCs w:val="20"/>
                              </w:rPr>
                              <w:t>11</w:t>
                            </w:r>
                          </w:p>
                        </w:txbxContent>
                      </v:textbox>
                    </v:shape>
                  </w:pict>
                </mc:Fallback>
              </mc:AlternateContent>
            </w:r>
            <w:r w:rsidR="007A38AB" w:rsidRPr="00AC578F">
              <w:rPr>
                <w:sz w:val="20"/>
                <w:szCs w:val="20"/>
              </w:rPr>
              <w:t>Implementation of National Insurance Affordability Initiative</w:t>
            </w:r>
          </w:p>
        </w:tc>
        <w:tc>
          <w:tcPr>
            <w:tcW w:w="2076" w:type="pct"/>
          </w:tcPr>
          <w:p w:rsidR="007A38AB" w:rsidRDefault="007A38AB" w:rsidP="00553DA1">
            <w:pPr>
              <w:spacing w:before="40" w:after="40"/>
              <w:rPr>
                <w:sz w:val="20"/>
                <w:szCs w:val="20"/>
              </w:rPr>
            </w:pPr>
            <w:r>
              <w:rPr>
                <w:sz w:val="20"/>
                <w:szCs w:val="20"/>
              </w:rPr>
              <w:t xml:space="preserve">Funding to </w:t>
            </w:r>
            <w:r w:rsidR="00A25C01">
              <w:rPr>
                <w:sz w:val="20"/>
                <w:szCs w:val="20"/>
              </w:rPr>
              <w:t xml:space="preserve">reduce flood risk and bring about reductions in insurance premiums. </w:t>
            </w:r>
            <w:r w:rsidR="00553DA1">
              <w:rPr>
                <w:sz w:val="20"/>
                <w:szCs w:val="20"/>
              </w:rPr>
              <w:t>P</w:t>
            </w:r>
            <w:r w:rsidR="00A25C01">
              <w:rPr>
                <w:sz w:val="20"/>
                <w:szCs w:val="20"/>
              </w:rPr>
              <w:t xml:space="preserve">ayments to Queensland are for the construction of a flood levee in Roma and improving the flood defences in Ipswich. </w:t>
            </w:r>
          </w:p>
        </w:tc>
        <w:tc>
          <w:tcPr>
            <w:tcW w:w="336" w:type="pct"/>
          </w:tcPr>
          <w:p w:rsidR="007A38AB" w:rsidRDefault="007A38AB" w:rsidP="00E94FB3">
            <w:pPr>
              <w:spacing w:before="40" w:after="40"/>
              <w:jc w:val="right"/>
              <w:rPr>
                <w:sz w:val="20"/>
                <w:szCs w:val="20"/>
              </w:rPr>
            </w:pPr>
            <w:r>
              <w:rPr>
                <w:sz w:val="20"/>
                <w:szCs w:val="20"/>
              </w:rPr>
              <w:t>7.0</w:t>
            </w:r>
          </w:p>
        </w:tc>
        <w:tc>
          <w:tcPr>
            <w:tcW w:w="396" w:type="pct"/>
          </w:tcPr>
          <w:p w:rsidR="007A38AB" w:rsidRDefault="007A38AB" w:rsidP="00E94FB3">
            <w:pPr>
              <w:spacing w:before="40" w:after="40"/>
              <w:jc w:val="right"/>
              <w:rPr>
                <w:sz w:val="20"/>
                <w:szCs w:val="20"/>
              </w:rPr>
            </w:pPr>
            <w:r>
              <w:rPr>
                <w:sz w:val="20"/>
                <w:szCs w:val="20"/>
              </w:rPr>
              <w:t>No impact</w:t>
            </w:r>
          </w:p>
        </w:tc>
        <w:tc>
          <w:tcPr>
            <w:tcW w:w="855" w:type="pct"/>
          </w:tcPr>
          <w:p w:rsidR="007A38AB" w:rsidRDefault="007A38AB" w:rsidP="00553DA1">
            <w:pPr>
              <w:spacing w:before="40" w:after="40"/>
              <w:rPr>
                <w:sz w:val="20"/>
                <w:szCs w:val="20"/>
              </w:rPr>
            </w:pPr>
            <w:r>
              <w:rPr>
                <w:sz w:val="20"/>
                <w:szCs w:val="20"/>
              </w:rPr>
              <w:t>Needs for the protection of environment</w:t>
            </w:r>
            <w:r w:rsidR="00D619C2">
              <w:rPr>
                <w:rStyle w:val="FootnoteReference"/>
                <w:sz w:val="20"/>
                <w:szCs w:val="20"/>
              </w:rPr>
              <w:footnoteReference w:id="9"/>
            </w:r>
            <w:r w:rsidR="00D619C2">
              <w:rPr>
                <w:sz w:val="20"/>
                <w:szCs w:val="20"/>
              </w:rPr>
              <w:t xml:space="preserve"> are not assessed</w:t>
            </w:r>
          </w:p>
        </w:tc>
      </w:tr>
      <w:tr w:rsidR="00D21514" w:rsidRPr="00DF682C" w:rsidTr="00D21514">
        <w:tc>
          <w:tcPr>
            <w:tcW w:w="1336" w:type="pct"/>
            <w:tcBorders>
              <w:bottom w:val="nil"/>
            </w:tcBorders>
          </w:tcPr>
          <w:p w:rsidR="00D23BE5" w:rsidRDefault="00D23BE5" w:rsidP="001C7C8E">
            <w:pPr>
              <w:spacing w:before="40" w:after="40"/>
              <w:rPr>
                <w:sz w:val="20"/>
                <w:szCs w:val="20"/>
              </w:rPr>
            </w:pPr>
            <w:r w:rsidRPr="00D21514">
              <w:rPr>
                <w:sz w:val="20"/>
                <w:szCs w:val="20"/>
              </w:rPr>
              <w:t xml:space="preserve">South Australian River Murray Sustainability program – </w:t>
            </w:r>
          </w:p>
          <w:p w:rsidR="00D21514" w:rsidRDefault="00D21514" w:rsidP="001C7C8E">
            <w:pPr>
              <w:spacing w:before="40" w:after="40"/>
              <w:rPr>
                <w:sz w:val="20"/>
                <w:szCs w:val="20"/>
              </w:rPr>
            </w:pPr>
          </w:p>
          <w:p w:rsidR="00D21514" w:rsidRPr="00D21514" w:rsidRDefault="00D21514" w:rsidP="001C7C8E">
            <w:pPr>
              <w:spacing w:before="40" w:after="40"/>
              <w:rPr>
                <w:sz w:val="20"/>
                <w:szCs w:val="20"/>
              </w:rPr>
            </w:pPr>
          </w:p>
          <w:p w:rsidR="00D23BE5" w:rsidRPr="00D21514" w:rsidRDefault="00D23BE5" w:rsidP="001C7C8E">
            <w:pPr>
              <w:pStyle w:val="ListParagraph"/>
              <w:numPr>
                <w:ilvl w:val="0"/>
                <w:numId w:val="25"/>
              </w:numPr>
              <w:tabs>
                <w:tab w:val="left" w:pos="1418"/>
                <w:tab w:val="left" w:pos="2268"/>
                <w:tab w:val="left" w:pos="2835"/>
              </w:tabs>
              <w:spacing w:before="40" w:after="40" w:line="240" w:lineRule="auto"/>
              <w:ind w:left="426" w:hanging="284"/>
              <w:rPr>
                <w:sz w:val="20"/>
                <w:szCs w:val="20"/>
              </w:rPr>
            </w:pPr>
            <w:r w:rsidRPr="00D21514">
              <w:rPr>
                <w:sz w:val="20"/>
                <w:szCs w:val="20"/>
              </w:rPr>
              <w:t xml:space="preserve">Irrigation efficiency and water purchase </w:t>
            </w:r>
          </w:p>
        </w:tc>
        <w:tc>
          <w:tcPr>
            <w:tcW w:w="2076" w:type="pct"/>
            <w:tcBorders>
              <w:bottom w:val="nil"/>
            </w:tcBorders>
          </w:tcPr>
          <w:p w:rsidR="00D23BE5" w:rsidRPr="00D21514" w:rsidRDefault="00D23BE5" w:rsidP="001C7C8E">
            <w:pPr>
              <w:spacing w:before="40" w:after="40"/>
              <w:rPr>
                <w:sz w:val="20"/>
                <w:szCs w:val="20"/>
              </w:rPr>
            </w:pPr>
            <w:r w:rsidRPr="00D21514">
              <w:rPr>
                <w:sz w:val="20"/>
                <w:szCs w:val="20"/>
              </w:rPr>
              <w:t>Funding to South Australia to support the Murray</w:t>
            </w:r>
            <w:r w:rsidRPr="00D21514">
              <w:rPr>
                <w:rFonts w:ascii="MS Gothic" w:eastAsia="MS Gothic" w:hAnsi="MS Gothic" w:cs="MS Gothic" w:hint="eastAsia"/>
                <w:sz w:val="20"/>
                <w:szCs w:val="20"/>
              </w:rPr>
              <w:t>‑</w:t>
            </w:r>
            <w:r w:rsidRPr="00D21514">
              <w:rPr>
                <w:sz w:val="20"/>
                <w:szCs w:val="20"/>
              </w:rPr>
              <w:t>Darling Basin water reforms by contributing to a healthy working river system, strong communities and sustainable food and fibre production.</w:t>
            </w:r>
          </w:p>
          <w:p w:rsidR="00D23BE5" w:rsidRPr="00D21514" w:rsidRDefault="00D23BE5" w:rsidP="001C7C8E">
            <w:pPr>
              <w:spacing w:before="40" w:after="40"/>
              <w:rPr>
                <w:sz w:val="20"/>
                <w:szCs w:val="20"/>
              </w:rPr>
            </w:pPr>
          </w:p>
          <w:p w:rsidR="00D23BE5" w:rsidRPr="00D21514" w:rsidRDefault="00D21514" w:rsidP="00D21514">
            <w:pPr>
              <w:spacing w:before="40" w:after="40"/>
              <w:rPr>
                <w:sz w:val="20"/>
                <w:szCs w:val="20"/>
              </w:rPr>
            </w:pPr>
            <w:r>
              <w:rPr>
                <w:sz w:val="20"/>
                <w:szCs w:val="20"/>
              </w:rPr>
              <w:t>This program</w:t>
            </w:r>
            <w:r w:rsidR="00D23BE5" w:rsidRPr="00D21514">
              <w:rPr>
                <w:sz w:val="20"/>
                <w:szCs w:val="20"/>
              </w:rPr>
              <w:t xml:space="preserve"> support</w:t>
            </w:r>
            <w:r>
              <w:rPr>
                <w:sz w:val="20"/>
                <w:szCs w:val="20"/>
              </w:rPr>
              <w:t>s</w:t>
            </w:r>
            <w:r w:rsidR="00D23BE5" w:rsidRPr="00D21514">
              <w:rPr>
                <w:sz w:val="20"/>
                <w:szCs w:val="20"/>
              </w:rPr>
              <w:t xml:space="preserve"> more efficient delivery and use of water by irrigation water providers and irrigators.</w:t>
            </w:r>
          </w:p>
        </w:tc>
        <w:tc>
          <w:tcPr>
            <w:tcW w:w="336" w:type="pct"/>
            <w:tcBorders>
              <w:bottom w:val="nil"/>
            </w:tcBorders>
          </w:tcPr>
          <w:p w:rsidR="00D23BE5" w:rsidRPr="00D21514" w:rsidRDefault="00D23BE5" w:rsidP="001C7C8E">
            <w:pPr>
              <w:spacing w:before="40" w:after="40"/>
              <w:jc w:val="right"/>
              <w:rPr>
                <w:sz w:val="20"/>
                <w:szCs w:val="20"/>
              </w:rPr>
            </w:pPr>
          </w:p>
          <w:p w:rsidR="00D23BE5" w:rsidRPr="00D21514" w:rsidRDefault="00D23BE5" w:rsidP="001C7C8E">
            <w:pPr>
              <w:spacing w:before="40" w:after="40"/>
              <w:jc w:val="right"/>
              <w:rPr>
                <w:sz w:val="20"/>
                <w:szCs w:val="20"/>
              </w:rPr>
            </w:pPr>
          </w:p>
          <w:p w:rsidR="00D23BE5" w:rsidRPr="00D21514" w:rsidRDefault="00D23BE5" w:rsidP="001C7C8E">
            <w:pPr>
              <w:spacing w:before="40" w:after="40"/>
              <w:jc w:val="right"/>
              <w:rPr>
                <w:sz w:val="20"/>
                <w:szCs w:val="20"/>
              </w:rPr>
            </w:pPr>
          </w:p>
          <w:p w:rsidR="00D23BE5" w:rsidRPr="00D21514" w:rsidRDefault="00D23BE5" w:rsidP="001C7C8E">
            <w:pPr>
              <w:spacing w:before="40" w:after="40"/>
              <w:jc w:val="right"/>
              <w:rPr>
                <w:sz w:val="20"/>
                <w:szCs w:val="20"/>
              </w:rPr>
            </w:pPr>
          </w:p>
          <w:p w:rsidR="00D23BE5" w:rsidRPr="00D21514" w:rsidRDefault="00D23BE5" w:rsidP="001C7C8E">
            <w:pPr>
              <w:spacing w:before="40" w:after="40"/>
              <w:jc w:val="right"/>
              <w:rPr>
                <w:sz w:val="20"/>
                <w:szCs w:val="20"/>
              </w:rPr>
            </w:pPr>
          </w:p>
          <w:p w:rsidR="00D23BE5" w:rsidRPr="00D21514" w:rsidRDefault="00D23BE5" w:rsidP="001C7C8E">
            <w:pPr>
              <w:spacing w:before="40" w:after="40"/>
              <w:jc w:val="right"/>
              <w:rPr>
                <w:sz w:val="20"/>
                <w:szCs w:val="20"/>
              </w:rPr>
            </w:pPr>
            <w:r w:rsidRPr="00D21514">
              <w:rPr>
                <w:sz w:val="20"/>
                <w:szCs w:val="20"/>
              </w:rPr>
              <w:t>14.0</w:t>
            </w:r>
          </w:p>
        </w:tc>
        <w:tc>
          <w:tcPr>
            <w:tcW w:w="396" w:type="pct"/>
            <w:tcBorders>
              <w:bottom w:val="nil"/>
            </w:tcBorders>
          </w:tcPr>
          <w:p w:rsidR="00D23BE5" w:rsidRPr="00D21514" w:rsidRDefault="00D23BE5" w:rsidP="001C7C8E">
            <w:pPr>
              <w:spacing w:before="40" w:after="40"/>
              <w:jc w:val="right"/>
              <w:rPr>
                <w:sz w:val="20"/>
                <w:szCs w:val="20"/>
              </w:rPr>
            </w:pPr>
          </w:p>
          <w:p w:rsidR="00D23BE5" w:rsidRPr="00D21514" w:rsidRDefault="00D23BE5" w:rsidP="001C7C8E">
            <w:pPr>
              <w:spacing w:before="40" w:after="40"/>
              <w:jc w:val="right"/>
              <w:rPr>
                <w:sz w:val="20"/>
                <w:szCs w:val="20"/>
              </w:rPr>
            </w:pPr>
          </w:p>
          <w:p w:rsidR="00D23BE5" w:rsidRPr="00D21514" w:rsidRDefault="00D23BE5" w:rsidP="001C7C8E">
            <w:pPr>
              <w:spacing w:before="40" w:after="40"/>
              <w:jc w:val="right"/>
              <w:rPr>
                <w:sz w:val="20"/>
                <w:szCs w:val="20"/>
              </w:rPr>
            </w:pPr>
          </w:p>
          <w:p w:rsidR="00D23BE5" w:rsidRPr="00D21514" w:rsidRDefault="00D23BE5" w:rsidP="001C7C8E">
            <w:pPr>
              <w:spacing w:before="40" w:after="40"/>
              <w:jc w:val="right"/>
              <w:rPr>
                <w:sz w:val="20"/>
                <w:szCs w:val="20"/>
              </w:rPr>
            </w:pPr>
          </w:p>
          <w:p w:rsidR="00D23BE5" w:rsidRPr="00D21514" w:rsidRDefault="00D23BE5" w:rsidP="001C7C8E">
            <w:pPr>
              <w:spacing w:before="40" w:after="40"/>
              <w:jc w:val="right"/>
              <w:rPr>
                <w:sz w:val="20"/>
                <w:szCs w:val="20"/>
              </w:rPr>
            </w:pPr>
          </w:p>
          <w:p w:rsidR="00D23BE5" w:rsidRPr="00D21514" w:rsidRDefault="00A25C01" w:rsidP="001C7C8E">
            <w:pPr>
              <w:spacing w:before="40" w:after="40"/>
              <w:jc w:val="right"/>
              <w:rPr>
                <w:sz w:val="20"/>
                <w:szCs w:val="20"/>
              </w:rPr>
            </w:pPr>
            <w:r>
              <w:rPr>
                <w:sz w:val="20"/>
                <w:szCs w:val="20"/>
              </w:rPr>
              <w:t>No impact</w:t>
            </w:r>
          </w:p>
        </w:tc>
        <w:tc>
          <w:tcPr>
            <w:tcW w:w="855" w:type="pct"/>
            <w:tcBorders>
              <w:bottom w:val="nil"/>
            </w:tcBorders>
          </w:tcPr>
          <w:p w:rsidR="00D23BE5" w:rsidRPr="00D21514" w:rsidRDefault="00A25C01" w:rsidP="001C7C8E">
            <w:pPr>
              <w:spacing w:before="40" w:after="40"/>
              <w:rPr>
                <w:sz w:val="20"/>
                <w:szCs w:val="20"/>
              </w:rPr>
            </w:pPr>
            <w:r>
              <w:rPr>
                <w:sz w:val="20"/>
                <w:szCs w:val="20"/>
              </w:rPr>
              <w:t>T</w:t>
            </w:r>
            <w:r w:rsidR="00211EAD" w:rsidRPr="00D21514">
              <w:rPr>
                <w:sz w:val="20"/>
                <w:szCs w:val="20"/>
              </w:rPr>
              <w:t>erms of reference</w:t>
            </w:r>
            <w:r>
              <w:rPr>
                <w:sz w:val="20"/>
                <w:szCs w:val="20"/>
              </w:rPr>
              <w:t xml:space="preserve"> requirement</w:t>
            </w:r>
          </w:p>
        </w:tc>
      </w:tr>
      <w:tr w:rsidR="00D21514" w:rsidTr="00D21514">
        <w:tc>
          <w:tcPr>
            <w:tcW w:w="1336" w:type="pct"/>
            <w:tcBorders>
              <w:top w:val="nil"/>
              <w:bottom w:val="nil"/>
            </w:tcBorders>
          </w:tcPr>
          <w:p w:rsidR="00D23BE5" w:rsidRPr="00D21514" w:rsidRDefault="00D23BE5" w:rsidP="001C7C8E">
            <w:pPr>
              <w:pStyle w:val="ListParagraph"/>
              <w:numPr>
                <w:ilvl w:val="0"/>
                <w:numId w:val="25"/>
              </w:numPr>
              <w:tabs>
                <w:tab w:val="left" w:pos="1418"/>
                <w:tab w:val="left" w:pos="2268"/>
                <w:tab w:val="left" w:pos="2835"/>
              </w:tabs>
              <w:spacing w:before="40" w:after="40" w:line="240" w:lineRule="auto"/>
              <w:ind w:left="426" w:hanging="284"/>
              <w:rPr>
                <w:sz w:val="20"/>
                <w:szCs w:val="20"/>
              </w:rPr>
            </w:pPr>
            <w:r w:rsidRPr="00D21514">
              <w:rPr>
                <w:sz w:val="20"/>
                <w:szCs w:val="20"/>
              </w:rPr>
              <w:t>Irrigation industry assistance</w:t>
            </w:r>
          </w:p>
        </w:tc>
        <w:tc>
          <w:tcPr>
            <w:tcW w:w="2076" w:type="pct"/>
            <w:tcBorders>
              <w:top w:val="nil"/>
              <w:bottom w:val="nil"/>
            </w:tcBorders>
          </w:tcPr>
          <w:p w:rsidR="00D23BE5" w:rsidRPr="00D21514" w:rsidRDefault="00D23BE5" w:rsidP="001C7C8E">
            <w:pPr>
              <w:spacing w:before="40" w:after="40"/>
              <w:rPr>
                <w:sz w:val="20"/>
                <w:szCs w:val="20"/>
              </w:rPr>
            </w:pPr>
            <w:r w:rsidRPr="00D21514">
              <w:rPr>
                <w:sz w:val="20"/>
                <w:szCs w:val="20"/>
              </w:rPr>
              <w:t>This program helps improve productivity of the South Australian River Murray industry.</w:t>
            </w:r>
          </w:p>
        </w:tc>
        <w:tc>
          <w:tcPr>
            <w:tcW w:w="336" w:type="pct"/>
            <w:tcBorders>
              <w:top w:val="nil"/>
              <w:bottom w:val="nil"/>
            </w:tcBorders>
          </w:tcPr>
          <w:p w:rsidR="00D23BE5" w:rsidRPr="00D21514" w:rsidRDefault="00D23BE5" w:rsidP="001C7C8E">
            <w:pPr>
              <w:spacing w:before="40" w:after="40"/>
              <w:jc w:val="right"/>
              <w:rPr>
                <w:sz w:val="20"/>
                <w:szCs w:val="20"/>
              </w:rPr>
            </w:pPr>
            <w:r w:rsidRPr="00D21514">
              <w:rPr>
                <w:sz w:val="20"/>
                <w:szCs w:val="20"/>
              </w:rPr>
              <w:t>9.0</w:t>
            </w:r>
          </w:p>
        </w:tc>
        <w:tc>
          <w:tcPr>
            <w:tcW w:w="396" w:type="pct"/>
            <w:tcBorders>
              <w:top w:val="nil"/>
              <w:bottom w:val="nil"/>
            </w:tcBorders>
          </w:tcPr>
          <w:p w:rsidR="00D23BE5" w:rsidRPr="00D21514" w:rsidRDefault="00A25C01" w:rsidP="001C7C8E">
            <w:pPr>
              <w:spacing w:before="40" w:after="40"/>
              <w:jc w:val="right"/>
              <w:rPr>
                <w:sz w:val="20"/>
                <w:szCs w:val="20"/>
              </w:rPr>
            </w:pPr>
            <w:r>
              <w:rPr>
                <w:sz w:val="20"/>
                <w:szCs w:val="20"/>
              </w:rPr>
              <w:t>No impact</w:t>
            </w:r>
          </w:p>
        </w:tc>
        <w:tc>
          <w:tcPr>
            <w:tcW w:w="855" w:type="pct"/>
            <w:tcBorders>
              <w:top w:val="nil"/>
              <w:bottom w:val="nil"/>
            </w:tcBorders>
          </w:tcPr>
          <w:p w:rsidR="00D23BE5" w:rsidRPr="00D21514" w:rsidRDefault="00D23BE5" w:rsidP="001C7C8E">
            <w:pPr>
              <w:spacing w:before="40" w:after="40"/>
              <w:rPr>
                <w:sz w:val="20"/>
                <w:szCs w:val="20"/>
              </w:rPr>
            </w:pPr>
          </w:p>
        </w:tc>
      </w:tr>
      <w:tr w:rsidR="00D21514" w:rsidTr="00D21514">
        <w:tc>
          <w:tcPr>
            <w:tcW w:w="1336" w:type="pct"/>
            <w:tcBorders>
              <w:top w:val="nil"/>
            </w:tcBorders>
          </w:tcPr>
          <w:p w:rsidR="00D23BE5" w:rsidRPr="00D21514" w:rsidRDefault="00D23BE5" w:rsidP="001C7C8E">
            <w:pPr>
              <w:pStyle w:val="ListParagraph"/>
              <w:numPr>
                <w:ilvl w:val="0"/>
                <w:numId w:val="25"/>
              </w:numPr>
              <w:tabs>
                <w:tab w:val="left" w:pos="1418"/>
                <w:tab w:val="left" w:pos="2268"/>
                <w:tab w:val="left" w:pos="2835"/>
              </w:tabs>
              <w:spacing w:before="40" w:after="40" w:line="240" w:lineRule="auto"/>
              <w:ind w:left="426" w:hanging="284"/>
              <w:rPr>
                <w:sz w:val="20"/>
                <w:szCs w:val="20"/>
              </w:rPr>
            </w:pPr>
            <w:r w:rsidRPr="00D21514">
              <w:rPr>
                <w:sz w:val="20"/>
                <w:szCs w:val="20"/>
              </w:rPr>
              <w:t>Regional economic development</w:t>
            </w:r>
          </w:p>
        </w:tc>
        <w:tc>
          <w:tcPr>
            <w:tcW w:w="2076" w:type="pct"/>
            <w:tcBorders>
              <w:top w:val="nil"/>
            </w:tcBorders>
          </w:tcPr>
          <w:p w:rsidR="00D23BE5" w:rsidRPr="00D21514" w:rsidRDefault="00D23BE5" w:rsidP="008B6005">
            <w:pPr>
              <w:spacing w:before="40" w:after="40"/>
              <w:rPr>
                <w:sz w:val="20"/>
                <w:szCs w:val="20"/>
              </w:rPr>
            </w:pPr>
            <w:r w:rsidRPr="00D21514">
              <w:rPr>
                <w:sz w:val="20"/>
                <w:szCs w:val="20"/>
              </w:rPr>
              <w:t>This program provides funding for the redevelopment of the Loxton Research Centre</w:t>
            </w:r>
            <w:r w:rsidR="008B6005">
              <w:rPr>
                <w:sz w:val="20"/>
                <w:szCs w:val="20"/>
              </w:rPr>
              <w:t>,</w:t>
            </w:r>
            <w:r w:rsidRPr="00D21514">
              <w:rPr>
                <w:sz w:val="20"/>
                <w:szCs w:val="20"/>
              </w:rPr>
              <w:t xml:space="preserve"> a program of industry-led research</w:t>
            </w:r>
            <w:r w:rsidR="008B6005">
              <w:rPr>
                <w:sz w:val="20"/>
                <w:szCs w:val="20"/>
              </w:rPr>
              <w:t>,</w:t>
            </w:r>
            <w:r w:rsidRPr="00D21514">
              <w:rPr>
                <w:sz w:val="20"/>
                <w:szCs w:val="20"/>
              </w:rPr>
              <w:t xml:space="preserve"> and a regional development and innovation program.</w:t>
            </w:r>
          </w:p>
        </w:tc>
        <w:tc>
          <w:tcPr>
            <w:tcW w:w="336" w:type="pct"/>
            <w:tcBorders>
              <w:top w:val="nil"/>
            </w:tcBorders>
          </w:tcPr>
          <w:p w:rsidR="00D23BE5" w:rsidRPr="00D21514" w:rsidRDefault="00D23BE5" w:rsidP="001C7C8E">
            <w:pPr>
              <w:spacing w:before="40" w:after="40"/>
              <w:jc w:val="right"/>
              <w:rPr>
                <w:sz w:val="20"/>
                <w:szCs w:val="20"/>
              </w:rPr>
            </w:pPr>
            <w:r w:rsidRPr="00D21514">
              <w:rPr>
                <w:sz w:val="20"/>
                <w:szCs w:val="20"/>
              </w:rPr>
              <w:t>7.0</w:t>
            </w:r>
          </w:p>
        </w:tc>
        <w:tc>
          <w:tcPr>
            <w:tcW w:w="396" w:type="pct"/>
            <w:tcBorders>
              <w:top w:val="nil"/>
            </w:tcBorders>
          </w:tcPr>
          <w:p w:rsidR="00D23BE5" w:rsidRPr="00D21514" w:rsidRDefault="00A25C01" w:rsidP="001C7C8E">
            <w:pPr>
              <w:spacing w:before="40" w:after="40"/>
              <w:jc w:val="right"/>
              <w:rPr>
                <w:sz w:val="20"/>
                <w:szCs w:val="20"/>
              </w:rPr>
            </w:pPr>
            <w:r>
              <w:rPr>
                <w:sz w:val="20"/>
                <w:szCs w:val="20"/>
              </w:rPr>
              <w:t>No impact</w:t>
            </w:r>
          </w:p>
        </w:tc>
        <w:tc>
          <w:tcPr>
            <w:tcW w:w="855" w:type="pct"/>
            <w:tcBorders>
              <w:top w:val="nil"/>
            </w:tcBorders>
          </w:tcPr>
          <w:p w:rsidR="00D23BE5" w:rsidRPr="00D21514" w:rsidRDefault="00D23BE5" w:rsidP="001C7C8E">
            <w:pPr>
              <w:spacing w:before="40" w:after="40"/>
              <w:rPr>
                <w:sz w:val="20"/>
                <w:szCs w:val="20"/>
              </w:rPr>
            </w:pPr>
          </w:p>
        </w:tc>
      </w:tr>
    </w:tbl>
    <w:p w:rsidR="00A25C01" w:rsidRDefault="00A25C01"/>
    <w:p w:rsidR="00A25C01" w:rsidRDefault="00A25C01"/>
    <w:p w:rsidR="00A25C01" w:rsidRPr="00DF682C" w:rsidRDefault="00A25C01" w:rsidP="00A25C01">
      <w:pPr>
        <w:pStyle w:val="CGCTableHeading"/>
        <w:rPr>
          <w:sz w:val="20"/>
        </w:rPr>
      </w:pPr>
      <w:r w:rsidRPr="00DF682C">
        <w:rPr>
          <w:b w:val="0"/>
          <w:noProof/>
          <w:sz w:val="20"/>
          <w:lang w:eastAsia="en-AU"/>
        </w:rPr>
        <w:lastRenderedPageBreak/>
        <mc:AlternateContent>
          <mc:Choice Requires="wps">
            <w:drawing>
              <wp:anchor distT="0" distB="0" distL="114300" distR="114300" simplePos="0" relativeHeight="251680768" behindDoc="0" locked="0" layoutInCell="1" allowOverlap="1" wp14:anchorId="0831C35A" wp14:editId="7820079E">
                <wp:simplePos x="0" y="0"/>
                <wp:positionH relativeFrom="column">
                  <wp:posOffset>-622935</wp:posOffset>
                </wp:positionH>
                <wp:positionV relativeFrom="paragraph">
                  <wp:posOffset>182209</wp:posOffset>
                </wp:positionV>
                <wp:extent cx="430530" cy="5648325"/>
                <wp:effectExtent l="0" t="0" r="762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564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9EC" w:rsidRPr="005D28F8" w:rsidRDefault="00EA09EC" w:rsidP="00A25C01">
                            <w:pPr>
                              <w:spacing w:after="0" w:line="240" w:lineRule="auto"/>
                              <w:rPr>
                                <w:sz w:val="20"/>
                                <w:szCs w:val="20"/>
                              </w:rPr>
                            </w:pPr>
                            <w:r>
                              <w:rPr>
                                <w:szCs w:val="24"/>
                              </w:rPr>
                              <w:t>Attachment B</w:t>
                            </w:r>
                            <w:r w:rsidRPr="005D28F8">
                              <w:rPr>
                                <w:sz w:val="20"/>
                                <w:szCs w:val="20"/>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49.05pt;margin-top:14.35pt;width:33.9pt;height:44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" stroked="f">
                <v:textbox style="layout-flow:vertical">
                  <w:txbxContent>
                    <w:p w:rsidR="00EA09EC" w:rsidRPr="005D28F8" w:rsidRDefault="00EA09EC" w:rsidP="00A25C01">
                      <w:pPr>
                        <w:spacing w:after="0" w:line="240" w:lineRule="auto"/>
                        <w:rPr>
                          <w:sz w:val="20"/>
                          <w:szCs w:val="20"/>
                        </w:rPr>
                      </w:pPr>
                      <w:r>
                        <w:rPr>
                          <w:szCs w:val="24"/>
                        </w:rPr>
                        <w:t>Attachment B</w:t>
                      </w:r>
                      <w:r w:rsidRPr="005D28F8">
                        <w:rPr>
                          <w:sz w:val="20"/>
                          <w:szCs w:val="20"/>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v:textbox>
              </v:shape>
            </w:pict>
          </mc:Fallback>
        </mc:AlternateContent>
      </w:r>
      <w:r w:rsidR="00A57510">
        <w:rPr>
          <w:sz w:val="20"/>
        </w:rPr>
        <w:t>Table B</w:t>
      </w:r>
      <w:r w:rsidRPr="00DF682C">
        <w:rPr>
          <w:sz w:val="20"/>
        </w:rPr>
        <w:t>-1</w:t>
      </w:r>
      <w:r w:rsidRPr="00DF682C">
        <w:rPr>
          <w:sz w:val="20"/>
        </w:rPr>
        <w:tab/>
        <w:t xml:space="preserve">Proposed treatment of Commonwealth payments commenced in </w:t>
      </w:r>
      <w:r w:rsidR="00AD1E62" w:rsidRPr="00DF682C">
        <w:rPr>
          <w:sz w:val="20"/>
        </w:rPr>
        <w:t>2013</w:t>
      </w:r>
      <w:r w:rsidR="00AD1E62">
        <w:rPr>
          <w:sz w:val="20"/>
        </w:rPr>
        <w:t xml:space="preserve">-14, </w:t>
      </w:r>
      <w:r w:rsidR="00AD1E62" w:rsidRPr="00BC59D2">
        <w:rPr>
          <w:i/>
          <w:sz w:val="20"/>
        </w:rPr>
        <w:t xml:space="preserve">Federal </w:t>
      </w:r>
      <w:r w:rsidR="00AD1E62">
        <w:rPr>
          <w:i/>
          <w:sz w:val="20"/>
        </w:rPr>
        <w:t xml:space="preserve">Financial </w:t>
      </w:r>
      <w:r w:rsidR="00AD1E62" w:rsidRPr="00BC59D2">
        <w:rPr>
          <w:i/>
          <w:sz w:val="20"/>
        </w:rPr>
        <w:t>Relations, Budget Paper No. 3, 201</w:t>
      </w:r>
      <w:r w:rsidR="00AD1E62">
        <w:rPr>
          <w:i/>
          <w:sz w:val="20"/>
        </w:rPr>
        <w:t>4-15</w:t>
      </w:r>
      <w:r w:rsidR="00AD1E62" w:rsidRPr="00DF682C">
        <w:rPr>
          <w:i/>
          <w:sz w:val="20"/>
        </w:rPr>
        <w:t xml:space="preserve"> (cont’d)</w:t>
      </w:r>
    </w:p>
    <w:tbl>
      <w:tblPr>
        <w:tblStyle w:val="TableGrid"/>
        <w:tblW w:w="5000" w:type="pct"/>
        <w:tblLayout w:type="fixed"/>
        <w:tblLook w:val="04A0" w:firstRow="1" w:lastRow="0" w:firstColumn="1" w:lastColumn="0" w:noHBand="0" w:noVBand="1"/>
      </w:tblPr>
      <w:tblGrid>
        <w:gridCol w:w="3649"/>
        <w:gridCol w:w="5669"/>
        <w:gridCol w:w="918"/>
        <w:gridCol w:w="1082"/>
        <w:gridCol w:w="2334"/>
      </w:tblGrid>
      <w:tr w:rsidR="00A25C01" w:rsidRPr="00515F66" w:rsidTr="004A01DA">
        <w:tc>
          <w:tcPr>
            <w:tcW w:w="1336" w:type="pct"/>
            <w:tcBorders>
              <w:top w:val="single" w:sz="4" w:space="0" w:color="auto"/>
              <w:bottom w:val="single" w:sz="4" w:space="0" w:color="auto"/>
            </w:tcBorders>
          </w:tcPr>
          <w:p w:rsidR="00A25C01" w:rsidRPr="00194C79" w:rsidRDefault="00A25C01" w:rsidP="000F71CA">
            <w:pPr>
              <w:spacing w:before="40" w:after="40"/>
              <w:rPr>
                <w:b/>
                <w:sz w:val="20"/>
                <w:szCs w:val="20"/>
              </w:rPr>
            </w:pPr>
            <w:r w:rsidRPr="00194C79">
              <w:rPr>
                <w:b/>
                <w:sz w:val="20"/>
                <w:szCs w:val="20"/>
              </w:rPr>
              <w:t>Commonwealth payment</w:t>
            </w:r>
          </w:p>
        </w:tc>
        <w:tc>
          <w:tcPr>
            <w:tcW w:w="2076" w:type="pct"/>
            <w:tcBorders>
              <w:top w:val="single" w:sz="4" w:space="0" w:color="auto"/>
              <w:bottom w:val="single" w:sz="4" w:space="0" w:color="auto"/>
            </w:tcBorders>
          </w:tcPr>
          <w:p w:rsidR="00A25C01" w:rsidRDefault="00A25C01" w:rsidP="000F71CA">
            <w:pPr>
              <w:spacing w:before="40" w:after="40"/>
              <w:rPr>
                <w:b/>
                <w:sz w:val="20"/>
                <w:szCs w:val="20"/>
              </w:rPr>
            </w:pPr>
            <w:r>
              <w:rPr>
                <w:b/>
                <w:sz w:val="20"/>
                <w:szCs w:val="20"/>
              </w:rPr>
              <w:t>Description</w:t>
            </w:r>
          </w:p>
        </w:tc>
        <w:tc>
          <w:tcPr>
            <w:tcW w:w="336" w:type="pct"/>
            <w:tcBorders>
              <w:top w:val="single" w:sz="4" w:space="0" w:color="auto"/>
              <w:bottom w:val="single" w:sz="4" w:space="0" w:color="auto"/>
            </w:tcBorders>
          </w:tcPr>
          <w:p w:rsidR="00A25C01" w:rsidRPr="00194C79" w:rsidRDefault="00A25C01" w:rsidP="000F71CA">
            <w:pPr>
              <w:spacing w:before="40" w:after="40"/>
              <w:jc w:val="right"/>
              <w:rPr>
                <w:b/>
                <w:sz w:val="20"/>
                <w:szCs w:val="20"/>
              </w:rPr>
            </w:pPr>
            <w:r>
              <w:rPr>
                <w:b/>
                <w:sz w:val="20"/>
                <w:szCs w:val="20"/>
              </w:rPr>
              <w:t>2013-14 $m</w:t>
            </w:r>
          </w:p>
        </w:tc>
        <w:tc>
          <w:tcPr>
            <w:tcW w:w="396" w:type="pct"/>
            <w:tcBorders>
              <w:top w:val="single" w:sz="4" w:space="0" w:color="auto"/>
              <w:bottom w:val="single" w:sz="4" w:space="0" w:color="auto"/>
            </w:tcBorders>
          </w:tcPr>
          <w:p w:rsidR="00A25C01" w:rsidRPr="00194C79" w:rsidRDefault="00A25C01" w:rsidP="000F71CA">
            <w:pPr>
              <w:spacing w:before="40" w:after="40"/>
              <w:ind w:left="-30"/>
              <w:rPr>
                <w:b/>
                <w:sz w:val="20"/>
                <w:szCs w:val="20"/>
              </w:rPr>
            </w:pPr>
            <w:r w:rsidRPr="00194C79">
              <w:rPr>
                <w:b/>
                <w:sz w:val="20"/>
                <w:szCs w:val="20"/>
              </w:rPr>
              <w:t>Proposed treatment</w:t>
            </w:r>
          </w:p>
        </w:tc>
        <w:tc>
          <w:tcPr>
            <w:tcW w:w="855" w:type="pct"/>
            <w:tcBorders>
              <w:top w:val="single" w:sz="4" w:space="0" w:color="auto"/>
              <w:bottom w:val="single" w:sz="4" w:space="0" w:color="auto"/>
            </w:tcBorders>
          </w:tcPr>
          <w:p w:rsidR="00A25C01" w:rsidRPr="00194C79" w:rsidRDefault="00A25C01" w:rsidP="000F71CA">
            <w:pPr>
              <w:spacing w:before="40" w:after="40"/>
              <w:rPr>
                <w:b/>
                <w:sz w:val="20"/>
                <w:szCs w:val="20"/>
              </w:rPr>
            </w:pPr>
            <w:r>
              <w:rPr>
                <w:b/>
                <w:sz w:val="20"/>
                <w:szCs w:val="20"/>
              </w:rPr>
              <w:t>Reason for No impact treatment</w:t>
            </w:r>
          </w:p>
        </w:tc>
      </w:tr>
      <w:tr w:rsidR="00D21514" w:rsidTr="004A01DA">
        <w:tc>
          <w:tcPr>
            <w:tcW w:w="1336" w:type="pct"/>
            <w:tcBorders>
              <w:right w:val="nil"/>
            </w:tcBorders>
          </w:tcPr>
          <w:p w:rsidR="00D23BE5" w:rsidRPr="00E36391" w:rsidRDefault="00D23BE5" w:rsidP="00E36391">
            <w:pPr>
              <w:rPr>
                <w:b/>
                <w:sz w:val="20"/>
                <w:szCs w:val="20"/>
              </w:rPr>
            </w:pPr>
            <w:r w:rsidRPr="00E36391">
              <w:rPr>
                <w:rFonts w:ascii="Calibri" w:hAnsi="Calibri"/>
                <w:b/>
                <w:color w:val="000000"/>
                <w:sz w:val="20"/>
                <w:szCs w:val="20"/>
              </w:rPr>
              <w:t>Payments to support other State services</w:t>
            </w:r>
          </w:p>
        </w:tc>
        <w:tc>
          <w:tcPr>
            <w:tcW w:w="2076" w:type="pct"/>
            <w:tcBorders>
              <w:left w:val="nil"/>
              <w:right w:val="nil"/>
            </w:tcBorders>
          </w:tcPr>
          <w:p w:rsidR="00D23BE5" w:rsidRDefault="00D23BE5" w:rsidP="003A52E3">
            <w:pPr>
              <w:spacing w:before="40" w:after="40"/>
              <w:rPr>
                <w:sz w:val="20"/>
                <w:szCs w:val="20"/>
              </w:rPr>
            </w:pPr>
            <w:r>
              <w:rPr>
                <w:sz w:val="20"/>
                <w:szCs w:val="20"/>
              </w:rPr>
              <w:t xml:space="preserve"> </w:t>
            </w:r>
            <w:r>
              <w:t xml:space="preserve"> </w:t>
            </w:r>
          </w:p>
        </w:tc>
        <w:tc>
          <w:tcPr>
            <w:tcW w:w="336" w:type="pct"/>
            <w:tcBorders>
              <w:left w:val="nil"/>
              <w:right w:val="nil"/>
            </w:tcBorders>
          </w:tcPr>
          <w:p w:rsidR="00D23BE5" w:rsidRDefault="00D23BE5" w:rsidP="003A52E3">
            <w:pPr>
              <w:spacing w:before="40" w:after="40"/>
              <w:jc w:val="right"/>
              <w:rPr>
                <w:sz w:val="20"/>
                <w:szCs w:val="20"/>
              </w:rPr>
            </w:pPr>
            <w:r>
              <w:rPr>
                <w:sz w:val="20"/>
                <w:szCs w:val="20"/>
              </w:rPr>
              <w:t xml:space="preserve"> </w:t>
            </w:r>
          </w:p>
        </w:tc>
        <w:tc>
          <w:tcPr>
            <w:tcW w:w="396" w:type="pct"/>
            <w:tcBorders>
              <w:left w:val="nil"/>
              <w:right w:val="nil"/>
            </w:tcBorders>
          </w:tcPr>
          <w:p w:rsidR="00D23BE5" w:rsidRPr="007D0AE9" w:rsidRDefault="00D23BE5" w:rsidP="003A52E3">
            <w:pPr>
              <w:spacing w:before="40" w:after="40"/>
              <w:jc w:val="right"/>
              <w:rPr>
                <w:sz w:val="20"/>
                <w:szCs w:val="20"/>
              </w:rPr>
            </w:pPr>
            <w:r>
              <w:rPr>
                <w:sz w:val="20"/>
                <w:szCs w:val="20"/>
              </w:rPr>
              <w:t xml:space="preserve"> </w:t>
            </w:r>
          </w:p>
        </w:tc>
        <w:tc>
          <w:tcPr>
            <w:tcW w:w="855" w:type="pct"/>
            <w:tcBorders>
              <w:left w:val="nil"/>
            </w:tcBorders>
          </w:tcPr>
          <w:p w:rsidR="00D23BE5" w:rsidRDefault="00D23BE5" w:rsidP="003A52E3">
            <w:pPr>
              <w:spacing w:before="40" w:after="40"/>
              <w:rPr>
                <w:sz w:val="20"/>
                <w:szCs w:val="20"/>
              </w:rPr>
            </w:pPr>
          </w:p>
        </w:tc>
      </w:tr>
      <w:tr w:rsidR="00D21514" w:rsidTr="00D21514">
        <w:tc>
          <w:tcPr>
            <w:tcW w:w="1336" w:type="pct"/>
          </w:tcPr>
          <w:p w:rsidR="00D21514" w:rsidRDefault="00D21514" w:rsidP="003A52E3">
            <w:pPr>
              <w:spacing w:before="40" w:after="40"/>
              <w:rPr>
                <w:sz w:val="20"/>
                <w:szCs w:val="20"/>
              </w:rPr>
            </w:pPr>
            <w:r>
              <w:rPr>
                <w:sz w:val="20"/>
                <w:szCs w:val="20"/>
              </w:rPr>
              <w:t>2104 G20 leaders’ summit security</w:t>
            </w:r>
          </w:p>
        </w:tc>
        <w:tc>
          <w:tcPr>
            <w:tcW w:w="2076" w:type="pct"/>
          </w:tcPr>
          <w:p w:rsidR="00D21514" w:rsidRDefault="00D21514" w:rsidP="003A52E3">
            <w:pPr>
              <w:spacing w:before="40" w:after="40"/>
              <w:rPr>
                <w:sz w:val="20"/>
                <w:szCs w:val="20"/>
              </w:rPr>
            </w:pPr>
            <w:r w:rsidRPr="00D21514">
              <w:rPr>
                <w:sz w:val="20"/>
                <w:szCs w:val="20"/>
              </w:rPr>
              <w:t>Funding to upgrade Queensland's policing capacity to support the G20 leaders' summit in Brisbane and the finance ministers' and central bank governors' meeting in Cairns.</w:t>
            </w:r>
          </w:p>
        </w:tc>
        <w:tc>
          <w:tcPr>
            <w:tcW w:w="336" w:type="pct"/>
          </w:tcPr>
          <w:p w:rsidR="00D21514" w:rsidRDefault="00D21514" w:rsidP="003A52E3">
            <w:pPr>
              <w:spacing w:before="40" w:after="40"/>
              <w:jc w:val="right"/>
              <w:rPr>
                <w:sz w:val="20"/>
                <w:szCs w:val="20"/>
              </w:rPr>
            </w:pPr>
            <w:r>
              <w:rPr>
                <w:sz w:val="20"/>
                <w:szCs w:val="20"/>
              </w:rPr>
              <w:t>83.5</w:t>
            </w:r>
          </w:p>
        </w:tc>
        <w:tc>
          <w:tcPr>
            <w:tcW w:w="396" w:type="pct"/>
          </w:tcPr>
          <w:p w:rsidR="00D21514" w:rsidRDefault="00D21514" w:rsidP="00E94FB3">
            <w:pPr>
              <w:spacing w:before="40" w:after="40"/>
              <w:rPr>
                <w:sz w:val="20"/>
                <w:szCs w:val="20"/>
              </w:rPr>
            </w:pPr>
            <w:r>
              <w:rPr>
                <w:sz w:val="20"/>
                <w:szCs w:val="20"/>
              </w:rPr>
              <w:t>No impact</w:t>
            </w:r>
          </w:p>
        </w:tc>
        <w:tc>
          <w:tcPr>
            <w:tcW w:w="855" w:type="pct"/>
          </w:tcPr>
          <w:p w:rsidR="00D21514" w:rsidRDefault="00D619C2" w:rsidP="00A25C01">
            <w:pPr>
              <w:spacing w:before="40" w:after="40"/>
              <w:rPr>
                <w:sz w:val="20"/>
                <w:szCs w:val="20"/>
              </w:rPr>
            </w:pPr>
            <w:r>
              <w:rPr>
                <w:sz w:val="20"/>
                <w:szCs w:val="20"/>
              </w:rPr>
              <w:t>Needs are not assessed for this purpose</w:t>
            </w:r>
          </w:p>
        </w:tc>
      </w:tr>
      <w:tr w:rsidR="00D21514" w:rsidTr="00D21514">
        <w:tc>
          <w:tcPr>
            <w:tcW w:w="1336" w:type="pct"/>
          </w:tcPr>
          <w:p w:rsidR="00D23BE5" w:rsidRDefault="00D23BE5" w:rsidP="003A52E3">
            <w:pPr>
              <w:spacing w:before="40" w:after="40"/>
              <w:rPr>
                <w:sz w:val="20"/>
                <w:szCs w:val="20"/>
              </w:rPr>
            </w:pPr>
            <w:r>
              <w:rPr>
                <w:sz w:val="20"/>
                <w:szCs w:val="20"/>
              </w:rPr>
              <w:t>2018 Gold Coast Commonwealth Games</w:t>
            </w:r>
          </w:p>
        </w:tc>
        <w:tc>
          <w:tcPr>
            <w:tcW w:w="2076" w:type="pct"/>
          </w:tcPr>
          <w:p w:rsidR="00D23BE5" w:rsidRPr="00790EB7" w:rsidRDefault="00D23BE5" w:rsidP="003A52E3">
            <w:pPr>
              <w:spacing w:before="40" w:after="40"/>
              <w:rPr>
                <w:sz w:val="20"/>
                <w:szCs w:val="20"/>
              </w:rPr>
            </w:pPr>
            <w:r>
              <w:rPr>
                <w:sz w:val="20"/>
                <w:szCs w:val="20"/>
              </w:rPr>
              <w:t xml:space="preserve">Funding to </w:t>
            </w:r>
            <w:r w:rsidRPr="00790EB7">
              <w:rPr>
                <w:sz w:val="20"/>
                <w:szCs w:val="20"/>
              </w:rPr>
              <w:t>support the delivery of critical sports infrastructure for the 2018 Commonwealth Games that will boost economic activity in Southeast Queensland and leave a lasting legacy for Queensland and Australia.</w:t>
            </w:r>
          </w:p>
        </w:tc>
        <w:tc>
          <w:tcPr>
            <w:tcW w:w="336" w:type="pct"/>
          </w:tcPr>
          <w:p w:rsidR="00D23BE5" w:rsidRDefault="00D23BE5" w:rsidP="003A52E3">
            <w:pPr>
              <w:spacing w:before="40" w:after="40"/>
              <w:jc w:val="right"/>
              <w:rPr>
                <w:sz w:val="20"/>
                <w:szCs w:val="20"/>
              </w:rPr>
            </w:pPr>
            <w:r>
              <w:rPr>
                <w:sz w:val="20"/>
                <w:szCs w:val="20"/>
              </w:rPr>
              <w:t>156.0</w:t>
            </w:r>
          </w:p>
        </w:tc>
        <w:tc>
          <w:tcPr>
            <w:tcW w:w="396" w:type="pct"/>
          </w:tcPr>
          <w:p w:rsidR="00D23BE5" w:rsidRDefault="005245C5" w:rsidP="005245C5">
            <w:pPr>
              <w:spacing w:before="40" w:after="40"/>
              <w:jc w:val="right"/>
              <w:rPr>
                <w:sz w:val="20"/>
                <w:szCs w:val="20"/>
              </w:rPr>
            </w:pPr>
            <w:r>
              <w:rPr>
                <w:sz w:val="20"/>
                <w:szCs w:val="20"/>
              </w:rPr>
              <w:t>No i</w:t>
            </w:r>
            <w:r w:rsidR="00D23BE5">
              <w:rPr>
                <w:sz w:val="20"/>
                <w:szCs w:val="20"/>
              </w:rPr>
              <w:t>mpact</w:t>
            </w:r>
          </w:p>
        </w:tc>
        <w:tc>
          <w:tcPr>
            <w:tcW w:w="855" w:type="pct"/>
          </w:tcPr>
          <w:p w:rsidR="00D23BE5" w:rsidRDefault="005245C5" w:rsidP="00553DA1">
            <w:pPr>
              <w:spacing w:before="40" w:after="40"/>
              <w:rPr>
                <w:sz w:val="20"/>
                <w:szCs w:val="20"/>
              </w:rPr>
            </w:pPr>
            <w:r>
              <w:rPr>
                <w:sz w:val="20"/>
                <w:szCs w:val="20"/>
              </w:rPr>
              <w:t xml:space="preserve">Needs for </w:t>
            </w:r>
            <w:r w:rsidR="00553DA1">
              <w:rPr>
                <w:sz w:val="20"/>
                <w:szCs w:val="20"/>
              </w:rPr>
              <w:t xml:space="preserve">special sporting infrastructure </w:t>
            </w:r>
            <w:r w:rsidR="00D619C2">
              <w:rPr>
                <w:sz w:val="20"/>
                <w:szCs w:val="20"/>
              </w:rPr>
              <w:t>are not assessed</w:t>
            </w:r>
          </w:p>
        </w:tc>
      </w:tr>
      <w:tr w:rsidR="00A25C01" w:rsidTr="00D21514">
        <w:tc>
          <w:tcPr>
            <w:tcW w:w="1336" w:type="pct"/>
          </w:tcPr>
          <w:p w:rsidR="00A25C01" w:rsidRDefault="00A25C01" w:rsidP="003A52E3">
            <w:pPr>
              <w:spacing w:before="40" w:after="40"/>
              <w:rPr>
                <w:sz w:val="20"/>
                <w:szCs w:val="20"/>
              </w:rPr>
            </w:pPr>
            <w:r w:rsidRPr="00790EB7">
              <w:rPr>
                <w:sz w:val="20"/>
                <w:szCs w:val="20"/>
              </w:rPr>
              <w:t>Assistance to Tasmania to implement national policy reforms</w:t>
            </w:r>
          </w:p>
        </w:tc>
        <w:tc>
          <w:tcPr>
            <w:tcW w:w="2076" w:type="pct"/>
          </w:tcPr>
          <w:p w:rsidR="00A25C01" w:rsidRPr="00D23BE5" w:rsidRDefault="00A25C01" w:rsidP="003A52E3">
            <w:pPr>
              <w:spacing w:before="40" w:after="40"/>
              <w:rPr>
                <w:sz w:val="20"/>
                <w:szCs w:val="20"/>
              </w:rPr>
            </w:pPr>
            <w:r>
              <w:rPr>
                <w:sz w:val="20"/>
                <w:szCs w:val="20"/>
                <w:lang w:eastAsia="en-AU"/>
              </w:rPr>
              <w:t>F</w:t>
            </w:r>
            <w:r w:rsidRPr="00D23BE5">
              <w:rPr>
                <w:sz w:val="20"/>
                <w:szCs w:val="20"/>
                <w:lang w:eastAsia="en-AU"/>
              </w:rPr>
              <w:t>unding to assist Tasmania with budget flexibility in the case of expected challenges arising from the implementation of national policy reforms</w:t>
            </w:r>
            <w:r>
              <w:rPr>
                <w:sz w:val="20"/>
                <w:szCs w:val="20"/>
                <w:lang w:eastAsia="en-AU"/>
              </w:rPr>
              <w:t>. This payment was to allow Tasmania to implement Schools reforms.</w:t>
            </w:r>
          </w:p>
        </w:tc>
        <w:tc>
          <w:tcPr>
            <w:tcW w:w="336" w:type="pct"/>
          </w:tcPr>
          <w:p w:rsidR="00A25C01" w:rsidRDefault="00A25C01" w:rsidP="003A52E3">
            <w:pPr>
              <w:spacing w:before="40" w:after="40"/>
              <w:jc w:val="right"/>
              <w:rPr>
                <w:sz w:val="20"/>
                <w:szCs w:val="20"/>
              </w:rPr>
            </w:pPr>
            <w:r>
              <w:rPr>
                <w:sz w:val="20"/>
                <w:szCs w:val="20"/>
              </w:rPr>
              <w:t>30.0</w:t>
            </w:r>
          </w:p>
        </w:tc>
        <w:tc>
          <w:tcPr>
            <w:tcW w:w="396" w:type="pct"/>
          </w:tcPr>
          <w:p w:rsidR="00A25C01" w:rsidRDefault="00A25C01" w:rsidP="003A52E3">
            <w:pPr>
              <w:spacing w:before="40" w:after="40"/>
              <w:jc w:val="right"/>
              <w:rPr>
                <w:sz w:val="20"/>
                <w:szCs w:val="20"/>
              </w:rPr>
            </w:pPr>
            <w:r>
              <w:rPr>
                <w:sz w:val="20"/>
                <w:szCs w:val="20"/>
              </w:rPr>
              <w:t>No impact</w:t>
            </w:r>
          </w:p>
        </w:tc>
        <w:tc>
          <w:tcPr>
            <w:tcW w:w="855" w:type="pct"/>
          </w:tcPr>
          <w:p w:rsidR="00A25C01" w:rsidRPr="00D21514" w:rsidRDefault="00A25C01" w:rsidP="000F71CA">
            <w:pPr>
              <w:spacing w:before="40" w:after="40"/>
              <w:rPr>
                <w:sz w:val="20"/>
                <w:szCs w:val="20"/>
              </w:rPr>
            </w:pPr>
            <w:r>
              <w:rPr>
                <w:sz w:val="20"/>
                <w:szCs w:val="20"/>
              </w:rPr>
              <w:t>T</w:t>
            </w:r>
            <w:r w:rsidRPr="00D21514">
              <w:rPr>
                <w:sz w:val="20"/>
                <w:szCs w:val="20"/>
              </w:rPr>
              <w:t>erms of reference</w:t>
            </w:r>
            <w:r>
              <w:rPr>
                <w:sz w:val="20"/>
                <w:szCs w:val="20"/>
              </w:rPr>
              <w:t xml:space="preserve"> requirement</w:t>
            </w:r>
          </w:p>
        </w:tc>
      </w:tr>
    </w:tbl>
    <w:p w:rsidR="007710CD" w:rsidRDefault="007710CD" w:rsidP="007710CD"/>
    <w:p w:rsidR="00FA64DA" w:rsidRDefault="00FA64DA">
      <w:pPr>
        <w:tabs>
          <w:tab w:val="clear" w:pos="567"/>
        </w:tabs>
        <w:sectPr w:rsidR="00FA64DA" w:rsidSect="00E36391">
          <w:footerReference w:type="default" r:id="rId26"/>
          <w:headerReference w:type="first" r:id="rId27"/>
          <w:footerReference w:type="first" r:id="rId28"/>
          <w:pgSz w:w="16838" w:h="11906" w:orient="landscape" w:code="9"/>
          <w:pgMar w:top="1474" w:right="1701" w:bottom="1474" w:left="1701" w:header="709" w:footer="709" w:gutter="0"/>
          <w:cols w:space="708"/>
          <w:titlePg/>
          <w:docGrid w:linePitch="360"/>
        </w:sectPr>
      </w:pPr>
    </w:p>
    <w:p w:rsidR="000F71CA" w:rsidRPr="00DF682C" w:rsidRDefault="000F71CA" w:rsidP="000F71CA">
      <w:pPr>
        <w:pStyle w:val="CGCTableHeading"/>
        <w:rPr>
          <w:sz w:val="20"/>
        </w:rPr>
      </w:pPr>
      <w:r w:rsidRPr="00DF682C">
        <w:rPr>
          <w:b w:val="0"/>
          <w:noProof/>
          <w:sz w:val="20"/>
          <w:lang w:eastAsia="en-AU"/>
        </w:rPr>
        <w:lastRenderedPageBreak/>
        <mc:AlternateContent>
          <mc:Choice Requires="wps">
            <w:drawing>
              <wp:anchor distT="0" distB="0" distL="114300" distR="114300" simplePos="0" relativeHeight="251682816" behindDoc="0" locked="0" layoutInCell="1" allowOverlap="1" wp14:anchorId="0AC8D90D" wp14:editId="563B8D68">
                <wp:simplePos x="0" y="0"/>
                <wp:positionH relativeFrom="column">
                  <wp:posOffset>-622935</wp:posOffset>
                </wp:positionH>
                <wp:positionV relativeFrom="paragraph">
                  <wp:posOffset>182209</wp:posOffset>
                </wp:positionV>
                <wp:extent cx="430530" cy="5648325"/>
                <wp:effectExtent l="0" t="0" r="762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564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9EC" w:rsidRPr="005D28F8" w:rsidRDefault="00EA09EC" w:rsidP="000F71CA">
                            <w:pPr>
                              <w:spacing w:after="0" w:line="240" w:lineRule="auto"/>
                              <w:rPr>
                                <w:sz w:val="20"/>
                                <w:szCs w:val="20"/>
                              </w:rPr>
                            </w:pPr>
                            <w:r>
                              <w:rPr>
                                <w:szCs w:val="24"/>
                              </w:rPr>
                              <w:t>Attachment B</w:t>
                            </w:r>
                            <w:r w:rsidRPr="00A57510">
                              <w:rPr>
                                <w:sz w:val="20"/>
                                <w:szCs w:val="20"/>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49.05pt;margin-top:14.35pt;width:33.9pt;height:44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" stroked="f">
                <v:textbox style="layout-flow:vertical">
                  <w:txbxContent>
                    <w:p w:rsidR="00EA09EC" w:rsidRPr="005D28F8" w:rsidRDefault="00EA09EC" w:rsidP="000F71CA">
                      <w:pPr>
                        <w:spacing w:after="0" w:line="240" w:lineRule="auto"/>
                        <w:rPr>
                          <w:sz w:val="20"/>
                          <w:szCs w:val="20"/>
                        </w:rPr>
                      </w:pPr>
                      <w:r>
                        <w:rPr>
                          <w:szCs w:val="24"/>
                        </w:rPr>
                        <w:t>Attachment B</w:t>
                      </w:r>
                      <w:r w:rsidRPr="00A57510">
                        <w:rPr>
                          <w:sz w:val="20"/>
                          <w:szCs w:val="20"/>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v:textbox>
              </v:shape>
            </w:pict>
          </mc:Fallback>
        </mc:AlternateContent>
      </w:r>
      <w:r w:rsidRPr="00DF682C">
        <w:rPr>
          <w:sz w:val="20"/>
        </w:rPr>
        <w:t xml:space="preserve">Table </w:t>
      </w:r>
      <w:r w:rsidR="00A57510">
        <w:rPr>
          <w:sz w:val="20"/>
        </w:rPr>
        <w:t>B</w:t>
      </w:r>
      <w:r w:rsidRPr="00DF682C">
        <w:rPr>
          <w:sz w:val="20"/>
        </w:rPr>
        <w:t>-</w:t>
      </w:r>
      <w:r>
        <w:rPr>
          <w:sz w:val="20"/>
        </w:rPr>
        <w:t>2</w:t>
      </w:r>
      <w:r w:rsidRPr="00DF682C">
        <w:rPr>
          <w:sz w:val="20"/>
        </w:rPr>
        <w:tab/>
        <w:t>Commonwealth payments commenced in 201</w:t>
      </w:r>
      <w:r>
        <w:rPr>
          <w:sz w:val="20"/>
        </w:rPr>
        <w:t>4-15 and 2015-16</w:t>
      </w:r>
      <w:r w:rsidRPr="00DF682C">
        <w:rPr>
          <w:sz w:val="20"/>
        </w:rPr>
        <w:t xml:space="preserve">, </w:t>
      </w:r>
      <w:r w:rsidR="00AD1E62" w:rsidRPr="00BC59D2">
        <w:rPr>
          <w:i/>
          <w:sz w:val="20"/>
        </w:rPr>
        <w:t xml:space="preserve">Federal </w:t>
      </w:r>
      <w:r w:rsidR="00AD1E62">
        <w:rPr>
          <w:i/>
          <w:sz w:val="20"/>
        </w:rPr>
        <w:t xml:space="preserve">Financial </w:t>
      </w:r>
      <w:r w:rsidR="00AD1E62" w:rsidRPr="00BC59D2">
        <w:rPr>
          <w:i/>
          <w:sz w:val="20"/>
        </w:rPr>
        <w:t>Relations, Budget Paper No. 3, 201</w:t>
      </w:r>
      <w:r w:rsidR="00AD1E62">
        <w:rPr>
          <w:i/>
          <w:sz w:val="20"/>
        </w:rPr>
        <w:t>4-15</w:t>
      </w:r>
    </w:p>
    <w:tbl>
      <w:tblPr>
        <w:tblStyle w:val="TableGrid"/>
        <w:tblW w:w="4972" w:type="pct"/>
        <w:tblLayout w:type="fixed"/>
        <w:tblLook w:val="04A0" w:firstRow="1" w:lastRow="0" w:firstColumn="1" w:lastColumn="0" w:noHBand="0" w:noVBand="1"/>
      </w:tblPr>
      <w:tblGrid>
        <w:gridCol w:w="3650"/>
        <w:gridCol w:w="7089"/>
        <w:gridCol w:w="1417"/>
        <w:gridCol w:w="1420"/>
      </w:tblGrid>
      <w:tr w:rsidR="000F71CA" w:rsidRPr="00194C79" w:rsidTr="00445518">
        <w:tc>
          <w:tcPr>
            <w:tcW w:w="1344" w:type="pct"/>
            <w:tcBorders>
              <w:top w:val="single" w:sz="4" w:space="0" w:color="auto"/>
              <w:bottom w:val="single" w:sz="4" w:space="0" w:color="auto"/>
            </w:tcBorders>
          </w:tcPr>
          <w:p w:rsidR="000F71CA" w:rsidRPr="00194C79" w:rsidRDefault="000F71CA" w:rsidP="000F71CA">
            <w:pPr>
              <w:spacing w:before="40" w:after="40"/>
              <w:rPr>
                <w:b/>
                <w:sz w:val="20"/>
                <w:szCs w:val="20"/>
              </w:rPr>
            </w:pPr>
            <w:r w:rsidRPr="00194C79">
              <w:rPr>
                <w:b/>
                <w:sz w:val="20"/>
                <w:szCs w:val="20"/>
              </w:rPr>
              <w:t>Commonwealth payment</w:t>
            </w:r>
          </w:p>
        </w:tc>
        <w:tc>
          <w:tcPr>
            <w:tcW w:w="2611" w:type="pct"/>
            <w:tcBorders>
              <w:top w:val="single" w:sz="4" w:space="0" w:color="auto"/>
              <w:bottom w:val="single" w:sz="4" w:space="0" w:color="auto"/>
            </w:tcBorders>
          </w:tcPr>
          <w:p w:rsidR="000F71CA" w:rsidRDefault="000F71CA" w:rsidP="000F71CA">
            <w:pPr>
              <w:spacing w:before="40" w:after="40"/>
              <w:rPr>
                <w:b/>
                <w:sz w:val="20"/>
                <w:szCs w:val="20"/>
              </w:rPr>
            </w:pPr>
            <w:r>
              <w:rPr>
                <w:b/>
                <w:sz w:val="20"/>
                <w:szCs w:val="20"/>
              </w:rPr>
              <w:t>Description</w:t>
            </w:r>
          </w:p>
        </w:tc>
        <w:tc>
          <w:tcPr>
            <w:tcW w:w="522" w:type="pct"/>
            <w:tcBorders>
              <w:top w:val="single" w:sz="4" w:space="0" w:color="auto"/>
              <w:bottom w:val="single" w:sz="4" w:space="0" w:color="auto"/>
            </w:tcBorders>
            <w:vAlign w:val="bottom"/>
          </w:tcPr>
          <w:p w:rsidR="000F71CA" w:rsidRPr="00194C79" w:rsidRDefault="004A01DA" w:rsidP="00445518">
            <w:pPr>
              <w:spacing w:before="40" w:after="40"/>
              <w:jc w:val="right"/>
              <w:rPr>
                <w:b/>
                <w:sz w:val="20"/>
                <w:szCs w:val="20"/>
              </w:rPr>
            </w:pPr>
            <w:r>
              <w:rPr>
                <w:b/>
                <w:sz w:val="20"/>
                <w:szCs w:val="20"/>
              </w:rPr>
              <w:t xml:space="preserve">New in </w:t>
            </w:r>
            <w:r>
              <w:rPr>
                <w:b/>
                <w:sz w:val="20"/>
                <w:szCs w:val="20"/>
              </w:rPr>
              <w:br/>
            </w:r>
            <w:r w:rsidR="000F71CA">
              <w:rPr>
                <w:b/>
                <w:sz w:val="20"/>
                <w:szCs w:val="20"/>
              </w:rPr>
              <w:t>2014-15 $m</w:t>
            </w:r>
          </w:p>
        </w:tc>
        <w:tc>
          <w:tcPr>
            <w:tcW w:w="523" w:type="pct"/>
            <w:tcBorders>
              <w:top w:val="single" w:sz="4" w:space="0" w:color="auto"/>
              <w:bottom w:val="single" w:sz="4" w:space="0" w:color="auto"/>
            </w:tcBorders>
            <w:vAlign w:val="bottom"/>
          </w:tcPr>
          <w:p w:rsidR="000F71CA" w:rsidRPr="00194C79" w:rsidRDefault="004A01DA" w:rsidP="00445518">
            <w:pPr>
              <w:spacing w:before="40" w:after="40"/>
              <w:jc w:val="right"/>
              <w:rPr>
                <w:b/>
                <w:sz w:val="20"/>
                <w:szCs w:val="20"/>
              </w:rPr>
            </w:pPr>
            <w:r>
              <w:rPr>
                <w:b/>
                <w:sz w:val="20"/>
                <w:szCs w:val="20"/>
              </w:rPr>
              <w:t xml:space="preserve">New in </w:t>
            </w:r>
            <w:r>
              <w:rPr>
                <w:b/>
                <w:sz w:val="20"/>
                <w:szCs w:val="20"/>
              </w:rPr>
              <w:br/>
              <w:t>2015-16 $m</w:t>
            </w:r>
          </w:p>
        </w:tc>
      </w:tr>
      <w:tr w:rsidR="000F71CA" w:rsidTr="00445518">
        <w:tc>
          <w:tcPr>
            <w:tcW w:w="1344" w:type="pct"/>
            <w:tcBorders>
              <w:right w:val="nil"/>
            </w:tcBorders>
            <w:vAlign w:val="center"/>
          </w:tcPr>
          <w:p w:rsidR="000F71CA" w:rsidRPr="00E36391" w:rsidRDefault="000F71CA" w:rsidP="000F71CA">
            <w:pPr>
              <w:rPr>
                <w:b/>
                <w:sz w:val="20"/>
                <w:szCs w:val="20"/>
              </w:rPr>
            </w:pPr>
            <w:r>
              <w:rPr>
                <w:rFonts w:ascii="Calibri" w:hAnsi="Calibri"/>
                <w:b/>
                <w:color w:val="000000"/>
                <w:sz w:val="20"/>
                <w:szCs w:val="20"/>
              </w:rPr>
              <w:t>Health infrastructure</w:t>
            </w:r>
          </w:p>
        </w:tc>
        <w:tc>
          <w:tcPr>
            <w:tcW w:w="2611" w:type="pct"/>
            <w:tcBorders>
              <w:left w:val="nil"/>
              <w:right w:val="nil"/>
            </w:tcBorders>
            <w:vAlign w:val="center"/>
          </w:tcPr>
          <w:p w:rsidR="000F71CA" w:rsidRDefault="000F71CA" w:rsidP="000F71CA">
            <w:pPr>
              <w:spacing w:before="40" w:after="40"/>
              <w:rPr>
                <w:sz w:val="20"/>
                <w:szCs w:val="20"/>
              </w:rPr>
            </w:pPr>
          </w:p>
        </w:tc>
        <w:tc>
          <w:tcPr>
            <w:tcW w:w="522" w:type="pct"/>
            <w:tcBorders>
              <w:left w:val="nil"/>
              <w:right w:val="nil"/>
            </w:tcBorders>
            <w:vAlign w:val="bottom"/>
          </w:tcPr>
          <w:p w:rsidR="000F71CA" w:rsidRPr="007D0AE9" w:rsidRDefault="000F71CA" w:rsidP="00445518">
            <w:pPr>
              <w:spacing w:before="40" w:after="40"/>
              <w:jc w:val="right"/>
              <w:rPr>
                <w:sz w:val="20"/>
                <w:szCs w:val="20"/>
              </w:rPr>
            </w:pPr>
          </w:p>
        </w:tc>
        <w:tc>
          <w:tcPr>
            <w:tcW w:w="523" w:type="pct"/>
            <w:tcBorders>
              <w:left w:val="nil"/>
            </w:tcBorders>
            <w:vAlign w:val="bottom"/>
          </w:tcPr>
          <w:p w:rsidR="000F71CA" w:rsidRDefault="000F71CA" w:rsidP="00445518">
            <w:pPr>
              <w:spacing w:before="40" w:after="40"/>
              <w:jc w:val="right"/>
              <w:rPr>
                <w:sz w:val="20"/>
                <w:szCs w:val="20"/>
              </w:rPr>
            </w:pPr>
          </w:p>
        </w:tc>
      </w:tr>
      <w:tr w:rsidR="000F71CA" w:rsidTr="00445518">
        <w:tc>
          <w:tcPr>
            <w:tcW w:w="1344" w:type="pct"/>
          </w:tcPr>
          <w:p w:rsidR="000F71CA" w:rsidRDefault="000F71CA" w:rsidP="00445518">
            <w:pPr>
              <w:spacing w:before="40" w:after="40"/>
              <w:rPr>
                <w:sz w:val="20"/>
                <w:szCs w:val="20"/>
              </w:rPr>
            </w:pPr>
            <w:r w:rsidRPr="000F71CA">
              <w:rPr>
                <w:sz w:val="20"/>
                <w:szCs w:val="20"/>
              </w:rPr>
              <w:t>Albury-Wodonga Cardiac Catheterisation Laboratory</w:t>
            </w:r>
          </w:p>
        </w:tc>
        <w:tc>
          <w:tcPr>
            <w:tcW w:w="2611" w:type="pct"/>
          </w:tcPr>
          <w:p w:rsidR="000F71CA" w:rsidRDefault="00445518" w:rsidP="00445518">
            <w:pPr>
              <w:spacing w:before="40" w:after="40"/>
              <w:rPr>
                <w:sz w:val="20"/>
                <w:szCs w:val="20"/>
              </w:rPr>
            </w:pPr>
            <w:r>
              <w:rPr>
                <w:sz w:val="20"/>
                <w:szCs w:val="20"/>
              </w:rPr>
              <w:t>One-off payment to Victoria for the new laboratory which will enable local residents suffering from heart conditions to access quality care without the need to travel long distances to capital cities.</w:t>
            </w:r>
          </w:p>
        </w:tc>
        <w:tc>
          <w:tcPr>
            <w:tcW w:w="522" w:type="pct"/>
          </w:tcPr>
          <w:p w:rsidR="000F71CA" w:rsidRDefault="000F71CA" w:rsidP="00445518">
            <w:pPr>
              <w:spacing w:before="40" w:after="40"/>
              <w:jc w:val="right"/>
              <w:rPr>
                <w:sz w:val="20"/>
                <w:szCs w:val="20"/>
              </w:rPr>
            </w:pPr>
            <w:r>
              <w:rPr>
                <w:sz w:val="20"/>
                <w:szCs w:val="20"/>
              </w:rPr>
              <w:t>5.0</w:t>
            </w:r>
          </w:p>
        </w:tc>
        <w:tc>
          <w:tcPr>
            <w:tcW w:w="523" w:type="pct"/>
            <w:vAlign w:val="bottom"/>
          </w:tcPr>
          <w:p w:rsidR="000F71CA" w:rsidRDefault="000F71CA" w:rsidP="00445518">
            <w:pPr>
              <w:spacing w:before="40" w:after="40"/>
              <w:jc w:val="right"/>
              <w:rPr>
                <w:sz w:val="20"/>
                <w:szCs w:val="20"/>
              </w:rPr>
            </w:pPr>
          </w:p>
        </w:tc>
      </w:tr>
      <w:tr w:rsidR="000F71CA" w:rsidTr="00445518">
        <w:tc>
          <w:tcPr>
            <w:tcW w:w="1344" w:type="pct"/>
          </w:tcPr>
          <w:p w:rsidR="000F71CA" w:rsidRDefault="000F71CA" w:rsidP="00445518">
            <w:pPr>
              <w:spacing w:before="40" w:after="40"/>
              <w:rPr>
                <w:sz w:val="20"/>
                <w:szCs w:val="20"/>
              </w:rPr>
            </w:pPr>
            <w:r w:rsidRPr="000F71CA">
              <w:rPr>
                <w:sz w:val="20"/>
                <w:szCs w:val="20"/>
              </w:rPr>
              <w:t>Bright Hospital - feasibility study</w:t>
            </w:r>
          </w:p>
        </w:tc>
        <w:tc>
          <w:tcPr>
            <w:tcW w:w="2611" w:type="pct"/>
          </w:tcPr>
          <w:p w:rsidR="000F71CA" w:rsidRDefault="00445518" w:rsidP="00445518">
            <w:pPr>
              <w:spacing w:before="40" w:after="40"/>
              <w:rPr>
                <w:sz w:val="20"/>
                <w:szCs w:val="20"/>
              </w:rPr>
            </w:pPr>
            <w:r>
              <w:rPr>
                <w:sz w:val="20"/>
                <w:szCs w:val="20"/>
              </w:rPr>
              <w:t>Payment to Victoria for the study which will examine the feasibility of redeveloping the Bright Hospitals</w:t>
            </w:r>
          </w:p>
        </w:tc>
        <w:tc>
          <w:tcPr>
            <w:tcW w:w="522" w:type="pct"/>
          </w:tcPr>
          <w:p w:rsidR="000F71CA" w:rsidRDefault="000F71CA" w:rsidP="00445518">
            <w:pPr>
              <w:spacing w:before="40" w:after="40"/>
              <w:jc w:val="right"/>
              <w:rPr>
                <w:sz w:val="20"/>
                <w:szCs w:val="20"/>
              </w:rPr>
            </w:pPr>
            <w:r>
              <w:rPr>
                <w:sz w:val="20"/>
                <w:szCs w:val="20"/>
              </w:rPr>
              <w:t>0.1</w:t>
            </w:r>
          </w:p>
        </w:tc>
        <w:tc>
          <w:tcPr>
            <w:tcW w:w="523" w:type="pct"/>
            <w:vAlign w:val="bottom"/>
          </w:tcPr>
          <w:p w:rsidR="000F71CA" w:rsidRDefault="000F71CA" w:rsidP="00445518">
            <w:pPr>
              <w:spacing w:before="40" w:after="40"/>
              <w:jc w:val="right"/>
              <w:rPr>
                <w:sz w:val="20"/>
                <w:szCs w:val="20"/>
              </w:rPr>
            </w:pPr>
          </w:p>
        </w:tc>
      </w:tr>
      <w:tr w:rsidR="000F71CA" w:rsidTr="00445518">
        <w:tc>
          <w:tcPr>
            <w:tcW w:w="1344" w:type="pct"/>
          </w:tcPr>
          <w:p w:rsidR="000F71CA" w:rsidRDefault="000F71CA" w:rsidP="00445518">
            <w:pPr>
              <w:spacing w:before="40" w:after="40"/>
              <w:rPr>
                <w:sz w:val="20"/>
                <w:szCs w:val="20"/>
              </w:rPr>
            </w:pPr>
            <w:r w:rsidRPr="000F71CA">
              <w:rPr>
                <w:sz w:val="20"/>
                <w:szCs w:val="20"/>
              </w:rPr>
              <w:t>Cancer Support Clinic in Katherine</w:t>
            </w:r>
          </w:p>
        </w:tc>
        <w:tc>
          <w:tcPr>
            <w:tcW w:w="2611" w:type="pct"/>
          </w:tcPr>
          <w:p w:rsidR="000F71CA" w:rsidRDefault="00445518" w:rsidP="00445518">
            <w:pPr>
              <w:spacing w:before="40" w:after="40"/>
              <w:rPr>
                <w:sz w:val="20"/>
                <w:szCs w:val="20"/>
              </w:rPr>
            </w:pPr>
            <w:r>
              <w:rPr>
                <w:sz w:val="20"/>
                <w:szCs w:val="20"/>
              </w:rPr>
              <w:t>One-off payment to the Northern Territory to support the purchase and installation of a chemotherapy chair and associated minor building modification to improve delivery of cancer support services in Katherine Hospital.</w:t>
            </w:r>
          </w:p>
        </w:tc>
        <w:tc>
          <w:tcPr>
            <w:tcW w:w="522" w:type="pct"/>
          </w:tcPr>
          <w:p w:rsidR="000F71CA" w:rsidRDefault="000F71CA" w:rsidP="00445518">
            <w:pPr>
              <w:spacing w:before="40" w:after="40"/>
              <w:jc w:val="right"/>
              <w:rPr>
                <w:sz w:val="20"/>
                <w:szCs w:val="20"/>
              </w:rPr>
            </w:pPr>
            <w:r>
              <w:rPr>
                <w:sz w:val="20"/>
                <w:szCs w:val="20"/>
              </w:rPr>
              <w:t>0.5</w:t>
            </w:r>
          </w:p>
        </w:tc>
        <w:tc>
          <w:tcPr>
            <w:tcW w:w="523" w:type="pct"/>
            <w:vAlign w:val="bottom"/>
          </w:tcPr>
          <w:p w:rsidR="000F71CA" w:rsidRDefault="000F71CA" w:rsidP="00445518">
            <w:pPr>
              <w:spacing w:before="40" w:after="40"/>
              <w:jc w:val="right"/>
              <w:rPr>
                <w:sz w:val="20"/>
                <w:szCs w:val="20"/>
              </w:rPr>
            </w:pPr>
          </w:p>
        </w:tc>
      </w:tr>
      <w:tr w:rsidR="000F71CA" w:rsidTr="00445518">
        <w:tc>
          <w:tcPr>
            <w:tcW w:w="1344" w:type="pct"/>
          </w:tcPr>
          <w:p w:rsidR="000F71CA" w:rsidRDefault="000F71CA" w:rsidP="00445518">
            <w:pPr>
              <w:spacing w:before="40" w:after="40"/>
              <w:rPr>
                <w:sz w:val="20"/>
                <w:szCs w:val="20"/>
              </w:rPr>
            </w:pPr>
            <w:r w:rsidRPr="000F71CA">
              <w:rPr>
                <w:sz w:val="20"/>
                <w:szCs w:val="20"/>
              </w:rPr>
              <w:t>Construction of Palmerston Hospital</w:t>
            </w:r>
          </w:p>
        </w:tc>
        <w:tc>
          <w:tcPr>
            <w:tcW w:w="2611" w:type="pct"/>
          </w:tcPr>
          <w:p w:rsidR="000F71CA" w:rsidRDefault="00445518" w:rsidP="00445518">
            <w:pPr>
              <w:spacing w:before="40" w:after="40"/>
              <w:rPr>
                <w:sz w:val="20"/>
                <w:szCs w:val="20"/>
              </w:rPr>
            </w:pPr>
            <w:r>
              <w:rPr>
                <w:sz w:val="20"/>
                <w:szCs w:val="20"/>
              </w:rPr>
              <w:t xml:space="preserve">Funding to the Northern Territory for the construction of the Palmerston Hospital which will provide a full emergency department, a </w:t>
            </w:r>
            <w:r w:rsidR="005A2D1B">
              <w:rPr>
                <w:sz w:val="20"/>
                <w:szCs w:val="20"/>
              </w:rPr>
              <w:t>paediatric</w:t>
            </w:r>
            <w:r>
              <w:rPr>
                <w:sz w:val="20"/>
                <w:szCs w:val="20"/>
              </w:rPr>
              <w:t xml:space="preserve"> ward, and medical and surgical services.</w:t>
            </w:r>
          </w:p>
        </w:tc>
        <w:tc>
          <w:tcPr>
            <w:tcW w:w="522" w:type="pct"/>
          </w:tcPr>
          <w:p w:rsidR="000F71CA" w:rsidRDefault="000F71CA" w:rsidP="00445518">
            <w:pPr>
              <w:spacing w:before="40" w:after="40"/>
              <w:jc w:val="right"/>
              <w:rPr>
                <w:sz w:val="20"/>
                <w:szCs w:val="20"/>
              </w:rPr>
            </w:pPr>
            <w:r>
              <w:rPr>
                <w:sz w:val="20"/>
                <w:szCs w:val="20"/>
              </w:rPr>
              <w:t>20.0</w:t>
            </w:r>
          </w:p>
        </w:tc>
        <w:tc>
          <w:tcPr>
            <w:tcW w:w="523" w:type="pct"/>
            <w:vAlign w:val="bottom"/>
          </w:tcPr>
          <w:p w:rsidR="000F71CA" w:rsidRDefault="000F71CA" w:rsidP="00445518">
            <w:pPr>
              <w:spacing w:before="40" w:after="40"/>
              <w:jc w:val="right"/>
              <w:rPr>
                <w:sz w:val="20"/>
                <w:szCs w:val="20"/>
              </w:rPr>
            </w:pPr>
          </w:p>
        </w:tc>
      </w:tr>
      <w:tr w:rsidR="000F71CA" w:rsidTr="00445518">
        <w:tc>
          <w:tcPr>
            <w:tcW w:w="1344" w:type="pct"/>
          </w:tcPr>
          <w:p w:rsidR="000F71CA" w:rsidRPr="000F71CA" w:rsidRDefault="000F71CA" w:rsidP="00445518">
            <w:pPr>
              <w:spacing w:before="40" w:after="40"/>
              <w:rPr>
                <w:sz w:val="20"/>
                <w:szCs w:val="20"/>
              </w:rPr>
            </w:pPr>
            <w:r w:rsidRPr="000F71CA">
              <w:rPr>
                <w:sz w:val="20"/>
                <w:szCs w:val="20"/>
              </w:rPr>
              <w:t>Improving local access to health care on Phillip Island</w:t>
            </w:r>
          </w:p>
        </w:tc>
        <w:tc>
          <w:tcPr>
            <w:tcW w:w="2611" w:type="pct"/>
          </w:tcPr>
          <w:p w:rsidR="000F71CA" w:rsidRDefault="00445518" w:rsidP="00445518">
            <w:pPr>
              <w:spacing w:before="40" w:after="40"/>
              <w:rPr>
                <w:sz w:val="20"/>
                <w:szCs w:val="20"/>
              </w:rPr>
            </w:pPr>
            <w:r>
              <w:rPr>
                <w:sz w:val="20"/>
                <w:szCs w:val="20"/>
              </w:rPr>
              <w:t>One-off payment to Victoria for the upgrade of healthcare infrastructure on Phillip Island.</w:t>
            </w:r>
          </w:p>
        </w:tc>
        <w:tc>
          <w:tcPr>
            <w:tcW w:w="522" w:type="pct"/>
          </w:tcPr>
          <w:p w:rsidR="000F71CA" w:rsidRDefault="000F71CA" w:rsidP="00445518">
            <w:pPr>
              <w:spacing w:before="40" w:after="40"/>
              <w:jc w:val="right"/>
              <w:rPr>
                <w:sz w:val="20"/>
                <w:szCs w:val="20"/>
              </w:rPr>
            </w:pPr>
            <w:r>
              <w:rPr>
                <w:sz w:val="20"/>
                <w:szCs w:val="20"/>
              </w:rPr>
              <w:t>2.5</w:t>
            </w:r>
          </w:p>
        </w:tc>
        <w:tc>
          <w:tcPr>
            <w:tcW w:w="523" w:type="pct"/>
            <w:vAlign w:val="bottom"/>
          </w:tcPr>
          <w:p w:rsidR="000F71CA" w:rsidRDefault="000F71CA" w:rsidP="00445518">
            <w:pPr>
              <w:spacing w:before="40" w:after="40"/>
              <w:jc w:val="right"/>
              <w:rPr>
                <w:sz w:val="20"/>
                <w:szCs w:val="20"/>
              </w:rPr>
            </w:pPr>
          </w:p>
        </w:tc>
      </w:tr>
      <w:tr w:rsidR="000F71CA" w:rsidTr="00445518">
        <w:tc>
          <w:tcPr>
            <w:tcW w:w="1344" w:type="pct"/>
          </w:tcPr>
          <w:p w:rsidR="000F71CA" w:rsidRPr="000F71CA" w:rsidRDefault="00445518" w:rsidP="00445518">
            <w:pPr>
              <w:spacing w:before="40" w:after="40"/>
              <w:rPr>
                <w:sz w:val="20"/>
                <w:szCs w:val="20"/>
              </w:rPr>
            </w:pPr>
            <w:r>
              <w:rPr>
                <w:sz w:val="20"/>
                <w:szCs w:val="20"/>
              </w:rPr>
              <w:t>Oncology Day Treatment Cent</w:t>
            </w:r>
            <w:r w:rsidR="000F71CA" w:rsidRPr="000F71CA">
              <w:rPr>
                <w:sz w:val="20"/>
                <w:szCs w:val="20"/>
              </w:rPr>
              <w:t>r</w:t>
            </w:r>
            <w:r>
              <w:rPr>
                <w:sz w:val="20"/>
                <w:szCs w:val="20"/>
              </w:rPr>
              <w:t>e</w:t>
            </w:r>
            <w:r w:rsidR="000F71CA" w:rsidRPr="000F71CA">
              <w:rPr>
                <w:sz w:val="20"/>
                <w:szCs w:val="20"/>
              </w:rPr>
              <w:t xml:space="preserve"> at Frankston Hospital</w:t>
            </w:r>
          </w:p>
        </w:tc>
        <w:tc>
          <w:tcPr>
            <w:tcW w:w="2611" w:type="pct"/>
          </w:tcPr>
          <w:p w:rsidR="000F71CA" w:rsidRDefault="00445518" w:rsidP="00445518">
            <w:pPr>
              <w:spacing w:before="40" w:after="40"/>
              <w:rPr>
                <w:sz w:val="20"/>
                <w:szCs w:val="20"/>
              </w:rPr>
            </w:pPr>
            <w:r>
              <w:rPr>
                <w:sz w:val="20"/>
                <w:szCs w:val="20"/>
              </w:rPr>
              <w:t>Payment to Victoria for the expansion and enhancement of the Oncology Day Treatment Centre at Frankston Hospital.</w:t>
            </w:r>
          </w:p>
        </w:tc>
        <w:tc>
          <w:tcPr>
            <w:tcW w:w="522" w:type="pct"/>
          </w:tcPr>
          <w:p w:rsidR="000F71CA" w:rsidRDefault="000F71CA" w:rsidP="00445518">
            <w:pPr>
              <w:spacing w:before="40" w:after="40"/>
              <w:jc w:val="right"/>
              <w:rPr>
                <w:sz w:val="20"/>
                <w:szCs w:val="20"/>
              </w:rPr>
            </w:pPr>
            <w:r>
              <w:rPr>
                <w:sz w:val="20"/>
                <w:szCs w:val="20"/>
              </w:rPr>
              <w:t>0.4</w:t>
            </w:r>
          </w:p>
        </w:tc>
        <w:tc>
          <w:tcPr>
            <w:tcW w:w="523" w:type="pct"/>
            <w:vAlign w:val="bottom"/>
          </w:tcPr>
          <w:p w:rsidR="000F71CA" w:rsidRDefault="000F71CA" w:rsidP="00445518">
            <w:pPr>
              <w:spacing w:before="40" w:after="40"/>
              <w:jc w:val="right"/>
              <w:rPr>
                <w:sz w:val="20"/>
                <w:szCs w:val="20"/>
              </w:rPr>
            </w:pPr>
          </w:p>
        </w:tc>
      </w:tr>
      <w:tr w:rsidR="000F71CA" w:rsidTr="00445518">
        <w:tc>
          <w:tcPr>
            <w:tcW w:w="1344" w:type="pct"/>
          </w:tcPr>
          <w:p w:rsidR="000F71CA" w:rsidRPr="000F71CA" w:rsidRDefault="000F71CA" w:rsidP="00445518">
            <w:pPr>
              <w:spacing w:before="40" w:after="40"/>
              <w:rPr>
                <w:sz w:val="20"/>
                <w:szCs w:val="20"/>
              </w:rPr>
            </w:pPr>
            <w:r w:rsidRPr="000F71CA">
              <w:rPr>
                <w:sz w:val="20"/>
                <w:szCs w:val="20"/>
              </w:rPr>
              <w:t>Redevelopment of the Royal Victorian Eye and Ear Hospital</w:t>
            </w:r>
          </w:p>
        </w:tc>
        <w:tc>
          <w:tcPr>
            <w:tcW w:w="2611" w:type="pct"/>
          </w:tcPr>
          <w:p w:rsidR="000F71CA" w:rsidRDefault="002011B5" w:rsidP="00445518">
            <w:pPr>
              <w:spacing w:before="40" w:after="40"/>
              <w:rPr>
                <w:sz w:val="20"/>
                <w:szCs w:val="20"/>
              </w:rPr>
            </w:pPr>
            <w:r>
              <w:rPr>
                <w:sz w:val="20"/>
                <w:szCs w:val="20"/>
              </w:rPr>
              <w:t>Payment to Victoria for the completion of the development of the Royal Victorian Eye and Ear Hospital.</w:t>
            </w:r>
          </w:p>
        </w:tc>
        <w:tc>
          <w:tcPr>
            <w:tcW w:w="522" w:type="pct"/>
          </w:tcPr>
          <w:p w:rsidR="000F71CA" w:rsidRDefault="000F71CA" w:rsidP="00445518">
            <w:pPr>
              <w:spacing w:before="40" w:after="40"/>
              <w:jc w:val="right"/>
              <w:rPr>
                <w:sz w:val="20"/>
                <w:szCs w:val="20"/>
              </w:rPr>
            </w:pPr>
            <w:r>
              <w:rPr>
                <w:sz w:val="20"/>
                <w:szCs w:val="20"/>
              </w:rPr>
              <w:t>50.0</w:t>
            </w:r>
          </w:p>
        </w:tc>
        <w:tc>
          <w:tcPr>
            <w:tcW w:w="523" w:type="pct"/>
            <w:vAlign w:val="bottom"/>
          </w:tcPr>
          <w:p w:rsidR="000F71CA" w:rsidRDefault="000F71CA" w:rsidP="00445518">
            <w:pPr>
              <w:spacing w:before="40" w:after="40"/>
              <w:jc w:val="right"/>
              <w:rPr>
                <w:sz w:val="20"/>
                <w:szCs w:val="20"/>
              </w:rPr>
            </w:pPr>
          </w:p>
        </w:tc>
      </w:tr>
      <w:tr w:rsidR="000F71CA" w:rsidTr="00445518">
        <w:tc>
          <w:tcPr>
            <w:tcW w:w="1344" w:type="pct"/>
          </w:tcPr>
          <w:p w:rsidR="000F71CA" w:rsidRPr="000F71CA" w:rsidRDefault="000F71CA" w:rsidP="00445518">
            <w:pPr>
              <w:spacing w:before="40" w:after="40"/>
              <w:rPr>
                <w:sz w:val="20"/>
                <w:szCs w:val="20"/>
              </w:rPr>
            </w:pPr>
            <w:r w:rsidRPr="000F71CA">
              <w:rPr>
                <w:sz w:val="20"/>
                <w:szCs w:val="20"/>
              </w:rPr>
              <w:t>Upgrade of Ballina Hospital</w:t>
            </w:r>
          </w:p>
        </w:tc>
        <w:tc>
          <w:tcPr>
            <w:tcW w:w="2611" w:type="pct"/>
          </w:tcPr>
          <w:p w:rsidR="000F71CA" w:rsidRDefault="002011B5" w:rsidP="00445518">
            <w:pPr>
              <w:spacing w:before="40" w:after="40"/>
              <w:rPr>
                <w:sz w:val="20"/>
                <w:szCs w:val="20"/>
              </w:rPr>
            </w:pPr>
            <w:r>
              <w:rPr>
                <w:sz w:val="20"/>
                <w:szCs w:val="20"/>
              </w:rPr>
              <w:t xml:space="preserve">Payment to New South Wales for the construction of a second operating theatre and upgrade of the medical imaging department at Ballina Hospital. </w:t>
            </w:r>
          </w:p>
        </w:tc>
        <w:tc>
          <w:tcPr>
            <w:tcW w:w="522" w:type="pct"/>
          </w:tcPr>
          <w:p w:rsidR="000F71CA" w:rsidRDefault="000F71CA" w:rsidP="00445518">
            <w:pPr>
              <w:spacing w:before="40" w:after="40"/>
              <w:jc w:val="right"/>
              <w:rPr>
                <w:sz w:val="20"/>
                <w:szCs w:val="20"/>
              </w:rPr>
            </w:pPr>
            <w:r>
              <w:rPr>
                <w:sz w:val="20"/>
                <w:szCs w:val="20"/>
              </w:rPr>
              <w:t>1.9</w:t>
            </w:r>
          </w:p>
        </w:tc>
        <w:tc>
          <w:tcPr>
            <w:tcW w:w="523" w:type="pct"/>
          </w:tcPr>
          <w:p w:rsidR="000F71CA" w:rsidRDefault="000F71CA" w:rsidP="00445518">
            <w:pPr>
              <w:spacing w:before="40" w:after="40"/>
              <w:jc w:val="right"/>
              <w:rPr>
                <w:sz w:val="20"/>
                <w:szCs w:val="20"/>
              </w:rPr>
            </w:pPr>
          </w:p>
        </w:tc>
      </w:tr>
      <w:tr w:rsidR="000F71CA" w:rsidTr="00445518">
        <w:tc>
          <w:tcPr>
            <w:tcW w:w="1344" w:type="pct"/>
          </w:tcPr>
          <w:p w:rsidR="000F71CA" w:rsidRPr="000F71CA" w:rsidRDefault="000F71CA" w:rsidP="00445518">
            <w:pPr>
              <w:spacing w:before="40" w:after="40"/>
              <w:rPr>
                <w:sz w:val="20"/>
                <w:szCs w:val="20"/>
              </w:rPr>
            </w:pPr>
            <w:r w:rsidRPr="000F71CA">
              <w:rPr>
                <w:sz w:val="20"/>
                <w:szCs w:val="20"/>
              </w:rPr>
              <w:t>Upgrade of Casino and District Memorial Hospital</w:t>
            </w:r>
          </w:p>
        </w:tc>
        <w:tc>
          <w:tcPr>
            <w:tcW w:w="2611" w:type="pct"/>
          </w:tcPr>
          <w:p w:rsidR="000F71CA" w:rsidRDefault="002011B5" w:rsidP="00553DA1">
            <w:pPr>
              <w:spacing w:before="40" w:after="40"/>
              <w:rPr>
                <w:sz w:val="20"/>
                <w:szCs w:val="20"/>
              </w:rPr>
            </w:pPr>
            <w:r>
              <w:rPr>
                <w:sz w:val="20"/>
                <w:szCs w:val="20"/>
              </w:rPr>
              <w:t xml:space="preserve">One-off payment to New South Wales for the upgrade of the emergency department at the Casino and </w:t>
            </w:r>
            <w:r w:rsidR="00553DA1">
              <w:rPr>
                <w:sz w:val="20"/>
                <w:szCs w:val="20"/>
              </w:rPr>
              <w:t xml:space="preserve">District </w:t>
            </w:r>
            <w:r>
              <w:rPr>
                <w:sz w:val="20"/>
                <w:szCs w:val="20"/>
              </w:rPr>
              <w:t>Memorial Hospital.</w:t>
            </w:r>
          </w:p>
        </w:tc>
        <w:tc>
          <w:tcPr>
            <w:tcW w:w="522" w:type="pct"/>
          </w:tcPr>
          <w:p w:rsidR="000F71CA" w:rsidRDefault="000F71CA" w:rsidP="00445518">
            <w:pPr>
              <w:spacing w:before="40" w:after="40"/>
              <w:jc w:val="right"/>
              <w:rPr>
                <w:sz w:val="20"/>
                <w:szCs w:val="20"/>
              </w:rPr>
            </w:pPr>
            <w:r>
              <w:rPr>
                <w:sz w:val="20"/>
                <w:szCs w:val="20"/>
              </w:rPr>
              <w:t>3.0</w:t>
            </w:r>
          </w:p>
        </w:tc>
        <w:tc>
          <w:tcPr>
            <w:tcW w:w="523" w:type="pct"/>
          </w:tcPr>
          <w:p w:rsidR="000F71CA" w:rsidRDefault="000F71CA" w:rsidP="00445518">
            <w:pPr>
              <w:spacing w:before="40" w:after="40"/>
              <w:jc w:val="right"/>
              <w:rPr>
                <w:sz w:val="20"/>
                <w:szCs w:val="20"/>
              </w:rPr>
            </w:pPr>
          </w:p>
        </w:tc>
      </w:tr>
      <w:tr w:rsidR="000F71CA" w:rsidTr="00445518">
        <w:tc>
          <w:tcPr>
            <w:tcW w:w="1344" w:type="pct"/>
          </w:tcPr>
          <w:p w:rsidR="000F71CA" w:rsidRPr="000F71CA" w:rsidRDefault="000F71CA" w:rsidP="00445518">
            <w:pPr>
              <w:spacing w:before="40" w:after="40"/>
              <w:rPr>
                <w:sz w:val="20"/>
                <w:szCs w:val="20"/>
              </w:rPr>
            </w:pPr>
            <w:r w:rsidRPr="000F71CA">
              <w:rPr>
                <w:sz w:val="20"/>
                <w:szCs w:val="20"/>
              </w:rPr>
              <w:t>Warrnambool Integrated Cancer Care Centre</w:t>
            </w:r>
          </w:p>
        </w:tc>
        <w:tc>
          <w:tcPr>
            <w:tcW w:w="2611" w:type="pct"/>
            <w:tcBorders>
              <w:bottom w:val="single" w:sz="4" w:space="0" w:color="auto"/>
            </w:tcBorders>
          </w:tcPr>
          <w:p w:rsidR="000F71CA" w:rsidRDefault="002011B5" w:rsidP="00445518">
            <w:pPr>
              <w:spacing w:before="40" w:after="40"/>
              <w:rPr>
                <w:sz w:val="20"/>
                <w:szCs w:val="20"/>
              </w:rPr>
            </w:pPr>
            <w:r>
              <w:rPr>
                <w:sz w:val="20"/>
                <w:szCs w:val="20"/>
              </w:rPr>
              <w:t>One-off payment to Victoria for the construction of the Regional Cancer Centre in Warrnambool to provide cancer services to people in southwest Victoria.</w:t>
            </w:r>
          </w:p>
        </w:tc>
        <w:tc>
          <w:tcPr>
            <w:tcW w:w="522" w:type="pct"/>
            <w:tcBorders>
              <w:bottom w:val="single" w:sz="4" w:space="0" w:color="auto"/>
            </w:tcBorders>
          </w:tcPr>
          <w:p w:rsidR="000F71CA" w:rsidRDefault="000F71CA" w:rsidP="00445518">
            <w:pPr>
              <w:spacing w:before="40" w:after="40"/>
              <w:jc w:val="right"/>
              <w:rPr>
                <w:sz w:val="20"/>
                <w:szCs w:val="20"/>
              </w:rPr>
            </w:pPr>
            <w:r>
              <w:rPr>
                <w:sz w:val="20"/>
                <w:szCs w:val="20"/>
              </w:rPr>
              <w:t>10.0</w:t>
            </w:r>
          </w:p>
        </w:tc>
        <w:tc>
          <w:tcPr>
            <w:tcW w:w="523" w:type="pct"/>
          </w:tcPr>
          <w:p w:rsidR="000F71CA" w:rsidRDefault="000F71CA" w:rsidP="00445518">
            <w:pPr>
              <w:spacing w:before="40" w:after="40"/>
              <w:jc w:val="right"/>
              <w:rPr>
                <w:sz w:val="20"/>
                <w:szCs w:val="20"/>
              </w:rPr>
            </w:pPr>
          </w:p>
        </w:tc>
      </w:tr>
    </w:tbl>
    <w:p w:rsidR="00651F47" w:rsidRDefault="00651F47">
      <w:r>
        <w:br w:type="page"/>
      </w:r>
    </w:p>
    <w:p w:rsidR="00651F47" w:rsidRPr="00651F47" w:rsidRDefault="00651F47" w:rsidP="00651F47">
      <w:pPr>
        <w:pStyle w:val="CGCTableHeading"/>
        <w:rPr>
          <w:sz w:val="20"/>
        </w:rPr>
      </w:pPr>
      <w:r w:rsidRPr="00DF682C">
        <w:rPr>
          <w:b w:val="0"/>
          <w:noProof/>
          <w:sz w:val="20"/>
          <w:lang w:eastAsia="en-AU"/>
        </w:rPr>
        <w:lastRenderedPageBreak/>
        <mc:AlternateContent>
          <mc:Choice Requires="wps">
            <w:drawing>
              <wp:anchor distT="0" distB="0" distL="114300" distR="114300" simplePos="0" relativeHeight="251684864" behindDoc="0" locked="0" layoutInCell="1" allowOverlap="1" wp14:anchorId="49481C7C" wp14:editId="6E79A23A">
                <wp:simplePos x="0" y="0"/>
                <wp:positionH relativeFrom="column">
                  <wp:posOffset>-622935</wp:posOffset>
                </wp:positionH>
                <wp:positionV relativeFrom="paragraph">
                  <wp:posOffset>182209</wp:posOffset>
                </wp:positionV>
                <wp:extent cx="430530" cy="5648325"/>
                <wp:effectExtent l="0" t="0" r="762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564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9EC" w:rsidRPr="005D28F8" w:rsidRDefault="00EA09EC" w:rsidP="00651F47">
                            <w:pPr>
                              <w:spacing w:after="0" w:line="240" w:lineRule="auto"/>
                              <w:rPr>
                                <w:sz w:val="20"/>
                                <w:szCs w:val="20"/>
                              </w:rPr>
                            </w:pPr>
                            <w:r w:rsidRPr="00A57510">
                              <w:rPr>
                                <w:szCs w:val="24"/>
                              </w:rPr>
                              <w:t xml:space="preserve">Attachment </w:t>
                            </w:r>
                            <w:r>
                              <w:rPr>
                                <w:szCs w:val="24"/>
                              </w:rPr>
                              <w:t>B</w:t>
                            </w:r>
                            <w:r w:rsidRPr="005D28F8">
                              <w:rPr>
                                <w:sz w:val="20"/>
                                <w:szCs w:val="20"/>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49.05pt;margin-top:14.35pt;width:33.9pt;height:44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" stroked="f">
                <v:textbox style="layout-flow:vertical">
                  <w:txbxContent>
                    <w:p w:rsidR="00EA09EC" w:rsidRPr="005D28F8" w:rsidRDefault="00EA09EC" w:rsidP="00651F47">
                      <w:pPr>
                        <w:spacing w:after="0" w:line="240" w:lineRule="auto"/>
                        <w:rPr>
                          <w:sz w:val="20"/>
                          <w:szCs w:val="20"/>
                        </w:rPr>
                      </w:pPr>
                      <w:r w:rsidRPr="00A57510">
                        <w:rPr>
                          <w:szCs w:val="24"/>
                        </w:rPr>
                        <w:t xml:space="preserve">Attachment </w:t>
                      </w:r>
                      <w:r>
                        <w:rPr>
                          <w:szCs w:val="24"/>
                        </w:rPr>
                        <w:t>B</w:t>
                      </w:r>
                      <w:r w:rsidRPr="005D28F8">
                        <w:rPr>
                          <w:sz w:val="20"/>
                          <w:szCs w:val="20"/>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v:textbox>
              </v:shape>
            </w:pict>
          </mc:Fallback>
        </mc:AlternateContent>
      </w:r>
      <w:r w:rsidR="00A57510">
        <w:rPr>
          <w:sz w:val="20"/>
        </w:rPr>
        <w:t>Table B</w:t>
      </w:r>
      <w:r w:rsidRPr="00DF682C">
        <w:rPr>
          <w:sz w:val="20"/>
        </w:rPr>
        <w:t>-</w:t>
      </w:r>
      <w:r>
        <w:rPr>
          <w:sz w:val="20"/>
        </w:rPr>
        <w:t>2</w:t>
      </w:r>
      <w:r w:rsidRPr="00DF682C">
        <w:rPr>
          <w:sz w:val="20"/>
        </w:rPr>
        <w:tab/>
        <w:t>Commonwealth payments commenced in 201</w:t>
      </w:r>
      <w:r>
        <w:rPr>
          <w:sz w:val="20"/>
        </w:rPr>
        <w:t>4-15 and 2015-16</w:t>
      </w:r>
      <w:r w:rsidR="00AD1E62" w:rsidRPr="00DF682C">
        <w:rPr>
          <w:sz w:val="20"/>
        </w:rPr>
        <w:t xml:space="preserve">, </w:t>
      </w:r>
      <w:r w:rsidR="00AD1E62" w:rsidRPr="00BC59D2">
        <w:rPr>
          <w:i/>
          <w:sz w:val="20"/>
        </w:rPr>
        <w:t xml:space="preserve">Federal </w:t>
      </w:r>
      <w:r w:rsidR="00AD1E62">
        <w:rPr>
          <w:i/>
          <w:sz w:val="20"/>
        </w:rPr>
        <w:t xml:space="preserve">Financial </w:t>
      </w:r>
      <w:r w:rsidR="00AD1E62" w:rsidRPr="00BC59D2">
        <w:rPr>
          <w:i/>
          <w:sz w:val="20"/>
        </w:rPr>
        <w:t>Relations, Budget Paper No. 3, 201</w:t>
      </w:r>
      <w:r w:rsidR="00AD1E62">
        <w:rPr>
          <w:i/>
          <w:sz w:val="20"/>
        </w:rPr>
        <w:t>4-15</w:t>
      </w:r>
      <w:r>
        <w:rPr>
          <w:i/>
          <w:sz w:val="20"/>
        </w:rPr>
        <w:t xml:space="preserve"> </w:t>
      </w:r>
      <w:r>
        <w:rPr>
          <w:sz w:val="20"/>
        </w:rPr>
        <w:t>(cont’d)</w:t>
      </w:r>
    </w:p>
    <w:tbl>
      <w:tblPr>
        <w:tblStyle w:val="TableGrid"/>
        <w:tblW w:w="4972" w:type="pct"/>
        <w:tblLayout w:type="fixed"/>
        <w:tblLook w:val="04A0" w:firstRow="1" w:lastRow="0" w:firstColumn="1" w:lastColumn="0" w:noHBand="0" w:noVBand="1"/>
      </w:tblPr>
      <w:tblGrid>
        <w:gridCol w:w="3650"/>
        <w:gridCol w:w="7089"/>
        <w:gridCol w:w="1417"/>
        <w:gridCol w:w="1420"/>
      </w:tblGrid>
      <w:tr w:rsidR="00651F47" w:rsidRPr="00194C79" w:rsidTr="008F2312">
        <w:tc>
          <w:tcPr>
            <w:tcW w:w="1344" w:type="pct"/>
            <w:tcBorders>
              <w:top w:val="single" w:sz="4" w:space="0" w:color="auto"/>
              <w:bottom w:val="single" w:sz="4" w:space="0" w:color="auto"/>
            </w:tcBorders>
          </w:tcPr>
          <w:p w:rsidR="00651F47" w:rsidRPr="00194C79" w:rsidRDefault="00651F47" w:rsidP="008F2312">
            <w:pPr>
              <w:spacing w:before="40" w:after="40"/>
              <w:rPr>
                <w:b/>
                <w:sz w:val="20"/>
                <w:szCs w:val="20"/>
              </w:rPr>
            </w:pPr>
            <w:r w:rsidRPr="00194C79">
              <w:rPr>
                <w:b/>
                <w:sz w:val="20"/>
                <w:szCs w:val="20"/>
              </w:rPr>
              <w:t>Commonwealth payment</w:t>
            </w:r>
          </w:p>
        </w:tc>
        <w:tc>
          <w:tcPr>
            <w:tcW w:w="2611" w:type="pct"/>
            <w:tcBorders>
              <w:top w:val="single" w:sz="4" w:space="0" w:color="auto"/>
              <w:bottom w:val="single" w:sz="4" w:space="0" w:color="auto"/>
            </w:tcBorders>
          </w:tcPr>
          <w:p w:rsidR="00651F47" w:rsidRDefault="00651F47" w:rsidP="008F2312">
            <w:pPr>
              <w:spacing w:before="40" w:after="40"/>
              <w:rPr>
                <w:b/>
                <w:sz w:val="20"/>
                <w:szCs w:val="20"/>
              </w:rPr>
            </w:pPr>
            <w:r>
              <w:rPr>
                <w:b/>
                <w:sz w:val="20"/>
                <w:szCs w:val="20"/>
              </w:rPr>
              <w:t>Description</w:t>
            </w:r>
          </w:p>
        </w:tc>
        <w:tc>
          <w:tcPr>
            <w:tcW w:w="522" w:type="pct"/>
            <w:tcBorders>
              <w:top w:val="single" w:sz="4" w:space="0" w:color="auto"/>
              <w:bottom w:val="single" w:sz="4" w:space="0" w:color="auto"/>
            </w:tcBorders>
            <w:vAlign w:val="bottom"/>
          </w:tcPr>
          <w:p w:rsidR="00651F47" w:rsidRPr="00194C79" w:rsidRDefault="00651F47" w:rsidP="008F2312">
            <w:pPr>
              <w:spacing w:before="40" w:after="40"/>
              <w:jc w:val="right"/>
              <w:rPr>
                <w:b/>
                <w:sz w:val="20"/>
                <w:szCs w:val="20"/>
              </w:rPr>
            </w:pPr>
            <w:r>
              <w:rPr>
                <w:b/>
                <w:sz w:val="20"/>
                <w:szCs w:val="20"/>
              </w:rPr>
              <w:t xml:space="preserve">New in </w:t>
            </w:r>
            <w:r>
              <w:rPr>
                <w:b/>
                <w:sz w:val="20"/>
                <w:szCs w:val="20"/>
              </w:rPr>
              <w:br/>
              <w:t>2014-15 $m</w:t>
            </w:r>
          </w:p>
        </w:tc>
        <w:tc>
          <w:tcPr>
            <w:tcW w:w="523" w:type="pct"/>
            <w:tcBorders>
              <w:top w:val="single" w:sz="4" w:space="0" w:color="auto"/>
              <w:bottom w:val="single" w:sz="4" w:space="0" w:color="auto"/>
            </w:tcBorders>
            <w:vAlign w:val="bottom"/>
          </w:tcPr>
          <w:p w:rsidR="00651F47" w:rsidRPr="00194C79" w:rsidRDefault="00651F47" w:rsidP="008F2312">
            <w:pPr>
              <w:spacing w:before="40" w:after="40"/>
              <w:jc w:val="right"/>
              <w:rPr>
                <w:b/>
                <w:sz w:val="20"/>
                <w:szCs w:val="20"/>
              </w:rPr>
            </w:pPr>
            <w:r>
              <w:rPr>
                <w:b/>
                <w:sz w:val="20"/>
                <w:szCs w:val="20"/>
              </w:rPr>
              <w:t xml:space="preserve">New in </w:t>
            </w:r>
            <w:r>
              <w:rPr>
                <w:b/>
                <w:sz w:val="20"/>
                <w:szCs w:val="20"/>
              </w:rPr>
              <w:br/>
              <w:t>2015-16 $m</w:t>
            </w:r>
          </w:p>
        </w:tc>
      </w:tr>
      <w:tr w:rsidR="000F71CA" w:rsidTr="00445518">
        <w:tc>
          <w:tcPr>
            <w:tcW w:w="1344" w:type="pct"/>
            <w:tcBorders>
              <w:right w:val="nil"/>
            </w:tcBorders>
          </w:tcPr>
          <w:p w:rsidR="000F71CA" w:rsidRPr="000F71CA" w:rsidRDefault="000F71CA" w:rsidP="00445518">
            <w:pPr>
              <w:spacing w:before="40" w:after="40"/>
              <w:rPr>
                <w:b/>
                <w:sz w:val="20"/>
                <w:szCs w:val="20"/>
              </w:rPr>
            </w:pPr>
            <w:r>
              <w:rPr>
                <w:b/>
                <w:sz w:val="20"/>
                <w:szCs w:val="20"/>
              </w:rPr>
              <w:t>Health services</w:t>
            </w:r>
          </w:p>
        </w:tc>
        <w:tc>
          <w:tcPr>
            <w:tcW w:w="2611" w:type="pct"/>
            <w:tcBorders>
              <w:left w:val="nil"/>
              <w:right w:val="nil"/>
            </w:tcBorders>
          </w:tcPr>
          <w:p w:rsidR="000F71CA" w:rsidRDefault="000F71CA" w:rsidP="00445518">
            <w:pPr>
              <w:spacing w:before="40" w:after="40"/>
              <w:rPr>
                <w:sz w:val="20"/>
                <w:szCs w:val="20"/>
              </w:rPr>
            </w:pPr>
          </w:p>
        </w:tc>
        <w:tc>
          <w:tcPr>
            <w:tcW w:w="522" w:type="pct"/>
            <w:tcBorders>
              <w:left w:val="nil"/>
              <w:right w:val="nil"/>
            </w:tcBorders>
          </w:tcPr>
          <w:p w:rsidR="000F71CA" w:rsidRDefault="000F71CA" w:rsidP="00445518">
            <w:pPr>
              <w:spacing w:before="40" w:after="40"/>
              <w:jc w:val="right"/>
              <w:rPr>
                <w:sz w:val="20"/>
                <w:szCs w:val="20"/>
              </w:rPr>
            </w:pPr>
          </w:p>
        </w:tc>
        <w:tc>
          <w:tcPr>
            <w:tcW w:w="523" w:type="pct"/>
            <w:tcBorders>
              <w:left w:val="nil"/>
            </w:tcBorders>
          </w:tcPr>
          <w:p w:rsidR="000F71CA" w:rsidRDefault="000F71CA" w:rsidP="00445518">
            <w:pPr>
              <w:spacing w:before="40" w:after="40"/>
              <w:jc w:val="right"/>
              <w:rPr>
                <w:sz w:val="20"/>
                <w:szCs w:val="20"/>
              </w:rPr>
            </w:pPr>
          </w:p>
        </w:tc>
      </w:tr>
      <w:tr w:rsidR="000F71CA" w:rsidTr="00445518">
        <w:tc>
          <w:tcPr>
            <w:tcW w:w="1344" w:type="pct"/>
          </w:tcPr>
          <w:p w:rsidR="000F71CA" w:rsidRPr="000F71CA" w:rsidRDefault="000F71CA" w:rsidP="00445518">
            <w:pPr>
              <w:rPr>
                <w:rFonts w:ascii="Calibri" w:hAnsi="Calibri"/>
                <w:color w:val="000000"/>
                <w:sz w:val="20"/>
                <w:szCs w:val="20"/>
              </w:rPr>
            </w:pPr>
            <w:r>
              <w:rPr>
                <w:rFonts w:ascii="Calibri" w:hAnsi="Calibri"/>
                <w:color w:val="000000"/>
                <w:sz w:val="20"/>
                <w:szCs w:val="20"/>
              </w:rPr>
              <w:t>Canberra Hospital - dedicated paediatric emergency care</w:t>
            </w:r>
          </w:p>
        </w:tc>
        <w:tc>
          <w:tcPr>
            <w:tcW w:w="2611" w:type="pct"/>
            <w:tcBorders>
              <w:bottom w:val="single" w:sz="4" w:space="0" w:color="auto"/>
            </w:tcBorders>
          </w:tcPr>
          <w:p w:rsidR="000F71CA" w:rsidRDefault="005D306C" w:rsidP="005D306C">
            <w:pPr>
              <w:spacing w:before="40" w:after="40"/>
              <w:rPr>
                <w:sz w:val="20"/>
                <w:szCs w:val="20"/>
              </w:rPr>
            </w:pPr>
            <w:r>
              <w:rPr>
                <w:sz w:val="20"/>
                <w:szCs w:val="20"/>
              </w:rPr>
              <w:t xml:space="preserve">One-off payment to the ACT for the development of a dedicated service for children within the emergency department of the Canberra Hospital. </w:t>
            </w:r>
          </w:p>
        </w:tc>
        <w:tc>
          <w:tcPr>
            <w:tcW w:w="522" w:type="pct"/>
            <w:tcBorders>
              <w:bottom w:val="single" w:sz="4" w:space="0" w:color="auto"/>
            </w:tcBorders>
          </w:tcPr>
          <w:p w:rsidR="000F71CA" w:rsidRDefault="005D306C" w:rsidP="00445518">
            <w:pPr>
              <w:spacing w:before="40" w:after="40"/>
              <w:jc w:val="right"/>
              <w:rPr>
                <w:sz w:val="20"/>
                <w:szCs w:val="20"/>
              </w:rPr>
            </w:pPr>
            <w:r>
              <w:rPr>
                <w:sz w:val="20"/>
                <w:szCs w:val="20"/>
              </w:rPr>
              <w:t>5.0</w:t>
            </w:r>
          </w:p>
        </w:tc>
        <w:tc>
          <w:tcPr>
            <w:tcW w:w="523" w:type="pct"/>
          </w:tcPr>
          <w:p w:rsidR="000F71CA" w:rsidRDefault="000F71CA" w:rsidP="00445518">
            <w:pPr>
              <w:spacing w:before="40" w:after="40"/>
              <w:jc w:val="right"/>
              <w:rPr>
                <w:sz w:val="20"/>
                <w:szCs w:val="20"/>
              </w:rPr>
            </w:pPr>
          </w:p>
        </w:tc>
      </w:tr>
      <w:tr w:rsidR="000F71CA" w:rsidTr="00445518">
        <w:tc>
          <w:tcPr>
            <w:tcW w:w="1344" w:type="pct"/>
            <w:tcBorders>
              <w:right w:val="nil"/>
            </w:tcBorders>
          </w:tcPr>
          <w:p w:rsidR="000F71CA" w:rsidRPr="000F71CA" w:rsidRDefault="004A01DA" w:rsidP="00445518">
            <w:pPr>
              <w:rPr>
                <w:rFonts w:ascii="Calibri" w:hAnsi="Calibri"/>
                <w:b/>
                <w:bCs/>
                <w:color w:val="000000"/>
                <w:sz w:val="20"/>
                <w:szCs w:val="20"/>
              </w:rPr>
            </w:pPr>
            <w:r>
              <w:rPr>
                <w:rFonts w:ascii="Calibri" w:hAnsi="Calibri"/>
                <w:b/>
                <w:bCs/>
                <w:color w:val="000000"/>
                <w:sz w:val="20"/>
                <w:szCs w:val="20"/>
              </w:rPr>
              <w:t xml:space="preserve">Other Health </w:t>
            </w:r>
            <w:r w:rsidR="000F71CA">
              <w:rPr>
                <w:rFonts w:ascii="Calibri" w:hAnsi="Calibri"/>
                <w:b/>
                <w:bCs/>
                <w:color w:val="000000"/>
                <w:sz w:val="20"/>
                <w:szCs w:val="20"/>
              </w:rPr>
              <w:t>payments</w:t>
            </w:r>
          </w:p>
        </w:tc>
        <w:tc>
          <w:tcPr>
            <w:tcW w:w="2611" w:type="pct"/>
            <w:tcBorders>
              <w:left w:val="nil"/>
              <w:right w:val="nil"/>
            </w:tcBorders>
          </w:tcPr>
          <w:p w:rsidR="000F71CA" w:rsidRDefault="000F71CA" w:rsidP="00445518">
            <w:pPr>
              <w:spacing w:before="40" w:after="40"/>
              <w:rPr>
                <w:sz w:val="20"/>
                <w:szCs w:val="20"/>
              </w:rPr>
            </w:pPr>
          </w:p>
        </w:tc>
        <w:tc>
          <w:tcPr>
            <w:tcW w:w="522" w:type="pct"/>
            <w:tcBorders>
              <w:left w:val="nil"/>
              <w:right w:val="nil"/>
            </w:tcBorders>
          </w:tcPr>
          <w:p w:rsidR="000F71CA" w:rsidRDefault="000F71CA" w:rsidP="00445518">
            <w:pPr>
              <w:spacing w:before="40" w:after="40"/>
              <w:jc w:val="right"/>
              <w:rPr>
                <w:sz w:val="20"/>
                <w:szCs w:val="20"/>
              </w:rPr>
            </w:pPr>
          </w:p>
        </w:tc>
        <w:tc>
          <w:tcPr>
            <w:tcW w:w="523" w:type="pct"/>
            <w:tcBorders>
              <w:left w:val="nil"/>
            </w:tcBorders>
          </w:tcPr>
          <w:p w:rsidR="000F71CA" w:rsidRDefault="000F71CA" w:rsidP="00445518">
            <w:pPr>
              <w:spacing w:before="40" w:after="40"/>
              <w:jc w:val="right"/>
              <w:rPr>
                <w:sz w:val="20"/>
                <w:szCs w:val="20"/>
              </w:rPr>
            </w:pPr>
          </w:p>
        </w:tc>
      </w:tr>
      <w:tr w:rsidR="000F71CA" w:rsidTr="00445518">
        <w:tc>
          <w:tcPr>
            <w:tcW w:w="1344" w:type="pct"/>
          </w:tcPr>
          <w:p w:rsidR="000F71CA" w:rsidRPr="000F71CA" w:rsidRDefault="000F71CA" w:rsidP="00445518">
            <w:pPr>
              <w:spacing w:before="40" w:after="40"/>
              <w:rPr>
                <w:sz w:val="20"/>
                <w:szCs w:val="20"/>
              </w:rPr>
            </w:pPr>
            <w:r w:rsidRPr="000F71CA">
              <w:rPr>
                <w:sz w:val="20"/>
                <w:szCs w:val="20"/>
              </w:rPr>
              <w:t>Adult public dental services</w:t>
            </w:r>
          </w:p>
        </w:tc>
        <w:tc>
          <w:tcPr>
            <w:tcW w:w="2611" w:type="pct"/>
            <w:tcBorders>
              <w:bottom w:val="single" w:sz="4" w:space="0" w:color="auto"/>
            </w:tcBorders>
          </w:tcPr>
          <w:p w:rsidR="000F71CA" w:rsidRDefault="00091B61" w:rsidP="00445518">
            <w:pPr>
              <w:spacing w:before="40" w:after="40"/>
              <w:rPr>
                <w:sz w:val="20"/>
                <w:szCs w:val="20"/>
              </w:rPr>
            </w:pPr>
            <w:r>
              <w:rPr>
                <w:sz w:val="20"/>
                <w:szCs w:val="20"/>
              </w:rPr>
              <w:t>Funding to support the provision of dental services to adults who rely on the public dental system. This initiative will contribute to long-term improvement in dental health by assisting low income adults to receive treatment.</w:t>
            </w:r>
          </w:p>
        </w:tc>
        <w:tc>
          <w:tcPr>
            <w:tcW w:w="522" w:type="pct"/>
            <w:tcBorders>
              <w:bottom w:val="single" w:sz="4" w:space="0" w:color="auto"/>
            </w:tcBorders>
          </w:tcPr>
          <w:p w:rsidR="000F71CA" w:rsidRDefault="000F71CA" w:rsidP="00445518">
            <w:pPr>
              <w:spacing w:before="40" w:after="40"/>
              <w:jc w:val="right"/>
              <w:rPr>
                <w:sz w:val="20"/>
                <w:szCs w:val="20"/>
              </w:rPr>
            </w:pPr>
          </w:p>
        </w:tc>
        <w:tc>
          <w:tcPr>
            <w:tcW w:w="523" w:type="pct"/>
          </w:tcPr>
          <w:p w:rsidR="000F71CA" w:rsidRDefault="000F71CA" w:rsidP="00445518">
            <w:pPr>
              <w:spacing w:before="40" w:after="40"/>
              <w:jc w:val="right"/>
              <w:rPr>
                <w:sz w:val="20"/>
                <w:szCs w:val="20"/>
              </w:rPr>
            </w:pPr>
            <w:r>
              <w:rPr>
                <w:sz w:val="20"/>
                <w:szCs w:val="20"/>
              </w:rPr>
              <w:t>200.0</w:t>
            </w:r>
          </w:p>
        </w:tc>
      </w:tr>
      <w:tr w:rsidR="000F71CA" w:rsidTr="00445518">
        <w:tc>
          <w:tcPr>
            <w:tcW w:w="1344" w:type="pct"/>
            <w:tcBorders>
              <w:right w:val="nil"/>
            </w:tcBorders>
          </w:tcPr>
          <w:p w:rsidR="000F71CA" w:rsidRPr="000F71CA" w:rsidRDefault="000F71CA" w:rsidP="00445518">
            <w:pPr>
              <w:rPr>
                <w:rFonts w:ascii="Calibri" w:hAnsi="Calibri"/>
                <w:b/>
                <w:bCs/>
                <w:color w:val="000000"/>
                <w:sz w:val="20"/>
                <w:szCs w:val="20"/>
              </w:rPr>
            </w:pPr>
            <w:r>
              <w:rPr>
                <w:rFonts w:ascii="Calibri" w:hAnsi="Calibri"/>
                <w:b/>
                <w:bCs/>
                <w:color w:val="000000"/>
                <w:sz w:val="20"/>
                <w:szCs w:val="20"/>
              </w:rPr>
              <w:t>Community Services</w:t>
            </w:r>
          </w:p>
        </w:tc>
        <w:tc>
          <w:tcPr>
            <w:tcW w:w="2611" w:type="pct"/>
            <w:tcBorders>
              <w:left w:val="nil"/>
              <w:right w:val="nil"/>
            </w:tcBorders>
          </w:tcPr>
          <w:p w:rsidR="000F71CA" w:rsidRDefault="000F71CA" w:rsidP="00445518">
            <w:pPr>
              <w:spacing w:before="40" w:after="40"/>
              <w:rPr>
                <w:sz w:val="20"/>
                <w:szCs w:val="20"/>
              </w:rPr>
            </w:pPr>
          </w:p>
        </w:tc>
        <w:tc>
          <w:tcPr>
            <w:tcW w:w="522" w:type="pct"/>
            <w:tcBorders>
              <w:left w:val="nil"/>
              <w:right w:val="nil"/>
            </w:tcBorders>
          </w:tcPr>
          <w:p w:rsidR="000F71CA" w:rsidRDefault="000F71CA" w:rsidP="00445518">
            <w:pPr>
              <w:spacing w:before="40" w:after="40"/>
              <w:jc w:val="right"/>
              <w:rPr>
                <w:sz w:val="20"/>
                <w:szCs w:val="20"/>
              </w:rPr>
            </w:pPr>
          </w:p>
        </w:tc>
        <w:tc>
          <w:tcPr>
            <w:tcW w:w="523" w:type="pct"/>
            <w:tcBorders>
              <w:left w:val="nil"/>
            </w:tcBorders>
          </w:tcPr>
          <w:p w:rsidR="000F71CA" w:rsidRDefault="000F71CA" w:rsidP="00445518">
            <w:pPr>
              <w:spacing w:before="40" w:after="40"/>
              <w:jc w:val="right"/>
              <w:rPr>
                <w:sz w:val="20"/>
                <w:szCs w:val="20"/>
              </w:rPr>
            </w:pPr>
          </w:p>
        </w:tc>
      </w:tr>
      <w:tr w:rsidR="000F71CA" w:rsidTr="00445518">
        <w:tc>
          <w:tcPr>
            <w:tcW w:w="1344" w:type="pct"/>
          </w:tcPr>
          <w:p w:rsidR="000F71CA" w:rsidRPr="000F71CA" w:rsidRDefault="000F71CA" w:rsidP="00445518">
            <w:pPr>
              <w:spacing w:before="40" w:after="40"/>
              <w:rPr>
                <w:sz w:val="20"/>
                <w:szCs w:val="20"/>
              </w:rPr>
            </w:pPr>
            <w:r w:rsidRPr="000F71CA">
              <w:rPr>
                <w:sz w:val="20"/>
                <w:szCs w:val="20"/>
              </w:rPr>
              <w:t>National Occasional Care program</w:t>
            </w:r>
          </w:p>
        </w:tc>
        <w:tc>
          <w:tcPr>
            <w:tcW w:w="2611" w:type="pct"/>
          </w:tcPr>
          <w:p w:rsidR="000F71CA" w:rsidRDefault="0077552F" w:rsidP="00445518">
            <w:pPr>
              <w:spacing w:before="40" w:after="40"/>
              <w:rPr>
                <w:sz w:val="20"/>
                <w:szCs w:val="20"/>
              </w:rPr>
            </w:pPr>
            <w:r>
              <w:rPr>
                <w:sz w:val="20"/>
                <w:szCs w:val="20"/>
              </w:rPr>
              <w:t>Funding to support non-Child Care Benefit approved child care service providers, particularly in rural, regional and remote areas.</w:t>
            </w:r>
          </w:p>
        </w:tc>
        <w:tc>
          <w:tcPr>
            <w:tcW w:w="522" w:type="pct"/>
          </w:tcPr>
          <w:p w:rsidR="000F71CA" w:rsidRDefault="000F71CA" w:rsidP="00445518">
            <w:pPr>
              <w:spacing w:before="40" w:after="40"/>
              <w:jc w:val="right"/>
              <w:rPr>
                <w:sz w:val="20"/>
                <w:szCs w:val="20"/>
              </w:rPr>
            </w:pPr>
            <w:r>
              <w:rPr>
                <w:sz w:val="20"/>
                <w:szCs w:val="20"/>
              </w:rPr>
              <w:t>3.1</w:t>
            </w:r>
          </w:p>
        </w:tc>
        <w:tc>
          <w:tcPr>
            <w:tcW w:w="523" w:type="pct"/>
          </w:tcPr>
          <w:p w:rsidR="000F71CA" w:rsidRDefault="000F71CA" w:rsidP="00445518">
            <w:pPr>
              <w:spacing w:before="40" w:after="40"/>
              <w:jc w:val="right"/>
              <w:rPr>
                <w:sz w:val="20"/>
                <w:szCs w:val="20"/>
              </w:rPr>
            </w:pPr>
          </w:p>
        </w:tc>
      </w:tr>
      <w:tr w:rsidR="000F71CA" w:rsidTr="00445518">
        <w:tc>
          <w:tcPr>
            <w:tcW w:w="1344" w:type="pct"/>
          </w:tcPr>
          <w:p w:rsidR="000F71CA" w:rsidRPr="000F71CA" w:rsidRDefault="000F71CA" w:rsidP="00A3586B">
            <w:pPr>
              <w:rPr>
                <w:rFonts w:ascii="Calibri" w:hAnsi="Calibri"/>
                <w:color w:val="000000"/>
                <w:sz w:val="20"/>
                <w:szCs w:val="20"/>
              </w:rPr>
            </w:pPr>
            <w:r>
              <w:rPr>
                <w:rFonts w:ascii="Calibri" w:hAnsi="Calibri"/>
                <w:color w:val="000000"/>
                <w:sz w:val="20"/>
                <w:szCs w:val="20"/>
              </w:rPr>
              <w:t>Payments fr</w:t>
            </w:r>
            <w:r w:rsidR="00A3586B">
              <w:rPr>
                <w:rFonts w:ascii="Calibri" w:hAnsi="Calibri"/>
                <w:color w:val="000000"/>
                <w:sz w:val="20"/>
                <w:szCs w:val="20"/>
              </w:rPr>
              <w:t>om</w:t>
            </w:r>
            <w:r>
              <w:rPr>
                <w:rFonts w:ascii="Calibri" w:hAnsi="Calibri"/>
                <w:color w:val="000000"/>
                <w:sz w:val="20"/>
                <w:szCs w:val="20"/>
              </w:rPr>
              <w:t xml:space="preserve"> the DisabilityCare Australia Fund</w:t>
            </w:r>
          </w:p>
        </w:tc>
        <w:tc>
          <w:tcPr>
            <w:tcW w:w="2611" w:type="pct"/>
          </w:tcPr>
          <w:p w:rsidR="000F71CA" w:rsidRDefault="00651F47" w:rsidP="0076374F">
            <w:pPr>
              <w:tabs>
                <w:tab w:val="clear" w:pos="567"/>
              </w:tabs>
              <w:spacing w:before="40" w:after="40"/>
              <w:ind w:left="36" w:hanging="36"/>
              <w:rPr>
                <w:sz w:val="20"/>
                <w:szCs w:val="20"/>
              </w:rPr>
            </w:pPr>
            <w:r>
              <w:rPr>
                <w:sz w:val="20"/>
                <w:szCs w:val="20"/>
              </w:rPr>
              <w:t>Funding to</w:t>
            </w:r>
            <w:r w:rsidR="0076374F">
              <w:rPr>
                <w:sz w:val="20"/>
                <w:szCs w:val="20"/>
              </w:rPr>
              <w:t xml:space="preserve"> assist the States with their contribution to the National Disability Insurance Scheme (NDIS) for 10 years by allocating some of the payments going into the DisabilityCare Australia Fund, which comes into effect on 1 July 2014. The States will be able to draw down from the Fund when they meet key conditions such as agreement to fully roll out the NDIS and milestones relating to the participation of people with significant and permanent disability in the scheme.</w:t>
            </w:r>
          </w:p>
        </w:tc>
        <w:tc>
          <w:tcPr>
            <w:tcW w:w="522" w:type="pct"/>
          </w:tcPr>
          <w:p w:rsidR="000F71CA" w:rsidRDefault="000F71CA" w:rsidP="00445518">
            <w:pPr>
              <w:spacing w:before="40" w:after="40"/>
              <w:jc w:val="right"/>
              <w:rPr>
                <w:sz w:val="20"/>
                <w:szCs w:val="20"/>
              </w:rPr>
            </w:pPr>
          </w:p>
        </w:tc>
        <w:tc>
          <w:tcPr>
            <w:tcW w:w="523" w:type="pct"/>
          </w:tcPr>
          <w:p w:rsidR="000F71CA" w:rsidRDefault="000F71CA" w:rsidP="00445518">
            <w:pPr>
              <w:spacing w:before="40" w:after="40"/>
              <w:jc w:val="right"/>
              <w:rPr>
                <w:sz w:val="20"/>
                <w:szCs w:val="20"/>
              </w:rPr>
            </w:pPr>
            <w:r>
              <w:rPr>
                <w:sz w:val="20"/>
                <w:szCs w:val="20"/>
              </w:rPr>
              <w:t>73.9</w:t>
            </w:r>
          </w:p>
        </w:tc>
      </w:tr>
      <w:tr w:rsidR="000F71CA" w:rsidTr="00445518">
        <w:tc>
          <w:tcPr>
            <w:tcW w:w="1344" w:type="pct"/>
          </w:tcPr>
          <w:p w:rsidR="000F71CA" w:rsidRPr="000F71CA" w:rsidRDefault="000F71CA" w:rsidP="00445518">
            <w:pPr>
              <w:spacing w:before="40" w:after="40"/>
              <w:rPr>
                <w:sz w:val="20"/>
                <w:szCs w:val="20"/>
              </w:rPr>
            </w:pPr>
            <w:r w:rsidRPr="000F71CA">
              <w:rPr>
                <w:sz w:val="20"/>
                <w:szCs w:val="20"/>
              </w:rPr>
              <w:t>Trial of My Way sites</w:t>
            </w:r>
          </w:p>
        </w:tc>
        <w:tc>
          <w:tcPr>
            <w:tcW w:w="2611" w:type="pct"/>
            <w:tcBorders>
              <w:bottom w:val="single" w:sz="4" w:space="0" w:color="auto"/>
            </w:tcBorders>
          </w:tcPr>
          <w:p w:rsidR="0030768B" w:rsidRDefault="007064FF" w:rsidP="007064FF">
            <w:pPr>
              <w:spacing w:before="40" w:after="40"/>
              <w:rPr>
                <w:sz w:val="20"/>
                <w:szCs w:val="20"/>
              </w:rPr>
            </w:pPr>
            <w:r w:rsidRPr="007064FF">
              <w:rPr>
                <w:sz w:val="20"/>
                <w:szCs w:val="20"/>
              </w:rPr>
              <w:t xml:space="preserve">This Agreement builds on the Agreement between the Commonwealth and Western Australia for disability reform in </w:t>
            </w:r>
            <w:r w:rsidR="004B3AFC">
              <w:rPr>
                <w:sz w:val="20"/>
                <w:szCs w:val="20"/>
              </w:rPr>
              <w:t>the State</w:t>
            </w:r>
            <w:r w:rsidRPr="007064FF">
              <w:rPr>
                <w:sz w:val="20"/>
                <w:szCs w:val="20"/>
              </w:rPr>
              <w:t xml:space="preserve"> signed on 5 August 2013, which provides for a two-year trial of two service delivery models. </w:t>
            </w:r>
          </w:p>
          <w:p w:rsidR="007064FF" w:rsidRPr="007064FF" w:rsidRDefault="007064FF" w:rsidP="007064FF">
            <w:pPr>
              <w:spacing w:before="40" w:after="40"/>
              <w:rPr>
                <w:sz w:val="20"/>
                <w:szCs w:val="20"/>
              </w:rPr>
            </w:pPr>
            <w:r w:rsidRPr="007064FF">
              <w:rPr>
                <w:sz w:val="20"/>
                <w:szCs w:val="20"/>
              </w:rPr>
              <w:t xml:space="preserve">It supports the trial of the My Way model implemented by the WA Disability Services Commission (DSC) under State legislation in two sites: the Lower South West region from July 2014 and the Cockburn/Kwinana DSC region from July 2015. It will </w:t>
            </w:r>
            <w:r w:rsidR="0030768B">
              <w:rPr>
                <w:sz w:val="20"/>
                <w:szCs w:val="20"/>
              </w:rPr>
              <w:t xml:space="preserve">run </w:t>
            </w:r>
            <w:r w:rsidRPr="007064FF">
              <w:rPr>
                <w:sz w:val="20"/>
                <w:szCs w:val="20"/>
              </w:rPr>
              <w:t xml:space="preserve">in parallel </w:t>
            </w:r>
            <w:r w:rsidR="0030768B">
              <w:rPr>
                <w:sz w:val="20"/>
                <w:szCs w:val="20"/>
              </w:rPr>
              <w:t xml:space="preserve">with the NDIS trial site </w:t>
            </w:r>
            <w:r w:rsidRPr="007064FF">
              <w:rPr>
                <w:sz w:val="20"/>
                <w:szCs w:val="20"/>
              </w:rPr>
              <w:t>in the Perth Hills region.</w:t>
            </w:r>
          </w:p>
          <w:p w:rsidR="00EA1192" w:rsidRDefault="007064FF" w:rsidP="00651F47">
            <w:pPr>
              <w:spacing w:before="40" w:after="40"/>
              <w:rPr>
                <w:sz w:val="20"/>
                <w:szCs w:val="20"/>
              </w:rPr>
            </w:pPr>
            <w:r w:rsidRPr="007064FF">
              <w:rPr>
                <w:sz w:val="20"/>
                <w:szCs w:val="20"/>
              </w:rPr>
              <w:t xml:space="preserve">The trial will allow for the assessment and comparison of the merits of the My Way model with the NDIS model and allow the lessons learned to inform the national roll-out of disability reform. </w:t>
            </w:r>
          </w:p>
        </w:tc>
        <w:tc>
          <w:tcPr>
            <w:tcW w:w="522" w:type="pct"/>
            <w:tcBorders>
              <w:bottom w:val="single" w:sz="4" w:space="0" w:color="auto"/>
            </w:tcBorders>
          </w:tcPr>
          <w:p w:rsidR="000F71CA" w:rsidRDefault="00E82A61" w:rsidP="00445518">
            <w:pPr>
              <w:spacing w:before="40" w:after="40"/>
              <w:jc w:val="right"/>
              <w:rPr>
                <w:sz w:val="20"/>
                <w:szCs w:val="20"/>
              </w:rPr>
            </w:pPr>
            <w:r>
              <w:rPr>
                <w:sz w:val="20"/>
                <w:szCs w:val="20"/>
              </w:rPr>
              <w:t>11.8</w:t>
            </w:r>
          </w:p>
        </w:tc>
        <w:tc>
          <w:tcPr>
            <w:tcW w:w="523" w:type="pct"/>
          </w:tcPr>
          <w:p w:rsidR="000F71CA" w:rsidRDefault="000F71CA" w:rsidP="00445518">
            <w:pPr>
              <w:spacing w:before="40" w:after="40"/>
              <w:jc w:val="right"/>
              <w:rPr>
                <w:sz w:val="20"/>
                <w:szCs w:val="20"/>
              </w:rPr>
            </w:pPr>
          </w:p>
        </w:tc>
      </w:tr>
    </w:tbl>
    <w:p w:rsidR="00651F47" w:rsidRDefault="00651F47">
      <w:r>
        <w:br w:type="page"/>
      </w:r>
    </w:p>
    <w:p w:rsidR="00651F47" w:rsidRPr="00651F47" w:rsidRDefault="00651F47" w:rsidP="00651F47">
      <w:pPr>
        <w:pStyle w:val="CGCTableHeading"/>
        <w:rPr>
          <w:sz w:val="20"/>
        </w:rPr>
      </w:pPr>
      <w:r w:rsidRPr="00DF682C">
        <w:rPr>
          <w:b w:val="0"/>
          <w:noProof/>
          <w:sz w:val="20"/>
          <w:lang w:eastAsia="en-AU"/>
        </w:rPr>
        <w:lastRenderedPageBreak/>
        <mc:AlternateContent>
          <mc:Choice Requires="wps">
            <w:drawing>
              <wp:anchor distT="0" distB="0" distL="114300" distR="114300" simplePos="0" relativeHeight="251686912" behindDoc="0" locked="0" layoutInCell="1" allowOverlap="1" wp14:anchorId="2936C5DF" wp14:editId="3551B974">
                <wp:simplePos x="0" y="0"/>
                <wp:positionH relativeFrom="column">
                  <wp:posOffset>-622935</wp:posOffset>
                </wp:positionH>
                <wp:positionV relativeFrom="paragraph">
                  <wp:posOffset>182209</wp:posOffset>
                </wp:positionV>
                <wp:extent cx="430530" cy="5648325"/>
                <wp:effectExtent l="0" t="0" r="762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564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9EC" w:rsidRPr="005D28F8" w:rsidRDefault="00EA09EC" w:rsidP="00651F47">
                            <w:pPr>
                              <w:spacing w:after="0" w:line="240" w:lineRule="auto"/>
                              <w:rPr>
                                <w:sz w:val="20"/>
                                <w:szCs w:val="20"/>
                              </w:rPr>
                            </w:pPr>
                            <w:r w:rsidRPr="00A57510">
                              <w:rPr>
                                <w:szCs w:val="24"/>
                              </w:rPr>
                              <w:t xml:space="preserve">Attachment </w:t>
                            </w:r>
                            <w:r>
                              <w:rPr>
                                <w:szCs w:val="24"/>
                              </w:rPr>
                              <w:t>B</w:t>
                            </w:r>
                            <w:r w:rsidRPr="005D28F8">
                              <w:rPr>
                                <w:sz w:val="20"/>
                                <w:szCs w:val="20"/>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49.05pt;margin-top:14.35pt;width:33.9pt;height:44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" stroked="f">
                <v:textbox style="layout-flow:vertical">
                  <w:txbxContent>
                    <w:p w:rsidR="00EA09EC" w:rsidRPr="005D28F8" w:rsidRDefault="00EA09EC" w:rsidP="00651F47">
                      <w:pPr>
                        <w:spacing w:after="0" w:line="240" w:lineRule="auto"/>
                        <w:rPr>
                          <w:sz w:val="20"/>
                          <w:szCs w:val="20"/>
                        </w:rPr>
                      </w:pPr>
                      <w:r w:rsidRPr="00A57510">
                        <w:rPr>
                          <w:szCs w:val="24"/>
                        </w:rPr>
                        <w:t xml:space="preserve">Attachment </w:t>
                      </w:r>
                      <w:r>
                        <w:rPr>
                          <w:szCs w:val="24"/>
                        </w:rPr>
                        <w:t>B</w:t>
                      </w:r>
                      <w:r w:rsidRPr="005D28F8">
                        <w:rPr>
                          <w:sz w:val="20"/>
                          <w:szCs w:val="20"/>
                        </w:rPr>
                        <w:tab/>
                      </w:r>
                      <w:r w:rsidRPr="005D28F8">
                        <w:rPr>
                          <w:sz w:val="20"/>
                          <w:szCs w:val="20"/>
                        </w:rPr>
                        <w:ptab w:relativeTo="margin" w:alignment="right" w:leader="none"/>
                      </w:r>
                      <w:r>
                        <w:fldChar w:fldCharType="begin"/>
                      </w:r>
                      <w:r>
                        <w:instrText xml:space="preserve"> PAGE   \* MERGEFORMAT </w:instrText>
                      </w:r>
                      <w:r>
                        <w:fldChar w:fldCharType="separate"/>
                      </w:r>
                      <w:r w:rsidR="0040671D">
                        <w:rPr>
                          <w:noProof/>
                        </w:rPr>
                        <w:t>25</w:t>
                      </w:r>
                      <w:r>
                        <w:rPr>
                          <w:noProof/>
                        </w:rPr>
                        <w:fldChar w:fldCharType="end"/>
                      </w:r>
                    </w:p>
                  </w:txbxContent>
                </v:textbox>
              </v:shape>
            </w:pict>
          </mc:Fallback>
        </mc:AlternateContent>
      </w:r>
      <w:r w:rsidRPr="00DF682C">
        <w:rPr>
          <w:sz w:val="20"/>
        </w:rPr>
        <w:t xml:space="preserve">Table </w:t>
      </w:r>
      <w:r w:rsidR="00A57510">
        <w:rPr>
          <w:sz w:val="20"/>
        </w:rPr>
        <w:t>B</w:t>
      </w:r>
      <w:r w:rsidRPr="00DF682C">
        <w:rPr>
          <w:sz w:val="20"/>
        </w:rPr>
        <w:t>-</w:t>
      </w:r>
      <w:r>
        <w:rPr>
          <w:sz w:val="20"/>
        </w:rPr>
        <w:t>2</w:t>
      </w:r>
      <w:r w:rsidRPr="00DF682C">
        <w:rPr>
          <w:sz w:val="20"/>
        </w:rPr>
        <w:tab/>
        <w:t>Commonwealth payments commenced in 201</w:t>
      </w:r>
      <w:r>
        <w:rPr>
          <w:sz w:val="20"/>
        </w:rPr>
        <w:t>4-15 and 2015-16</w:t>
      </w:r>
      <w:r w:rsidRPr="00DF682C">
        <w:rPr>
          <w:sz w:val="20"/>
        </w:rPr>
        <w:t xml:space="preserve">, </w:t>
      </w:r>
      <w:r w:rsidR="00AD1E62" w:rsidRPr="00DF682C">
        <w:rPr>
          <w:sz w:val="20"/>
        </w:rPr>
        <w:t xml:space="preserve">, </w:t>
      </w:r>
      <w:r w:rsidR="00AD1E62" w:rsidRPr="00BC59D2">
        <w:rPr>
          <w:i/>
          <w:sz w:val="20"/>
        </w:rPr>
        <w:t xml:space="preserve">Federal </w:t>
      </w:r>
      <w:r w:rsidR="00AD1E62">
        <w:rPr>
          <w:i/>
          <w:sz w:val="20"/>
        </w:rPr>
        <w:t xml:space="preserve">Financial </w:t>
      </w:r>
      <w:r w:rsidR="00AD1E62" w:rsidRPr="00BC59D2">
        <w:rPr>
          <w:i/>
          <w:sz w:val="20"/>
        </w:rPr>
        <w:t>Relations, Budget Paper No. 3, 201</w:t>
      </w:r>
      <w:r w:rsidR="00AD1E62">
        <w:rPr>
          <w:i/>
          <w:sz w:val="20"/>
        </w:rPr>
        <w:t>4-15</w:t>
      </w:r>
      <w:r>
        <w:rPr>
          <w:i/>
          <w:sz w:val="20"/>
        </w:rPr>
        <w:t xml:space="preserve"> </w:t>
      </w:r>
      <w:r>
        <w:rPr>
          <w:sz w:val="20"/>
        </w:rPr>
        <w:t>(cont’d)</w:t>
      </w:r>
    </w:p>
    <w:tbl>
      <w:tblPr>
        <w:tblStyle w:val="TableGrid"/>
        <w:tblW w:w="4972" w:type="pct"/>
        <w:tblLayout w:type="fixed"/>
        <w:tblLook w:val="04A0" w:firstRow="1" w:lastRow="0" w:firstColumn="1" w:lastColumn="0" w:noHBand="0" w:noVBand="1"/>
      </w:tblPr>
      <w:tblGrid>
        <w:gridCol w:w="3650"/>
        <w:gridCol w:w="7089"/>
        <w:gridCol w:w="1417"/>
        <w:gridCol w:w="1420"/>
      </w:tblGrid>
      <w:tr w:rsidR="00651F47" w:rsidRPr="00194C79" w:rsidTr="008F2312">
        <w:tc>
          <w:tcPr>
            <w:tcW w:w="1344" w:type="pct"/>
            <w:tcBorders>
              <w:top w:val="single" w:sz="4" w:space="0" w:color="auto"/>
              <w:bottom w:val="single" w:sz="4" w:space="0" w:color="auto"/>
            </w:tcBorders>
          </w:tcPr>
          <w:p w:rsidR="00651F47" w:rsidRPr="00194C79" w:rsidRDefault="00651F47" w:rsidP="00651F47">
            <w:pPr>
              <w:spacing w:before="20" w:after="20"/>
              <w:rPr>
                <w:b/>
                <w:sz w:val="20"/>
                <w:szCs w:val="20"/>
              </w:rPr>
            </w:pPr>
            <w:r w:rsidRPr="00194C79">
              <w:rPr>
                <w:b/>
                <w:sz w:val="20"/>
                <w:szCs w:val="20"/>
              </w:rPr>
              <w:t>Commonwealth payment</w:t>
            </w:r>
          </w:p>
        </w:tc>
        <w:tc>
          <w:tcPr>
            <w:tcW w:w="2611" w:type="pct"/>
            <w:tcBorders>
              <w:top w:val="single" w:sz="4" w:space="0" w:color="auto"/>
              <w:bottom w:val="single" w:sz="4" w:space="0" w:color="auto"/>
            </w:tcBorders>
          </w:tcPr>
          <w:p w:rsidR="00651F47" w:rsidRDefault="00651F47" w:rsidP="00854D55">
            <w:pPr>
              <w:spacing w:before="20" w:after="20"/>
              <w:rPr>
                <w:b/>
                <w:sz w:val="20"/>
                <w:szCs w:val="20"/>
              </w:rPr>
            </w:pPr>
            <w:r>
              <w:rPr>
                <w:b/>
                <w:sz w:val="20"/>
                <w:szCs w:val="20"/>
              </w:rPr>
              <w:t>Description</w:t>
            </w:r>
          </w:p>
        </w:tc>
        <w:tc>
          <w:tcPr>
            <w:tcW w:w="522" w:type="pct"/>
            <w:tcBorders>
              <w:top w:val="single" w:sz="4" w:space="0" w:color="auto"/>
              <w:bottom w:val="single" w:sz="4" w:space="0" w:color="auto"/>
            </w:tcBorders>
            <w:vAlign w:val="bottom"/>
          </w:tcPr>
          <w:p w:rsidR="00651F47" w:rsidRPr="00194C79" w:rsidRDefault="00651F47" w:rsidP="00854D55">
            <w:pPr>
              <w:spacing w:before="20" w:after="20"/>
              <w:jc w:val="right"/>
              <w:rPr>
                <w:b/>
                <w:sz w:val="20"/>
                <w:szCs w:val="20"/>
              </w:rPr>
            </w:pPr>
            <w:r>
              <w:rPr>
                <w:b/>
                <w:sz w:val="20"/>
                <w:szCs w:val="20"/>
              </w:rPr>
              <w:t xml:space="preserve">New in </w:t>
            </w:r>
            <w:r>
              <w:rPr>
                <w:b/>
                <w:sz w:val="20"/>
                <w:szCs w:val="20"/>
              </w:rPr>
              <w:br/>
              <w:t>2014-15 $m</w:t>
            </w:r>
          </w:p>
        </w:tc>
        <w:tc>
          <w:tcPr>
            <w:tcW w:w="523" w:type="pct"/>
            <w:tcBorders>
              <w:top w:val="single" w:sz="4" w:space="0" w:color="auto"/>
              <w:bottom w:val="single" w:sz="4" w:space="0" w:color="auto"/>
            </w:tcBorders>
            <w:vAlign w:val="bottom"/>
          </w:tcPr>
          <w:p w:rsidR="00651F47" w:rsidRPr="00194C79" w:rsidRDefault="00651F47" w:rsidP="00854D55">
            <w:pPr>
              <w:spacing w:before="20" w:after="20"/>
              <w:jc w:val="right"/>
              <w:rPr>
                <w:b/>
                <w:sz w:val="20"/>
                <w:szCs w:val="20"/>
              </w:rPr>
            </w:pPr>
            <w:r>
              <w:rPr>
                <w:b/>
                <w:sz w:val="20"/>
                <w:szCs w:val="20"/>
              </w:rPr>
              <w:t xml:space="preserve">New in </w:t>
            </w:r>
            <w:r>
              <w:rPr>
                <w:b/>
                <w:sz w:val="20"/>
                <w:szCs w:val="20"/>
              </w:rPr>
              <w:br/>
              <w:t>2015-16 $m</w:t>
            </w:r>
          </w:p>
        </w:tc>
      </w:tr>
      <w:tr w:rsidR="000F71CA" w:rsidTr="00445518">
        <w:tc>
          <w:tcPr>
            <w:tcW w:w="1344" w:type="pct"/>
            <w:tcBorders>
              <w:right w:val="nil"/>
            </w:tcBorders>
          </w:tcPr>
          <w:p w:rsidR="000F71CA" w:rsidRPr="00E82A61" w:rsidRDefault="00E82A61" w:rsidP="00651F47">
            <w:pPr>
              <w:spacing w:before="20" w:after="20"/>
              <w:rPr>
                <w:b/>
                <w:sz w:val="20"/>
                <w:szCs w:val="20"/>
              </w:rPr>
            </w:pPr>
            <w:r w:rsidRPr="00E82A61">
              <w:rPr>
                <w:b/>
                <w:sz w:val="20"/>
                <w:szCs w:val="20"/>
              </w:rPr>
              <w:t>Infrastructure</w:t>
            </w:r>
          </w:p>
        </w:tc>
        <w:tc>
          <w:tcPr>
            <w:tcW w:w="2611" w:type="pct"/>
            <w:tcBorders>
              <w:left w:val="nil"/>
              <w:right w:val="nil"/>
            </w:tcBorders>
          </w:tcPr>
          <w:p w:rsidR="000F71CA" w:rsidRPr="00790EB7" w:rsidRDefault="000F71CA" w:rsidP="00651F47">
            <w:pPr>
              <w:spacing w:before="20" w:after="20"/>
              <w:rPr>
                <w:sz w:val="20"/>
                <w:szCs w:val="20"/>
              </w:rPr>
            </w:pPr>
          </w:p>
        </w:tc>
        <w:tc>
          <w:tcPr>
            <w:tcW w:w="522" w:type="pct"/>
            <w:tcBorders>
              <w:left w:val="nil"/>
              <w:right w:val="nil"/>
            </w:tcBorders>
          </w:tcPr>
          <w:p w:rsidR="000F71CA" w:rsidRDefault="000F71CA" w:rsidP="00445518">
            <w:pPr>
              <w:spacing w:before="40" w:after="40"/>
              <w:jc w:val="right"/>
              <w:rPr>
                <w:sz w:val="20"/>
                <w:szCs w:val="20"/>
              </w:rPr>
            </w:pPr>
          </w:p>
        </w:tc>
        <w:tc>
          <w:tcPr>
            <w:tcW w:w="523" w:type="pct"/>
            <w:tcBorders>
              <w:left w:val="nil"/>
            </w:tcBorders>
          </w:tcPr>
          <w:p w:rsidR="000F71CA" w:rsidRDefault="000F71CA" w:rsidP="00445518">
            <w:pPr>
              <w:spacing w:before="40" w:after="40"/>
              <w:jc w:val="right"/>
              <w:rPr>
                <w:sz w:val="20"/>
                <w:szCs w:val="20"/>
              </w:rPr>
            </w:pPr>
          </w:p>
        </w:tc>
      </w:tr>
      <w:tr w:rsidR="000F71CA" w:rsidTr="00445518">
        <w:tc>
          <w:tcPr>
            <w:tcW w:w="1344" w:type="pct"/>
          </w:tcPr>
          <w:p w:rsidR="004A01DA" w:rsidRDefault="00E82A61" w:rsidP="00651F47">
            <w:pPr>
              <w:spacing w:before="20" w:after="20"/>
              <w:rPr>
                <w:sz w:val="20"/>
                <w:szCs w:val="20"/>
              </w:rPr>
            </w:pPr>
            <w:r w:rsidRPr="00E82A61">
              <w:rPr>
                <w:sz w:val="20"/>
                <w:szCs w:val="20"/>
              </w:rPr>
              <w:t>Infrastructure Investment program (fo</w:t>
            </w:r>
            <w:r w:rsidR="004A01DA">
              <w:rPr>
                <w:sz w:val="20"/>
                <w:szCs w:val="20"/>
              </w:rPr>
              <w:t>rmer Nation Building program) —</w:t>
            </w:r>
          </w:p>
          <w:p w:rsidR="000F71CA" w:rsidRDefault="00E82A61" w:rsidP="00651F47">
            <w:pPr>
              <w:spacing w:before="20" w:after="20"/>
              <w:ind w:firstLine="284"/>
              <w:rPr>
                <w:sz w:val="20"/>
                <w:szCs w:val="20"/>
              </w:rPr>
            </w:pPr>
            <w:r w:rsidRPr="00E82A61">
              <w:rPr>
                <w:sz w:val="20"/>
                <w:szCs w:val="20"/>
              </w:rPr>
              <w:t xml:space="preserve">Bridges renewal </w:t>
            </w:r>
            <w:r w:rsidR="004A01DA">
              <w:rPr>
                <w:sz w:val="20"/>
                <w:szCs w:val="20"/>
              </w:rPr>
              <w:t>component</w:t>
            </w:r>
          </w:p>
        </w:tc>
        <w:tc>
          <w:tcPr>
            <w:tcW w:w="2611" w:type="pct"/>
          </w:tcPr>
          <w:p w:rsidR="000F71CA" w:rsidRPr="00790EB7" w:rsidRDefault="00DF24D2" w:rsidP="00651F47">
            <w:pPr>
              <w:spacing w:before="20" w:after="20"/>
              <w:rPr>
                <w:sz w:val="20"/>
                <w:szCs w:val="20"/>
              </w:rPr>
            </w:pPr>
            <w:r>
              <w:rPr>
                <w:sz w:val="20"/>
                <w:szCs w:val="20"/>
              </w:rPr>
              <w:t>Payments direct to local governments for the upgrade of bridges across the nation to deliver on a commitment made as part of the 2013 election. The program will renew and replace bridges to improve productivity and community access.</w:t>
            </w:r>
          </w:p>
        </w:tc>
        <w:tc>
          <w:tcPr>
            <w:tcW w:w="522" w:type="pct"/>
          </w:tcPr>
          <w:p w:rsidR="000F71CA" w:rsidRDefault="008B6005" w:rsidP="00445518">
            <w:pPr>
              <w:spacing w:before="40" w:after="40"/>
              <w:jc w:val="right"/>
              <w:rPr>
                <w:sz w:val="20"/>
                <w:szCs w:val="20"/>
              </w:rPr>
            </w:pPr>
            <w:r>
              <w:rPr>
                <w:sz w:val="20"/>
                <w:szCs w:val="20"/>
              </w:rPr>
              <w:t>60.0</w:t>
            </w:r>
          </w:p>
        </w:tc>
        <w:tc>
          <w:tcPr>
            <w:tcW w:w="523" w:type="pct"/>
          </w:tcPr>
          <w:p w:rsidR="000F71CA" w:rsidRDefault="000F71CA" w:rsidP="00445518">
            <w:pPr>
              <w:spacing w:before="40" w:after="40"/>
              <w:jc w:val="right"/>
              <w:rPr>
                <w:sz w:val="20"/>
                <w:szCs w:val="20"/>
              </w:rPr>
            </w:pPr>
          </w:p>
        </w:tc>
      </w:tr>
      <w:tr w:rsidR="000F71CA" w:rsidTr="00445518">
        <w:tc>
          <w:tcPr>
            <w:tcW w:w="1344" w:type="pct"/>
          </w:tcPr>
          <w:p w:rsidR="00E82A61" w:rsidRPr="00E82A61" w:rsidRDefault="00E82A61" w:rsidP="00651F47">
            <w:pPr>
              <w:spacing w:before="20" w:after="20"/>
              <w:rPr>
                <w:sz w:val="20"/>
                <w:szCs w:val="20"/>
              </w:rPr>
            </w:pPr>
            <w:r w:rsidRPr="00E82A61">
              <w:rPr>
                <w:sz w:val="20"/>
                <w:szCs w:val="20"/>
              </w:rPr>
              <w:t xml:space="preserve">Infrastructure Growth Package </w:t>
            </w:r>
            <w:r w:rsidR="004A01DA">
              <w:rPr>
                <w:sz w:val="20"/>
                <w:szCs w:val="20"/>
              </w:rPr>
              <w:t>—</w:t>
            </w:r>
            <w:r w:rsidRPr="00E82A61">
              <w:rPr>
                <w:sz w:val="20"/>
                <w:szCs w:val="20"/>
              </w:rPr>
              <w:t xml:space="preserve"> </w:t>
            </w:r>
          </w:p>
          <w:p w:rsidR="00E82A61" w:rsidRPr="00E82A61" w:rsidRDefault="00E82A61" w:rsidP="00651F47">
            <w:pPr>
              <w:spacing w:before="20" w:after="20"/>
              <w:ind w:firstLine="284"/>
              <w:rPr>
                <w:sz w:val="20"/>
                <w:szCs w:val="20"/>
              </w:rPr>
            </w:pPr>
            <w:r w:rsidRPr="00E82A61">
              <w:rPr>
                <w:sz w:val="20"/>
                <w:szCs w:val="20"/>
              </w:rPr>
              <w:t>Asset Recycling Fund</w:t>
            </w:r>
          </w:p>
          <w:p w:rsidR="00E82A61" w:rsidRPr="00E82A61" w:rsidRDefault="00E82A61" w:rsidP="00651F47">
            <w:pPr>
              <w:spacing w:before="20" w:after="20"/>
              <w:ind w:firstLine="426"/>
              <w:rPr>
                <w:sz w:val="20"/>
                <w:szCs w:val="20"/>
              </w:rPr>
            </w:pPr>
            <w:r w:rsidRPr="00E82A61">
              <w:rPr>
                <w:sz w:val="20"/>
                <w:szCs w:val="20"/>
              </w:rPr>
              <w:t>Asset Recycling Initiative</w:t>
            </w:r>
          </w:p>
          <w:p w:rsidR="00E82A61" w:rsidRPr="00E82A61" w:rsidRDefault="00E82A61" w:rsidP="00651F47">
            <w:pPr>
              <w:spacing w:before="20" w:after="20"/>
              <w:ind w:firstLine="426"/>
              <w:rPr>
                <w:sz w:val="20"/>
                <w:szCs w:val="20"/>
              </w:rPr>
            </w:pPr>
            <w:r w:rsidRPr="00E82A61">
              <w:rPr>
                <w:sz w:val="20"/>
                <w:szCs w:val="20"/>
              </w:rPr>
              <w:t>New investments</w:t>
            </w:r>
          </w:p>
          <w:p w:rsidR="000F71CA" w:rsidRDefault="00E82A61" w:rsidP="00651F47">
            <w:pPr>
              <w:spacing w:before="20" w:after="20"/>
              <w:ind w:firstLine="426"/>
              <w:rPr>
                <w:sz w:val="20"/>
                <w:szCs w:val="20"/>
              </w:rPr>
            </w:pPr>
            <w:r w:rsidRPr="00E82A61">
              <w:rPr>
                <w:sz w:val="20"/>
                <w:szCs w:val="20"/>
              </w:rPr>
              <w:t>Western Sydney Infrastructure Plan</w:t>
            </w:r>
          </w:p>
          <w:p w:rsidR="008B6005" w:rsidRDefault="008B6005" w:rsidP="008B6005">
            <w:pPr>
              <w:spacing w:before="20" w:after="20"/>
              <w:ind w:left="284"/>
              <w:rPr>
                <w:sz w:val="20"/>
                <w:szCs w:val="20"/>
              </w:rPr>
            </w:pPr>
            <w:r>
              <w:rPr>
                <w:sz w:val="20"/>
                <w:szCs w:val="20"/>
              </w:rPr>
              <w:t>(State allocations have not been determined for Asset Recycling Initiative and New investments)</w:t>
            </w:r>
          </w:p>
        </w:tc>
        <w:tc>
          <w:tcPr>
            <w:tcW w:w="2611" w:type="pct"/>
            <w:tcBorders>
              <w:bottom w:val="single" w:sz="4" w:space="0" w:color="auto"/>
            </w:tcBorders>
          </w:tcPr>
          <w:p w:rsidR="000F71CA" w:rsidRDefault="00C62EFC" w:rsidP="00651F47">
            <w:pPr>
              <w:spacing w:before="20" w:after="20"/>
              <w:rPr>
                <w:sz w:val="20"/>
                <w:szCs w:val="20"/>
              </w:rPr>
            </w:pPr>
            <w:r>
              <w:rPr>
                <w:sz w:val="20"/>
                <w:szCs w:val="20"/>
              </w:rPr>
              <w:t>The Commonwealth will establish an Asset Recycling Fund to provide funding for additional investment in high quality economic infrastructure</w:t>
            </w:r>
            <w:r w:rsidR="007B4247">
              <w:rPr>
                <w:sz w:val="20"/>
                <w:szCs w:val="20"/>
              </w:rPr>
              <w:t>.</w:t>
            </w:r>
          </w:p>
          <w:p w:rsidR="00C62EFC" w:rsidRDefault="00C62EFC" w:rsidP="00651F47">
            <w:pPr>
              <w:spacing w:before="20" w:after="20"/>
              <w:rPr>
                <w:sz w:val="20"/>
                <w:szCs w:val="20"/>
              </w:rPr>
            </w:pPr>
            <w:r>
              <w:rPr>
                <w:sz w:val="20"/>
                <w:szCs w:val="20"/>
              </w:rPr>
              <w:t>Asset Recycling Initiative —</w:t>
            </w:r>
            <w:r w:rsidR="008B6005">
              <w:rPr>
                <w:sz w:val="20"/>
                <w:szCs w:val="20"/>
              </w:rPr>
              <w:t xml:space="preserve"> </w:t>
            </w:r>
            <w:r>
              <w:rPr>
                <w:sz w:val="20"/>
                <w:szCs w:val="20"/>
              </w:rPr>
              <w:t xml:space="preserve">financial incentive to States that sell assets and reinvest the sale proceeds into new productive infrastructure. Funding will be allocated to specific projects </w:t>
            </w:r>
            <w:r w:rsidR="007B4247">
              <w:rPr>
                <w:sz w:val="20"/>
                <w:szCs w:val="20"/>
              </w:rPr>
              <w:t>as</w:t>
            </w:r>
            <w:r>
              <w:rPr>
                <w:sz w:val="20"/>
                <w:szCs w:val="20"/>
              </w:rPr>
              <w:t xml:space="preserve"> agreed between the Commonwealth and States.</w:t>
            </w:r>
          </w:p>
          <w:p w:rsidR="00C62EFC" w:rsidRDefault="00C62EFC" w:rsidP="00651F47">
            <w:pPr>
              <w:spacing w:before="20" w:after="20"/>
              <w:rPr>
                <w:sz w:val="20"/>
                <w:szCs w:val="20"/>
              </w:rPr>
            </w:pPr>
            <w:r>
              <w:rPr>
                <w:sz w:val="20"/>
                <w:szCs w:val="20"/>
              </w:rPr>
              <w:t>New investment —</w:t>
            </w:r>
            <w:r w:rsidR="008B6005">
              <w:rPr>
                <w:sz w:val="20"/>
                <w:szCs w:val="20"/>
              </w:rPr>
              <w:t xml:space="preserve"> </w:t>
            </w:r>
            <w:r>
              <w:rPr>
                <w:sz w:val="20"/>
                <w:szCs w:val="20"/>
              </w:rPr>
              <w:t xml:space="preserve">funding </w:t>
            </w:r>
            <w:r w:rsidR="007B4247">
              <w:rPr>
                <w:sz w:val="20"/>
                <w:szCs w:val="20"/>
              </w:rPr>
              <w:t>for high quality, high priority infrastructure projects and upgrades that support economic growth and employment</w:t>
            </w:r>
            <w:r>
              <w:rPr>
                <w:sz w:val="20"/>
                <w:szCs w:val="20"/>
              </w:rPr>
              <w:t xml:space="preserve">. </w:t>
            </w:r>
          </w:p>
          <w:p w:rsidR="00C62EFC" w:rsidRPr="00790EB7" w:rsidRDefault="00C62EFC" w:rsidP="00651F47">
            <w:pPr>
              <w:spacing w:before="20" w:after="20"/>
              <w:rPr>
                <w:sz w:val="20"/>
                <w:szCs w:val="20"/>
              </w:rPr>
            </w:pPr>
            <w:r>
              <w:rPr>
                <w:sz w:val="20"/>
                <w:szCs w:val="20"/>
              </w:rPr>
              <w:t xml:space="preserve">Western Sydney </w:t>
            </w:r>
            <w:r w:rsidR="007B4247">
              <w:rPr>
                <w:sz w:val="20"/>
                <w:szCs w:val="20"/>
              </w:rPr>
              <w:t>I</w:t>
            </w:r>
            <w:r>
              <w:rPr>
                <w:sz w:val="20"/>
                <w:szCs w:val="20"/>
              </w:rPr>
              <w:t xml:space="preserve">nfrastructure </w:t>
            </w:r>
            <w:r w:rsidR="007B4247">
              <w:rPr>
                <w:sz w:val="20"/>
                <w:szCs w:val="20"/>
              </w:rPr>
              <w:t>P</w:t>
            </w:r>
            <w:r>
              <w:rPr>
                <w:sz w:val="20"/>
                <w:szCs w:val="20"/>
              </w:rPr>
              <w:t>lan —</w:t>
            </w:r>
            <w:r w:rsidR="008B6005">
              <w:rPr>
                <w:sz w:val="20"/>
                <w:szCs w:val="20"/>
              </w:rPr>
              <w:t xml:space="preserve"> </w:t>
            </w:r>
            <w:r w:rsidR="007B4247">
              <w:rPr>
                <w:sz w:val="20"/>
                <w:szCs w:val="20"/>
              </w:rPr>
              <w:t>funding to enhance capacity and improve transport infrastructure, including the development of an airport at Badgerys Creek.</w:t>
            </w:r>
          </w:p>
        </w:tc>
        <w:tc>
          <w:tcPr>
            <w:tcW w:w="522" w:type="pct"/>
            <w:tcBorders>
              <w:bottom w:val="single" w:sz="4" w:space="0" w:color="auto"/>
            </w:tcBorders>
          </w:tcPr>
          <w:p w:rsidR="00E82A61" w:rsidRDefault="00E82A61" w:rsidP="00445518">
            <w:pPr>
              <w:spacing w:before="40" w:after="40"/>
              <w:jc w:val="right"/>
              <w:rPr>
                <w:sz w:val="20"/>
                <w:szCs w:val="20"/>
              </w:rPr>
            </w:pPr>
          </w:p>
          <w:p w:rsidR="00E82A61" w:rsidRDefault="00E82A61" w:rsidP="00445518">
            <w:pPr>
              <w:spacing w:before="40" w:after="40"/>
              <w:jc w:val="right"/>
              <w:rPr>
                <w:sz w:val="20"/>
                <w:szCs w:val="20"/>
              </w:rPr>
            </w:pPr>
          </w:p>
          <w:p w:rsidR="00E82A61" w:rsidRPr="00E82A61" w:rsidRDefault="00E82A61" w:rsidP="00445518">
            <w:pPr>
              <w:spacing w:before="40" w:after="40"/>
              <w:jc w:val="right"/>
              <w:rPr>
                <w:sz w:val="20"/>
                <w:szCs w:val="20"/>
              </w:rPr>
            </w:pPr>
            <w:r w:rsidRPr="00E82A61">
              <w:rPr>
                <w:sz w:val="20"/>
                <w:szCs w:val="20"/>
              </w:rPr>
              <w:t>335.0</w:t>
            </w:r>
          </w:p>
          <w:p w:rsidR="00E82A61" w:rsidRPr="00E82A61" w:rsidRDefault="00E82A61" w:rsidP="00445518">
            <w:pPr>
              <w:spacing w:before="40" w:after="40"/>
              <w:jc w:val="right"/>
              <w:rPr>
                <w:sz w:val="20"/>
                <w:szCs w:val="20"/>
              </w:rPr>
            </w:pPr>
            <w:r w:rsidRPr="00E82A61">
              <w:rPr>
                <w:sz w:val="20"/>
                <w:szCs w:val="20"/>
              </w:rPr>
              <w:t>201.7</w:t>
            </w:r>
          </w:p>
          <w:p w:rsidR="000F71CA" w:rsidRDefault="00E82A61" w:rsidP="00445518">
            <w:pPr>
              <w:spacing w:before="40" w:after="40"/>
              <w:jc w:val="right"/>
              <w:rPr>
                <w:sz w:val="20"/>
                <w:szCs w:val="20"/>
              </w:rPr>
            </w:pPr>
            <w:r w:rsidRPr="00E82A61">
              <w:rPr>
                <w:sz w:val="20"/>
                <w:szCs w:val="20"/>
              </w:rPr>
              <w:t>103.0</w:t>
            </w:r>
          </w:p>
          <w:p w:rsidR="008B6005" w:rsidRDefault="008B6005" w:rsidP="00445518">
            <w:pPr>
              <w:spacing w:before="40" w:after="40"/>
              <w:jc w:val="right"/>
              <w:rPr>
                <w:sz w:val="20"/>
                <w:szCs w:val="20"/>
              </w:rPr>
            </w:pPr>
          </w:p>
        </w:tc>
        <w:tc>
          <w:tcPr>
            <w:tcW w:w="523" w:type="pct"/>
          </w:tcPr>
          <w:p w:rsidR="000F71CA" w:rsidRDefault="000F71CA" w:rsidP="00445518">
            <w:pPr>
              <w:spacing w:before="40" w:after="40"/>
              <w:jc w:val="right"/>
              <w:rPr>
                <w:sz w:val="20"/>
                <w:szCs w:val="20"/>
              </w:rPr>
            </w:pPr>
          </w:p>
        </w:tc>
      </w:tr>
      <w:tr w:rsidR="000F71CA" w:rsidTr="00445518">
        <w:tc>
          <w:tcPr>
            <w:tcW w:w="1344" w:type="pct"/>
            <w:tcBorders>
              <w:right w:val="nil"/>
            </w:tcBorders>
          </w:tcPr>
          <w:p w:rsidR="000F71CA" w:rsidRPr="00E82A61" w:rsidRDefault="00E82A61" w:rsidP="00651F47">
            <w:pPr>
              <w:spacing w:before="20" w:after="20"/>
              <w:rPr>
                <w:rFonts w:ascii="Calibri" w:hAnsi="Calibri"/>
                <w:b/>
                <w:bCs/>
                <w:color w:val="000000"/>
                <w:sz w:val="20"/>
                <w:szCs w:val="20"/>
              </w:rPr>
            </w:pPr>
            <w:r>
              <w:rPr>
                <w:rFonts w:ascii="Calibri" w:hAnsi="Calibri"/>
                <w:b/>
                <w:bCs/>
                <w:color w:val="000000"/>
                <w:sz w:val="20"/>
                <w:szCs w:val="20"/>
              </w:rPr>
              <w:t>Environment</w:t>
            </w:r>
          </w:p>
        </w:tc>
        <w:tc>
          <w:tcPr>
            <w:tcW w:w="2611" w:type="pct"/>
            <w:tcBorders>
              <w:left w:val="nil"/>
              <w:right w:val="nil"/>
            </w:tcBorders>
          </w:tcPr>
          <w:p w:rsidR="000F71CA" w:rsidRPr="00790EB7" w:rsidRDefault="000F71CA" w:rsidP="00651F47">
            <w:pPr>
              <w:spacing w:before="20" w:after="20"/>
              <w:rPr>
                <w:sz w:val="20"/>
                <w:szCs w:val="20"/>
              </w:rPr>
            </w:pPr>
          </w:p>
        </w:tc>
        <w:tc>
          <w:tcPr>
            <w:tcW w:w="522" w:type="pct"/>
            <w:tcBorders>
              <w:left w:val="nil"/>
              <w:right w:val="nil"/>
            </w:tcBorders>
          </w:tcPr>
          <w:p w:rsidR="000F71CA" w:rsidRDefault="000F71CA" w:rsidP="00445518">
            <w:pPr>
              <w:spacing w:before="40" w:after="40"/>
              <w:jc w:val="right"/>
              <w:rPr>
                <w:sz w:val="20"/>
                <w:szCs w:val="20"/>
              </w:rPr>
            </w:pPr>
          </w:p>
        </w:tc>
        <w:tc>
          <w:tcPr>
            <w:tcW w:w="523" w:type="pct"/>
            <w:tcBorders>
              <w:left w:val="nil"/>
            </w:tcBorders>
          </w:tcPr>
          <w:p w:rsidR="000F71CA" w:rsidRDefault="000F71CA" w:rsidP="00445518">
            <w:pPr>
              <w:spacing w:before="40" w:after="40"/>
              <w:jc w:val="right"/>
              <w:rPr>
                <w:sz w:val="20"/>
                <w:szCs w:val="20"/>
              </w:rPr>
            </w:pPr>
          </w:p>
        </w:tc>
      </w:tr>
      <w:tr w:rsidR="000F71CA" w:rsidTr="00445518">
        <w:tc>
          <w:tcPr>
            <w:tcW w:w="1344" w:type="pct"/>
          </w:tcPr>
          <w:p w:rsidR="000F71CA" w:rsidRDefault="00E82A61" w:rsidP="00651F47">
            <w:pPr>
              <w:spacing w:before="20" w:after="20"/>
              <w:rPr>
                <w:sz w:val="20"/>
                <w:szCs w:val="20"/>
              </w:rPr>
            </w:pPr>
            <w:r w:rsidRPr="00E82A61">
              <w:rPr>
                <w:sz w:val="20"/>
                <w:szCs w:val="20"/>
              </w:rPr>
              <w:t>Bushfire mitigation</w:t>
            </w:r>
          </w:p>
        </w:tc>
        <w:tc>
          <w:tcPr>
            <w:tcW w:w="2611" w:type="pct"/>
          </w:tcPr>
          <w:p w:rsidR="000F71CA" w:rsidRPr="00790EB7" w:rsidRDefault="002227AB" w:rsidP="00651F47">
            <w:pPr>
              <w:spacing w:before="20" w:after="20"/>
              <w:rPr>
                <w:sz w:val="20"/>
                <w:szCs w:val="20"/>
              </w:rPr>
            </w:pPr>
            <w:r>
              <w:rPr>
                <w:sz w:val="20"/>
                <w:szCs w:val="20"/>
              </w:rPr>
              <w:t>Funding to implement long-term bushfire mitigation strategies and improved fuel reduction activities.</w:t>
            </w:r>
          </w:p>
        </w:tc>
        <w:tc>
          <w:tcPr>
            <w:tcW w:w="522" w:type="pct"/>
          </w:tcPr>
          <w:p w:rsidR="000F71CA" w:rsidRDefault="00E82A61" w:rsidP="00445518">
            <w:pPr>
              <w:spacing w:before="40" w:after="40"/>
              <w:jc w:val="right"/>
              <w:rPr>
                <w:sz w:val="20"/>
                <w:szCs w:val="20"/>
              </w:rPr>
            </w:pPr>
            <w:r w:rsidRPr="00E82A61">
              <w:rPr>
                <w:sz w:val="20"/>
                <w:szCs w:val="20"/>
              </w:rPr>
              <w:t>5.0</w:t>
            </w:r>
          </w:p>
        </w:tc>
        <w:tc>
          <w:tcPr>
            <w:tcW w:w="523" w:type="pct"/>
          </w:tcPr>
          <w:p w:rsidR="000F71CA" w:rsidRDefault="000F71CA" w:rsidP="00445518">
            <w:pPr>
              <w:spacing w:before="40" w:after="40"/>
              <w:jc w:val="right"/>
              <w:rPr>
                <w:sz w:val="20"/>
                <w:szCs w:val="20"/>
              </w:rPr>
            </w:pPr>
          </w:p>
        </w:tc>
      </w:tr>
      <w:tr w:rsidR="000F71CA" w:rsidTr="00445518">
        <w:tc>
          <w:tcPr>
            <w:tcW w:w="1344" w:type="pct"/>
          </w:tcPr>
          <w:p w:rsidR="000F71CA" w:rsidRDefault="00E82A61" w:rsidP="00651F47">
            <w:pPr>
              <w:spacing w:before="20" w:after="20"/>
              <w:rPr>
                <w:sz w:val="20"/>
                <w:szCs w:val="20"/>
              </w:rPr>
            </w:pPr>
            <w:r w:rsidRPr="00E82A61">
              <w:rPr>
                <w:sz w:val="20"/>
                <w:szCs w:val="20"/>
              </w:rPr>
              <w:t>Whale and dolphin entanglements</w:t>
            </w:r>
          </w:p>
        </w:tc>
        <w:tc>
          <w:tcPr>
            <w:tcW w:w="2611" w:type="pct"/>
            <w:tcBorders>
              <w:bottom w:val="single" w:sz="4" w:space="0" w:color="auto"/>
            </w:tcBorders>
          </w:tcPr>
          <w:p w:rsidR="000F71CA" w:rsidRPr="00790EB7" w:rsidRDefault="002227AB" w:rsidP="00651F47">
            <w:pPr>
              <w:spacing w:before="20" w:after="20"/>
              <w:rPr>
                <w:sz w:val="20"/>
                <w:szCs w:val="20"/>
              </w:rPr>
            </w:pPr>
            <w:r>
              <w:rPr>
                <w:sz w:val="20"/>
                <w:szCs w:val="20"/>
              </w:rPr>
              <w:t>Funding to support the purchase of equipment and training aimed at improving responses to whale and dolphin entanglements. The funding forms part of the Commonwealth’s broader Whale and Dolphin Protection Plan.</w:t>
            </w:r>
          </w:p>
        </w:tc>
        <w:tc>
          <w:tcPr>
            <w:tcW w:w="522" w:type="pct"/>
            <w:tcBorders>
              <w:bottom w:val="single" w:sz="4" w:space="0" w:color="auto"/>
            </w:tcBorders>
          </w:tcPr>
          <w:p w:rsidR="000F71CA" w:rsidRDefault="00E82A61" w:rsidP="00445518">
            <w:pPr>
              <w:spacing w:before="40" w:after="40"/>
              <w:jc w:val="right"/>
              <w:rPr>
                <w:sz w:val="20"/>
                <w:szCs w:val="20"/>
              </w:rPr>
            </w:pPr>
            <w:r w:rsidRPr="00E82A61">
              <w:rPr>
                <w:sz w:val="20"/>
                <w:szCs w:val="20"/>
              </w:rPr>
              <w:t>0.3</w:t>
            </w:r>
          </w:p>
        </w:tc>
        <w:tc>
          <w:tcPr>
            <w:tcW w:w="523" w:type="pct"/>
          </w:tcPr>
          <w:p w:rsidR="000F71CA" w:rsidRDefault="000F71CA" w:rsidP="00445518">
            <w:pPr>
              <w:spacing w:before="40" w:after="40"/>
              <w:jc w:val="right"/>
              <w:rPr>
                <w:sz w:val="20"/>
                <w:szCs w:val="20"/>
              </w:rPr>
            </w:pPr>
          </w:p>
        </w:tc>
      </w:tr>
      <w:tr w:rsidR="00E82A61" w:rsidTr="00445518">
        <w:tc>
          <w:tcPr>
            <w:tcW w:w="1344" w:type="pct"/>
            <w:tcBorders>
              <w:right w:val="nil"/>
            </w:tcBorders>
          </w:tcPr>
          <w:p w:rsidR="00E82A61" w:rsidRPr="00E82A61" w:rsidRDefault="00E82A61" w:rsidP="00651F47">
            <w:pPr>
              <w:spacing w:before="20" w:after="20"/>
              <w:rPr>
                <w:rFonts w:ascii="Calibri" w:hAnsi="Calibri"/>
                <w:b/>
                <w:bCs/>
                <w:color w:val="000000"/>
                <w:sz w:val="20"/>
                <w:szCs w:val="20"/>
              </w:rPr>
            </w:pPr>
            <w:r>
              <w:rPr>
                <w:rFonts w:ascii="Calibri" w:hAnsi="Calibri"/>
                <w:b/>
                <w:bCs/>
                <w:color w:val="000000"/>
                <w:sz w:val="20"/>
                <w:szCs w:val="20"/>
              </w:rPr>
              <w:t>Payments to support other state services</w:t>
            </w:r>
          </w:p>
        </w:tc>
        <w:tc>
          <w:tcPr>
            <w:tcW w:w="2611" w:type="pct"/>
            <w:tcBorders>
              <w:left w:val="nil"/>
              <w:right w:val="nil"/>
            </w:tcBorders>
          </w:tcPr>
          <w:p w:rsidR="00E82A61" w:rsidRPr="00790EB7" w:rsidRDefault="00E82A61" w:rsidP="00651F47">
            <w:pPr>
              <w:spacing w:before="20" w:after="20"/>
              <w:rPr>
                <w:sz w:val="20"/>
                <w:szCs w:val="20"/>
              </w:rPr>
            </w:pPr>
          </w:p>
        </w:tc>
        <w:tc>
          <w:tcPr>
            <w:tcW w:w="522" w:type="pct"/>
            <w:tcBorders>
              <w:left w:val="nil"/>
              <w:right w:val="nil"/>
            </w:tcBorders>
          </w:tcPr>
          <w:p w:rsidR="00E82A61" w:rsidRDefault="00E82A61" w:rsidP="00445518">
            <w:pPr>
              <w:spacing w:before="40" w:after="40"/>
              <w:jc w:val="right"/>
              <w:rPr>
                <w:sz w:val="20"/>
                <w:szCs w:val="20"/>
              </w:rPr>
            </w:pPr>
          </w:p>
        </w:tc>
        <w:tc>
          <w:tcPr>
            <w:tcW w:w="523" w:type="pct"/>
            <w:tcBorders>
              <w:left w:val="nil"/>
            </w:tcBorders>
          </w:tcPr>
          <w:p w:rsidR="00E82A61" w:rsidRDefault="00E82A61" w:rsidP="00445518">
            <w:pPr>
              <w:spacing w:before="40" w:after="40"/>
              <w:jc w:val="right"/>
              <w:rPr>
                <w:sz w:val="20"/>
                <w:szCs w:val="20"/>
              </w:rPr>
            </w:pPr>
          </w:p>
        </w:tc>
      </w:tr>
      <w:tr w:rsidR="00E82A61" w:rsidTr="00445518">
        <w:tc>
          <w:tcPr>
            <w:tcW w:w="1344" w:type="pct"/>
          </w:tcPr>
          <w:p w:rsidR="00E82A61" w:rsidRDefault="00E82A61" w:rsidP="00651F47">
            <w:pPr>
              <w:spacing w:before="20" w:after="20"/>
              <w:rPr>
                <w:sz w:val="20"/>
                <w:szCs w:val="20"/>
              </w:rPr>
            </w:pPr>
            <w:r w:rsidRPr="00E82A61">
              <w:rPr>
                <w:sz w:val="20"/>
                <w:szCs w:val="20"/>
              </w:rPr>
              <w:t>Addressing insurance costs in North Queensland</w:t>
            </w:r>
          </w:p>
        </w:tc>
        <w:tc>
          <w:tcPr>
            <w:tcW w:w="2611" w:type="pct"/>
          </w:tcPr>
          <w:p w:rsidR="00E82A61" w:rsidRPr="00790EB7" w:rsidRDefault="00D84727" w:rsidP="00651F47">
            <w:pPr>
              <w:spacing w:before="20" w:after="20"/>
              <w:rPr>
                <w:sz w:val="20"/>
                <w:szCs w:val="20"/>
              </w:rPr>
            </w:pPr>
            <w:r>
              <w:rPr>
                <w:sz w:val="20"/>
                <w:szCs w:val="20"/>
              </w:rPr>
              <w:t>Funding for a grants program for engineering inspections of North Queensland strata title properties. The assessments will provide better information to insurers which will enable them to set premiums that more accurately reflect individual property risks, and help residents of strata title properties to be fully aware of the risks to their properties from natural disasters.</w:t>
            </w:r>
          </w:p>
        </w:tc>
        <w:tc>
          <w:tcPr>
            <w:tcW w:w="522" w:type="pct"/>
          </w:tcPr>
          <w:p w:rsidR="00E82A61" w:rsidRDefault="00E82A61" w:rsidP="00445518">
            <w:pPr>
              <w:spacing w:before="40" w:after="40"/>
              <w:jc w:val="right"/>
              <w:rPr>
                <w:sz w:val="20"/>
                <w:szCs w:val="20"/>
              </w:rPr>
            </w:pPr>
            <w:r w:rsidRPr="00E82A61">
              <w:rPr>
                <w:sz w:val="20"/>
                <w:szCs w:val="20"/>
              </w:rPr>
              <w:t>3.1</w:t>
            </w:r>
          </w:p>
        </w:tc>
        <w:tc>
          <w:tcPr>
            <w:tcW w:w="523" w:type="pct"/>
          </w:tcPr>
          <w:p w:rsidR="00E82A61" w:rsidRDefault="00E82A61" w:rsidP="00445518">
            <w:pPr>
              <w:spacing w:before="40" w:after="40"/>
              <w:jc w:val="right"/>
              <w:rPr>
                <w:sz w:val="20"/>
                <w:szCs w:val="20"/>
              </w:rPr>
            </w:pPr>
          </w:p>
        </w:tc>
      </w:tr>
      <w:tr w:rsidR="00E82A61" w:rsidTr="00445518">
        <w:tc>
          <w:tcPr>
            <w:tcW w:w="1344" w:type="pct"/>
          </w:tcPr>
          <w:p w:rsidR="00E82A61" w:rsidRDefault="00E82A61" w:rsidP="00651F47">
            <w:pPr>
              <w:spacing w:before="20" w:after="20"/>
              <w:rPr>
                <w:sz w:val="20"/>
                <w:szCs w:val="20"/>
              </w:rPr>
            </w:pPr>
            <w:r w:rsidRPr="00E82A61">
              <w:rPr>
                <w:sz w:val="20"/>
                <w:szCs w:val="20"/>
              </w:rPr>
              <w:t>Developing demand-driver infrastructure for the tourism industry</w:t>
            </w:r>
          </w:p>
        </w:tc>
        <w:tc>
          <w:tcPr>
            <w:tcW w:w="2611" w:type="pct"/>
          </w:tcPr>
          <w:p w:rsidR="00E82A61" w:rsidRPr="00D84727" w:rsidRDefault="00D84727" w:rsidP="00651F47">
            <w:pPr>
              <w:spacing w:before="20" w:after="20"/>
              <w:rPr>
                <w:sz w:val="20"/>
                <w:szCs w:val="20"/>
              </w:rPr>
            </w:pPr>
            <w:r>
              <w:rPr>
                <w:sz w:val="20"/>
                <w:szCs w:val="20"/>
              </w:rPr>
              <w:t xml:space="preserve">Funding for projects that create and encourage tourism, and assist the tourism industry to meet the national tourism strategy, </w:t>
            </w:r>
            <w:r>
              <w:rPr>
                <w:i/>
                <w:sz w:val="20"/>
                <w:szCs w:val="20"/>
              </w:rPr>
              <w:t>Tourism 2020</w:t>
            </w:r>
            <w:r>
              <w:rPr>
                <w:sz w:val="20"/>
                <w:szCs w:val="20"/>
              </w:rPr>
              <w:t>.</w:t>
            </w:r>
          </w:p>
        </w:tc>
        <w:tc>
          <w:tcPr>
            <w:tcW w:w="522" w:type="pct"/>
          </w:tcPr>
          <w:p w:rsidR="00E82A61" w:rsidRDefault="00E82A61" w:rsidP="00445518">
            <w:pPr>
              <w:spacing w:before="40" w:after="40"/>
              <w:jc w:val="right"/>
              <w:rPr>
                <w:sz w:val="20"/>
                <w:szCs w:val="20"/>
              </w:rPr>
            </w:pPr>
            <w:r>
              <w:rPr>
                <w:sz w:val="20"/>
                <w:szCs w:val="20"/>
              </w:rPr>
              <w:t>11.0</w:t>
            </w:r>
          </w:p>
        </w:tc>
        <w:tc>
          <w:tcPr>
            <w:tcW w:w="523" w:type="pct"/>
          </w:tcPr>
          <w:p w:rsidR="00E82A61" w:rsidRDefault="00E82A61" w:rsidP="00445518">
            <w:pPr>
              <w:spacing w:before="40" w:after="40"/>
              <w:jc w:val="right"/>
              <w:rPr>
                <w:sz w:val="20"/>
                <w:szCs w:val="20"/>
              </w:rPr>
            </w:pPr>
          </w:p>
        </w:tc>
      </w:tr>
      <w:tr w:rsidR="000F71CA" w:rsidTr="00445518">
        <w:tc>
          <w:tcPr>
            <w:tcW w:w="1344" w:type="pct"/>
          </w:tcPr>
          <w:p w:rsidR="000F71CA" w:rsidRDefault="00E82A61" w:rsidP="00651F47">
            <w:pPr>
              <w:spacing w:before="20" w:after="20"/>
              <w:rPr>
                <w:sz w:val="20"/>
                <w:szCs w:val="20"/>
              </w:rPr>
            </w:pPr>
            <w:r w:rsidRPr="00E82A61">
              <w:rPr>
                <w:sz w:val="20"/>
                <w:szCs w:val="20"/>
              </w:rPr>
              <w:t>Port Arthur penitentiary restoration</w:t>
            </w:r>
          </w:p>
        </w:tc>
        <w:tc>
          <w:tcPr>
            <w:tcW w:w="2611" w:type="pct"/>
          </w:tcPr>
          <w:p w:rsidR="000F71CA" w:rsidRPr="00790EB7" w:rsidRDefault="00D84727" w:rsidP="00651F47">
            <w:pPr>
              <w:spacing w:before="20" w:after="20"/>
              <w:rPr>
                <w:sz w:val="20"/>
                <w:szCs w:val="20"/>
              </w:rPr>
            </w:pPr>
            <w:r>
              <w:rPr>
                <w:sz w:val="20"/>
                <w:szCs w:val="20"/>
              </w:rPr>
              <w:t xml:space="preserve">Funding to support conservation works on the Port Arthur Historic Site’s Penitentiary ruin in Tasmania. </w:t>
            </w:r>
          </w:p>
        </w:tc>
        <w:tc>
          <w:tcPr>
            <w:tcW w:w="522" w:type="pct"/>
          </w:tcPr>
          <w:p w:rsidR="000F71CA" w:rsidRDefault="00E82A61" w:rsidP="00445518">
            <w:pPr>
              <w:spacing w:before="40" w:after="40"/>
              <w:jc w:val="right"/>
              <w:rPr>
                <w:sz w:val="20"/>
                <w:szCs w:val="20"/>
              </w:rPr>
            </w:pPr>
            <w:r>
              <w:rPr>
                <w:sz w:val="20"/>
                <w:szCs w:val="20"/>
              </w:rPr>
              <w:t>1.5</w:t>
            </w:r>
          </w:p>
        </w:tc>
        <w:tc>
          <w:tcPr>
            <w:tcW w:w="523" w:type="pct"/>
          </w:tcPr>
          <w:p w:rsidR="000F71CA" w:rsidRDefault="000F71CA" w:rsidP="00445518">
            <w:pPr>
              <w:spacing w:before="40" w:after="40"/>
              <w:jc w:val="right"/>
              <w:rPr>
                <w:sz w:val="20"/>
                <w:szCs w:val="20"/>
              </w:rPr>
            </w:pPr>
          </w:p>
        </w:tc>
      </w:tr>
    </w:tbl>
    <w:p w:rsidR="00301269" w:rsidRDefault="00301269" w:rsidP="0024169C">
      <w:pPr>
        <w:tabs>
          <w:tab w:val="clear" w:pos="567"/>
        </w:tabs>
      </w:pPr>
    </w:p>
    <w:sectPr w:rsidR="00301269" w:rsidSect="000F71CA">
      <w:pgSz w:w="16838" w:h="11906" w:orient="landscape" w:code="9"/>
      <w:pgMar w:top="1474" w:right="1701" w:bottom="147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EC" w:rsidRDefault="00EA09EC" w:rsidP="00410163">
      <w:pPr>
        <w:spacing w:after="0" w:line="240" w:lineRule="auto"/>
      </w:pPr>
      <w:r>
        <w:separator/>
      </w:r>
    </w:p>
  </w:endnote>
  <w:endnote w:type="continuationSeparator" w:id="0">
    <w:p w:rsidR="00EA09EC" w:rsidRDefault="00EA09EC" w:rsidP="0041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967306"/>
      <w:docPartObj>
        <w:docPartGallery w:val="Page Numbers (Bottom of Page)"/>
        <w:docPartUnique/>
      </w:docPartObj>
    </w:sdtPr>
    <w:sdtEndPr/>
    <w:sdtContent>
      <w:p w:rsidR="00EA09EC" w:rsidRPr="004279E8" w:rsidRDefault="00EA09EC" w:rsidP="00CB31BA">
        <w:pPr>
          <w:pStyle w:val="Footer"/>
          <w:jc w:val="right"/>
        </w:pPr>
        <w:r w:rsidRPr="004279E8">
          <w:fldChar w:fldCharType="begin"/>
        </w:r>
        <w:r w:rsidRPr="004279E8">
          <w:instrText xml:space="preserve"> PAGE  \* Arabic  \* MERGEFORMAT </w:instrText>
        </w:r>
        <w:r w:rsidRPr="004279E8">
          <w:fldChar w:fldCharType="separate"/>
        </w:r>
        <w:r w:rsidR="0040671D">
          <w:rPr>
            <w:noProof/>
          </w:rPr>
          <w:t>24</w:t>
        </w:r>
        <w:r w:rsidRPr="004279E8">
          <w:fldChar w:fldCharType="end"/>
        </w:r>
      </w:p>
    </w:sdtContent>
  </w:sdt>
  <w:p w:rsidR="00EA09EC" w:rsidRPr="004279E8" w:rsidRDefault="00EA09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252908"/>
      <w:docPartObj>
        <w:docPartGallery w:val="Page Numbers (Bottom of Page)"/>
        <w:docPartUnique/>
      </w:docPartObj>
    </w:sdtPr>
    <w:sdtEndPr/>
    <w:sdtContent>
      <w:p w:rsidR="00EA09EC" w:rsidRPr="00875C0F" w:rsidRDefault="0040671D" w:rsidP="003A52E3">
        <w:pPr>
          <w:pStyle w:val="Footer"/>
          <w:jc w:val="righ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EC" w:rsidRPr="004022E2" w:rsidRDefault="00EA09EC" w:rsidP="004022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EC" w:rsidRPr="001E2A9C" w:rsidRDefault="00EA09EC" w:rsidP="003A52E3">
    <w:pPr>
      <w:pStyle w:val="Footer"/>
      <w:jc w:val="right"/>
    </w:pPr>
    <w:r>
      <w:fldChar w:fldCharType="begin"/>
    </w:r>
    <w:r>
      <w:instrText xml:space="preserve"> PAGE   \* MERGEFORMAT </w:instrText>
    </w:r>
    <w:r>
      <w:fldChar w:fldCharType="separate"/>
    </w:r>
    <w:r w:rsidR="0040671D">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3076"/>
      <w:docPartObj>
        <w:docPartGallery w:val="Page Numbers (Bottom of Page)"/>
        <w:docPartUnique/>
      </w:docPartObj>
    </w:sdtPr>
    <w:sdtEndPr>
      <w:rPr>
        <w:noProof/>
      </w:rPr>
    </w:sdtEndPr>
    <w:sdtContent>
      <w:p w:rsidR="00EA09EC" w:rsidRDefault="00EA09EC" w:rsidP="00564B80">
        <w:pPr>
          <w:pStyle w:val="Footer"/>
        </w:pPr>
        <w:r>
          <w:t>Attachment A</w:t>
        </w:r>
        <w:r>
          <w:tab/>
        </w:r>
        <w:r>
          <w:tab/>
        </w:r>
        <w:r>
          <w:fldChar w:fldCharType="begin"/>
        </w:r>
        <w:r>
          <w:instrText xml:space="preserve"> PAGE   \* MERGEFORMAT </w:instrText>
        </w:r>
        <w:r>
          <w:fldChar w:fldCharType="separate"/>
        </w:r>
        <w:r w:rsidR="0040671D">
          <w:rPr>
            <w:noProof/>
          </w:rPr>
          <w:t>28</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EC" w:rsidRPr="001E2A9C" w:rsidRDefault="00EA09EC" w:rsidP="0000494C">
    <w:pPr>
      <w:pStyle w:val="Footer"/>
    </w:pPr>
    <w:r>
      <w:t>Attachment A</w:t>
    </w:r>
    <w:r>
      <w:tab/>
    </w:r>
    <w:r>
      <w:tab/>
    </w:r>
    <w:r>
      <w:fldChar w:fldCharType="begin"/>
    </w:r>
    <w:r>
      <w:instrText xml:space="preserve"> PAGE   \* MERGEFORMAT </w:instrText>
    </w:r>
    <w:r>
      <w:fldChar w:fldCharType="separate"/>
    </w:r>
    <w:r w:rsidR="0040671D">
      <w:rPr>
        <w:noProof/>
      </w:rPr>
      <w:t>26</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EC" w:rsidRDefault="00EA09EC" w:rsidP="00564B8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EC" w:rsidRPr="001E2A9C" w:rsidRDefault="00EA09EC" w:rsidP="0000494C">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EC" w:rsidRDefault="00EA09EC" w:rsidP="00410163">
      <w:pPr>
        <w:spacing w:after="0" w:line="240" w:lineRule="auto"/>
      </w:pPr>
      <w:r>
        <w:separator/>
      </w:r>
    </w:p>
  </w:footnote>
  <w:footnote w:type="continuationSeparator" w:id="0">
    <w:p w:rsidR="00EA09EC" w:rsidRDefault="00EA09EC" w:rsidP="00410163">
      <w:pPr>
        <w:spacing w:after="0" w:line="240" w:lineRule="auto"/>
      </w:pPr>
      <w:r>
        <w:continuationSeparator/>
      </w:r>
    </w:p>
  </w:footnote>
  <w:footnote w:id="1">
    <w:p w:rsidR="00EA09EC" w:rsidRDefault="00EA09EC">
      <w:pPr>
        <w:pStyle w:val="FootnoteText"/>
      </w:pPr>
      <w:r>
        <w:rPr>
          <w:rStyle w:val="FootnoteReference"/>
        </w:rPr>
        <w:footnoteRef/>
      </w:r>
      <w:r>
        <w:t xml:space="preserve"> </w:t>
      </w:r>
      <w:r>
        <w:tab/>
        <w:t>A description of the funding per school model was contained in the Technical Appendix to Chapter 8 — Schools education of Staff Discussion Paper CGC 2013-075.</w:t>
      </w:r>
    </w:p>
  </w:footnote>
  <w:footnote w:id="2">
    <w:p w:rsidR="00EA09EC" w:rsidRDefault="00EA09EC" w:rsidP="00CE44B6">
      <w:pPr>
        <w:pStyle w:val="FootnoteText"/>
      </w:pPr>
      <w:r>
        <w:rPr>
          <w:rStyle w:val="FootnoteReference"/>
        </w:rPr>
        <w:footnoteRef/>
      </w:r>
      <w:r>
        <w:t xml:space="preserve"> </w:t>
      </w:r>
      <w:r>
        <w:tab/>
        <w:t>Student loadings based on 2010 ACARA financial data and 2011 ACARA student and staff data were included in Table 5 of the Schools education attachment to the Draft Report.</w:t>
      </w:r>
    </w:p>
  </w:footnote>
  <w:footnote w:id="3">
    <w:p w:rsidR="00EA09EC" w:rsidRDefault="00EA09EC" w:rsidP="001E4238">
      <w:pPr>
        <w:pStyle w:val="FootnoteText"/>
      </w:pPr>
      <w:r>
        <w:rPr>
          <w:rStyle w:val="FootnoteReference"/>
        </w:rPr>
        <w:footnoteRef/>
      </w:r>
      <w:r>
        <w:t xml:space="preserve"> </w:t>
      </w:r>
      <w:r>
        <w:tab/>
        <w:t xml:space="preserve">From ABS </w:t>
      </w:r>
      <w:r w:rsidRPr="00595B4A">
        <w:t>45190DO002_201213 Recorded Crime – Offenders, 2012–13</w:t>
      </w:r>
      <w:r>
        <w:t xml:space="preserve">, Table 17. ABS Data are for selected offences and </w:t>
      </w:r>
      <w:r w:rsidRPr="008B197E">
        <w:t>for New South Wales, Queensland, South Australia and the Northern Territory</w:t>
      </w:r>
      <w:r w:rsidRPr="00595B4A">
        <w:rPr>
          <w:color w:val="FF0000"/>
        </w:rPr>
        <w:t xml:space="preserve"> </w:t>
      </w:r>
      <w:r>
        <w:t>only.</w:t>
      </w:r>
    </w:p>
  </w:footnote>
  <w:footnote w:id="4">
    <w:p w:rsidR="00EA09EC" w:rsidRDefault="00EA09EC" w:rsidP="00EA09EC">
      <w:pPr>
        <w:pStyle w:val="FootnoteText"/>
      </w:pPr>
      <w:r>
        <w:rPr>
          <w:rStyle w:val="FootnoteReference"/>
        </w:rPr>
        <w:footnoteRef/>
      </w:r>
      <w:r>
        <w:t xml:space="preserve"> </w:t>
      </w:r>
      <w:r>
        <w:tab/>
      </w:r>
      <w:r w:rsidRPr="00012B21">
        <w:t>Unknown Indigeneity proportions in the State provided offen</w:t>
      </w:r>
      <w:r>
        <w:t xml:space="preserve">der data varied from nil in </w:t>
      </w:r>
      <w:r w:rsidRPr="00012B21">
        <w:t>some States up to 46% in one State.</w:t>
      </w:r>
    </w:p>
  </w:footnote>
  <w:footnote w:id="5">
    <w:p w:rsidR="00EA09EC" w:rsidRDefault="00EA09EC" w:rsidP="00381A8A">
      <w:pPr>
        <w:pStyle w:val="FootnoteText"/>
      </w:pPr>
      <w:r>
        <w:rPr>
          <w:rStyle w:val="FootnoteReference"/>
        </w:rPr>
        <w:footnoteRef/>
      </w:r>
      <w:r>
        <w:t xml:space="preserve"> </w:t>
      </w:r>
      <w:r>
        <w:tab/>
        <w:t xml:space="preserve">We have counted payments made under the same national partnership agreement as one payment. </w:t>
      </w:r>
    </w:p>
  </w:footnote>
  <w:footnote w:id="6">
    <w:p w:rsidR="00EA09EC" w:rsidRDefault="00EA09EC" w:rsidP="00381A8A">
      <w:pPr>
        <w:pStyle w:val="FootnoteText"/>
      </w:pPr>
      <w:r>
        <w:rPr>
          <w:rStyle w:val="FootnoteReference"/>
        </w:rPr>
        <w:footnoteRef/>
      </w:r>
      <w:r>
        <w:t xml:space="preserve"> </w:t>
      </w:r>
      <w:r>
        <w:tab/>
        <w:t>Includes funding for pensioners for land and water rates, energy, motor vehicle registration and public transport and for reciprocal transport concessions for senior card holders when travel inter-State.</w:t>
      </w:r>
    </w:p>
  </w:footnote>
  <w:footnote w:id="7">
    <w:p w:rsidR="00EA09EC" w:rsidRDefault="00EA09EC" w:rsidP="00381A8A">
      <w:pPr>
        <w:pStyle w:val="FootnoteText"/>
      </w:pPr>
      <w:r>
        <w:rPr>
          <w:rStyle w:val="FootnoteReference"/>
        </w:rPr>
        <w:footnoteRef/>
      </w:r>
      <w:r>
        <w:t xml:space="preserve"> </w:t>
      </w:r>
      <w:r>
        <w:tab/>
        <w:t>If payments are terminated as part of a larger change in Commonwealth-State financial arrangements, such as with the introduction of the Students First program, associated terminated program should be (and have been) backcast.</w:t>
      </w:r>
    </w:p>
  </w:footnote>
  <w:footnote w:id="8">
    <w:p w:rsidR="00EA09EC" w:rsidRDefault="00EA09EC" w:rsidP="00260624">
      <w:pPr>
        <w:pStyle w:val="FootnoteText"/>
      </w:pPr>
      <w:r>
        <w:rPr>
          <w:rStyle w:val="FootnoteReference"/>
        </w:rPr>
        <w:footnoteRef/>
      </w:r>
      <w:r>
        <w:t xml:space="preserve"> </w:t>
      </w:r>
      <w:r>
        <w:tab/>
        <w:t>Expenditure needs that are assessed equal per capital (EPC) do not affect State fiscal capacities. EPC expenditure assessment is used because 1) we conclude there are no differences in per capita service delivery costs (a deliberative EPC assessment) or 2) the needs are not material. Related payments for 1) would affect the GST distribution and payments for 2) would not.</w:t>
      </w:r>
    </w:p>
  </w:footnote>
  <w:footnote w:id="9">
    <w:p w:rsidR="00EA09EC" w:rsidRDefault="00EA09EC">
      <w:pPr>
        <w:pStyle w:val="FootnoteText"/>
      </w:pPr>
      <w:r>
        <w:rPr>
          <w:rStyle w:val="FootnoteReference"/>
        </w:rPr>
        <w:footnoteRef/>
      </w:r>
      <w:r>
        <w:t xml:space="preserve"> </w:t>
      </w:r>
      <w:r>
        <w:tab/>
        <w:t>In GFS, expenses for flood mitigation works in urban areas are classified to GPC 073 Sanitation and protection of the environment.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EC" w:rsidRDefault="00EA09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EC" w:rsidRDefault="00EA0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E03038"/>
    <w:lvl w:ilvl="0">
      <w:start w:val="1"/>
      <w:numFmt w:val="decimal"/>
      <w:lvlText w:val="%1."/>
      <w:lvlJc w:val="left"/>
      <w:pPr>
        <w:tabs>
          <w:tab w:val="num" w:pos="1492"/>
        </w:tabs>
        <w:ind w:left="1492" w:hanging="360"/>
      </w:pPr>
    </w:lvl>
  </w:abstractNum>
  <w:abstractNum w:abstractNumId="1">
    <w:nsid w:val="FFFFFF7D"/>
    <w:multiLevelType w:val="singleLevel"/>
    <w:tmpl w:val="B42A3D7C"/>
    <w:lvl w:ilvl="0">
      <w:start w:val="1"/>
      <w:numFmt w:val="decimal"/>
      <w:lvlText w:val="%1."/>
      <w:lvlJc w:val="left"/>
      <w:pPr>
        <w:tabs>
          <w:tab w:val="num" w:pos="1209"/>
        </w:tabs>
        <w:ind w:left="1209" w:hanging="360"/>
      </w:pPr>
    </w:lvl>
  </w:abstractNum>
  <w:abstractNum w:abstractNumId="2">
    <w:nsid w:val="FFFFFF7E"/>
    <w:multiLevelType w:val="singleLevel"/>
    <w:tmpl w:val="126E6FF2"/>
    <w:lvl w:ilvl="0">
      <w:start w:val="1"/>
      <w:numFmt w:val="decimal"/>
      <w:lvlText w:val="%1."/>
      <w:lvlJc w:val="left"/>
      <w:pPr>
        <w:tabs>
          <w:tab w:val="num" w:pos="926"/>
        </w:tabs>
        <w:ind w:left="926" w:hanging="360"/>
      </w:pPr>
    </w:lvl>
  </w:abstractNum>
  <w:abstractNum w:abstractNumId="3">
    <w:nsid w:val="FFFFFF7F"/>
    <w:multiLevelType w:val="singleLevel"/>
    <w:tmpl w:val="A392BDCA"/>
    <w:lvl w:ilvl="0">
      <w:start w:val="1"/>
      <w:numFmt w:val="decimal"/>
      <w:lvlText w:val="%1."/>
      <w:lvlJc w:val="left"/>
      <w:pPr>
        <w:tabs>
          <w:tab w:val="num" w:pos="643"/>
        </w:tabs>
        <w:ind w:left="643" w:hanging="360"/>
      </w:pPr>
    </w:lvl>
  </w:abstractNum>
  <w:abstractNum w:abstractNumId="4">
    <w:nsid w:val="FFFFFF80"/>
    <w:multiLevelType w:val="singleLevel"/>
    <w:tmpl w:val="4D120C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6018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022AB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6E3E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128486"/>
    <w:lvl w:ilvl="0">
      <w:start w:val="1"/>
      <w:numFmt w:val="decimal"/>
      <w:lvlText w:val="%1."/>
      <w:lvlJc w:val="left"/>
      <w:pPr>
        <w:tabs>
          <w:tab w:val="num" w:pos="360"/>
        </w:tabs>
        <w:ind w:left="360" w:hanging="360"/>
      </w:pPr>
    </w:lvl>
  </w:abstractNum>
  <w:abstractNum w:abstractNumId="9">
    <w:nsid w:val="FFFFFF89"/>
    <w:multiLevelType w:val="singleLevel"/>
    <w:tmpl w:val="C4104514"/>
    <w:lvl w:ilvl="0">
      <w:start w:val="1"/>
      <w:numFmt w:val="bullet"/>
      <w:lvlText w:val=""/>
      <w:lvlJc w:val="left"/>
      <w:pPr>
        <w:tabs>
          <w:tab w:val="num" w:pos="360"/>
        </w:tabs>
        <w:ind w:left="360" w:hanging="360"/>
      </w:pPr>
      <w:rPr>
        <w:rFonts w:ascii="Symbol" w:hAnsi="Symbol" w:hint="default"/>
      </w:rPr>
    </w:lvl>
  </w:abstractNum>
  <w:abstractNum w:abstractNumId="10">
    <w:nsid w:val="00514679"/>
    <w:multiLevelType w:val="multilevel"/>
    <w:tmpl w:val="87ECD5DE"/>
    <w:lvl w:ilvl="0">
      <w:start w:val="1"/>
      <w:numFmt w:val="lowerRoman"/>
      <w:lvlText w:val="(%1)"/>
      <w:lvlJc w:val="right"/>
      <w:pPr>
        <w:tabs>
          <w:tab w:val="num" w:pos="1701"/>
        </w:tabs>
        <w:ind w:left="1701"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56B14C5"/>
    <w:multiLevelType w:val="hybridMultilevel"/>
    <w:tmpl w:val="A59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53D7BB4"/>
    <w:multiLevelType w:val="multilevel"/>
    <w:tmpl w:val="410E2C24"/>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6C95DEC"/>
    <w:multiLevelType w:val="multilevel"/>
    <w:tmpl w:val="09E854DC"/>
    <w:lvl w:ilvl="0">
      <w:start w:val="1"/>
      <w:numFmt w:val="bullet"/>
      <w:lvlText w:val=""/>
      <w:lvlJc w:val="left"/>
      <w:pPr>
        <w:tabs>
          <w:tab w:val="num" w:pos="1494"/>
        </w:tabs>
        <w:ind w:left="1701"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9243AF9"/>
    <w:multiLevelType w:val="hybridMultilevel"/>
    <w:tmpl w:val="3A1CD8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21C66C66"/>
    <w:multiLevelType w:val="multilevel"/>
    <w:tmpl w:val="5B74CF8C"/>
    <w:lvl w:ilvl="0">
      <w:start w:val="1"/>
      <w:numFmt w:val="bullet"/>
      <w:lvlText w:val=""/>
      <w:lvlJc w:val="left"/>
      <w:pPr>
        <w:tabs>
          <w:tab w:val="num" w:pos="1494"/>
        </w:tabs>
        <w:ind w:left="1701"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7">
    <w:nsid w:val="317A6023"/>
    <w:multiLevelType w:val="hybridMultilevel"/>
    <w:tmpl w:val="1262912E"/>
    <w:lvl w:ilvl="0" w:tplc="9B9083DC">
      <w:start w:val="1"/>
      <w:numFmt w:val="lowerRoman"/>
      <w:pStyle w:val="CGCNumeralList"/>
      <w:lvlText w:val="%1"/>
      <w:lvlJc w:val="left"/>
      <w:pPr>
        <w:ind w:left="20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CB5609"/>
    <w:multiLevelType w:val="hybridMultilevel"/>
    <w:tmpl w:val="24484DBE"/>
    <w:lvl w:ilvl="0" w:tplc="A1CEF810">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AD9508E"/>
    <w:multiLevelType w:val="hybridMultilevel"/>
    <w:tmpl w:val="86503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D0A6680"/>
    <w:multiLevelType w:val="multilevel"/>
    <w:tmpl w:val="646E338E"/>
    <w:lvl w:ilvl="0">
      <w:start w:val="1"/>
      <w:numFmt w:val="bullet"/>
      <w:lvlText w:val=""/>
      <w:lvlJc w:val="left"/>
      <w:pPr>
        <w:tabs>
          <w:tab w:val="num" w:pos="1494"/>
        </w:tabs>
        <w:ind w:left="1701"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FE32354"/>
    <w:multiLevelType w:val="hybridMultilevel"/>
    <w:tmpl w:val="7D6053A6"/>
    <w:lvl w:ilvl="0" w:tplc="5FE44A6C">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CDF4199"/>
    <w:multiLevelType w:val="hybridMultilevel"/>
    <w:tmpl w:val="99062688"/>
    <w:lvl w:ilvl="0" w:tplc="F3F48994">
      <w:start w:val="1"/>
      <w:numFmt w:val="bullet"/>
      <w:pStyle w:val="CGCQuotationBullet"/>
      <w:lvlText w:val=""/>
      <w:lvlJc w:val="left"/>
      <w:pPr>
        <w:tabs>
          <w:tab w:val="num" w:pos="1701"/>
        </w:tabs>
        <w:ind w:left="1701"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0FD3C44"/>
    <w:multiLevelType w:val="hybridMultilevel"/>
    <w:tmpl w:val="8A460B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5D124923"/>
    <w:multiLevelType w:val="multilevel"/>
    <w:tmpl w:val="DA6AC07E"/>
    <w:lvl w:ilvl="0">
      <w:start w:val="1"/>
      <w:numFmt w:val="bullet"/>
      <w:lvlText w:val=""/>
      <w:lvlJc w:val="left"/>
      <w:pPr>
        <w:tabs>
          <w:tab w:val="num" w:pos="1627"/>
        </w:tabs>
        <w:ind w:left="162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F120A6F"/>
    <w:multiLevelType w:val="multilevel"/>
    <w:tmpl w:val="EC6A24FE"/>
    <w:lvl w:ilvl="0">
      <w:start w:val="1"/>
      <w:numFmt w:val="bullet"/>
      <w:lvlText w:val=""/>
      <w:lvlJc w:val="left"/>
      <w:pPr>
        <w:tabs>
          <w:tab w:val="num" w:pos="927"/>
        </w:tabs>
        <w:ind w:left="113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0FE42A7"/>
    <w:multiLevelType w:val="hybridMultilevel"/>
    <w:tmpl w:val="E4B8FB9A"/>
    <w:lvl w:ilvl="0" w:tplc="18EA3C6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9552687"/>
    <w:multiLevelType w:val="multilevel"/>
    <w:tmpl w:val="76E0CFF8"/>
    <w:lvl w:ilvl="0">
      <w:start w:val="1"/>
      <w:numFmt w:val="bullet"/>
      <w:lvlText w:val=""/>
      <w:lvlJc w:val="left"/>
      <w:pPr>
        <w:tabs>
          <w:tab w:val="num" w:pos="1503"/>
        </w:tabs>
        <w:ind w:left="171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D517EA6"/>
    <w:multiLevelType w:val="multilevel"/>
    <w:tmpl w:val="B71C65A6"/>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29">
    <w:nsid w:val="77D62F87"/>
    <w:multiLevelType w:val="hybridMultilevel"/>
    <w:tmpl w:val="D25CA2F6"/>
    <w:lvl w:ilvl="0" w:tplc="5F501E4E">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2"/>
  </w:num>
  <w:num w:numId="13">
    <w:abstractNumId w:val="17"/>
  </w:num>
  <w:num w:numId="14">
    <w:abstractNumId w:val="29"/>
  </w:num>
  <w:num w:numId="15">
    <w:abstractNumId w:val="2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9"/>
  </w:num>
  <w:num w:numId="19">
    <w:abstractNumId w:val="28"/>
  </w:num>
  <w:num w:numId="20">
    <w:abstractNumId w:val="12"/>
  </w:num>
  <w:num w:numId="21">
    <w:abstractNumId w:val="17"/>
  </w:num>
  <w:num w:numId="22">
    <w:abstractNumId w:val="29"/>
  </w:num>
  <w:num w:numId="23">
    <w:abstractNumId w:val="22"/>
  </w:num>
  <w:num w:numId="24">
    <w:abstractNumId w:val="24"/>
  </w:num>
  <w:num w:numId="25">
    <w:abstractNumId w:val="19"/>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12"/>
  </w:num>
  <w:num w:numId="31">
    <w:abstractNumId w:val="12"/>
  </w:num>
  <w:num w:numId="32">
    <w:abstractNumId w:val="12"/>
  </w:num>
  <w:num w:numId="33">
    <w:abstractNumId w:val="12"/>
  </w:num>
  <w:num w:numId="34">
    <w:abstractNumId w:val="16"/>
  </w:num>
  <w:num w:numId="35">
    <w:abstractNumId w:val="10"/>
  </w:num>
  <w:num w:numId="36">
    <w:abstractNumId w:val="13"/>
  </w:num>
  <w:num w:numId="37">
    <w:abstractNumId w:val="20"/>
  </w:num>
  <w:num w:numId="38">
    <w:abstractNumId w:val="27"/>
  </w:num>
  <w:num w:numId="39">
    <w:abstractNumId w:val="15"/>
  </w:num>
  <w:num w:numId="40">
    <w:abstractNumId w:val="25"/>
  </w:num>
  <w:num w:numId="41">
    <w:abstractNumId w:val="21"/>
  </w:num>
  <w:num w:numId="42">
    <w:abstractNumId w:val="26"/>
  </w:num>
  <w:num w:numId="43">
    <w:abstractNumId w:val="18"/>
  </w:num>
  <w:num w:numId="44">
    <w:abstractNumId w:val="17"/>
    <w:lvlOverride w:ilvl="0">
      <w:startOverride w:val="1"/>
    </w:lvlOverride>
  </w:num>
  <w:num w:numId="45">
    <w:abstractNumId w:val="12"/>
  </w:num>
  <w:num w:numId="46">
    <w:abstractNumId w:val="14"/>
  </w:num>
  <w:num w:numId="47">
    <w:abstractNumId w:val="23"/>
  </w:num>
  <w:num w:numId="48">
    <w:abstractNumId w:val="11"/>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attachedTemplate r:id="rId1"/>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81"/>
    <w:rsid w:val="00001731"/>
    <w:rsid w:val="00003671"/>
    <w:rsid w:val="0000494C"/>
    <w:rsid w:val="00012B21"/>
    <w:rsid w:val="00017978"/>
    <w:rsid w:val="00033B42"/>
    <w:rsid w:val="00037E3F"/>
    <w:rsid w:val="000479CC"/>
    <w:rsid w:val="00064F59"/>
    <w:rsid w:val="000712EF"/>
    <w:rsid w:val="00073889"/>
    <w:rsid w:val="0008198B"/>
    <w:rsid w:val="00082A97"/>
    <w:rsid w:val="000865FE"/>
    <w:rsid w:val="0008770B"/>
    <w:rsid w:val="00091B61"/>
    <w:rsid w:val="00095A28"/>
    <w:rsid w:val="000A63B2"/>
    <w:rsid w:val="000C2CF6"/>
    <w:rsid w:val="000C644D"/>
    <w:rsid w:val="000F5C04"/>
    <w:rsid w:val="000F6176"/>
    <w:rsid w:val="000F71CA"/>
    <w:rsid w:val="0010196C"/>
    <w:rsid w:val="001027F6"/>
    <w:rsid w:val="0010753D"/>
    <w:rsid w:val="00112A39"/>
    <w:rsid w:val="00115573"/>
    <w:rsid w:val="00115CF5"/>
    <w:rsid w:val="001234EB"/>
    <w:rsid w:val="00133328"/>
    <w:rsid w:val="00144676"/>
    <w:rsid w:val="00151590"/>
    <w:rsid w:val="00151B15"/>
    <w:rsid w:val="001914C4"/>
    <w:rsid w:val="00192A98"/>
    <w:rsid w:val="001A7A73"/>
    <w:rsid w:val="001C41E8"/>
    <w:rsid w:val="001C7C8E"/>
    <w:rsid w:val="001E4238"/>
    <w:rsid w:val="001E7B72"/>
    <w:rsid w:val="001F4290"/>
    <w:rsid w:val="002011B5"/>
    <w:rsid w:val="00203838"/>
    <w:rsid w:val="00210DB2"/>
    <w:rsid w:val="00211EAD"/>
    <w:rsid w:val="00211F1A"/>
    <w:rsid w:val="002122C2"/>
    <w:rsid w:val="00216C93"/>
    <w:rsid w:val="002227AB"/>
    <w:rsid w:val="002310FA"/>
    <w:rsid w:val="00233B08"/>
    <w:rsid w:val="002351F8"/>
    <w:rsid w:val="00236726"/>
    <w:rsid w:val="0024169C"/>
    <w:rsid w:val="00242B8D"/>
    <w:rsid w:val="002576A3"/>
    <w:rsid w:val="00260624"/>
    <w:rsid w:val="00266164"/>
    <w:rsid w:val="00267A1A"/>
    <w:rsid w:val="002808FE"/>
    <w:rsid w:val="0028375C"/>
    <w:rsid w:val="002869A2"/>
    <w:rsid w:val="002A518E"/>
    <w:rsid w:val="002C7D95"/>
    <w:rsid w:val="002C7E2F"/>
    <w:rsid w:val="002D0A67"/>
    <w:rsid w:val="002F0756"/>
    <w:rsid w:val="002F430E"/>
    <w:rsid w:val="00301269"/>
    <w:rsid w:val="003034A8"/>
    <w:rsid w:val="003050E2"/>
    <w:rsid w:val="0030768B"/>
    <w:rsid w:val="00313683"/>
    <w:rsid w:val="00317F9A"/>
    <w:rsid w:val="003222B4"/>
    <w:rsid w:val="00327C3F"/>
    <w:rsid w:val="003419C4"/>
    <w:rsid w:val="00346D22"/>
    <w:rsid w:val="00352103"/>
    <w:rsid w:val="00355B72"/>
    <w:rsid w:val="00357AF8"/>
    <w:rsid w:val="00366232"/>
    <w:rsid w:val="0037285B"/>
    <w:rsid w:val="00373EB3"/>
    <w:rsid w:val="0037740A"/>
    <w:rsid w:val="00380570"/>
    <w:rsid w:val="00381A8A"/>
    <w:rsid w:val="00382952"/>
    <w:rsid w:val="00394661"/>
    <w:rsid w:val="003A21CA"/>
    <w:rsid w:val="003A52E3"/>
    <w:rsid w:val="003A61B0"/>
    <w:rsid w:val="003C27BA"/>
    <w:rsid w:val="003C35F5"/>
    <w:rsid w:val="003C47A1"/>
    <w:rsid w:val="003C6E0D"/>
    <w:rsid w:val="003D620C"/>
    <w:rsid w:val="003E056A"/>
    <w:rsid w:val="003E0C86"/>
    <w:rsid w:val="003E2655"/>
    <w:rsid w:val="003F3FED"/>
    <w:rsid w:val="003F5D1C"/>
    <w:rsid w:val="004022E2"/>
    <w:rsid w:val="0040562E"/>
    <w:rsid w:val="0040671D"/>
    <w:rsid w:val="00410163"/>
    <w:rsid w:val="00412BD7"/>
    <w:rsid w:val="004279E8"/>
    <w:rsid w:val="004419EB"/>
    <w:rsid w:val="004445C6"/>
    <w:rsid w:val="00445518"/>
    <w:rsid w:val="00454898"/>
    <w:rsid w:val="00461C9C"/>
    <w:rsid w:val="00463156"/>
    <w:rsid w:val="00465F84"/>
    <w:rsid w:val="004733A5"/>
    <w:rsid w:val="00476345"/>
    <w:rsid w:val="00483DC8"/>
    <w:rsid w:val="00484FBC"/>
    <w:rsid w:val="00490025"/>
    <w:rsid w:val="004966F9"/>
    <w:rsid w:val="004A01DA"/>
    <w:rsid w:val="004A11C0"/>
    <w:rsid w:val="004A23D6"/>
    <w:rsid w:val="004B3AFC"/>
    <w:rsid w:val="004B53B4"/>
    <w:rsid w:val="004B5E18"/>
    <w:rsid w:val="004C073C"/>
    <w:rsid w:val="004C6DAD"/>
    <w:rsid w:val="004C7A98"/>
    <w:rsid w:val="004E037D"/>
    <w:rsid w:val="004E5361"/>
    <w:rsid w:val="0050228E"/>
    <w:rsid w:val="005060B9"/>
    <w:rsid w:val="00511B79"/>
    <w:rsid w:val="00512424"/>
    <w:rsid w:val="00512CE3"/>
    <w:rsid w:val="00516D5D"/>
    <w:rsid w:val="005212A5"/>
    <w:rsid w:val="005245C5"/>
    <w:rsid w:val="005246A4"/>
    <w:rsid w:val="00526FCD"/>
    <w:rsid w:val="0054045E"/>
    <w:rsid w:val="00553DA1"/>
    <w:rsid w:val="00562A3F"/>
    <w:rsid w:val="005636D9"/>
    <w:rsid w:val="00563FE5"/>
    <w:rsid w:val="00564B80"/>
    <w:rsid w:val="00577E3C"/>
    <w:rsid w:val="00592226"/>
    <w:rsid w:val="005A2D1B"/>
    <w:rsid w:val="005A31B6"/>
    <w:rsid w:val="005B254D"/>
    <w:rsid w:val="005C1C19"/>
    <w:rsid w:val="005C775E"/>
    <w:rsid w:val="005D21AF"/>
    <w:rsid w:val="005D28F8"/>
    <w:rsid w:val="005D306C"/>
    <w:rsid w:val="005D6C42"/>
    <w:rsid w:val="005E2035"/>
    <w:rsid w:val="005E66BC"/>
    <w:rsid w:val="005F36F0"/>
    <w:rsid w:val="005F642B"/>
    <w:rsid w:val="0061391D"/>
    <w:rsid w:val="006208E4"/>
    <w:rsid w:val="00621366"/>
    <w:rsid w:val="006408AB"/>
    <w:rsid w:val="00651F47"/>
    <w:rsid w:val="00654612"/>
    <w:rsid w:val="00663453"/>
    <w:rsid w:val="00663616"/>
    <w:rsid w:val="006757AA"/>
    <w:rsid w:val="0068695A"/>
    <w:rsid w:val="00686D48"/>
    <w:rsid w:val="006A46DC"/>
    <w:rsid w:val="006A4938"/>
    <w:rsid w:val="006B253E"/>
    <w:rsid w:val="006B7BE3"/>
    <w:rsid w:val="006C65C2"/>
    <w:rsid w:val="006D3485"/>
    <w:rsid w:val="006D44BB"/>
    <w:rsid w:val="006E26E7"/>
    <w:rsid w:val="006F607C"/>
    <w:rsid w:val="00702397"/>
    <w:rsid w:val="00705A1A"/>
    <w:rsid w:val="007064FF"/>
    <w:rsid w:val="00732C1F"/>
    <w:rsid w:val="00737FB1"/>
    <w:rsid w:val="00745613"/>
    <w:rsid w:val="00754EEB"/>
    <w:rsid w:val="0076374F"/>
    <w:rsid w:val="007710CD"/>
    <w:rsid w:val="007733BA"/>
    <w:rsid w:val="0077552F"/>
    <w:rsid w:val="007829BB"/>
    <w:rsid w:val="007849DD"/>
    <w:rsid w:val="00790162"/>
    <w:rsid w:val="00790EB7"/>
    <w:rsid w:val="00791B31"/>
    <w:rsid w:val="00792F14"/>
    <w:rsid w:val="007957BA"/>
    <w:rsid w:val="007A1F38"/>
    <w:rsid w:val="007A325B"/>
    <w:rsid w:val="007A38AB"/>
    <w:rsid w:val="007A5709"/>
    <w:rsid w:val="007B2893"/>
    <w:rsid w:val="007B4247"/>
    <w:rsid w:val="007C4E99"/>
    <w:rsid w:val="007C5A92"/>
    <w:rsid w:val="007D0AE9"/>
    <w:rsid w:val="007D15AF"/>
    <w:rsid w:val="007D30CE"/>
    <w:rsid w:val="007D42C4"/>
    <w:rsid w:val="007F0616"/>
    <w:rsid w:val="007F10F1"/>
    <w:rsid w:val="00802D03"/>
    <w:rsid w:val="00813E20"/>
    <w:rsid w:val="0081714D"/>
    <w:rsid w:val="00854D55"/>
    <w:rsid w:val="00855E7A"/>
    <w:rsid w:val="008636F1"/>
    <w:rsid w:val="00863D93"/>
    <w:rsid w:val="00872071"/>
    <w:rsid w:val="00872FF0"/>
    <w:rsid w:val="00877568"/>
    <w:rsid w:val="008804D3"/>
    <w:rsid w:val="00883D91"/>
    <w:rsid w:val="008A0B90"/>
    <w:rsid w:val="008B6005"/>
    <w:rsid w:val="008C01A8"/>
    <w:rsid w:val="008C4F05"/>
    <w:rsid w:val="008D2790"/>
    <w:rsid w:val="008E039E"/>
    <w:rsid w:val="008E4818"/>
    <w:rsid w:val="008F2312"/>
    <w:rsid w:val="008F30EF"/>
    <w:rsid w:val="0090086A"/>
    <w:rsid w:val="00901CD8"/>
    <w:rsid w:val="009038B3"/>
    <w:rsid w:val="00903C20"/>
    <w:rsid w:val="00910E30"/>
    <w:rsid w:val="00914E57"/>
    <w:rsid w:val="00915919"/>
    <w:rsid w:val="00915ABB"/>
    <w:rsid w:val="00917D06"/>
    <w:rsid w:val="009256A4"/>
    <w:rsid w:val="00931F24"/>
    <w:rsid w:val="00933D29"/>
    <w:rsid w:val="00945CE2"/>
    <w:rsid w:val="009535CE"/>
    <w:rsid w:val="00962852"/>
    <w:rsid w:val="009629D4"/>
    <w:rsid w:val="009638BF"/>
    <w:rsid w:val="009777C2"/>
    <w:rsid w:val="009806F7"/>
    <w:rsid w:val="009844EA"/>
    <w:rsid w:val="00994EF5"/>
    <w:rsid w:val="00996DC2"/>
    <w:rsid w:val="009A7B00"/>
    <w:rsid w:val="009D7A2E"/>
    <w:rsid w:val="009E7A7F"/>
    <w:rsid w:val="009F4861"/>
    <w:rsid w:val="00A10917"/>
    <w:rsid w:val="00A120DE"/>
    <w:rsid w:val="00A22692"/>
    <w:rsid w:val="00A24737"/>
    <w:rsid w:val="00A25C01"/>
    <w:rsid w:val="00A25CDF"/>
    <w:rsid w:val="00A25FA6"/>
    <w:rsid w:val="00A3586B"/>
    <w:rsid w:val="00A367FB"/>
    <w:rsid w:val="00A435A3"/>
    <w:rsid w:val="00A452B9"/>
    <w:rsid w:val="00A50ECF"/>
    <w:rsid w:val="00A514AF"/>
    <w:rsid w:val="00A51D81"/>
    <w:rsid w:val="00A57510"/>
    <w:rsid w:val="00A60E86"/>
    <w:rsid w:val="00A66A05"/>
    <w:rsid w:val="00A779A9"/>
    <w:rsid w:val="00A77BEF"/>
    <w:rsid w:val="00A815E7"/>
    <w:rsid w:val="00A87C25"/>
    <w:rsid w:val="00AA0C63"/>
    <w:rsid w:val="00AA3E89"/>
    <w:rsid w:val="00AA58E8"/>
    <w:rsid w:val="00AB1B27"/>
    <w:rsid w:val="00AC578F"/>
    <w:rsid w:val="00AD1999"/>
    <w:rsid w:val="00AD1B50"/>
    <w:rsid w:val="00AD1E62"/>
    <w:rsid w:val="00AD25FB"/>
    <w:rsid w:val="00AD2A35"/>
    <w:rsid w:val="00AE1BE1"/>
    <w:rsid w:val="00AF6B89"/>
    <w:rsid w:val="00AF7568"/>
    <w:rsid w:val="00B02252"/>
    <w:rsid w:val="00B04CB8"/>
    <w:rsid w:val="00B10445"/>
    <w:rsid w:val="00B222E2"/>
    <w:rsid w:val="00B24FC0"/>
    <w:rsid w:val="00B37A30"/>
    <w:rsid w:val="00B40487"/>
    <w:rsid w:val="00B42C20"/>
    <w:rsid w:val="00B447D8"/>
    <w:rsid w:val="00B46E7D"/>
    <w:rsid w:val="00B5214A"/>
    <w:rsid w:val="00B56DE3"/>
    <w:rsid w:val="00B570F9"/>
    <w:rsid w:val="00B61C9C"/>
    <w:rsid w:val="00B671D7"/>
    <w:rsid w:val="00B95662"/>
    <w:rsid w:val="00B962A4"/>
    <w:rsid w:val="00BA5C1C"/>
    <w:rsid w:val="00BD1799"/>
    <w:rsid w:val="00BD349B"/>
    <w:rsid w:val="00BD4540"/>
    <w:rsid w:val="00BE2EF2"/>
    <w:rsid w:val="00BE6532"/>
    <w:rsid w:val="00C119CB"/>
    <w:rsid w:val="00C1401F"/>
    <w:rsid w:val="00C32C64"/>
    <w:rsid w:val="00C37C81"/>
    <w:rsid w:val="00C41BE8"/>
    <w:rsid w:val="00C44A1E"/>
    <w:rsid w:val="00C45FAD"/>
    <w:rsid w:val="00C50317"/>
    <w:rsid w:val="00C51D52"/>
    <w:rsid w:val="00C54176"/>
    <w:rsid w:val="00C545CE"/>
    <w:rsid w:val="00C57368"/>
    <w:rsid w:val="00C61BB5"/>
    <w:rsid w:val="00C62EFC"/>
    <w:rsid w:val="00C64865"/>
    <w:rsid w:val="00C8234A"/>
    <w:rsid w:val="00C8551E"/>
    <w:rsid w:val="00C9618C"/>
    <w:rsid w:val="00CA6A48"/>
    <w:rsid w:val="00CB31BA"/>
    <w:rsid w:val="00CC167C"/>
    <w:rsid w:val="00CC63E5"/>
    <w:rsid w:val="00CC703E"/>
    <w:rsid w:val="00CD7D1E"/>
    <w:rsid w:val="00CE05AE"/>
    <w:rsid w:val="00CE44B6"/>
    <w:rsid w:val="00D005CE"/>
    <w:rsid w:val="00D00F71"/>
    <w:rsid w:val="00D059A1"/>
    <w:rsid w:val="00D06678"/>
    <w:rsid w:val="00D07188"/>
    <w:rsid w:val="00D072C7"/>
    <w:rsid w:val="00D14B47"/>
    <w:rsid w:val="00D15C54"/>
    <w:rsid w:val="00D20E8A"/>
    <w:rsid w:val="00D2108C"/>
    <w:rsid w:val="00D21514"/>
    <w:rsid w:val="00D23BE5"/>
    <w:rsid w:val="00D30AFA"/>
    <w:rsid w:val="00D41F70"/>
    <w:rsid w:val="00D61666"/>
    <w:rsid w:val="00D619C2"/>
    <w:rsid w:val="00D64252"/>
    <w:rsid w:val="00D7085D"/>
    <w:rsid w:val="00D72925"/>
    <w:rsid w:val="00D84727"/>
    <w:rsid w:val="00D93BC4"/>
    <w:rsid w:val="00DC120A"/>
    <w:rsid w:val="00DC3FF1"/>
    <w:rsid w:val="00DC6EEF"/>
    <w:rsid w:val="00DD2F10"/>
    <w:rsid w:val="00DE0332"/>
    <w:rsid w:val="00DE03B1"/>
    <w:rsid w:val="00DE5229"/>
    <w:rsid w:val="00DF0F6C"/>
    <w:rsid w:val="00DF24D2"/>
    <w:rsid w:val="00E06308"/>
    <w:rsid w:val="00E33691"/>
    <w:rsid w:val="00E36391"/>
    <w:rsid w:val="00E65DAB"/>
    <w:rsid w:val="00E665FD"/>
    <w:rsid w:val="00E715B0"/>
    <w:rsid w:val="00E71A3A"/>
    <w:rsid w:val="00E82A61"/>
    <w:rsid w:val="00E92226"/>
    <w:rsid w:val="00E94FB3"/>
    <w:rsid w:val="00EA09EC"/>
    <w:rsid w:val="00EA1192"/>
    <w:rsid w:val="00EA5FD4"/>
    <w:rsid w:val="00EB63D9"/>
    <w:rsid w:val="00EC7C27"/>
    <w:rsid w:val="00EE494A"/>
    <w:rsid w:val="00EE53C3"/>
    <w:rsid w:val="00EF04CC"/>
    <w:rsid w:val="00EF7842"/>
    <w:rsid w:val="00F12569"/>
    <w:rsid w:val="00F202BA"/>
    <w:rsid w:val="00F2269C"/>
    <w:rsid w:val="00F22AD4"/>
    <w:rsid w:val="00F44A19"/>
    <w:rsid w:val="00F50077"/>
    <w:rsid w:val="00F90C64"/>
    <w:rsid w:val="00FA3ECB"/>
    <w:rsid w:val="00FA64DA"/>
    <w:rsid w:val="00FA7541"/>
    <w:rsid w:val="00FB2DB8"/>
    <w:rsid w:val="00FB68A8"/>
    <w:rsid w:val="00FC1D4C"/>
    <w:rsid w:val="00FC7CAF"/>
    <w:rsid w:val="00FD40BA"/>
    <w:rsid w:val="00FE6482"/>
    <w:rsid w:val="00FF1F51"/>
    <w:rsid w:val="00FF4F12"/>
    <w:rsid w:val="00FF509D"/>
    <w:rsid w:val="00FF5D0B"/>
    <w:rsid w:val="00FF70E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80"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lsdException w:name="heading 8" w:uiPriority="0" w:unhideWhenUsed="0"/>
    <w:lsdException w:name="heading 9" w:uiPriority="0" w:unhideWhenUsed="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26FCD"/>
    <w:pPr>
      <w:tabs>
        <w:tab w:val="left" w:pos="567"/>
      </w:tabs>
    </w:pPr>
    <w:rPr>
      <w:sz w:val="24"/>
    </w:rPr>
  </w:style>
  <w:style w:type="paragraph" w:styleId="Heading1">
    <w:name w:val="heading 1"/>
    <w:basedOn w:val="Normal"/>
    <w:next w:val="Heading2"/>
    <w:link w:val="Heading1Char"/>
    <w:uiPriority w:val="9"/>
    <w:qFormat/>
    <w:rsid w:val="00526FCD"/>
    <w:pPr>
      <w:keepNext/>
      <w:widowControl w:val="0"/>
      <w:pBdr>
        <w:bottom w:val="single" w:sz="4" w:space="1" w:color="auto"/>
      </w:pBdr>
      <w:spacing w:before="800" w:after="0" w:line="240" w:lineRule="auto"/>
      <w:outlineLvl w:val="0"/>
    </w:pPr>
    <w:rPr>
      <w:rFonts w:eastAsiaTheme="majorEastAsia" w:cstheme="majorBidi"/>
      <w:b/>
      <w:bCs/>
      <w:caps/>
      <w:color w:val="2C8558"/>
      <w:sz w:val="40"/>
      <w:szCs w:val="28"/>
    </w:rPr>
  </w:style>
  <w:style w:type="paragraph" w:styleId="Heading2">
    <w:name w:val="heading 2"/>
    <w:basedOn w:val="Normal"/>
    <w:next w:val="Heading3"/>
    <w:link w:val="Heading2Char"/>
    <w:uiPriority w:val="9"/>
    <w:qFormat/>
    <w:rsid w:val="00526FCD"/>
    <w:pPr>
      <w:keepNext/>
      <w:widowControl w:val="0"/>
      <w:spacing w:before="100" w:after="720" w:line="240" w:lineRule="auto"/>
      <w:outlineLvl w:val="1"/>
    </w:pPr>
    <w:rPr>
      <w:rFonts w:eastAsiaTheme="majorEastAsia" w:cstheme="majorBidi"/>
      <w:b/>
      <w:bCs/>
      <w:caps/>
      <w:color w:val="2C8558"/>
      <w:sz w:val="40"/>
      <w:szCs w:val="26"/>
    </w:rPr>
  </w:style>
  <w:style w:type="paragraph" w:styleId="Heading3">
    <w:name w:val="heading 3"/>
    <w:basedOn w:val="Normal"/>
    <w:next w:val="Heading4"/>
    <w:link w:val="Heading3Char"/>
    <w:uiPriority w:val="9"/>
    <w:qFormat/>
    <w:rsid w:val="00526FCD"/>
    <w:pPr>
      <w:keepNext/>
      <w:widowControl w:val="0"/>
      <w:spacing w:before="600" w:after="200" w:line="240" w:lineRule="auto"/>
      <w:outlineLvl w:val="2"/>
    </w:pPr>
    <w:rPr>
      <w:rFonts w:eastAsiaTheme="majorEastAsia" w:cstheme="majorBidi"/>
      <w:b/>
      <w:bCs/>
      <w:caps/>
      <w:color w:val="2C8558"/>
      <w:sz w:val="32"/>
    </w:rPr>
  </w:style>
  <w:style w:type="paragraph" w:styleId="Heading4">
    <w:name w:val="heading 4"/>
    <w:basedOn w:val="Normal"/>
    <w:next w:val="Heading5"/>
    <w:link w:val="Heading4Char"/>
    <w:uiPriority w:val="9"/>
    <w:qFormat/>
    <w:rsid w:val="00526FCD"/>
    <w:pPr>
      <w:keepNext/>
      <w:widowControl w:val="0"/>
      <w:spacing w:before="300" w:after="40" w:line="240" w:lineRule="auto"/>
      <w:outlineLvl w:val="3"/>
    </w:pPr>
    <w:rPr>
      <w:rFonts w:eastAsiaTheme="majorEastAsia" w:cstheme="majorBidi"/>
      <w:b/>
      <w:bCs/>
      <w:iCs/>
      <w:color w:val="2C8558"/>
      <w:sz w:val="32"/>
    </w:rPr>
  </w:style>
  <w:style w:type="paragraph" w:styleId="Heading5">
    <w:name w:val="heading 5"/>
    <w:basedOn w:val="Normal"/>
    <w:next w:val="Heading6"/>
    <w:link w:val="Heading5Char"/>
    <w:uiPriority w:val="9"/>
    <w:qFormat/>
    <w:rsid w:val="00526FCD"/>
    <w:pPr>
      <w:keepNext/>
      <w:tabs>
        <w:tab w:val="clear" w:pos="567"/>
      </w:tabs>
      <w:spacing w:before="300" w:after="40" w:line="240" w:lineRule="auto"/>
      <w:outlineLvl w:val="4"/>
    </w:pPr>
    <w:rPr>
      <w:rFonts w:eastAsiaTheme="majorEastAsia" w:cstheme="majorBidi"/>
      <w:b/>
      <w:i/>
      <w:color w:val="2C8558"/>
      <w:sz w:val="28"/>
    </w:rPr>
  </w:style>
  <w:style w:type="paragraph" w:styleId="Heading6">
    <w:name w:val="heading 6"/>
    <w:basedOn w:val="Normal"/>
    <w:next w:val="Normal"/>
    <w:link w:val="Heading6Char"/>
    <w:uiPriority w:val="9"/>
    <w:qFormat/>
    <w:rsid w:val="00526FCD"/>
    <w:pPr>
      <w:keepNext/>
      <w:keepLines/>
      <w:spacing w:before="120"/>
      <w:outlineLvl w:val="5"/>
    </w:pPr>
    <w:rPr>
      <w:rFonts w:eastAsiaTheme="majorEastAsia" w:cstheme="majorBidi"/>
      <w:b/>
      <w:i/>
      <w:iCs/>
      <w:color w:val="2C8558"/>
      <w:sz w:val="28"/>
    </w:rPr>
  </w:style>
  <w:style w:type="paragraph" w:styleId="Heading7">
    <w:name w:val="heading 7"/>
    <w:basedOn w:val="Normal"/>
    <w:next w:val="Normal"/>
    <w:link w:val="Heading7Char"/>
    <w:uiPriority w:val="9"/>
    <w:semiHidden/>
    <w:rsid w:val="00526FC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link w:val="Heading8Char"/>
    <w:semiHidden/>
    <w:rsid w:val="001E4238"/>
    <w:pPr>
      <w:numPr>
        <w:ilvl w:val="7"/>
        <w:numId w:val="34"/>
      </w:numPr>
      <w:spacing w:before="240" w:after="60"/>
      <w:outlineLvl w:val="7"/>
    </w:pPr>
    <w:rPr>
      <w:rFonts w:ascii="Arial" w:hAnsi="Arial"/>
      <w:i/>
      <w:sz w:val="20"/>
      <w:szCs w:val="20"/>
    </w:rPr>
  </w:style>
  <w:style w:type="paragraph" w:styleId="Heading9">
    <w:name w:val="heading 9"/>
    <w:aliases w:val="Heading 9 (Do not use),(Subsubsection Nos)"/>
    <w:basedOn w:val="Normal"/>
    <w:next w:val="Normal"/>
    <w:link w:val="Heading9Char"/>
    <w:semiHidden/>
    <w:rsid w:val="001E4238"/>
    <w:pPr>
      <w:numPr>
        <w:ilvl w:val="8"/>
        <w:numId w:val="34"/>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26FCD"/>
    <w:rPr>
      <w:rFonts w:eastAsiaTheme="majorEastAsia" w:cstheme="majorBidi"/>
      <w:b/>
      <w:i/>
      <w:iCs/>
      <w:color w:val="2C8558"/>
      <w:sz w:val="28"/>
    </w:rPr>
  </w:style>
  <w:style w:type="character" w:customStyle="1" w:styleId="Heading1Char">
    <w:name w:val="Heading 1 Char"/>
    <w:basedOn w:val="DefaultParagraphFont"/>
    <w:link w:val="Heading1"/>
    <w:uiPriority w:val="9"/>
    <w:rsid w:val="00526FCD"/>
    <w:rPr>
      <w:rFonts w:eastAsiaTheme="majorEastAsia" w:cstheme="majorBidi"/>
      <w:b/>
      <w:bCs/>
      <w:caps/>
      <w:color w:val="2C8558"/>
      <w:sz w:val="40"/>
      <w:szCs w:val="28"/>
    </w:rPr>
  </w:style>
  <w:style w:type="character" w:customStyle="1" w:styleId="Heading7Char">
    <w:name w:val="Heading 7 Char"/>
    <w:basedOn w:val="DefaultParagraphFont"/>
    <w:link w:val="Heading7"/>
    <w:uiPriority w:val="9"/>
    <w:semiHidden/>
    <w:rsid w:val="00526FCD"/>
    <w:rPr>
      <w:rFonts w:asciiTheme="majorHAnsi" w:eastAsiaTheme="majorEastAsia" w:hAnsiTheme="majorHAnsi" w:cstheme="majorBidi"/>
      <w:i/>
      <w:iCs/>
      <w:color w:val="404040" w:themeColor="text1" w:themeTint="BF"/>
      <w:sz w:val="24"/>
    </w:rPr>
  </w:style>
  <w:style w:type="character" w:customStyle="1" w:styleId="Heading2Char">
    <w:name w:val="Heading 2 Char"/>
    <w:basedOn w:val="DefaultParagraphFont"/>
    <w:link w:val="Heading2"/>
    <w:uiPriority w:val="9"/>
    <w:rsid w:val="00526FCD"/>
    <w:rPr>
      <w:rFonts w:eastAsiaTheme="majorEastAsia" w:cstheme="majorBidi"/>
      <w:b/>
      <w:bCs/>
      <w:caps/>
      <w:color w:val="2C8558"/>
      <w:sz w:val="40"/>
      <w:szCs w:val="26"/>
    </w:rPr>
  </w:style>
  <w:style w:type="character" w:customStyle="1" w:styleId="Heading3Char">
    <w:name w:val="Heading 3 Char"/>
    <w:basedOn w:val="DefaultParagraphFont"/>
    <w:link w:val="Heading3"/>
    <w:uiPriority w:val="9"/>
    <w:rsid w:val="00526FCD"/>
    <w:rPr>
      <w:rFonts w:eastAsiaTheme="majorEastAsia" w:cstheme="majorBidi"/>
      <w:b/>
      <w:bCs/>
      <w:caps/>
      <w:color w:val="2C8558"/>
      <w:sz w:val="32"/>
    </w:rPr>
  </w:style>
  <w:style w:type="character" w:customStyle="1" w:styleId="Heading4Char">
    <w:name w:val="Heading 4 Char"/>
    <w:basedOn w:val="DefaultParagraphFont"/>
    <w:link w:val="Heading4"/>
    <w:uiPriority w:val="9"/>
    <w:rsid w:val="00526FCD"/>
    <w:rPr>
      <w:rFonts w:eastAsiaTheme="majorEastAsia" w:cstheme="majorBidi"/>
      <w:b/>
      <w:bCs/>
      <w:iCs/>
      <w:color w:val="2C8558"/>
      <w:sz w:val="32"/>
    </w:rPr>
  </w:style>
  <w:style w:type="character" w:customStyle="1" w:styleId="Heading5Char">
    <w:name w:val="Heading 5 Char"/>
    <w:basedOn w:val="DefaultParagraphFont"/>
    <w:link w:val="Heading5"/>
    <w:uiPriority w:val="9"/>
    <w:rsid w:val="00526FCD"/>
    <w:rPr>
      <w:rFonts w:eastAsiaTheme="majorEastAsia" w:cstheme="majorBidi"/>
      <w:b/>
      <w:i/>
      <w:color w:val="2C8558"/>
      <w:sz w:val="28"/>
    </w:rPr>
  </w:style>
  <w:style w:type="paragraph" w:customStyle="1" w:styleId="CGCBulletlist">
    <w:name w:val="CGC Bullet list"/>
    <w:aliases w:val="CGC List 1"/>
    <w:basedOn w:val="Normal"/>
    <w:link w:val="CGCBulletlistChar"/>
    <w:qFormat/>
    <w:rsid w:val="001E7B72"/>
    <w:pPr>
      <w:numPr>
        <w:numId w:val="19"/>
      </w:numPr>
      <w:tabs>
        <w:tab w:val="clear" w:pos="567"/>
      </w:tabs>
      <w:spacing w:before="80" w:line="300" w:lineRule="atLeast"/>
    </w:pPr>
    <w:rPr>
      <w:szCs w:val="20"/>
    </w:rPr>
  </w:style>
  <w:style w:type="paragraph" w:customStyle="1" w:styleId="CGCNumberedPara">
    <w:name w:val="CGC Numbered Para"/>
    <w:aliases w:val="CGC Para No"/>
    <w:basedOn w:val="Normal"/>
    <w:link w:val="CGCParaNoChar"/>
    <w:qFormat/>
    <w:rsid w:val="00526FCD"/>
    <w:pPr>
      <w:numPr>
        <w:ilvl w:val="1"/>
        <w:numId w:val="20"/>
      </w:numPr>
      <w:spacing w:before="120"/>
    </w:pPr>
    <w:rPr>
      <w:szCs w:val="24"/>
    </w:rPr>
  </w:style>
  <w:style w:type="paragraph" w:customStyle="1" w:styleId="CGCTableFootnote">
    <w:name w:val="CGC Table Footnote"/>
    <w:basedOn w:val="CGCNumberedPara"/>
    <w:next w:val="NoSpacing"/>
    <w:link w:val="CGCTableFootnoteChar"/>
    <w:qFormat/>
    <w:rsid w:val="00526FCD"/>
    <w:pPr>
      <w:numPr>
        <w:ilvl w:val="0"/>
        <w:numId w:val="0"/>
      </w:numPr>
      <w:tabs>
        <w:tab w:val="left" w:pos="851"/>
      </w:tabs>
      <w:spacing w:before="0" w:after="0" w:line="240" w:lineRule="auto"/>
      <w:ind w:left="851" w:hanging="851"/>
    </w:pPr>
    <w:rPr>
      <w:sz w:val="20"/>
    </w:rPr>
  </w:style>
  <w:style w:type="paragraph" w:styleId="NoSpacing">
    <w:name w:val="No Spacing"/>
    <w:link w:val="NoSpacingChar"/>
    <w:uiPriority w:val="1"/>
    <w:qFormat/>
    <w:rsid w:val="00526FCD"/>
    <w:pPr>
      <w:tabs>
        <w:tab w:val="left" w:pos="567"/>
      </w:tabs>
      <w:spacing w:after="0" w:line="240" w:lineRule="auto"/>
    </w:pPr>
    <w:rPr>
      <w:sz w:val="24"/>
    </w:rPr>
  </w:style>
  <w:style w:type="paragraph" w:customStyle="1" w:styleId="CGCDataCaption">
    <w:name w:val="CGC Data Caption"/>
    <w:basedOn w:val="CGCTableFootnote"/>
    <w:next w:val="NoSpacing"/>
    <w:link w:val="DataCaptionChar"/>
    <w:qFormat/>
    <w:rsid w:val="00526FCD"/>
  </w:style>
  <w:style w:type="character" w:customStyle="1" w:styleId="DataCaptionChar">
    <w:name w:val="Data Caption Char"/>
    <w:basedOn w:val="DefaultParagraphFont"/>
    <w:link w:val="CGCDataCaption"/>
    <w:rsid w:val="00526FCD"/>
    <w:rPr>
      <w:sz w:val="20"/>
      <w:szCs w:val="24"/>
    </w:rPr>
  </w:style>
  <w:style w:type="paragraph" w:customStyle="1" w:styleId="CGCNumeralList">
    <w:name w:val="CGC Numeral List"/>
    <w:aliases w:val="CGC List 3"/>
    <w:basedOn w:val="Normal"/>
    <w:qFormat/>
    <w:rsid w:val="00526FCD"/>
    <w:pPr>
      <w:numPr>
        <w:numId w:val="21"/>
      </w:numPr>
      <w:tabs>
        <w:tab w:val="clear" w:pos="567"/>
      </w:tabs>
      <w:spacing w:line="300" w:lineRule="atLeast"/>
    </w:pPr>
    <w:rPr>
      <w:szCs w:val="20"/>
    </w:rPr>
  </w:style>
  <w:style w:type="paragraph" w:customStyle="1" w:styleId="CGCQuotation">
    <w:name w:val="CGC Quotation"/>
    <w:basedOn w:val="Normal"/>
    <w:next w:val="CGCNumberedPara"/>
    <w:rsid w:val="00526FCD"/>
    <w:pPr>
      <w:tabs>
        <w:tab w:val="clear" w:pos="567"/>
      </w:tabs>
      <w:spacing w:before="120" w:after="120" w:line="240" w:lineRule="auto"/>
      <w:ind w:left="1134" w:right="1134"/>
    </w:pPr>
    <w:rPr>
      <w:sz w:val="22"/>
      <w:szCs w:val="24"/>
    </w:rPr>
  </w:style>
  <w:style w:type="paragraph" w:customStyle="1" w:styleId="CGCSubbulletlist">
    <w:name w:val="CGC Sub bullet list"/>
    <w:aliases w:val="CGC List 2"/>
    <w:basedOn w:val="Normal"/>
    <w:link w:val="CGCSubbulletlistChar"/>
    <w:qFormat/>
    <w:rsid w:val="001E7B72"/>
    <w:pPr>
      <w:numPr>
        <w:numId w:val="22"/>
      </w:numPr>
      <w:tabs>
        <w:tab w:val="clear" w:pos="567"/>
        <w:tab w:val="left" w:pos="1701"/>
      </w:tabs>
      <w:spacing w:line="300" w:lineRule="atLeast"/>
    </w:pPr>
    <w:rPr>
      <w:szCs w:val="20"/>
    </w:rPr>
  </w:style>
  <w:style w:type="paragraph" w:customStyle="1" w:styleId="CGCQuotationBullet">
    <w:name w:val="CGC Quotation Bullet"/>
    <w:basedOn w:val="CGCSubbulletlist"/>
    <w:rsid w:val="00526FCD"/>
    <w:pPr>
      <w:numPr>
        <w:numId w:val="23"/>
      </w:numPr>
      <w:ind w:right="1134"/>
    </w:pPr>
    <w:rPr>
      <w:sz w:val="22"/>
    </w:rPr>
  </w:style>
  <w:style w:type="paragraph" w:customStyle="1" w:styleId="CGCTableHeading">
    <w:name w:val="CGC Table Heading"/>
    <w:basedOn w:val="Normal"/>
    <w:next w:val="Normal"/>
    <w:link w:val="CGCTableHeadingChar"/>
    <w:qFormat/>
    <w:rsid w:val="00526FCD"/>
    <w:pPr>
      <w:keepNext/>
      <w:keepLines/>
      <w:tabs>
        <w:tab w:val="clear" w:pos="567"/>
        <w:tab w:val="left" w:pos="1420"/>
      </w:tabs>
      <w:spacing w:before="240" w:after="120" w:line="240" w:lineRule="auto"/>
      <w:ind w:left="1418" w:hanging="1418"/>
    </w:pPr>
    <w:rPr>
      <w:b/>
      <w:szCs w:val="20"/>
    </w:rPr>
  </w:style>
  <w:style w:type="paragraph" w:customStyle="1" w:styleId="CGCTableStub">
    <w:name w:val="CGC Table Stub"/>
    <w:basedOn w:val="Normal"/>
    <w:rsid w:val="00526FCD"/>
    <w:pPr>
      <w:keepNext/>
      <w:keepLines/>
      <w:tabs>
        <w:tab w:val="left" w:pos="284"/>
      </w:tabs>
      <w:spacing w:before="60" w:after="60" w:line="200" w:lineRule="atLeast"/>
    </w:pPr>
    <w:rPr>
      <w:sz w:val="20"/>
      <w:szCs w:val="20"/>
    </w:rPr>
  </w:style>
  <w:style w:type="paragraph" w:styleId="Header">
    <w:name w:val="header"/>
    <w:basedOn w:val="Normal"/>
    <w:link w:val="HeaderChar"/>
    <w:uiPriority w:val="99"/>
    <w:unhideWhenUsed/>
    <w:rsid w:val="00526FCD"/>
    <w:pPr>
      <w:tabs>
        <w:tab w:val="clear" w:pos="567"/>
        <w:tab w:val="center" w:pos="4513"/>
        <w:tab w:val="right" w:pos="9026"/>
      </w:tabs>
      <w:spacing w:after="0" w:line="240" w:lineRule="auto"/>
    </w:pPr>
  </w:style>
  <w:style w:type="character" w:customStyle="1" w:styleId="HeaderChar">
    <w:name w:val="Header Char"/>
    <w:basedOn w:val="DefaultParagraphFont"/>
    <w:link w:val="Header"/>
    <w:uiPriority w:val="99"/>
    <w:rsid w:val="00526FCD"/>
    <w:rPr>
      <w:sz w:val="24"/>
    </w:rPr>
  </w:style>
  <w:style w:type="paragraph" w:styleId="Footer">
    <w:name w:val="footer"/>
    <w:basedOn w:val="Normal"/>
    <w:link w:val="FooterChar"/>
    <w:uiPriority w:val="99"/>
    <w:unhideWhenUsed/>
    <w:rsid w:val="00526FCD"/>
    <w:pPr>
      <w:tabs>
        <w:tab w:val="clear" w:pos="567"/>
        <w:tab w:val="center" w:pos="4513"/>
        <w:tab w:val="right" w:pos="9026"/>
      </w:tabs>
      <w:spacing w:after="0" w:line="240" w:lineRule="auto"/>
    </w:pPr>
  </w:style>
  <w:style w:type="character" w:customStyle="1" w:styleId="FooterChar">
    <w:name w:val="Footer Char"/>
    <w:basedOn w:val="DefaultParagraphFont"/>
    <w:link w:val="Footer"/>
    <w:uiPriority w:val="99"/>
    <w:rsid w:val="00526FCD"/>
    <w:rPr>
      <w:sz w:val="24"/>
    </w:rPr>
  </w:style>
  <w:style w:type="paragraph" w:styleId="BalloonText">
    <w:name w:val="Balloon Text"/>
    <w:basedOn w:val="Normal"/>
    <w:link w:val="BalloonTextChar"/>
    <w:uiPriority w:val="99"/>
    <w:unhideWhenUsed/>
    <w:rsid w:val="00526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6FCD"/>
    <w:rPr>
      <w:rFonts w:ascii="Tahoma" w:hAnsi="Tahoma" w:cs="Tahoma"/>
      <w:sz w:val="16"/>
      <w:szCs w:val="16"/>
    </w:rPr>
  </w:style>
  <w:style w:type="paragraph" w:styleId="ListParagraph">
    <w:name w:val="List Paragraph"/>
    <w:basedOn w:val="Normal"/>
    <w:uiPriority w:val="34"/>
    <w:qFormat/>
    <w:rsid w:val="00526FCD"/>
    <w:pPr>
      <w:tabs>
        <w:tab w:val="clear" w:pos="567"/>
      </w:tabs>
      <w:spacing w:line="300" w:lineRule="atLeast"/>
      <w:ind w:left="1134"/>
    </w:pPr>
    <w:rPr>
      <w:szCs w:val="24"/>
    </w:rPr>
  </w:style>
  <w:style w:type="character" w:styleId="Hyperlink">
    <w:name w:val="Hyperlink"/>
    <w:basedOn w:val="DefaultParagraphFont"/>
    <w:uiPriority w:val="99"/>
    <w:rsid w:val="007710CD"/>
    <w:rPr>
      <w:color w:val="0000FF"/>
      <w:u w:val="single"/>
    </w:rPr>
  </w:style>
  <w:style w:type="paragraph" w:styleId="Caption">
    <w:name w:val="caption"/>
    <w:basedOn w:val="Normal"/>
    <w:next w:val="Normal"/>
    <w:link w:val="CaptionChar"/>
    <w:rsid w:val="00526FCD"/>
    <w:pPr>
      <w:keepNext/>
      <w:keepLines/>
      <w:tabs>
        <w:tab w:val="clear" w:pos="567"/>
        <w:tab w:val="left" w:pos="1418"/>
      </w:tabs>
      <w:spacing w:before="240" w:after="120" w:line="240" w:lineRule="auto"/>
      <w:ind w:left="1418" w:hanging="1418"/>
    </w:pPr>
    <w:rPr>
      <w:b/>
      <w:bCs/>
      <w:szCs w:val="20"/>
    </w:rPr>
  </w:style>
  <w:style w:type="character" w:customStyle="1" w:styleId="CaptionChar">
    <w:name w:val="Caption Char"/>
    <w:basedOn w:val="DefaultParagraphFont"/>
    <w:link w:val="Caption"/>
    <w:rsid w:val="00526FCD"/>
    <w:rPr>
      <w:b/>
      <w:bCs/>
      <w:sz w:val="24"/>
      <w:szCs w:val="20"/>
    </w:rPr>
  </w:style>
  <w:style w:type="paragraph" w:styleId="FootnoteText">
    <w:name w:val="footnote text"/>
    <w:basedOn w:val="Normal"/>
    <w:link w:val="FootnoteTextChar"/>
    <w:rsid w:val="00526FCD"/>
    <w:pPr>
      <w:spacing w:after="0" w:line="240" w:lineRule="auto"/>
      <w:ind w:left="567" w:hanging="567"/>
    </w:pPr>
    <w:rPr>
      <w:sz w:val="20"/>
      <w:szCs w:val="20"/>
    </w:rPr>
  </w:style>
  <w:style w:type="character" w:customStyle="1" w:styleId="FootnoteTextChar">
    <w:name w:val="Footnote Text Char"/>
    <w:basedOn w:val="DefaultParagraphFont"/>
    <w:link w:val="FootnoteText"/>
    <w:rsid w:val="00526FCD"/>
    <w:rPr>
      <w:sz w:val="20"/>
      <w:szCs w:val="20"/>
    </w:rPr>
  </w:style>
  <w:style w:type="table" w:styleId="TableGrid">
    <w:name w:val="Table Grid"/>
    <w:basedOn w:val="TableNormal"/>
    <w:uiPriority w:val="59"/>
    <w:rsid w:val="0052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14D"/>
    <w:rPr>
      <w:color w:val="800080" w:themeColor="followedHyperlink"/>
      <w:u w:val="single"/>
    </w:rPr>
  </w:style>
  <w:style w:type="paragraph" w:styleId="TOC1">
    <w:name w:val="toc 1"/>
    <w:basedOn w:val="Normal"/>
    <w:next w:val="Normal"/>
    <w:autoRedefine/>
    <w:uiPriority w:val="39"/>
    <w:unhideWhenUsed/>
    <w:rsid w:val="00962852"/>
    <w:pPr>
      <w:tabs>
        <w:tab w:val="clear" w:pos="567"/>
      </w:tabs>
      <w:spacing w:after="100"/>
    </w:pPr>
  </w:style>
  <w:style w:type="paragraph" w:styleId="TOC2">
    <w:name w:val="toc 2"/>
    <w:basedOn w:val="Normal"/>
    <w:next w:val="Normal"/>
    <w:autoRedefine/>
    <w:uiPriority w:val="39"/>
    <w:unhideWhenUsed/>
    <w:rsid w:val="00962852"/>
    <w:pPr>
      <w:tabs>
        <w:tab w:val="clear" w:pos="567"/>
      </w:tabs>
      <w:spacing w:after="100"/>
      <w:ind w:left="240"/>
    </w:pPr>
  </w:style>
  <w:style w:type="paragraph" w:styleId="TOC3">
    <w:name w:val="toc 3"/>
    <w:basedOn w:val="Normal"/>
    <w:next w:val="Normal"/>
    <w:autoRedefine/>
    <w:unhideWhenUsed/>
    <w:rsid w:val="00962852"/>
    <w:pPr>
      <w:tabs>
        <w:tab w:val="clear" w:pos="567"/>
      </w:tabs>
      <w:spacing w:after="100"/>
      <w:ind w:left="480"/>
    </w:pPr>
  </w:style>
  <w:style w:type="character" w:customStyle="1" w:styleId="CGCParaNoChar">
    <w:name w:val="CGC Para No Char"/>
    <w:aliases w:val="CGC Numbered Para Char"/>
    <w:basedOn w:val="DefaultParagraphFont"/>
    <w:link w:val="CGCNumberedPara"/>
    <w:rsid w:val="00792F14"/>
    <w:rPr>
      <w:sz w:val="24"/>
      <w:szCs w:val="24"/>
    </w:rPr>
  </w:style>
  <w:style w:type="character" w:customStyle="1" w:styleId="CGCBulletlistChar">
    <w:name w:val="CGC Bullet list Char"/>
    <w:aliases w:val="CGC List 1 Char"/>
    <w:basedOn w:val="DefaultParagraphFont"/>
    <w:link w:val="CGCBulletlist"/>
    <w:locked/>
    <w:rsid w:val="00792F14"/>
    <w:rPr>
      <w:sz w:val="24"/>
      <w:szCs w:val="20"/>
    </w:rPr>
  </w:style>
  <w:style w:type="character" w:customStyle="1" w:styleId="CGCTableHeadingChar">
    <w:name w:val="CGC Table Heading Char"/>
    <w:basedOn w:val="DefaultParagraphFont"/>
    <w:link w:val="CGCTableHeading"/>
    <w:rsid w:val="007F10F1"/>
    <w:rPr>
      <w:b/>
      <w:sz w:val="24"/>
      <w:szCs w:val="20"/>
    </w:rPr>
  </w:style>
  <w:style w:type="character" w:customStyle="1" w:styleId="CGCTableFootnoteChar">
    <w:name w:val="CGC Table Footnote Char"/>
    <w:basedOn w:val="DefaultParagraphFont"/>
    <w:link w:val="CGCTableFootnote"/>
    <w:locked/>
    <w:rsid w:val="007F10F1"/>
    <w:rPr>
      <w:sz w:val="20"/>
      <w:szCs w:val="24"/>
    </w:rPr>
  </w:style>
  <w:style w:type="character" w:styleId="Emphasis">
    <w:name w:val="Emphasis"/>
    <w:basedOn w:val="DefaultParagraphFont"/>
    <w:uiPriority w:val="20"/>
    <w:qFormat/>
    <w:rsid w:val="00346D22"/>
    <w:rPr>
      <w:i/>
      <w:iCs/>
    </w:rPr>
  </w:style>
  <w:style w:type="paragraph" w:customStyle="1" w:styleId="TableRowNormal">
    <w:name w:val="TableRowNormal"/>
    <w:basedOn w:val="Normal"/>
    <w:link w:val="TableRowNormalChar"/>
    <w:rsid w:val="00AB1B27"/>
    <w:pPr>
      <w:keepNext/>
      <w:keepLines/>
      <w:tabs>
        <w:tab w:val="left" w:pos="475"/>
        <w:tab w:val="left" w:pos="1440"/>
        <w:tab w:val="left" w:pos="2160"/>
        <w:tab w:val="left" w:pos="2880"/>
      </w:tabs>
      <w:spacing w:before="60" w:after="60" w:line="200" w:lineRule="atLeast"/>
      <w:ind w:left="144" w:hanging="144"/>
      <w:jc w:val="right"/>
    </w:pPr>
    <w:rPr>
      <w:sz w:val="20"/>
      <w:szCs w:val="20"/>
    </w:rPr>
  </w:style>
  <w:style w:type="paragraph" w:customStyle="1" w:styleId="Single">
    <w:name w:val="Single"/>
    <w:basedOn w:val="Normal"/>
    <w:next w:val="CGCNumberedPara"/>
    <w:rsid w:val="00AB1B27"/>
    <w:pPr>
      <w:spacing w:after="0" w:line="240" w:lineRule="auto"/>
    </w:pPr>
  </w:style>
  <w:style w:type="paragraph" w:customStyle="1" w:styleId="TableColHeadings">
    <w:name w:val="TableColHeadings"/>
    <w:basedOn w:val="Normal"/>
    <w:rsid w:val="00AB1B27"/>
    <w:pPr>
      <w:keepNext/>
      <w:keepLines/>
      <w:tabs>
        <w:tab w:val="left" w:pos="475"/>
        <w:tab w:val="left" w:pos="1440"/>
        <w:tab w:val="left" w:pos="2160"/>
        <w:tab w:val="left" w:pos="2880"/>
      </w:tabs>
      <w:spacing w:before="60" w:after="60" w:line="240" w:lineRule="auto"/>
      <w:jc w:val="right"/>
    </w:pPr>
    <w:rPr>
      <w:sz w:val="20"/>
      <w:szCs w:val="20"/>
    </w:rPr>
  </w:style>
  <w:style w:type="paragraph" w:customStyle="1" w:styleId="TableRowUnits">
    <w:name w:val="TableRowUnits"/>
    <w:basedOn w:val="Normal"/>
    <w:rsid w:val="00AB1B27"/>
    <w:pPr>
      <w:keepNext/>
      <w:keepLines/>
      <w:tabs>
        <w:tab w:val="left" w:pos="475"/>
        <w:tab w:val="left" w:pos="1440"/>
        <w:tab w:val="left" w:pos="2160"/>
        <w:tab w:val="left" w:pos="2880"/>
      </w:tabs>
      <w:spacing w:after="0" w:line="240" w:lineRule="auto"/>
      <w:jc w:val="right"/>
    </w:pPr>
    <w:rPr>
      <w:sz w:val="20"/>
      <w:szCs w:val="20"/>
    </w:rPr>
  </w:style>
  <w:style w:type="character" w:customStyle="1" w:styleId="NoSpacingChar">
    <w:name w:val="No Spacing Char"/>
    <w:basedOn w:val="DefaultParagraphFont"/>
    <w:link w:val="NoSpacing"/>
    <w:uiPriority w:val="1"/>
    <w:rsid w:val="00AB1B27"/>
    <w:rPr>
      <w:sz w:val="24"/>
    </w:rPr>
  </w:style>
  <w:style w:type="character" w:customStyle="1" w:styleId="CGCBulletlistCharChar">
    <w:name w:val="CGC Bullet list Char Char"/>
    <w:rsid w:val="00654612"/>
    <w:rPr>
      <w:sz w:val="24"/>
      <w:szCs w:val="20"/>
    </w:rPr>
  </w:style>
  <w:style w:type="character" w:styleId="FootnoteReference">
    <w:name w:val="footnote reference"/>
    <w:basedOn w:val="DefaultParagraphFont"/>
    <w:unhideWhenUsed/>
    <w:rsid w:val="003F5D1C"/>
    <w:rPr>
      <w:vertAlign w:val="superscript"/>
    </w:rPr>
  </w:style>
  <w:style w:type="character" w:customStyle="1" w:styleId="CGCSubbulletlistChar">
    <w:name w:val="CGC Sub bullet list Char"/>
    <w:aliases w:val="CGC List 2 Char"/>
    <w:link w:val="CGCSubbulletlist"/>
    <w:rsid w:val="007C4E99"/>
    <w:rPr>
      <w:sz w:val="24"/>
      <w:szCs w:val="20"/>
    </w:rPr>
  </w:style>
  <w:style w:type="character" w:customStyle="1" w:styleId="TableRowNormalChar">
    <w:name w:val="TableRowNormal Char"/>
    <w:basedOn w:val="DefaultParagraphFont"/>
    <w:link w:val="TableRowNormal"/>
    <w:locked/>
    <w:rsid w:val="00E94FB3"/>
    <w:rPr>
      <w:sz w:val="20"/>
      <w:szCs w:val="20"/>
    </w:rPr>
  </w:style>
  <w:style w:type="paragraph" w:styleId="TOC4">
    <w:name w:val="toc 4"/>
    <w:basedOn w:val="Normal"/>
    <w:next w:val="Normal"/>
    <w:autoRedefine/>
    <w:unhideWhenUsed/>
    <w:rsid w:val="008F2312"/>
    <w:pPr>
      <w:tabs>
        <w:tab w:val="clear" w:pos="567"/>
      </w:tabs>
      <w:spacing w:after="100"/>
      <w:ind w:left="720"/>
    </w:pPr>
  </w:style>
  <w:style w:type="paragraph" w:styleId="TOC5">
    <w:name w:val="toc 5"/>
    <w:basedOn w:val="Normal"/>
    <w:next w:val="Normal"/>
    <w:autoRedefine/>
    <w:unhideWhenUsed/>
    <w:rsid w:val="008F2312"/>
    <w:pPr>
      <w:tabs>
        <w:tab w:val="clear" w:pos="567"/>
      </w:tabs>
      <w:spacing w:after="100"/>
      <w:ind w:left="960"/>
    </w:pPr>
  </w:style>
  <w:style w:type="paragraph" w:styleId="TOC6">
    <w:name w:val="toc 6"/>
    <w:basedOn w:val="Normal"/>
    <w:next w:val="Normal"/>
    <w:autoRedefine/>
    <w:unhideWhenUsed/>
    <w:rsid w:val="008F2312"/>
    <w:pPr>
      <w:tabs>
        <w:tab w:val="clear" w:pos="567"/>
      </w:tabs>
      <w:spacing w:after="100"/>
      <w:ind w:left="1200"/>
    </w:pPr>
  </w:style>
  <w:style w:type="paragraph" w:styleId="TOC7">
    <w:name w:val="toc 7"/>
    <w:basedOn w:val="Normal"/>
    <w:next w:val="Normal"/>
    <w:autoRedefine/>
    <w:unhideWhenUsed/>
    <w:rsid w:val="008F2312"/>
    <w:pPr>
      <w:tabs>
        <w:tab w:val="clear" w:pos="567"/>
      </w:tabs>
      <w:spacing w:after="100"/>
      <w:ind w:left="1440"/>
    </w:pPr>
  </w:style>
  <w:style w:type="paragraph" w:styleId="TOC8">
    <w:name w:val="toc 8"/>
    <w:basedOn w:val="Normal"/>
    <w:next w:val="Normal"/>
    <w:autoRedefine/>
    <w:unhideWhenUsed/>
    <w:rsid w:val="008F2312"/>
    <w:pPr>
      <w:tabs>
        <w:tab w:val="clear" w:pos="567"/>
      </w:tabs>
      <w:spacing w:after="100"/>
      <w:ind w:left="1680"/>
    </w:pPr>
  </w:style>
  <w:style w:type="paragraph" w:styleId="TOC9">
    <w:name w:val="toc 9"/>
    <w:basedOn w:val="Normal"/>
    <w:next w:val="Normal"/>
    <w:autoRedefine/>
    <w:unhideWhenUsed/>
    <w:rsid w:val="008F2312"/>
    <w:pPr>
      <w:tabs>
        <w:tab w:val="clear" w:pos="567"/>
      </w:tabs>
      <w:spacing w:after="100"/>
      <w:ind w:left="1920"/>
    </w:pPr>
  </w:style>
  <w:style w:type="character" w:customStyle="1" w:styleId="Heading8Char">
    <w:name w:val="Heading 8 Char"/>
    <w:aliases w:val="(Do not use) Char,(Sub-section Nos) Char"/>
    <w:basedOn w:val="DefaultParagraphFont"/>
    <w:link w:val="Heading8"/>
    <w:semiHidden/>
    <w:rsid w:val="001E4238"/>
    <w:rPr>
      <w:rFonts w:ascii="Arial" w:hAnsi="Arial"/>
      <w:i/>
      <w:sz w:val="20"/>
      <w:szCs w:val="20"/>
    </w:rPr>
  </w:style>
  <w:style w:type="character" w:customStyle="1" w:styleId="Heading9Char">
    <w:name w:val="Heading 9 Char"/>
    <w:aliases w:val="Heading 9 (Do not use) Char,(Subsubsection Nos) Char"/>
    <w:basedOn w:val="DefaultParagraphFont"/>
    <w:link w:val="Heading9"/>
    <w:semiHidden/>
    <w:rsid w:val="001E4238"/>
    <w:rPr>
      <w:rFonts w:ascii="Arial" w:hAnsi="Arial"/>
      <w:b/>
      <w:i/>
      <w:sz w:val="18"/>
      <w:szCs w:val="20"/>
    </w:rPr>
  </w:style>
  <w:style w:type="character" w:styleId="CommentReference">
    <w:name w:val="annotation reference"/>
    <w:basedOn w:val="DefaultParagraphFont"/>
    <w:rsid w:val="001E4238"/>
    <w:rPr>
      <w:sz w:val="16"/>
      <w:szCs w:val="16"/>
    </w:rPr>
  </w:style>
  <w:style w:type="paragraph" w:styleId="CommentText">
    <w:name w:val="annotation text"/>
    <w:basedOn w:val="Normal"/>
    <w:link w:val="CommentTextChar"/>
    <w:rsid w:val="001E4238"/>
    <w:rPr>
      <w:sz w:val="20"/>
      <w:szCs w:val="20"/>
    </w:rPr>
  </w:style>
  <w:style w:type="character" w:customStyle="1" w:styleId="CommentTextChar">
    <w:name w:val="Comment Text Char"/>
    <w:basedOn w:val="DefaultParagraphFont"/>
    <w:link w:val="CommentText"/>
    <w:rsid w:val="001E4238"/>
    <w:rPr>
      <w:sz w:val="20"/>
      <w:szCs w:val="20"/>
    </w:rPr>
  </w:style>
  <w:style w:type="paragraph" w:styleId="CommentSubject">
    <w:name w:val="annotation subject"/>
    <w:basedOn w:val="CommentText"/>
    <w:next w:val="CommentText"/>
    <w:link w:val="CommentSubjectChar"/>
    <w:rsid w:val="001E4238"/>
    <w:rPr>
      <w:b/>
      <w:bCs/>
    </w:rPr>
  </w:style>
  <w:style w:type="character" w:customStyle="1" w:styleId="CommentSubjectChar">
    <w:name w:val="Comment Subject Char"/>
    <w:basedOn w:val="CommentTextChar"/>
    <w:link w:val="CommentSubject"/>
    <w:rsid w:val="001E4238"/>
    <w:rPr>
      <w:b/>
      <w:bCs/>
      <w:sz w:val="20"/>
      <w:szCs w:val="20"/>
    </w:rPr>
  </w:style>
  <w:style w:type="paragraph" w:styleId="DocumentMap">
    <w:name w:val="Document Map"/>
    <w:basedOn w:val="Normal"/>
    <w:link w:val="DocumentMapChar"/>
    <w:rsid w:val="001E42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1E4238"/>
    <w:rPr>
      <w:rFonts w:ascii="Tahoma" w:hAnsi="Tahoma" w:cs="Tahoma"/>
      <w:sz w:val="20"/>
      <w:szCs w:val="20"/>
      <w:shd w:val="clear" w:color="auto" w:fill="000080"/>
    </w:rPr>
  </w:style>
  <w:style w:type="character" w:styleId="EndnoteReference">
    <w:name w:val="endnote reference"/>
    <w:basedOn w:val="DefaultParagraphFont"/>
    <w:rsid w:val="001E4238"/>
    <w:rPr>
      <w:vertAlign w:val="superscript"/>
    </w:rPr>
  </w:style>
  <w:style w:type="paragraph" w:styleId="EndnoteText">
    <w:name w:val="endnote text"/>
    <w:basedOn w:val="Normal"/>
    <w:link w:val="EndnoteTextChar"/>
    <w:rsid w:val="001E4238"/>
    <w:rPr>
      <w:sz w:val="20"/>
      <w:szCs w:val="20"/>
    </w:rPr>
  </w:style>
  <w:style w:type="character" w:customStyle="1" w:styleId="EndnoteTextChar">
    <w:name w:val="Endnote Text Char"/>
    <w:basedOn w:val="DefaultParagraphFont"/>
    <w:link w:val="EndnoteText"/>
    <w:rsid w:val="001E4238"/>
    <w:rPr>
      <w:sz w:val="20"/>
      <w:szCs w:val="20"/>
    </w:rPr>
  </w:style>
  <w:style w:type="paragraph" w:styleId="Index1">
    <w:name w:val="index 1"/>
    <w:basedOn w:val="Normal"/>
    <w:rsid w:val="001E4238"/>
  </w:style>
  <w:style w:type="paragraph" w:styleId="Index2">
    <w:name w:val="index 2"/>
    <w:basedOn w:val="Normal"/>
    <w:next w:val="Index1"/>
    <w:rsid w:val="001E4238"/>
    <w:pPr>
      <w:ind w:left="284"/>
    </w:pPr>
  </w:style>
  <w:style w:type="paragraph" w:styleId="Index3">
    <w:name w:val="index 3"/>
    <w:basedOn w:val="Normal"/>
    <w:next w:val="Index1"/>
    <w:rsid w:val="001E4238"/>
    <w:pPr>
      <w:ind w:left="567"/>
    </w:pPr>
  </w:style>
  <w:style w:type="paragraph" w:styleId="Index4">
    <w:name w:val="index 4"/>
    <w:basedOn w:val="Normal"/>
    <w:next w:val="Normal"/>
    <w:rsid w:val="001E4238"/>
    <w:pPr>
      <w:ind w:left="880" w:hanging="220"/>
    </w:pPr>
  </w:style>
  <w:style w:type="paragraph" w:styleId="Index5">
    <w:name w:val="index 5"/>
    <w:basedOn w:val="Normal"/>
    <w:next w:val="Normal"/>
    <w:rsid w:val="001E4238"/>
    <w:pPr>
      <w:ind w:left="1100" w:hanging="220"/>
    </w:pPr>
  </w:style>
  <w:style w:type="paragraph" w:styleId="Index6">
    <w:name w:val="index 6"/>
    <w:basedOn w:val="Normal"/>
    <w:next w:val="Normal"/>
    <w:rsid w:val="001E4238"/>
    <w:pPr>
      <w:ind w:left="1320" w:hanging="220"/>
    </w:pPr>
  </w:style>
  <w:style w:type="paragraph" w:styleId="Index7">
    <w:name w:val="index 7"/>
    <w:basedOn w:val="Normal"/>
    <w:next w:val="Normal"/>
    <w:rsid w:val="001E4238"/>
    <w:pPr>
      <w:ind w:left="1540" w:hanging="220"/>
    </w:pPr>
  </w:style>
  <w:style w:type="paragraph" w:styleId="Index8">
    <w:name w:val="index 8"/>
    <w:basedOn w:val="Normal"/>
    <w:next w:val="Normal"/>
    <w:rsid w:val="001E4238"/>
    <w:pPr>
      <w:ind w:left="1760" w:hanging="220"/>
    </w:pPr>
  </w:style>
  <w:style w:type="paragraph" w:styleId="Index9">
    <w:name w:val="index 9"/>
    <w:basedOn w:val="Normal"/>
    <w:next w:val="Normal"/>
    <w:rsid w:val="001E4238"/>
    <w:pPr>
      <w:ind w:left="1980" w:hanging="220"/>
    </w:pPr>
  </w:style>
  <w:style w:type="paragraph" w:styleId="IndexHeading">
    <w:name w:val="index heading"/>
    <w:basedOn w:val="Normal"/>
    <w:next w:val="Index1"/>
    <w:rsid w:val="001E4238"/>
  </w:style>
  <w:style w:type="paragraph" w:styleId="List">
    <w:name w:val="List"/>
    <w:basedOn w:val="Normal"/>
    <w:rsid w:val="001E4238"/>
    <w:pPr>
      <w:spacing w:line="300" w:lineRule="atLeast"/>
    </w:pPr>
  </w:style>
  <w:style w:type="paragraph" w:styleId="MacroText">
    <w:name w:val="macro"/>
    <w:link w:val="MacroTextChar"/>
    <w:rsid w:val="001E423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1E4238"/>
    <w:rPr>
      <w:rFonts w:ascii="Courier New" w:hAnsi="Courier New" w:cs="Courier New"/>
    </w:rPr>
  </w:style>
  <w:style w:type="character" w:styleId="PageNumber">
    <w:name w:val="page number"/>
    <w:basedOn w:val="DefaultParagraphFont"/>
    <w:rsid w:val="001E4238"/>
  </w:style>
  <w:style w:type="paragraph" w:styleId="TableofAuthorities">
    <w:name w:val="table of authorities"/>
    <w:basedOn w:val="Normal"/>
    <w:next w:val="Normal"/>
    <w:rsid w:val="001E4238"/>
    <w:pPr>
      <w:tabs>
        <w:tab w:val="clear" w:pos="567"/>
      </w:tabs>
      <w:ind w:left="220" w:hanging="220"/>
    </w:pPr>
  </w:style>
  <w:style w:type="paragraph" w:styleId="TableofFigures">
    <w:name w:val="table of figures"/>
    <w:basedOn w:val="Normal"/>
    <w:next w:val="Normal"/>
    <w:rsid w:val="001E4238"/>
    <w:pPr>
      <w:tabs>
        <w:tab w:val="clear" w:pos="567"/>
      </w:tabs>
    </w:pPr>
  </w:style>
  <w:style w:type="paragraph" w:styleId="TOAHeading">
    <w:name w:val="toa heading"/>
    <w:basedOn w:val="Normal"/>
    <w:next w:val="Normal"/>
    <w:rsid w:val="001E4238"/>
    <w:pPr>
      <w:spacing w:before="120"/>
    </w:pPr>
    <w:rPr>
      <w:rFonts w:cs="Arial"/>
      <w:b/>
      <w:bCs/>
    </w:rPr>
  </w:style>
  <w:style w:type="paragraph" w:styleId="TOCHeading">
    <w:name w:val="TOC Heading"/>
    <w:basedOn w:val="Heading1"/>
    <w:next w:val="Normal"/>
    <w:uiPriority w:val="39"/>
    <w:semiHidden/>
    <w:unhideWhenUsed/>
    <w:qFormat/>
    <w:rsid w:val="001E4238"/>
    <w:pPr>
      <w:keepLines/>
      <w:pBdr>
        <w:bottom w:val="none" w:sz="0" w:space="0" w:color="auto"/>
      </w:pBdr>
      <w:spacing w:before="480" w:line="320" w:lineRule="atLeast"/>
      <w:outlineLvl w:val="9"/>
    </w:pPr>
    <w:rPr>
      <w:rFonts w:asciiTheme="majorHAnsi" w:hAnsiTheme="majorHAnsi"/>
      <w:caps w:val="0"/>
      <w:color w:val="365F91" w:themeColor="accent1" w:themeShade="BF"/>
      <w:sz w:val="28"/>
    </w:rPr>
  </w:style>
  <w:style w:type="character" w:styleId="PlaceholderText">
    <w:name w:val="Placeholder Text"/>
    <w:basedOn w:val="DefaultParagraphFont"/>
    <w:uiPriority w:val="99"/>
    <w:semiHidden/>
    <w:rsid w:val="001E4238"/>
    <w:rPr>
      <w:color w:val="808080"/>
    </w:rPr>
  </w:style>
  <w:style w:type="paragraph" w:styleId="Title">
    <w:name w:val="Title"/>
    <w:basedOn w:val="Normal"/>
    <w:next w:val="Normal"/>
    <w:link w:val="TitleChar"/>
    <w:uiPriority w:val="10"/>
    <w:qFormat/>
    <w:rsid w:val="00301269"/>
    <w:pPr>
      <w:pBdr>
        <w:bottom w:val="single" w:sz="8" w:space="4" w:color="4F81BD" w:themeColor="accent1"/>
      </w:pBdr>
      <w:tabs>
        <w:tab w:val="clear" w:pos="567"/>
      </w:tabs>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uiPriority w:val="10"/>
    <w:rsid w:val="00301269"/>
    <w:rPr>
      <w:rFonts w:asciiTheme="majorHAnsi" w:eastAsiaTheme="majorEastAsia" w:hAnsiTheme="majorHAnsi" w:cstheme="majorBidi"/>
      <w:color w:val="17365D" w:themeColor="text2" w:themeShade="BF"/>
      <w:spacing w:val="5"/>
      <w:kern w:val="28"/>
      <w:sz w:val="52"/>
      <w:szCs w:val="52"/>
      <w:lang w:eastAsia="zh-CN"/>
    </w:rPr>
  </w:style>
  <w:style w:type="paragraph" w:styleId="Subtitle">
    <w:name w:val="Subtitle"/>
    <w:basedOn w:val="Normal"/>
    <w:next w:val="Normal"/>
    <w:link w:val="SubtitleChar"/>
    <w:uiPriority w:val="11"/>
    <w:qFormat/>
    <w:rsid w:val="00301269"/>
    <w:pPr>
      <w:numPr>
        <w:ilvl w:val="1"/>
      </w:numPr>
      <w:tabs>
        <w:tab w:val="clear" w:pos="567"/>
      </w:tabs>
      <w:spacing w:after="200" w:line="276" w:lineRule="auto"/>
    </w:pPr>
    <w:rPr>
      <w:rFonts w:asciiTheme="majorHAnsi" w:eastAsiaTheme="majorEastAsia" w:hAnsiTheme="majorHAnsi" w:cstheme="majorBidi"/>
      <w:i/>
      <w:iCs/>
      <w:color w:val="4F81BD" w:themeColor="accent1"/>
      <w:spacing w:val="15"/>
      <w:szCs w:val="24"/>
      <w:lang w:eastAsia="zh-CN"/>
    </w:rPr>
  </w:style>
  <w:style w:type="character" w:customStyle="1" w:styleId="SubtitleChar">
    <w:name w:val="Subtitle Char"/>
    <w:basedOn w:val="DefaultParagraphFont"/>
    <w:link w:val="Subtitle"/>
    <w:uiPriority w:val="11"/>
    <w:rsid w:val="00301269"/>
    <w:rPr>
      <w:rFonts w:asciiTheme="majorHAnsi" w:eastAsiaTheme="majorEastAsia" w:hAnsiTheme="majorHAnsi" w:cstheme="majorBidi"/>
      <w:i/>
      <w:iCs/>
      <w:color w:val="4F81BD" w:themeColor="accent1"/>
      <w:spacing w:val="15"/>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80"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lsdException w:name="heading 8" w:uiPriority="0" w:unhideWhenUsed="0"/>
    <w:lsdException w:name="heading 9" w:uiPriority="0" w:unhideWhenUsed="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26FCD"/>
    <w:pPr>
      <w:tabs>
        <w:tab w:val="left" w:pos="567"/>
      </w:tabs>
    </w:pPr>
    <w:rPr>
      <w:sz w:val="24"/>
    </w:rPr>
  </w:style>
  <w:style w:type="paragraph" w:styleId="Heading1">
    <w:name w:val="heading 1"/>
    <w:basedOn w:val="Normal"/>
    <w:next w:val="Heading2"/>
    <w:link w:val="Heading1Char"/>
    <w:uiPriority w:val="9"/>
    <w:qFormat/>
    <w:rsid w:val="00526FCD"/>
    <w:pPr>
      <w:keepNext/>
      <w:widowControl w:val="0"/>
      <w:pBdr>
        <w:bottom w:val="single" w:sz="4" w:space="1" w:color="auto"/>
      </w:pBdr>
      <w:spacing w:before="800" w:after="0" w:line="240" w:lineRule="auto"/>
      <w:outlineLvl w:val="0"/>
    </w:pPr>
    <w:rPr>
      <w:rFonts w:eastAsiaTheme="majorEastAsia" w:cstheme="majorBidi"/>
      <w:b/>
      <w:bCs/>
      <w:caps/>
      <w:color w:val="2C8558"/>
      <w:sz w:val="40"/>
      <w:szCs w:val="28"/>
    </w:rPr>
  </w:style>
  <w:style w:type="paragraph" w:styleId="Heading2">
    <w:name w:val="heading 2"/>
    <w:basedOn w:val="Normal"/>
    <w:next w:val="Heading3"/>
    <w:link w:val="Heading2Char"/>
    <w:uiPriority w:val="9"/>
    <w:qFormat/>
    <w:rsid w:val="00526FCD"/>
    <w:pPr>
      <w:keepNext/>
      <w:widowControl w:val="0"/>
      <w:spacing w:before="100" w:after="720" w:line="240" w:lineRule="auto"/>
      <w:outlineLvl w:val="1"/>
    </w:pPr>
    <w:rPr>
      <w:rFonts w:eastAsiaTheme="majorEastAsia" w:cstheme="majorBidi"/>
      <w:b/>
      <w:bCs/>
      <w:caps/>
      <w:color w:val="2C8558"/>
      <w:sz w:val="40"/>
      <w:szCs w:val="26"/>
    </w:rPr>
  </w:style>
  <w:style w:type="paragraph" w:styleId="Heading3">
    <w:name w:val="heading 3"/>
    <w:basedOn w:val="Normal"/>
    <w:next w:val="Heading4"/>
    <w:link w:val="Heading3Char"/>
    <w:uiPriority w:val="9"/>
    <w:qFormat/>
    <w:rsid w:val="00526FCD"/>
    <w:pPr>
      <w:keepNext/>
      <w:widowControl w:val="0"/>
      <w:spacing w:before="600" w:after="200" w:line="240" w:lineRule="auto"/>
      <w:outlineLvl w:val="2"/>
    </w:pPr>
    <w:rPr>
      <w:rFonts w:eastAsiaTheme="majorEastAsia" w:cstheme="majorBidi"/>
      <w:b/>
      <w:bCs/>
      <w:caps/>
      <w:color w:val="2C8558"/>
      <w:sz w:val="32"/>
    </w:rPr>
  </w:style>
  <w:style w:type="paragraph" w:styleId="Heading4">
    <w:name w:val="heading 4"/>
    <w:basedOn w:val="Normal"/>
    <w:next w:val="Heading5"/>
    <w:link w:val="Heading4Char"/>
    <w:uiPriority w:val="9"/>
    <w:qFormat/>
    <w:rsid w:val="00526FCD"/>
    <w:pPr>
      <w:keepNext/>
      <w:widowControl w:val="0"/>
      <w:spacing w:before="300" w:after="40" w:line="240" w:lineRule="auto"/>
      <w:outlineLvl w:val="3"/>
    </w:pPr>
    <w:rPr>
      <w:rFonts w:eastAsiaTheme="majorEastAsia" w:cstheme="majorBidi"/>
      <w:b/>
      <w:bCs/>
      <w:iCs/>
      <w:color w:val="2C8558"/>
      <w:sz w:val="32"/>
    </w:rPr>
  </w:style>
  <w:style w:type="paragraph" w:styleId="Heading5">
    <w:name w:val="heading 5"/>
    <w:basedOn w:val="Normal"/>
    <w:next w:val="Heading6"/>
    <w:link w:val="Heading5Char"/>
    <w:uiPriority w:val="9"/>
    <w:qFormat/>
    <w:rsid w:val="00526FCD"/>
    <w:pPr>
      <w:keepNext/>
      <w:tabs>
        <w:tab w:val="clear" w:pos="567"/>
      </w:tabs>
      <w:spacing w:before="300" w:after="40" w:line="240" w:lineRule="auto"/>
      <w:outlineLvl w:val="4"/>
    </w:pPr>
    <w:rPr>
      <w:rFonts w:eastAsiaTheme="majorEastAsia" w:cstheme="majorBidi"/>
      <w:b/>
      <w:i/>
      <w:color w:val="2C8558"/>
      <w:sz w:val="28"/>
    </w:rPr>
  </w:style>
  <w:style w:type="paragraph" w:styleId="Heading6">
    <w:name w:val="heading 6"/>
    <w:basedOn w:val="Normal"/>
    <w:next w:val="Normal"/>
    <w:link w:val="Heading6Char"/>
    <w:uiPriority w:val="9"/>
    <w:qFormat/>
    <w:rsid w:val="00526FCD"/>
    <w:pPr>
      <w:keepNext/>
      <w:keepLines/>
      <w:spacing w:before="120"/>
      <w:outlineLvl w:val="5"/>
    </w:pPr>
    <w:rPr>
      <w:rFonts w:eastAsiaTheme="majorEastAsia" w:cstheme="majorBidi"/>
      <w:b/>
      <w:i/>
      <w:iCs/>
      <w:color w:val="2C8558"/>
      <w:sz w:val="28"/>
    </w:rPr>
  </w:style>
  <w:style w:type="paragraph" w:styleId="Heading7">
    <w:name w:val="heading 7"/>
    <w:basedOn w:val="Normal"/>
    <w:next w:val="Normal"/>
    <w:link w:val="Heading7Char"/>
    <w:uiPriority w:val="9"/>
    <w:semiHidden/>
    <w:rsid w:val="00526FC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link w:val="Heading8Char"/>
    <w:semiHidden/>
    <w:rsid w:val="001E4238"/>
    <w:pPr>
      <w:numPr>
        <w:ilvl w:val="7"/>
        <w:numId w:val="34"/>
      </w:numPr>
      <w:spacing w:before="240" w:after="60"/>
      <w:outlineLvl w:val="7"/>
    </w:pPr>
    <w:rPr>
      <w:rFonts w:ascii="Arial" w:hAnsi="Arial"/>
      <w:i/>
      <w:sz w:val="20"/>
      <w:szCs w:val="20"/>
    </w:rPr>
  </w:style>
  <w:style w:type="paragraph" w:styleId="Heading9">
    <w:name w:val="heading 9"/>
    <w:aliases w:val="Heading 9 (Do not use),(Subsubsection Nos)"/>
    <w:basedOn w:val="Normal"/>
    <w:next w:val="Normal"/>
    <w:link w:val="Heading9Char"/>
    <w:semiHidden/>
    <w:rsid w:val="001E4238"/>
    <w:pPr>
      <w:numPr>
        <w:ilvl w:val="8"/>
        <w:numId w:val="34"/>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26FCD"/>
    <w:rPr>
      <w:rFonts w:eastAsiaTheme="majorEastAsia" w:cstheme="majorBidi"/>
      <w:b/>
      <w:i/>
      <w:iCs/>
      <w:color w:val="2C8558"/>
      <w:sz w:val="28"/>
    </w:rPr>
  </w:style>
  <w:style w:type="character" w:customStyle="1" w:styleId="Heading1Char">
    <w:name w:val="Heading 1 Char"/>
    <w:basedOn w:val="DefaultParagraphFont"/>
    <w:link w:val="Heading1"/>
    <w:uiPriority w:val="9"/>
    <w:rsid w:val="00526FCD"/>
    <w:rPr>
      <w:rFonts w:eastAsiaTheme="majorEastAsia" w:cstheme="majorBidi"/>
      <w:b/>
      <w:bCs/>
      <w:caps/>
      <w:color w:val="2C8558"/>
      <w:sz w:val="40"/>
      <w:szCs w:val="28"/>
    </w:rPr>
  </w:style>
  <w:style w:type="character" w:customStyle="1" w:styleId="Heading7Char">
    <w:name w:val="Heading 7 Char"/>
    <w:basedOn w:val="DefaultParagraphFont"/>
    <w:link w:val="Heading7"/>
    <w:uiPriority w:val="9"/>
    <w:semiHidden/>
    <w:rsid w:val="00526FCD"/>
    <w:rPr>
      <w:rFonts w:asciiTheme="majorHAnsi" w:eastAsiaTheme="majorEastAsia" w:hAnsiTheme="majorHAnsi" w:cstheme="majorBidi"/>
      <w:i/>
      <w:iCs/>
      <w:color w:val="404040" w:themeColor="text1" w:themeTint="BF"/>
      <w:sz w:val="24"/>
    </w:rPr>
  </w:style>
  <w:style w:type="character" w:customStyle="1" w:styleId="Heading2Char">
    <w:name w:val="Heading 2 Char"/>
    <w:basedOn w:val="DefaultParagraphFont"/>
    <w:link w:val="Heading2"/>
    <w:uiPriority w:val="9"/>
    <w:rsid w:val="00526FCD"/>
    <w:rPr>
      <w:rFonts w:eastAsiaTheme="majorEastAsia" w:cstheme="majorBidi"/>
      <w:b/>
      <w:bCs/>
      <w:caps/>
      <w:color w:val="2C8558"/>
      <w:sz w:val="40"/>
      <w:szCs w:val="26"/>
    </w:rPr>
  </w:style>
  <w:style w:type="character" w:customStyle="1" w:styleId="Heading3Char">
    <w:name w:val="Heading 3 Char"/>
    <w:basedOn w:val="DefaultParagraphFont"/>
    <w:link w:val="Heading3"/>
    <w:uiPriority w:val="9"/>
    <w:rsid w:val="00526FCD"/>
    <w:rPr>
      <w:rFonts w:eastAsiaTheme="majorEastAsia" w:cstheme="majorBidi"/>
      <w:b/>
      <w:bCs/>
      <w:caps/>
      <w:color w:val="2C8558"/>
      <w:sz w:val="32"/>
    </w:rPr>
  </w:style>
  <w:style w:type="character" w:customStyle="1" w:styleId="Heading4Char">
    <w:name w:val="Heading 4 Char"/>
    <w:basedOn w:val="DefaultParagraphFont"/>
    <w:link w:val="Heading4"/>
    <w:uiPriority w:val="9"/>
    <w:rsid w:val="00526FCD"/>
    <w:rPr>
      <w:rFonts w:eastAsiaTheme="majorEastAsia" w:cstheme="majorBidi"/>
      <w:b/>
      <w:bCs/>
      <w:iCs/>
      <w:color w:val="2C8558"/>
      <w:sz w:val="32"/>
    </w:rPr>
  </w:style>
  <w:style w:type="character" w:customStyle="1" w:styleId="Heading5Char">
    <w:name w:val="Heading 5 Char"/>
    <w:basedOn w:val="DefaultParagraphFont"/>
    <w:link w:val="Heading5"/>
    <w:uiPriority w:val="9"/>
    <w:rsid w:val="00526FCD"/>
    <w:rPr>
      <w:rFonts w:eastAsiaTheme="majorEastAsia" w:cstheme="majorBidi"/>
      <w:b/>
      <w:i/>
      <w:color w:val="2C8558"/>
      <w:sz w:val="28"/>
    </w:rPr>
  </w:style>
  <w:style w:type="paragraph" w:customStyle="1" w:styleId="CGCBulletlist">
    <w:name w:val="CGC Bullet list"/>
    <w:aliases w:val="CGC List 1"/>
    <w:basedOn w:val="Normal"/>
    <w:link w:val="CGCBulletlistChar"/>
    <w:qFormat/>
    <w:rsid w:val="001E7B72"/>
    <w:pPr>
      <w:numPr>
        <w:numId w:val="19"/>
      </w:numPr>
      <w:tabs>
        <w:tab w:val="clear" w:pos="567"/>
      </w:tabs>
      <w:spacing w:before="80" w:line="300" w:lineRule="atLeast"/>
    </w:pPr>
    <w:rPr>
      <w:szCs w:val="20"/>
    </w:rPr>
  </w:style>
  <w:style w:type="paragraph" w:customStyle="1" w:styleId="CGCNumberedPara">
    <w:name w:val="CGC Numbered Para"/>
    <w:aliases w:val="CGC Para No"/>
    <w:basedOn w:val="Normal"/>
    <w:link w:val="CGCParaNoChar"/>
    <w:qFormat/>
    <w:rsid w:val="00526FCD"/>
    <w:pPr>
      <w:numPr>
        <w:ilvl w:val="1"/>
        <w:numId w:val="20"/>
      </w:numPr>
      <w:spacing w:before="120"/>
    </w:pPr>
    <w:rPr>
      <w:szCs w:val="24"/>
    </w:rPr>
  </w:style>
  <w:style w:type="paragraph" w:customStyle="1" w:styleId="CGCTableFootnote">
    <w:name w:val="CGC Table Footnote"/>
    <w:basedOn w:val="CGCNumberedPara"/>
    <w:next w:val="NoSpacing"/>
    <w:link w:val="CGCTableFootnoteChar"/>
    <w:qFormat/>
    <w:rsid w:val="00526FCD"/>
    <w:pPr>
      <w:numPr>
        <w:ilvl w:val="0"/>
        <w:numId w:val="0"/>
      </w:numPr>
      <w:tabs>
        <w:tab w:val="left" w:pos="851"/>
      </w:tabs>
      <w:spacing w:before="0" w:after="0" w:line="240" w:lineRule="auto"/>
      <w:ind w:left="851" w:hanging="851"/>
    </w:pPr>
    <w:rPr>
      <w:sz w:val="20"/>
    </w:rPr>
  </w:style>
  <w:style w:type="paragraph" w:styleId="NoSpacing">
    <w:name w:val="No Spacing"/>
    <w:link w:val="NoSpacingChar"/>
    <w:uiPriority w:val="1"/>
    <w:qFormat/>
    <w:rsid w:val="00526FCD"/>
    <w:pPr>
      <w:tabs>
        <w:tab w:val="left" w:pos="567"/>
      </w:tabs>
      <w:spacing w:after="0" w:line="240" w:lineRule="auto"/>
    </w:pPr>
    <w:rPr>
      <w:sz w:val="24"/>
    </w:rPr>
  </w:style>
  <w:style w:type="paragraph" w:customStyle="1" w:styleId="CGCDataCaption">
    <w:name w:val="CGC Data Caption"/>
    <w:basedOn w:val="CGCTableFootnote"/>
    <w:next w:val="NoSpacing"/>
    <w:link w:val="DataCaptionChar"/>
    <w:qFormat/>
    <w:rsid w:val="00526FCD"/>
  </w:style>
  <w:style w:type="character" w:customStyle="1" w:styleId="DataCaptionChar">
    <w:name w:val="Data Caption Char"/>
    <w:basedOn w:val="DefaultParagraphFont"/>
    <w:link w:val="CGCDataCaption"/>
    <w:rsid w:val="00526FCD"/>
    <w:rPr>
      <w:sz w:val="20"/>
      <w:szCs w:val="24"/>
    </w:rPr>
  </w:style>
  <w:style w:type="paragraph" w:customStyle="1" w:styleId="CGCNumeralList">
    <w:name w:val="CGC Numeral List"/>
    <w:aliases w:val="CGC List 3"/>
    <w:basedOn w:val="Normal"/>
    <w:qFormat/>
    <w:rsid w:val="00526FCD"/>
    <w:pPr>
      <w:numPr>
        <w:numId w:val="21"/>
      </w:numPr>
      <w:tabs>
        <w:tab w:val="clear" w:pos="567"/>
      </w:tabs>
      <w:spacing w:line="300" w:lineRule="atLeast"/>
    </w:pPr>
    <w:rPr>
      <w:szCs w:val="20"/>
    </w:rPr>
  </w:style>
  <w:style w:type="paragraph" w:customStyle="1" w:styleId="CGCQuotation">
    <w:name w:val="CGC Quotation"/>
    <w:basedOn w:val="Normal"/>
    <w:next w:val="CGCNumberedPara"/>
    <w:rsid w:val="00526FCD"/>
    <w:pPr>
      <w:tabs>
        <w:tab w:val="clear" w:pos="567"/>
      </w:tabs>
      <w:spacing w:before="120" w:after="120" w:line="240" w:lineRule="auto"/>
      <w:ind w:left="1134" w:right="1134"/>
    </w:pPr>
    <w:rPr>
      <w:sz w:val="22"/>
      <w:szCs w:val="24"/>
    </w:rPr>
  </w:style>
  <w:style w:type="paragraph" w:customStyle="1" w:styleId="CGCSubbulletlist">
    <w:name w:val="CGC Sub bullet list"/>
    <w:aliases w:val="CGC List 2"/>
    <w:basedOn w:val="Normal"/>
    <w:link w:val="CGCSubbulletlistChar"/>
    <w:qFormat/>
    <w:rsid w:val="001E7B72"/>
    <w:pPr>
      <w:numPr>
        <w:numId w:val="22"/>
      </w:numPr>
      <w:tabs>
        <w:tab w:val="clear" w:pos="567"/>
        <w:tab w:val="left" w:pos="1701"/>
      </w:tabs>
      <w:spacing w:line="300" w:lineRule="atLeast"/>
    </w:pPr>
    <w:rPr>
      <w:szCs w:val="20"/>
    </w:rPr>
  </w:style>
  <w:style w:type="paragraph" w:customStyle="1" w:styleId="CGCQuotationBullet">
    <w:name w:val="CGC Quotation Bullet"/>
    <w:basedOn w:val="CGCSubbulletlist"/>
    <w:rsid w:val="00526FCD"/>
    <w:pPr>
      <w:numPr>
        <w:numId w:val="23"/>
      </w:numPr>
      <w:ind w:right="1134"/>
    </w:pPr>
    <w:rPr>
      <w:sz w:val="22"/>
    </w:rPr>
  </w:style>
  <w:style w:type="paragraph" w:customStyle="1" w:styleId="CGCTableHeading">
    <w:name w:val="CGC Table Heading"/>
    <w:basedOn w:val="Normal"/>
    <w:next w:val="Normal"/>
    <w:link w:val="CGCTableHeadingChar"/>
    <w:qFormat/>
    <w:rsid w:val="00526FCD"/>
    <w:pPr>
      <w:keepNext/>
      <w:keepLines/>
      <w:tabs>
        <w:tab w:val="clear" w:pos="567"/>
        <w:tab w:val="left" w:pos="1420"/>
      </w:tabs>
      <w:spacing w:before="240" w:after="120" w:line="240" w:lineRule="auto"/>
      <w:ind w:left="1418" w:hanging="1418"/>
    </w:pPr>
    <w:rPr>
      <w:b/>
      <w:szCs w:val="20"/>
    </w:rPr>
  </w:style>
  <w:style w:type="paragraph" w:customStyle="1" w:styleId="CGCTableStub">
    <w:name w:val="CGC Table Stub"/>
    <w:basedOn w:val="Normal"/>
    <w:rsid w:val="00526FCD"/>
    <w:pPr>
      <w:keepNext/>
      <w:keepLines/>
      <w:tabs>
        <w:tab w:val="left" w:pos="284"/>
      </w:tabs>
      <w:spacing w:before="60" w:after="60" w:line="200" w:lineRule="atLeast"/>
    </w:pPr>
    <w:rPr>
      <w:sz w:val="20"/>
      <w:szCs w:val="20"/>
    </w:rPr>
  </w:style>
  <w:style w:type="paragraph" w:styleId="Header">
    <w:name w:val="header"/>
    <w:basedOn w:val="Normal"/>
    <w:link w:val="HeaderChar"/>
    <w:uiPriority w:val="99"/>
    <w:unhideWhenUsed/>
    <w:rsid w:val="00526FCD"/>
    <w:pPr>
      <w:tabs>
        <w:tab w:val="clear" w:pos="567"/>
        <w:tab w:val="center" w:pos="4513"/>
        <w:tab w:val="right" w:pos="9026"/>
      </w:tabs>
      <w:spacing w:after="0" w:line="240" w:lineRule="auto"/>
    </w:pPr>
  </w:style>
  <w:style w:type="character" w:customStyle="1" w:styleId="HeaderChar">
    <w:name w:val="Header Char"/>
    <w:basedOn w:val="DefaultParagraphFont"/>
    <w:link w:val="Header"/>
    <w:uiPriority w:val="99"/>
    <w:rsid w:val="00526FCD"/>
    <w:rPr>
      <w:sz w:val="24"/>
    </w:rPr>
  </w:style>
  <w:style w:type="paragraph" w:styleId="Footer">
    <w:name w:val="footer"/>
    <w:basedOn w:val="Normal"/>
    <w:link w:val="FooterChar"/>
    <w:uiPriority w:val="99"/>
    <w:unhideWhenUsed/>
    <w:rsid w:val="00526FCD"/>
    <w:pPr>
      <w:tabs>
        <w:tab w:val="clear" w:pos="567"/>
        <w:tab w:val="center" w:pos="4513"/>
        <w:tab w:val="right" w:pos="9026"/>
      </w:tabs>
      <w:spacing w:after="0" w:line="240" w:lineRule="auto"/>
    </w:pPr>
  </w:style>
  <w:style w:type="character" w:customStyle="1" w:styleId="FooterChar">
    <w:name w:val="Footer Char"/>
    <w:basedOn w:val="DefaultParagraphFont"/>
    <w:link w:val="Footer"/>
    <w:uiPriority w:val="99"/>
    <w:rsid w:val="00526FCD"/>
    <w:rPr>
      <w:sz w:val="24"/>
    </w:rPr>
  </w:style>
  <w:style w:type="paragraph" w:styleId="BalloonText">
    <w:name w:val="Balloon Text"/>
    <w:basedOn w:val="Normal"/>
    <w:link w:val="BalloonTextChar"/>
    <w:uiPriority w:val="99"/>
    <w:unhideWhenUsed/>
    <w:rsid w:val="00526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6FCD"/>
    <w:rPr>
      <w:rFonts w:ascii="Tahoma" w:hAnsi="Tahoma" w:cs="Tahoma"/>
      <w:sz w:val="16"/>
      <w:szCs w:val="16"/>
    </w:rPr>
  </w:style>
  <w:style w:type="paragraph" w:styleId="ListParagraph">
    <w:name w:val="List Paragraph"/>
    <w:basedOn w:val="Normal"/>
    <w:uiPriority w:val="34"/>
    <w:qFormat/>
    <w:rsid w:val="00526FCD"/>
    <w:pPr>
      <w:tabs>
        <w:tab w:val="clear" w:pos="567"/>
      </w:tabs>
      <w:spacing w:line="300" w:lineRule="atLeast"/>
      <w:ind w:left="1134"/>
    </w:pPr>
    <w:rPr>
      <w:szCs w:val="24"/>
    </w:rPr>
  </w:style>
  <w:style w:type="character" w:styleId="Hyperlink">
    <w:name w:val="Hyperlink"/>
    <w:basedOn w:val="DefaultParagraphFont"/>
    <w:uiPriority w:val="99"/>
    <w:rsid w:val="007710CD"/>
    <w:rPr>
      <w:color w:val="0000FF"/>
      <w:u w:val="single"/>
    </w:rPr>
  </w:style>
  <w:style w:type="paragraph" w:styleId="Caption">
    <w:name w:val="caption"/>
    <w:basedOn w:val="Normal"/>
    <w:next w:val="Normal"/>
    <w:link w:val="CaptionChar"/>
    <w:rsid w:val="00526FCD"/>
    <w:pPr>
      <w:keepNext/>
      <w:keepLines/>
      <w:tabs>
        <w:tab w:val="clear" w:pos="567"/>
        <w:tab w:val="left" w:pos="1418"/>
      </w:tabs>
      <w:spacing w:before="240" w:after="120" w:line="240" w:lineRule="auto"/>
      <w:ind w:left="1418" w:hanging="1418"/>
    </w:pPr>
    <w:rPr>
      <w:b/>
      <w:bCs/>
      <w:szCs w:val="20"/>
    </w:rPr>
  </w:style>
  <w:style w:type="character" w:customStyle="1" w:styleId="CaptionChar">
    <w:name w:val="Caption Char"/>
    <w:basedOn w:val="DefaultParagraphFont"/>
    <w:link w:val="Caption"/>
    <w:rsid w:val="00526FCD"/>
    <w:rPr>
      <w:b/>
      <w:bCs/>
      <w:sz w:val="24"/>
      <w:szCs w:val="20"/>
    </w:rPr>
  </w:style>
  <w:style w:type="paragraph" w:styleId="FootnoteText">
    <w:name w:val="footnote text"/>
    <w:basedOn w:val="Normal"/>
    <w:link w:val="FootnoteTextChar"/>
    <w:rsid w:val="00526FCD"/>
    <w:pPr>
      <w:spacing w:after="0" w:line="240" w:lineRule="auto"/>
      <w:ind w:left="567" w:hanging="567"/>
    </w:pPr>
    <w:rPr>
      <w:sz w:val="20"/>
      <w:szCs w:val="20"/>
    </w:rPr>
  </w:style>
  <w:style w:type="character" w:customStyle="1" w:styleId="FootnoteTextChar">
    <w:name w:val="Footnote Text Char"/>
    <w:basedOn w:val="DefaultParagraphFont"/>
    <w:link w:val="FootnoteText"/>
    <w:rsid w:val="00526FCD"/>
    <w:rPr>
      <w:sz w:val="20"/>
      <w:szCs w:val="20"/>
    </w:rPr>
  </w:style>
  <w:style w:type="table" w:styleId="TableGrid">
    <w:name w:val="Table Grid"/>
    <w:basedOn w:val="TableNormal"/>
    <w:uiPriority w:val="59"/>
    <w:rsid w:val="0052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14D"/>
    <w:rPr>
      <w:color w:val="800080" w:themeColor="followedHyperlink"/>
      <w:u w:val="single"/>
    </w:rPr>
  </w:style>
  <w:style w:type="paragraph" w:styleId="TOC1">
    <w:name w:val="toc 1"/>
    <w:basedOn w:val="Normal"/>
    <w:next w:val="Normal"/>
    <w:autoRedefine/>
    <w:uiPriority w:val="39"/>
    <w:unhideWhenUsed/>
    <w:rsid w:val="00962852"/>
    <w:pPr>
      <w:tabs>
        <w:tab w:val="clear" w:pos="567"/>
      </w:tabs>
      <w:spacing w:after="100"/>
    </w:pPr>
  </w:style>
  <w:style w:type="paragraph" w:styleId="TOC2">
    <w:name w:val="toc 2"/>
    <w:basedOn w:val="Normal"/>
    <w:next w:val="Normal"/>
    <w:autoRedefine/>
    <w:uiPriority w:val="39"/>
    <w:unhideWhenUsed/>
    <w:rsid w:val="00962852"/>
    <w:pPr>
      <w:tabs>
        <w:tab w:val="clear" w:pos="567"/>
      </w:tabs>
      <w:spacing w:after="100"/>
      <w:ind w:left="240"/>
    </w:pPr>
  </w:style>
  <w:style w:type="paragraph" w:styleId="TOC3">
    <w:name w:val="toc 3"/>
    <w:basedOn w:val="Normal"/>
    <w:next w:val="Normal"/>
    <w:autoRedefine/>
    <w:unhideWhenUsed/>
    <w:rsid w:val="00962852"/>
    <w:pPr>
      <w:tabs>
        <w:tab w:val="clear" w:pos="567"/>
      </w:tabs>
      <w:spacing w:after="100"/>
      <w:ind w:left="480"/>
    </w:pPr>
  </w:style>
  <w:style w:type="character" w:customStyle="1" w:styleId="CGCParaNoChar">
    <w:name w:val="CGC Para No Char"/>
    <w:aliases w:val="CGC Numbered Para Char"/>
    <w:basedOn w:val="DefaultParagraphFont"/>
    <w:link w:val="CGCNumberedPara"/>
    <w:rsid w:val="00792F14"/>
    <w:rPr>
      <w:sz w:val="24"/>
      <w:szCs w:val="24"/>
    </w:rPr>
  </w:style>
  <w:style w:type="character" w:customStyle="1" w:styleId="CGCBulletlistChar">
    <w:name w:val="CGC Bullet list Char"/>
    <w:aliases w:val="CGC List 1 Char"/>
    <w:basedOn w:val="DefaultParagraphFont"/>
    <w:link w:val="CGCBulletlist"/>
    <w:locked/>
    <w:rsid w:val="00792F14"/>
    <w:rPr>
      <w:sz w:val="24"/>
      <w:szCs w:val="20"/>
    </w:rPr>
  </w:style>
  <w:style w:type="character" w:customStyle="1" w:styleId="CGCTableHeadingChar">
    <w:name w:val="CGC Table Heading Char"/>
    <w:basedOn w:val="DefaultParagraphFont"/>
    <w:link w:val="CGCTableHeading"/>
    <w:rsid w:val="007F10F1"/>
    <w:rPr>
      <w:b/>
      <w:sz w:val="24"/>
      <w:szCs w:val="20"/>
    </w:rPr>
  </w:style>
  <w:style w:type="character" w:customStyle="1" w:styleId="CGCTableFootnoteChar">
    <w:name w:val="CGC Table Footnote Char"/>
    <w:basedOn w:val="DefaultParagraphFont"/>
    <w:link w:val="CGCTableFootnote"/>
    <w:locked/>
    <w:rsid w:val="007F10F1"/>
    <w:rPr>
      <w:sz w:val="20"/>
      <w:szCs w:val="24"/>
    </w:rPr>
  </w:style>
  <w:style w:type="character" w:styleId="Emphasis">
    <w:name w:val="Emphasis"/>
    <w:basedOn w:val="DefaultParagraphFont"/>
    <w:uiPriority w:val="20"/>
    <w:qFormat/>
    <w:rsid w:val="00346D22"/>
    <w:rPr>
      <w:i/>
      <w:iCs/>
    </w:rPr>
  </w:style>
  <w:style w:type="paragraph" w:customStyle="1" w:styleId="TableRowNormal">
    <w:name w:val="TableRowNormal"/>
    <w:basedOn w:val="Normal"/>
    <w:link w:val="TableRowNormalChar"/>
    <w:rsid w:val="00AB1B27"/>
    <w:pPr>
      <w:keepNext/>
      <w:keepLines/>
      <w:tabs>
        <w:tab w:val="left" w:pos="475"/>
        <w:tab w:val="left" w:pos="1440"/>
        <w:tab w:val="left" w:pos="2160"/>
        <w:tab w:val="left" w:pos="2880"/>
      </w:tabs>
      <w:spacing w:before="60" w:after="60" w:line="200" w:lineRule="atLeast"/>
      <w:ind w:left="144" w:hanging="144"/>
      <w:jc w:val="right"/>
    </w:pPr>
    <w:rPr>
      <w:sz w:val="20"/>
      <w:szCs w:val="20"/>
    </w:rPr>
  </w:style>
  <w:style w:type="paragraph" w:customStyle="1" w:styleId="Single">
    <w:name w:val="Single"/>
    <w:basedOn w:val="Normal"/>
    <w:next w:val="CGCNumberedPara"/>
    <w:rsid w:val="00AB1B27"/>
    <w:pPr>
      <w:spacing w:after="0" w:line="240" w:lineRule="auto"/>
    </w:pPr>
  </w:style>
  <w:style w:type="paragraph" w:customStyle="1" w:styleId="TableColHeadings">
    <w:name w:val="TableColHeadings"/>
    <w:basedOn w:val="Normal"/>
    <w:rsid w:val="00AB1B27"/>
    <w:pPr>
      <w:keepNext/>
      <w:keepLines/>
      <w:tabs>
        <w:tab w:val="left" w:pos="475"/>
        <w:tab w:val="left" w:pos="1440"/>
        <w:tab w:val="left" w:pos="2160"/>
        <w:tab w:val="left" w:pos="2880"/>
      </w:tabs>
      <w:spacing w:before="60" w:after="60" w:line="240" w:lineRule="auto"/>
      <w:jc w:val="right"/>
    </w:pPr>
    <w:rPr>
      <w:sz w:val="20"/>
      <w:szCs w:val="20"/>
    </w:rPr>
  </w:style>
  <w:style w:type="paragraph" w:customStyle="1" w:styleId="TableRowUnits">
    <w:name w:val="TableRowUnits"/>
    <w:basedOn w:val="Normal"/>
    <w:rsid w:val="00AB1B27"/>
    <w:pPr>
      <w:keepNext/>
      <w:keepLines/>
      <w:tabs>
        <w:tab w:val="left" w:pos="475"/>
        <w:tab w:val="left" w:pos="1440"/>
        <w:tab w:val="left" w:pos="2160"/>
        <w:tab w:val="left" w:pos="2880"/>
      </w:tabs>
      <w:spacing w:after="0" w:line="240" w:lineRule="auto"/>
      <w:jc w:val="right"/>
    </w:pPr>
    <w:rPr>
      <w:sz w:val="20"/>
      <w:szCs w:val="20"/>
    </w:rPr>
  </w:style>
  <w:style w:type="character" w:customStyle="1" w:styleId="NoSpacingChar">
    <w:name w:val="No Spacing Char"/>
    <w:basedOn w:val="DefaultParagraphFont"/>
    <w:link w:val="NoSpacing"/>
    <w:uiPriority w:val="1"/>
    <w:rsid w:val="00AB1B27"/>
    <w:rPr>
      <w:sz w:val="24"/>
    </w:rPr>
  </w:style>
  <w:style w:type="character" w:customStyle="1" w:styleId="CGCBulletlistCharChar">
    <w:name w:val="CGC Bullet list Char Char"/>
    <w:rsid w:val="00654612"/>
    <w:rPr>
      <w:sz w:val="24"/>
      <w:szCs w:val="20"/>
    </w:rPr>
  </w:style>
  <w:style w:type="character" w:styleId="FootnoteReference">
    <w:name w:val="footnote reference"/>
    <w:basedOn w:val="DefaultParagraphFont"/>
    <w:unhideWhenUsed/>
    <w:rsid w:val="003F5D1C"/>
    <w:rPr>
      <w:vertAlign w:val="superscript"/>
    </w:rPr>
  </w:style>
  <w:style w:type="character" w:customStyle="1" w:styleId="CGCSubbulletlistChar">
    <w:name w:val="CGC Sub bullet list Char"/>
    <w:aliases w:val="CGC List 2 Char"/>
    <w:link w:val="CGCSubbulletlist"/>
    <w:rsid w:val="007C4E99"/>
    <w:rPr>
      <w:sz w:val="24"/>
      <w:szCs w:val="20"/>
    </w:rPr>
  </w:style>
  <w:style w:type="character" w:customStyle="1" w:styleId="TableRowNormalChar">
    <w:name w:val="TableRowNormal Char"/>
    <w:basedOn w:val="DefaultParagraphFont"/>
    <w:link w:val="TableRowNormal"/>
    <w:locked/>
    <w:rsid w:val="00E94FB3"/>
    <w:rPr>
      <w:sz w:val="20"/>
      <w:szCs w:val="20"/>
    </w:rPr>
  </w:style>
  <w:style w:type="paragraph" w:styleId="TOC4">
    <w:name w:val="toc 4"/>
    <w:basedOn w:val="Normal"/>
    <w:next w:val="Normal"/>
    <w:autoRedefine/>
    <w:unhideWhenUsed/>
    <w:rsid w:val="008F2312"/>
    <w:pPr>
      <w:tabs>
        <w:tab w:val="clear" w:pos="567"/>
      </w:tabs>
      <w:spacing w:after="100"/>
      <w:ind w:left="720"/>
    </w:pPr>
  </w:style>
  <w:style w:type="paragraph" w:styleId="TOC5">
    <w:name w:val="toc 5"/>
    <w:basedOn w:val="Normal"/>
    <w:next w:val="Normal"/>
    <w:autoRedefine/>
    <w:unhideWhenUsed/>
    <w:rsid w:val="008F2312"/>
    <w:pPr>
      <w:tabs>
        <w:tab w:val="clear" w:pos="567"/>
      </w:tabs>
      <w:spacing w:after="100"/>
      <w:ind w:left="960"/>
    </w:pPr>
  </w:style>
  <w:style w:type="paragraph" w:styleId="TOC6">
    <w:name w:val="toc 6"/>
    <w:basedOn w:val="Normal"/>
    <w:next w:val="Normal"/>
    <w:autoRedefine/>
    <w:unhideWhenUsed/>
    <w:rsid w:val="008F2312"/>
    <w:pPr>
      <w:tabs>
        <w:tab w:val="clear" w:pos="567"/>
      </w:tabs>
      <w:spacing w:after="100"/>
      <w:ind w:left="1200"/>
    </w:pPr>
  </w:style>
  <w:style w:type="paragraph" w:styleId="TOC7">
    <w:name w:val="toc 7"/>
    <w:basedOn w:val="Normal"/>
    <w:next w:val="Normal"/>
    <w:autoRedefine/>
    <w:unhideWhenUsed/>
    <w:rsid w:val="008F2312"/>
    <w:pPr>
      <w:tabs>
        <w:tab w:val="clear" w:pos="567"/>
      </w:tabs>
      <w:spacing w:after="100"/>
      <w:ind w:left="1440"/>
    </w:pPr>
  </w:style>
  <w:style w:type="paragraph" w:styleId="TOC8">
    <w:name w:val="toc 8"/>
    <w:basedOn w:val="Normal"/>
    <w:next w:val="Normal"/>
    <w:autoRedefine/>
    <w:unhideWhenUsed/>
    <w:rsid w:val="008F2312"/>
    <w:pPr>
      <w:tabs>
        <w:tab w:val="clear" w:pos="567"/>
      </w:tabs>
      <w:spacing w:after="100"/>
      <w:ind w:left="1680"/>
    </w:pPr>
  </w:style>
  <w:style w:type="paragraph" w:styleId="TOC9">
    <w:name w:val="toc 9"/>
    <w:basedOn w:val="Normal"/>
    <w:next w:val="Normal"/>
    <w:autoRedefine/>
    <w:unhideWhenUsed/>
    <w:rsid w:val="008F2312"/>
    <w:pPr>
      <w:tabs>
        <w:tab w:val="clear" w:pos="567"/>
      </w:tabs>
      <w:spacing w:after="100"/>
      <w:ind w:left="1920"/>
    </w:pPr>
  </w:style>
  <w:style w:type="character" w:customStyle="1" w:styleId="Heading8Char">
    <w:name w:val="Heading 8 Char"/>
    <w:aliases w:val="(Do not use) Char,(Sub-section Nos) Char"/>
    <w:basedOn w:val="DefaultParagraphFont"/>
    <w:link w:val="Heading8"/>
    <w:semiHidden/>
    <w:rsid w:val="001E4238"/>
    <w:rPr>
      <w:rFonts w:ascii="Arial" w:hAnsi="Arial"/>
      <w:i/>
      <w:sz w:val="20"/>
      <w:szCs w:val="20"/>
    </w:rPr>
  </w:style>
  <w:style w:type="character" w:customStyle="1" w:styleId="Heading9Char">
    <w:name w:val="Heading 9 Char"/>
    <w:aliases w:val="Heading 9 (Do not use) Char,(Subsubsection Nos) Char"/>
    <w:basedOn w:val="DefaultParagraphFont"/>
    <w:link w:val="Heading9"/>
    <w:semiHidden/>
    <w:rsid w:val="001E4238"/>
    <w:rPr>
      <w:rFonts w:ascii="Arial" w:hAnsi="Arial"/>
      <w:b/>
      <w:i/>
      <w:sz w:val="18"/>
      <w:szCs w:val="20"/>
    </w:rPr>
  </w:style>
  <w:style w:type="character" w:styleId="CommentReference">
    <w:name w:val="annotation reference"/>
    <w:basedOn w:val="DefaultParagraphFont"/>
    <w:rsid w:val="001E4238"/>
    <w:rPr>
      <w:sz w:val="16"/>
      <w:szCs w:val="16"/>
    </w:rPr>
  </w:style>
  <w:style w:type="paragraph" w:styleId="CommentText">
    <w:name w:val="annotation text"/>
    <w:basedOn w:val="Normal"/>
    <w:link w:val="CommentTextChar"/>
    <w:rsid w:val="001E4238"/>
    <w:rPr>
      <w:sz w:val="20"/>
      <w:szCs w:val="20"/>
    </w:rPr>
  </w:style>
  <w:style w:type="character" w:customStyle="1" w:styleId="CommentTextChar">
    <w:name w:val="Comment Text Char"/>
    <w:basedOn w:val="DefaultParagraphFont"/>
    <w:link w:val="CommentText"/>
    <w:rsid w:val="001E4238"/>
    <w:rPr>
      <w:sz w:val="20"/>
      <w:szCs w:val="20"/>
    </w:rPr>
  </w:style>
  <w:style w:type="paragraph" w:styleId="CommentSubject">
    <w:name w:val="annotation subject"/>
    <w:basedOn w:val="CommentText"/>
    <w:next w:val="CommentText"/>
    <w:link w:val="CommentSubjectChar"/>
    <w:rsid w:val="001E4238"/>
    <w:rPr>
      <w:b/>
      <w:bCs/>
    </w:rPr>
  </w:style>
  <w:style w:type="character" w:customStyle="1" w:styleId="CommentSubjectChar">
    <w:name w:val="Comment Subject Char"/>
    <w:basedOn w:val="CommentTextChar"/>
    <w:link w:val="CommentSubject"/>
    <w:rsid w:val="001E4238"/>
    <w:rPr>
      <w:b/>
      <w:bCs/>
      <w:sz w:val="20"/>
      <w:szCs w:val="20"/>
    </w:rPr>
  </w:style>
  <w:style w:type="paragraph" w:styleId="DocumentMap">
    <w:name w:val="Document Map"/>
    <w:basedOn w:val="Normal"/>
    <w:link w:val="DocumentMapChar"/>
    <w:rsid w:val="001E42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1E4238"/>
    <w:rPr>
      <w:rFonts w:ascii="Tahoma" w:hAnsi="Tahoma" w:cs="Tahoma"/>
      <w:sz w:val="20"/>
      <w:szCs w:val="20"/>
      <w:shd w:val="clear" w:color="auto" w:fill="000080"/>
    </w:rPr>
  </w:style>
  <w:style w:type="character" w:styleId="EndnoteReference">
    <w:name w:val="endnote reference"/>
    <w:basedOn w:val="DefaultParagraphFont"/>
    <w:rsid w:val="001E4238"/>
    <w:rPr>
      <w:vertAlign w:val="superscript"/>
    </w:rPr>
  </w:style>
  <w:style w:type="paragraph" w:styleId="EndnoteText">
    <w:name w:val="endnote text"/>
    <w:basedOn w:val="Normal"/>
    <w:link w:val="EndnoteTextChar"/>
    <w:rsid w:val="001E4238"/>
    <w:rPr>
      <w:sz w:val="20"/>
      <w:szCs w:val="20"/>
    </w:rPr>
  </w:style>
  <w:style w:type="character" w:customStyle="1" w:styleId="EndnoteTextChar">
    <w:name w:val="Endnote Text Char"/>
    <w:basedOn w:val="DefaultParagraphFont"/>
    <w:link w:val="EndnoteText"/>
    <w:rsid w:val="001E4238"/>
    <w:rPr>
      <w:sz w:val="20"/>
      <w:szCs w:val="20"/>
    </w:rPr>
  </w:style>
  <w:style w:type="paragraph" w:styleId="Index1">
    <w:name w:val="index 1"/>
    <w:basedOn w:val="Normal"/>
    <w:rsid w:val="001E4238"/>
  </w:style>
  <w:style w:type="paragraph" w:styleId="Index2">
    <w:name w:val="index 2"/>
    <w:basedOn w:val="Normal"/>
    <w:next w:val="Index1"/>
    <w:rsid w:val="001E4238"/>
    <w:pPr>
      <w:ind w:left="284"/>
    </w:pPr>
  </w:style>
  <w:style w:type="paragraph" w:styleId="Index3">
    <w:name w:val="index 3"/>
    <w:basedOn w:val="Normal"/>
    <w:next w:val="Index1"/>
    <w:rsid w:val="001E4238"/>
    <w:pPr>
      <w:ind w:left="567"/>
    </w:pPr>
  </w:style>
  <w:style w:type="paragraph" w:styleId="Index4">
    <w:name w:val="index 4"/>
    <w:basedOn w:val="Normal"/>
    <w:next w:val="Normal"/>
    <w:rsid w:val="001E4238"/>
    <w:pPr>
      <w:ind w:left="880" w:hanging="220"/>
    </w:pPr>
  </w:style>
  <w:style w:type="paragraph" w:styleId="Index5">
    <w:name w:val="index 5"/>
    <w:basedOn w:val="Normal"/>
    <w:next w:val="Normal"/>
    <w:rsid w:val="001E4238"/>
    <w:pPr>
      <w:ind w:left="1100" w:hanging="220"/>
    </w:pPr>
  </w:style>
  <w:style w:type="paragraph" w:styleId="Index6">
    <w:name w:val="index 6"/>
    <w:basedOn w:val="Normal"/>
    <w:next w:val="Normal"/>
    <w:rsid w:val="001E4238"/>
    <w:pPr>
      <w:ind w:left="1320" w:hanging="220"/>
    </w:pPr>
  </w:style>
  <w:style w:type="paragraph" w:styleId="Index7">
    <w:name w:val="index 7"/>
    <w:basedOn w:val="Normal"/>
    <w:next w:val="Normal"/>
    <w:rsid w:val="001E4238"/>
    <w:pPr>
      <w:ind w:left="1540" w:hanging="220"/>
    </w:pPr>
  </w:style>
  <w:style w:type="paragraph" w:styleId="Index8">
    <w:name w:val="index 8"/>
    <w:basedOn w:val="Normal"/>
    <w:next w:val="Normal"/>
    <w:rsid w:val="001E4238"/>
    <w:pPr>
      <w:ind w:left="1760" w:hanging="220"/>
    </w:pPr>
  </w:style>
  <w:style w:type="paragraph" w:styleId="Index9">
    <w:name w:val="index 9"/>
    <w:basedOn w:val="Normal"/>
    <w:next w:val="Normal"/>
    <w:rsid w:val="001E4238"/>
    <w:pPr>
      <w:ind w:left="1980" w:hanging="220"/>
    </w:pPr>
  </w:style>
  <w:style w:type="paragraph" w:styleId="IndexHeading">
    <w:name w:val="index heading"/>
    <w:basedOn w:val="Normal"/>
    <w:next w:val="Index1"/>
    <w:rsid w:val="001E4238"/>
  </w:style>
  <w:style w:type="paragraph" w:styleId="List">
    <w:name w:val="List"/>
    <w:basedOn w:val="Normal"/>
    <w:rsid w:val="001E4238"/>
    <w:pPr>
      <w:spacing w:line="300" w:lineRule="atLeast"/>
    </w:pPr>
  </w:style>
  <w:style w:type="paragraph" w:styleId="MacroText">
    <w:name w:val="macro"/>
    <w:link w:val="MacroTextChar"/>
    <w:rsid w:val="001E423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1E4238"/>
    <w:rPr>
      <w:rFonts w:ascii="Courier New" w:hAnsi="Courier New" w:cs="Courier New"/>
    </w:rPr>
  </w:style>
  <w:style w:type="character" w:styleId="PageNumber">
    <w:name w:val="page number"/>
    <w:basedOn w:val="DefaultParagraphFont"/>
    <w:rsid w:val="001E4238"/>
  </w:style>
  <w:style w:type="paragraph" w:styleId="TableofAuthorities">
    <w:name w:val="table of authorities"/>
    <w:basedOn w:val="Normal"/>
    <w:next w:val="Normal"/>
    <w:rsid w:val="001E4238"/>
    <w:pPr>
      <w:tabs>
        <w:tab w:val="clear" w:pos="567"/>
      </w:tabs>
      <w:ind w:left="220" w:hanging="220"/>
    </w:pPr>
  </w:style>
  <w:style w:type="paragraph" w:styleId="TableofFigures">
    <w:name w:val="table of figures"/>
    <w:basedOn w:val="Normal"/>
    <w:next w:val="Normal"/>
    <w:rsid w:val="001E4238"/>
    <w:pPr>
      <w:tabs>
        <w:tab w:val="clear" w:pos="567"/>
      </w:tabs>
    </w:pPr>
  </w:style>
  <w:style w:type="paragraph" w:styleId="TOAHeading">
    <w:name w:val="toa heading"/>
    <w:basedOn w:val="Normal"/>
    <w:next w:val="Normal"/>
    <w:rsid w:val="001E4238"/>
    <w:pPr>
      <w:spacing w:before="120"/>
    </w:pPr>
    <w:rPr>
      <w:rFonts w:cs="Arial"/>
      <w:b/>
      <w:bCs/>
    </w:rPr>
  </w:style>
  <w:style w:type="paragraph" w:styleId="TOCHeading">
    <w:name w:val="TOC Heading"/>
    <w:basedOn w:val="Heading1"/>
    <w:next w:val="Normal"/>
    <w:uiPriority w:val="39"/>
    <w:semiHidden/>
    <w:unhideWhenUsed/>
    <w:qFormat/>
    <w:rsid w:val="001E4238"/>
    <w:pPr>
      <w:keepLines/>
      <w:pBdr>
        <w:bottom w:val="none" w:sz="0" w:space="0" w:color="auto"/>
      </w:pBdr>
      <w:spacing w:before="480" w:line="320" w:lineRule="atLeast"/>
      <w:outlineLvl w:val="9"/>
    </w:pPr>
    <w:rPr>
      <w:rFonts w:asciiTheme="majorHAnsi" w:hAnsiTheme="majorHAnsi"/>
      <w:caps w:val="0"/>
      <w:color w:val="365F91" w:themeColor="accent1" w:themeShade="BF"/>
      <w:sz w:val="28"/>
    </w:rPr>
  </w:style>
  <w:style w:type="character" w:styleId="PlaceholderText">
    <w:name w:val="Placeholder Text"/>
    <w:basedOn w:val="DefaultParagraphFont"/>
    <w:uiPriority w:val="99"/>
    <w:semiHidden/>
    <w:rsid w:val="001E4238"/>
    <w:rPr>
      <w:color w:val="808080"/>
    </w:rPr>
  </w:style>
  <w:style w:type="paragraph" w:styleId="Title">
    <w:name w:val="Title"/>
    <w:basedOn w:val="Normal"/>
    <w:next w:val="Normal"/>
    <w:link w:val="TitleChar"/>
    <w:uiPriority w:val="10"/>
    <w:qFormat/>
    <w:rsid w:val="00301269"/>
    <w:pPr>
      <w:pBdr>
        <w:bottom w:val="single" w:sz="8" w:space="4" w:color="4F81BD" w:themeColor="accent1"/>
      </w:pBdr>
      <w:tabs>
        <w:tab w:val="clear" w:pos="567"/>
      </w:tabs>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uiPriority w:val="10"/>
    <w:rsid w:val="00301269"/>
    <w:rPr>
      <w:rFonts w:asciiTheme="majorHAnsi" w:eastAsiaTheme="majorEastAsia" w:hAnsiTheme="majorHAnsi" w:cstheme="majorBidi"/>
      <w:color w:val="17365D" w:themeColor="text2" w:themeShade="BF"/>
      <w:spacing w:val="5"/>
      <w:kern w:val="28"/>
      <w:sz w:val="52"/>
      <w:szCs w:val="52"/>
      <w:lang w:eastAsia="zh-CN"/>
    </w:rPr>
  </w:style>
  <w:style w:type="paragraph" w:styleId="Subtitle">
    <w:name w:val="Subtitle"/>
    <w:basedOn w:val="Normal"/>
    <w:next w:val="Normal"/>
    <w:link w:val="SubtitleChar"/>
    <w:uiPriority w:val="11"/>
    <w:qFormat/>
    <w:rsid w:val="00301269"/>
    <w:pPr>
      <w:numPr>
        <w:ilvl w:val="1"/>
      </w:numPr>
      <w:tabs>
        <w:tab w:val="clear" w:pos="567"/>
      </w:tabs>
      <w:spacing w:after="200" w:line="276" w:lineRule="auto"/>
    </w:pPr>
    <w:rPr>
      <w:rFonts w:asciiTheme="majorHAnsi" w:eastAsiaTheme="majorEastAsia" w:hAnsiTheme="majorHAnsi" w:cstheme="majorBidi"/>
      <w:i/>
      <w:iCs/>
      <w:color w:val="4F81BD" w:themeColor="accent1"/>
      <w:spacing w:val="15"/>
      <w:szCs w:val="24"/>
      <w:lang w:eastAsia="zh-CN"/>
    </w:rPr>
  </w:style>
  <w:style w:type="character" w:customStyle="1" w:styleId="SubtitleChar">
    <w:name w:val="Subtitle Char"/>
    <w:basedOn w:val="DefaultParagraphFont"/>
    <w:link w:val="Subtitle"/>
    <w:uiPriority w:val="11"/>
    <w:rsid w:val="00301269"/>
    <w:rPr>
      <w:rFonts w:asciiTheme="majorHAnsi" w:eastAsiaTheme="majorEastAsia" w:hAnsiTheme="majorHAnsi" w:cstheme="majorBidi"/>
      <w:i/>
      <w:iCs/>
      <w:color w:val="4F81BD" w:themeColor="accent1"/>
      <w:spacing w:val="15"/>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7329">
      <w:bodyDiv w:val="1"/>
      <w:marLeft w:val="0"/>
      <w:marRight w:val="0"/>
      <w:marTop w:val="0"/>
      <w:marBottom w:val="0"/>
      <w:divBdr>
        <w:top w:val="none" w:sz="0" w:space="0" w:color="auto"/>
        <w:left w:val="none" w:sz="0" w:space="0" w:color="auto"/>
        <w:bottom w:val="none" w:sz="0" w:space="0" w:color="auto"/>
        <w:right w:val="none" w:sz="0" w:space="0" w:color="auto"/>
      </w:divBdr>
    </w:div>
    <w:div w:id="222255825">
      <w:bodyDiv w:val="1"/>
      <w:marLeft w:val="0"/>
      <w:marRight w:val="0"/>
      <w:marTop w:val="0"/>
      <w:marBottom w:val="0"/>
      <w:divBdr>
        <w:top w:val="none" w:sz="0" w:space="0" w:color="auto"/>
        <w:left w:val="none" w:sz="0" w:space="0" w:color="auto"/>
        <w:bottom w:val="none" w:sz="0" w:space="0" w:color="auto"/>
        <w:right w:val="none" w:sz="0" w:space="0" w:color="auto"/>
      </w:divBdr>
    </w:div>
    <w:div w:id="292951602">
      <w:bodyDiv w:val="1"/>
      <w:marLeft w:val="0"/>
      <w:marRight w:val="0"/>
      <w:marTop w:val="0"/>
      <w:marBottom w:val="0"/>
      <w:divBdr>
        <w:top w:val="none" w:sz="0" w:space="0" w:color="auto"/>
        <w:left w:val="none" w:sz="0" w:space="0" w:color="auto"/>
        <w:bottom w:val="none" w:sz="0" w:space="0" w:color="auto"/>
        <w:right w:val="none" w:sz="0" w:space="0" w:color="auto"/>
      </w:divBdr>
    </w:div>
    <w:div w:id="423303527">
      <w:bodyDiv w:val="1"/>
      <w:marLeft w:val="0"/>
      <w:marRight w:val="0"/>
      <w:marTop w:val="0"/>
      <w:marBottom w:val="0"/>
      <w:divBdr>
        <w:top w:val="none" w:sz="0" w:space="0" w:color="auto"/>
        <w:left w:val="none" w:sz="0" w:space="0" w:color="auto"/>
        <w:bottom w:val="none" w:sz="0" w:space="0" w:color="auto"/>
        <w:right w:val="none" w:sz="0" w:space="0" w:color="auto"/>
      </w:divBdr>
    </w:div>
    <w:div w:id="488911003">
      <w:bodyDiv w:val="1"/>
      <w:marLeft w:val="0"/>
      <w:marRight w:val="0"/>
      <w:marTop w:val="0"/>
      <w:marBottom w:val="0"/>
      <w:divBdr>
        <w:top w:val="none" w:sz="0" w:space="0" w:color="auto"/>
        <w:left w:val="none" w:sz="0" w:space="0" w:color="auto"/>
        <w:bottom w:val="none" w:sz="0" w:space="0" w:color="auto"/>
        <w:right w:val="none" w:sz="0" w:space="0" w:color="auto"/>
      </w:divBdr>
    </w:div>
    <w:div w:id="519467711">
      <w:bodyDiv w:val="1"/>
      <w:marLeft w:val="0"/>
      <w:marRight w:val="0"/>
      <w:marTop w:val="0"/>
      <w:marBottom w:val="0"/>
      <w:divBdr>
        <w:top w:val="none" w:sz="0" w:space="0" w:color="auto"/>
        <w:left w:val="none" w:sz="0" w:space="0" w:color="auto"/>
        <w:bottom w:val="none" w:sz="0" w:space="0" w:color="auto"/>
        <w:right w:val="none" w:sz="0" w:space="0" w:color="auto"/>
      </w:divBdr>
    </w:div>
    <w:div w:id="574778532">
      <w:bodyDiv w:val="1"/>
      <w:marLeft w:val="0"/>
      <w:marRight w:val="0"/>
      <w:marTop w:val="0"/>
      <w:marBottom w:val="0"/>
      <w:divBdr>
        <w:top w:val="none" w:sz="0" w:space="0" w:color="auto"/>
        <w:left w:val="none" w:sz="0" w:space="0" w:color="auto"/>
        <w:bottom w:val="none" w:sz="0" w:space="0" w:color="auto"/>
        <w:right w:val="none" w:sz="0" w:space="0" w:color="auto"/>
      </w:divBdr>
    </w:div>
    <w:div w:id="687145818">
      <w:bodyDiv w:val="1"/>
      <w:marLeft w:val="0"/>
      <w:marRight w:val="0"/>
      <w:marTop w:val="0"/>
      <w:marBottom w:val="0"/>
      <w:divBdr>
        <w:top w:val="none" w:sz="0" w:space="0" w:color="auto"/>
        <w:left w:val="none" w:sz="0" w:space="0" w:color="auto"/>
        <w:bottom w:val="none" w:sz="0" w:space="0" w:color="auto"/>
        <w:right w:val="none" w:sz="0" w:space="0" w:color="auto"/>
      </w:divBdr>
    </w:div>
    <w:div w:id="784036037">
      <w:bodyDiv w:val="1"/>
      <w:marLeft w:val="0"/>
      <w:marRight w:val="0"/>
      <w:marTop w:val="0"/>
      <w:marBottom w:val="0"/>
      <w:divBdr>
        <w:top w:val="none" w:sz="0" w:space="0" w:color="auto"/>
        <w:left w:val="none" w:sz="0" w:space="0" w:color="auto"/>
        <w:bottom w:val="none" w:sz="0" w:space="0" w:color="auto"/>
        <w:right w:val="none" w:sz="0" w:space="0" w:color="auto"/>
      </w:divBdr>
    </w:div>
    <w:div w:id="851459977">
      <w:bodyDiv w:val="1"/>
      <w:marLeft w:val="0"/>
      <w:marRight w:val="0"/>
      <w:marTop w:val="0"/>
      <w:marBottom w:val="0"/>
      <w:divBdr>
        <w:top w:val="none" w:sz="0" w:space="0" w:color="auto"/>
        <w:left w:val="none" w:sz="0" w:space="0" w:color="auto"/>
        <w:bottom w:val="none" w:sz="0" w:space="0" w:color="auto"/>
        <w:right w:val="none" w:sz="0" w:space="0" w:color="auto"/>
      </w:divBdr>
    </w:div>
    <w:div w:id="977146648">
      <w:bodyDiv w:val="1"/>
      <w:marLeft w:val="0"/>
      <w:marRight w:val="0"/>
      <w:marTop w:val="0"/>
      <w:marBottom w:val="0"/>
      <w:divBdr>
        <w:top w:val="none" w:sz="0" w:space="0" w:color="auto"/>
        <w:left w:val="none" w:sz="0" w:space="0" w:color="auto"/>
        <w:bottom w:val="none" w:sz="0" w:space="0" w:color="auto"/>
        <w:right w:val="none" w:sz="0" w:space="0" w:color="auto"/>
      </w:divBdr>
    </w:div>
    <w:div w:id="1055589968">
      <w:bodyDiv w:val="1"/>
      <w:marLeft w:val="0"/>
      <w:marRight w:val="0"/>
      <w:marTop w:val="0"/>
      <w:marBottom w:val="0"/>
      <w:divBdr>
        <w:top w:val="none" w:sz="0" w:space="0" w:color="auto"/>
        <w:left w:val="none" w:sz="0" w:space="0" w:color="auto"/>
        <w:bottom w:val="none" w:sz="0" w:space="0" w:color="auto"/>
        <w:right w:val="none" w:sz="0" w:space="0" w:color="auto"/>
      </w:divBdr>
    </w:div>
    <w:div w:id="1076317459">
      <w:bodyDiv w:val="1"/>
      <w:marLeft w:val="0"/>
      <w:marRight w:val="0"/>
      <w:marTop w:val="0"/>
      <w:marBottom w:val="0"/>
      <w:divBdr>
        <w:top w:val="none" w:sz="0" w:space="0" w:color="auto"/>
        <w:left w:val="none" w:sz="0" w:space="0" w:color="auto"/>
        <w:bottom w:val="none" w:sz="0" w:space="0" w:color="auto"/>
        <w:right w:val="none" w:sz="0" w:space="0" w:color="auto"/>
      </w:divBdr>
    </w:div>
    <w:div w:id="1103501618">
      <w:bodyDiv w:val="1"/>
      <w:marLeft w:val="0"/>
      <w:marRight w:val="0"/>
      <w:marTop w:val="0"/>
      <w:marBottom w:val="0"/>
      <w:divBdr>
        <w:top w:val="none" w:sz="0" w:space="0" w:color="auto"/>
        <w:left w:val="none" w:sz="0" w:space="0" w:color="auto"/>
        <w:bottom w:val="none" w:sz="0" w:space="0" w:color="auto"/>
        <w:right w:val="none" w:sz="0" w:space="0" w:color="auto"/>
      </w:divBdr>
    </w:div>
    <w:div w:id="1216233077">
      <w:bodyDiv w:val="1"/>
      <w:marLeft w:val="0"/>
      <w:marRight w:val="0"/>
      <w:marTop w:val="0"/>
      <w:marBottom w:val="0"/>
      <w:divBdr>
        <w:top w:val="none" w:sz="0" w:space="0" w:color="auto"/>
        <w:left w:val="none" w:sz="0" w:space="0" w:color="auto"/>
        <w:bottom w:val="none" w:sz="0" w:space="0" w:color="auto"/>
        <w:right w:val="none" w:sz="0" w:space="0" w:color="auto"/>
      </w:divBdr>
      <w:divsChild>
        <w:div w:id="1637099975">
          <w:marLeft w:val="0"/>
          <w:marRight w:val="0"/>
          <w:marTop w:val="0"/>
          <w:marBottom w:val="0"/>
          <w:divBdr>
            <w:top w:val="none" w:sz="0" w:space="0" w:color="auto"/>
            <w:left w:val="none" w:sz="0" w:space="0" w:color="auto"/>
            <w:bottom w:val="none" w:sz="0" w:space="0" w:color="auto"/>
            <w:right w:val="none" w:sz="0" w:space="0" w:color="auto"/>
          </w:divBdr>
          <w:divsChild>
            <w:div w:id="235825485">
              <w:marLeft w:val="0"/>
              <w:marRight w:val="0"/>
              <w:marTop w:val="0"/>
              <w:marBottom w:val="0"/>
              <w:divBdr>
                <w:top w:val="none" w:sz="0" w:space="0" w:color="auto"/>
                <w:left w:val="none" w:sz="0" w:space="0" w:color="auto"/>
                <w:bottom w:val="none" w:sz="0" w:space="0" w:color="auto"/>
                <w:right w:val="none" w:sz="0" w:space="0" w:color="auto"/>
              </w:divBdr>
              <w:divsChild>
                <w:div w:id="283852761">
                  <w:marLeft w:val="36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00762078">
      <w:bodyDiv w:val="1"/>
      <w:marLeft w:val="0"/>
      <w:marRight w:val="0"/>
      <w:marTop w:val="0"/>
      <w:marBottom w:val="0"/>
      <w:divBdr>
        <w:top w:val="none" w:sz="0" w:space="0" w:color="auto"/>
        <w:left w:val="none" w:sz="0" w:space="0" w:color="auto"/>
        <w:bottom w:val="none" w:sz="0" w:space="0" w:color="auto"/>
        <w:right w:val="none" w:sz="0" w:space="0" w:color="auto"/>
      </w:divBdr>
    </w:div>
    <w:div w:id="1376349363">
      <w:bodyDiv w:val="1"/>
      <w:marLeft w:val="0"/>
      <w:marRight w:val="0"/>
      <w:marTop w:val="0"/>
      <w:marBottom w:val="0"/>
      <w:divBdr>
        <w:top w:val="none" w:sz="0" w:space="0" w:color="auto"/>
        <w:left w:val="none" w:sz="0" w:space="0" w:color="auto"/>
        <w:bottom w:val="none" w:sz="0" w:space="0" w:color="auto"/>
        <w:right w:val="none" w:sz="0" w:space="0" w:color="auto"/>
      </w:divBdr>
    </w:div>
    <w:div w:id="1422533166">
      <w:bodyDiv w:val="1"/>
      <w:marLeft w:val="0"/>
      <w:marRight w:val="0"/>
      <w:marTop w:val="0"/>
      <w:marBottom w:val="0"/>
      <w:divBdr>
        <w:top w:val="none" w:sz="0" w:space="0" w:color="auto"/>
        <w:left w:val="none" w:sz="0" w:space="0" w:color="auto"/>
        <w:bottom w:val="none" w:sz="0" w:space="0" w:color="auto"/>
        <w:right w:val="none" w:sz="0" w:space="0" w:color="auto"/>
      </w:divBdr>
    </w:div>
    <w:div w:id="1593588281">
      <w:bodyDiv w:val="1"/>
      <w:marLeft w:val="0"/>
      <w:marRight w:val="0"/>
      <w:marTop w:val="0"/>
      <w:marBottom w:val="0"/>
      <w:divBdr>
        <w:top w:val="none" w:sz="0" w:space="0" w:color="auto"/>
        <w:left w:val="none" w:sz="0" w:space="0" w:color="auto"/>
        <w:bottom w:val="none" w:sz="0" w:space="0" w:color="auto"/>
        <w:right w:val="none" w:sz="0" w:space="0" w:color="auto"/>
      </w:divBdr>
    </w:div>
    <w:div w:id="1822386644">
      <w:bodyDiv w:val="1"/>
      <w:marLeft w:val="0"/>
      <w:marRight w:val="0"/>
      <w:marTop w:val="0"/>
      <w:marBottom w:val="0"/>
      <w:divBdr>
        <w:top w:val="none" w:sz="0" w:space="0" w:color="auto"/>
        <w:left w:val="none" w:sz="0" w:space="0" w:color="auto"/>
        <w:bottom w:val="none" w:sz="0" w:space="0" w:color="auto"/>
        <w:right w:val="none" w:sz="0" w:space="0" w:color="auto"/>
      </w:divBdr>
    </w:div>
    <w:div w:id="1899975241">
      <w:bodyDiv w:val="1"/>
      <w:marLeft w:val="0"/>
      <w:marRight w:val="0"/>
      <w:marTop w:val="0"/>
      <w:marBottom w:val="0"/>
      <w:divBdr>
        <w:top w:val="none" w:sz="0" w:space="0" w:color="auto"/>
        <w:left w:val="none" w:sz="0" w:space="0" w:color="auto"/>
        <w:bottom w:val="none" w:sz="0" w:space="0" w:color="auto"/>
        <w:right w:val="none" w:sz="0" w:space="0" w:color="auto"/>
      </w:divBdr>
    </w:div>
    <w:div w:id="20141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 TargetMode="External"/><Relationship Id="rId18" Type="http://schemas.openxmlformats.org/officeDocument/2006/relationships/hyperlink" Target="mailto:Priscilla.kan@cgc.gov.au"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secretary@cgc.gov.au"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y@cgc.gov.a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yperlink" Target="mailto:priscilla.kan@cgc.gov.au" TargetMode="Externa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cna01\ODrive\Word%20Templates\Official%20Template\Document%20Templates\Agenda%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208E8-6B54-469A-A5AB-399CEEFB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Paper.dotx</Template>
  <TotalTime>2789</TotalTime>
  <Pages>39</Pages>
  <Words>10560</Words>
  <Characters>60196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Yuhua Shi</dc:creator>
  <cp:lastModifiedBy>Jenny Connolly</cp:lastModifiedBy>
  <cp:revision>161</cp:revision>
  <cp:lastPrinted>2014-08-20T06:55:00Z</cp:lastPrinted>
  <dcterms:created xsi:type="dcterms:W3CDTF">2014-07-31T05:35:00Z</dcterms:created>
  <dcterms:modified xsi:type="dcterms:W3CDTF">2014-08-20T06:55:00Z</dcterms:modified>
</cp:coreProperties>
</file>