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4D" w:rsidRPr="00970E6D" w:rsidRDefault="00BE794D" w:rsidP="00BE794D">
      <w:pPr>
        <w:tabs>
          <w:tab w:val="clear" w:pos="567"/>
        </w:tabs>
        <w:jc w:val="center"/>
        <w:rPr>
          <w:b/>
          <w:bCs/>
        </w:rPr>
      </w:pPr>
      <w:bookmarkStart w:id="0" w:name="_Toc106707122"/>
      <w:bookmarkStart w:id="1" w:name="_Toc155675722"/>
      <w:bookmarkStart w:id="2" w:name="_Toc155675934"/>
      <w:bookmarkStart w:id="3" w:name="_Toc155675975"/>
      <w:bookmarkStart w:id="4" w:name="_Toc155676245"/>
      <w:bookmarkStart w:id="5" w:name="_Toc174415768"/>
      <w:bookmarkStart w:id="6" w:name="_GoBack"/>
      <w:bookmarkEnd w:id="6"/>
      <w:r w:rsidRPr="00970E6D">
        <w:rPr>
          <w:noProof/>
          <w:lang w:eastAsia="en-AU"/>
        </w:rPr>
        <w:drawing>
          <wp:inline distT="0" distB="0" distL="0" distR="0" wp14:anchorId="196D04E6" wp14:editId="0661AD1F">
            <wp:extent cx="2933700" cy="1524600"/>
            <wp:effectExtent l="19050" t="0" r="0" b="0"/>
            <wp:docPr id="1" name="Picture 1" descr="Commonwealth Gran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C_stackedstrip"/>
                    <pic:cNvPicPr>
                      <a:picLocks noChangeAspect="1" noChangeArrowheads="1"/>
                    </pic:cNvPicPr>
                  </pic:nvPicPr>
                  <pic:blipFill>
                    <a:blip r:embed="rId9" cstate="print"/>
                    <a:srcRect/>
                    <a:stretch>
                      <a:fillRect/>
                    </a:stretch>
                  </pic:blipFill>
                  <pic:spPr bwMode="auto">
                    <a:xfrm>
                      <a:off x="0" y="0"/>
                      <a:ext cx="2933700" cy="1524600"/>
                    </a:xfrm>
                    <a:prstGeom prst="rect">
                      <a:avLst/>
                    </a:prstGeom>
                    <a:noFill/>
                    <a:ln w="9525">
                      <a:noFill/>
                      <a:miter lim="800000"/>
                      <a:headEnd/>
                      <a:tailEnd/>
                    </a:ln>
                  </pic:spPr>
                </pic:pic>
              </a:graphicData>
            </a:graphic>
          </wp:inline>
        </w:drawing>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r w:rsidRPr="00970E6D">
        <w:rPr>
          <w:b/>
          <w:sz w:val="40"/>
          <w:szCs w:val="40"/>
        </w:rPr>
        <w:t>20</w:t>
      </w:r>
      <w:r w:rsidR="008B7893">
        <w:rPr>
          <w:b/>
          <w:sz w:val="40"/>
          <w:szCs w:val="40"/>
        </w:rPr>
        <w:t>15</w:t>
      </w:r>
      <w:r w:rsidRPr="00970E6D">
        <w:rPr>
          <w:b/>
          <w:sz w:val="40"/>
          <w:szCs w:val="40"/>
        </w:rPr>
        <w:t xml:space="preserve"> UPDATE / 2015 REVIEW</w:t>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8B7893" w:rsidP="00BE794D">
      <w:pPr>
        <w:tabs>
          <w:tab w:val="clear" w:pos="567"/>
        </w:tabs>
        <w:jc w:val="center"/>
        <w:rPr>
          <w:bCs/>
          <w:sz w:val="40"/>
          <w:szCs w:val="40"/>
        </w:rPr>
      </w:pPr>
      <w:r w:rsidRPr="008B7893">
        <w:rPr>
          <w:b/>
          <w:sz w:val="40"/>
          <w:szCs w:val="40"/>
        </w:rPr>
        <w:t>MAIN METHOD CHANGES SINCE THE DRAFT REPORT</w:t>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r w:rsidRPr="00970E6D">
        <w:rPr>
          <w:b/>
          <w:sz w:val="40"/>
          <w:szCs w:val="40"/>
        </w:rPr>
        <w:t xml:space="preserve">STAFF </w:t>
      </w:r>
      <w:r w:rsidR="008B7893">
        <w:rPr>
          <w:b/>
          <w:sz w:val="40"/>
          <w:szCs w:val="40"/>
        </w:rPr>
        <w:t xml:space="preserve">INFORMATION </w:t>
      </w:r>
      <w:r w:rsidRPr="00970E6D">
        <w:rPr>
          <w:b/>
          <w:sz w:val="40"/>
          <w:szCs w:val="40"/>
        </w:rPr>
        <w:t>PAPER</w:t>
      </w:r>
      <w:r w:rsidRPr="00970E6D">
        <w:rPr>
          <w:b/>
          <w:sz w:val="40"/>
          <w:szCs w:val="40"/>
        </w:rPr>
        <w:br/>
        <w:t>CGC 20</w:t>
      </w:r>
      <w:r w:rsidR="008B7893">
        <w:rPr>
          <w:b/>
          <w:sz w:val="40"/>
          <w:szCs w:val="40"/>
        </w:rPr>
        <w:t>15</w:t>
      </w:r>
      <w:r w:rsidRPr="00970E6D">
        <w:rPr>
          <w:b/>
          <w:sz w:val="40"/>
          <w:szCs w:val="40"/>
        </w:rPr>
        <w:t>-</w:t>
      </w:r>
      <w:r w:rsidR="008B7893">
        <w:rPr>
          <w:b/>
          <w:sz w:val="40"/>
          <w:szCs w:val="40"/>
        </w:rPr>
        <w:t>01-S</w:t>
      </w: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b/>
          <w:sz w:val="40"/>
          <w:szCs w:val="40"/>
        </w:rPr>
      </w:pPr>
    </w:p>
    <w:p w:rsidR="00BE794D" w:rsidRPr="00970E6D" w:rsidRDefault="00BE794D" w:rsidP="00BE794D">
      <w:pPr>
        <w:tabs>
          <w:tab w:val="clear" w:pos="567"/>
        </w:tabs>
        <w:jc w:val="center"/>
        <w:rPr>
          <w:sz w:val="40"/>
          <w:szCs w:val="40"/>
        </w:rPr>
      </w:pPr>
    </w:p>
    <w:p w:rsidR="00BE794D" w:rsidRPr="00970E6D" w:rsidRDefault="008B7893" w:rsidP="00BE794D">
      <w:pPr>
        <w:tabs>
          <w:tab w:val="clear" w:pos="567"/>
        </w:tabs>
        <w:jc w:val="right"/>
        <w:rPr>
          <w:b/>
          <w:sz w:val="28"/>
          <w:szCs w:val="28"/>
        </w:rPr>
      </w:pPr>
      <w:r>
        <w:rPr>
          <w:b/>
          <w:sz w:val="28"/>
          <w:szCs w:val="28"/>
        </w:rPr>
        <w:t>MARCH 2015</w:t>
      </w:r>
    </w:p>
    <w:p w:rsidR="00BE794D" w:rsidRPr="00970E6D" w:rsidRDefault="00BE794D" w:rsidP="00BE794D">
      <w:pPr>
        <w:tabs>
          <w:tab w:val="clear" w:pos="567"/>
        </w:tabs>
      </w:pPr>
    </w:p>
    <w:p w:rsidR="00BE794D" w:rsidRPr="00970E6D" w:rsidRDefault="00BE794D" w:rsidP="00BE794D">
      <w:pPr>
        <w:tabs>
          <w:tab w:val="clear" w:pos="567"/>
        </w:tabs>
        <w:sectPr w:rsidR="00BE794D" w:rsidRPr="00970E6D" w:rsidSect="00E101D4">
          <w:footerReference w:type="default" r:id="rId10"/>
          <w:footerReference w:type="first" r:id="rId11"/>
          <w:pgSz w:w="11899" w:h="16838" w:code="9"/>
          <w:pgMar w:top="1701" w:right="1474" w:bottom="1701" w:left="1474" w:header="709" w:footer="709" w:gutter="0"/>
          <w:cols w:space="708"/>
          <w:titlePg/>
          <w:docGrid w:linePitch="299"/>
        </w:sectPr>
      </w:pPr>
    </w:p>
    <w:bookmarkEnd w:id="0"/>
    <w:bookmarkEnd w:id="1"/>
    <w:bookmarkEnd w:id="2"/>
    <w:bookmarkEnd w:id="3"/>
    <w:bookmarkEnd w:id="4"/>
    <w:bookmarkEnd w:id="5"/>
    <w:p w:rsidR="00BE794D" w:rsidRDefault="00C353CB" w:rsidP="008B7893">
      <w:pPr>
        <w:pStyle w:val="Heading3"/>
      </w:pPr>
      <w:r>
        <w:lastRenderedPageBreak/>
        <w:t>INTRODUCTION</w:t>
      </w:r>
    </w:p>
    <w:p w:rsidR="008B7893" w:rsidRDefault="008B7893" w:rsidP="008B7893">
      <w:r w:rsidRPr="008B7893">
        <w:t>Since the Draft Report, there have been three types of changes</w:t>
      </w:r>
      <w:r>
        <w:t>:</w:t>
      </w:r>
    </w:p>
    <w:p w:rsidR="00695082" w:rsidRDefault="00695082" w:rsidP="00695082">
      <w:pPr>
        <w:pStyle w:val="CGCBulletlist"/>
      </w:pPr>
      <w:r>
        <w:t>changes in method</w:t>
      </w:r>
    </w:p>
    <w:p w:rsidR="008B7893" w:rsidRDefault="00C353CB" w:rsidP="008B7893">
      <w:pPr>
        <w:pStyle w:val="CGCBulletlist"/>
      </w:pPr>
      <w:r>
        <w:t>changes in</w:t>
      </w:r>
      <w:r w:rsidR="008B7893">
        <w:t xml:space="preserve"> data sources</w:t>
      </w:r>
    </w:p>
    <w:p w:rsidR="008B7893" w:rsidRDefault="008B7893" w:rsidP="008B7893">
      <w:pPr>
        <w:pStyle w:val="CGCBulletlist"/>
      </w:pPr>
      <w:proofErr w:type="gramStart"/>
      <w:r>
        <w:t>changes</w:t>
      </w:r>
      <w:proofErr w:type="gramEnd"/>
      <w:r>
        <w:t xml:space="preserve"> in State circumstances in the 2015 assessment period (the replacement of 2010</w:t>
      </w:r>
      <w:r>
        <w:noBreakHyphen/>
        <w:t xml:space="preserve">11 </w:t>
      </w:r>
      <w:r w:rsidR="00695082">
        <w:t>data with 2013</w:t>
      </w:r>
      <w:r w:rsidR="00695082">
        <w:noBreakHyphen/>
        <w:t>14 data)</w:t>
      </w:r>
      <w:r>
        <w:t>.</w:t>
      </w:r>
    </w:p>
    <w:p w:rsidR="008B7893" w:rsidRDefault="00695082" w:rsidP="008B7893">
      <w:r>
        <w:t>The table below summarises the main method changes.</w:t>
      </w:r>
    </w:p>
    <w:p w:rsidR="00695082" w:rsidRPr="00695082" w:rsidRDefault="00695082" w:rsidP="00695082">
      <w:pPr>
        <w:keepNext/>
        <w:keepLines/>
        <w:tabs>
          <w:tab w:val="clear" w:pos="567"/>
          <w:tab w:val="left" w:pos="1418"/>
        </w:tabs>
        <w:spacing w:before="240" w:after="120" w:line="240" w:lineRule="auto"/>
        <w:ind w:left="1418" w:hanging="1418"/>
        <w:rPr>
          <w:rFonts w:ascii="Calibri" w:eastAsia="Calibri" w:hAnsi="Calibri" w:cs="Times New Roman"/>
          <w:b/>
          <w:bCs/>
          <w:szCs w:val="20"/>
        </w:rPr>
      </w:pPr>
      <w:bookmarkStart w:id="7" w:name="_Ref386105415"/>
      <w:bookmarkStart w:id="8" w:name="_Ref389637304"/>
      <w:r w:rsidRPr="00695082">
        <w:rPr>
          <w:rFonts w:ascii="Calibri" w:eastAsia="Calibri" w:hAnsi="Calibri" w:cs="Times New Roman"/>
          <w:b/>
          <w:bCs/>
          <w:szCs w:val="20"/>
        </w:rPr>
        <w:lastRenderedPageBreak/>
        <w:t xml:space="preserve">Table </w:t>
      </w:r>
      <w:bookmarkEnd w:id="7"/>
      <w:r w:rsidRPr="00695082">
        <w:rPr>
          <w:rFonts w:ascii="Calibri" w:eastAsia="Calibri" w:hAnsi="Calibri" w:cs="Times New Roman"/>
          <w:b/>
          <w:bCs/>
          <w:szCs w:val="20"/>
        </w:rPr>
        <w:fldChar w:fldCharType="begin"/>
      </w:r>
      <w:r w:rsidRPr="00695082">
        <w:rPr>
          <w:rFonts w:ascii="Calibri" w:eastAsia="Calibri" w:hAnsi="Calibri" w:cs="Times New Roman"/>
          <w:b/>
          <w:bCs/>
          <w:szCs w:val="20"/>
        </w:rPr>
        <w:instrText xml:space="preserve"> SEQ Table \* ARABIC \r1 </w:instrText>
      </w:r>
      <w:r w:rsidRPr="00695082">
        <w:rPr>
          <w:rFonts w:ascii="Calibri" w:eastAsia="Calibri" w:hAnsi="Calibri" w:cs="Times New Roman"/>
          <w:b/>
          <w:bCs/>
          <w:szCs w:val="20"/>
        </w:rPr>
        <w:fldChar w:fldCharType="separate"/>
      </w:r>
      <w:r w:rsidR="00EF572F">
        <w:rPr>
          <w:rFonts w:ascii="Calibri" w:eastAsia="Calibri" w:hAnsi="Calibri" w:cs="Times New Roman"/>
          <w:b/>
          <w:bCs/>
          <w:noProof/>
          <w:szCs w:val="20"/>
        </w:rPr>
        <w:t>1</w:t>
      </w:r>
      <w:r w:rsidRPr="00695082">
        <w:rPr>
          <w:rFonts w:ascii="Calibri" w:eastAsia="Calibri" w:hAnsi="Calibri" w:cs="Times New Roman"/>
          <w:b/>
          <w:bCs/>
          <w:szCs w:val="20"/>
        </w:rPr>
        <w:fldChar w:fldCharType="end"/>
      </w:r>
      <w:bookmarkEnd w:id="8"/>
      <w:r w:rsidRPr="00695082">
        <w:rPr>
          <w:rFonts w:ascii="Calibri" w:eastAsia="Calibri" w:hAnsi="Calibri" w:cs="Times New Roman"/>
          <w:b/>
          <w:bCs/>
          <w:szCs w:val="20"/>
        </w:rPr>
        <w:tab/>
      </w:r>
      <w:r>
        <w:rPr>
          <w:rFonts w:ascii="Calibri" w:eastAsia="Calibri" w:hAnsi="Calibri" w:cs="Times New Roman"/>
          <w:b/>
          <w:bCs/>
          <w:szCs w:val="20"/>
        </w:rPr>
        <w:t>Summary of main method changes since the Draft Report</w:t>
      </w:r>
    </w:p>
    <w:tbl>
      <w:tblPr>
        <w:tblW w:w="9132" w:type="dxa"/>
        <w:tblLayout w:type="fixed"/>
        <w:tblCellMar>
          <w:left w:w="85" w:type="dxa"/>
          <w:right w:w="85" w:type="dxa"/>
        </w:tblCellMar>
        <w:tblLook w:val="04A0" w:firstRow="1" w:lastRow="0" w:firstColumn="1" w:lastColumn="0" w:noHBand="0" w:noVBand="1"/>
      </w:tblPr>
      <w:tblGrid>
        <w:gridCol w:w="2503"/>
        <w:gridCol w:w="6629"/>
      </w:tblGrid>
      <w:tr w:rsidR="00695082" w:rsidTr="00C15678">
        <w:tc>
          <w:tcPr>
            <w:tcW w:w="2503" w:type="dxa"/>
            <w:tcBorders>
              <w:top w:val="single" w:sz="6" w:space="0" w:color="auto"/>
              <w:left w:val="nil"/>
              <w:bottom w:val="single" w:sz="6" w:space="0" w:color="auto"/>
              <w:right w:val="nil"/>
            </w:tcBorders>
            <w:hideMark/>
          </w:tcPr>
          <w:p w:rsidR="00695082" w:rsidRDefault="00695082" w:rsidP="0011214D">
            <w:pPr>
              <w:pStyle w:val="TableColHeadings"/>
              <w:spacing w:line="276" w:lineRule="auto"/>
              <w:jc w:val="left"/>
              <w:rPr>
                <w:rFonts w:cstheme="minorHAnsi"/>
              </w:rPr>
            </w:pPr>
            <w:r>
              <w:rPr>
                <w:rFonts w:cstheme="minorHAnsi"/>
              </w:rPr>
              <w:t>Category</w:t>
            </w:r>
          </w:p>
        </w:tc>
        <w:tc>
          <w:tcPr>
            <w:tcW w:w="6629" w:type="dxa"/>
            <w:tcBorders>
              <w:top w:val="single" w:sz="6" w:space="0" w:color="auto"/>
              <w:left w:val="nil"/>
              <w:bottom w:val="single" w:sz="6" w:space="0" w:color="auto"/>
              <w:right w:val="nil"/>
            </w:tcBorders>
            <w:hideMark/>
          </w:tcPr>
          <w:p w:rsidR="00695082" w:rsidRDefault="00695082" w:rsidP="0011214D">
            <w:pPr>
              <w:pStyle w:val="TableColHeadings"/>
              <w:spacing w:line="276" w:lineRule="auto"/>
              <w:ind w:hanging="86"/>
              <w:jc w:val="left"/>
              <w:rPr>
                <w:rFonts w:cstheme="minorHAnsi"/>
              </w:rPr>
            </w:pPr>
            <w:r>
              <w:rPr>
                <w:rFonts w:cstheme="minorHAnsi"/>
              </w:rPr>
              <w:t>Method changes</w:t>
            </w:r>
          </w:p>
        </w:tc>
      </w:tr>
      <w:tr w:rsidR="00401267" w:rsidTr="00401267">
        <w:tc>
          <w:tcPr>
            <w:tcW w:w="2503" w:type="dxa"/>
            <w:tcBorders>
              <w:top w:val="single" w:sz="6" w:space="0" w:color="auto"/>
            </w:tcBorders>
          </w:tcPr>
          <w:p w:rsidR="00401267" w:rsidRDefault="00401267" w:rsidP="0011214D">
            <w:pPr>
              <w:pStyle w:val="CGCTableStub"/>
              <w:spacing w:before="0" w:after="0"/>
              <w:rPr>
                <w:rFonts w:cstheme="minorHAnsi"/>
              </w:rPr>
            </w:pPr>
            <w:r>
              <w:rPr>
                <w:rFonts w:cstheme="minorHAnsi"/>
              </w:rPr>
              <w:t>Payroll tax</w:t>
            </w:r>
          </w:p>
        </w:tc>
        <w:tc>
          <w:tcPr>
            <w:tcW w:w="6629" w:type="dxa"/>
            <w:tcBorders>
              <w:top w:val="single" w:sz="6" w:space="0" w:color="auto"/>
            </w:tcBorders>
          </w:tcPr>
          <w:p w:rsidR="00401267" w:rsidRPr="001D318A" w:rsidRDefault="00401267" w:rsidP="00C353CB">
            <w:pPr>
              <w:pStyle w:val="ListParagraph"/>
              <w:numPr>
                <w:ilvl w:val="0"/>
                <w:numId w:val="18"/>
              </w:numPr>
              <w:spacing w:after="0" w:line="240" w:lineRule="auto"/>
              <w:ind w:left="339" w:hanging="339"/>
              <w:rPr>
                <w:sz w:val="20"/>
                <w:szCs w:val="20"/>
              </w:rPr>
            </w:pPr>
            <w:r>
              <w:rPr>
                <w:sz w:val="20"/>
                <w:szCs w:val="20"/>
              </w:rPr>
              <w:t>No change.</w:t>
            </w:r>
          </w:p>
        </w:tc>
      </w:tr>
      <w:tr w:rsidR="00695082" w:rsidTr="00401267">
        <w:tc>
          <w:tcPr>
            <w:tcW w:w="2503" w:type="dxa"/>
            <w:hideMark/>
          </w:tcPr>
          <w:p w:rsidR="00695082" w:rsidRDefault="00695082" w:rsidP="0011214D">
            <w:pPr>
              <w:pStyle w:val="CGCTableStub"/>
              <w:spacing w:before="0" w:after="0"/>
              <w:rPr>
                <w:rFonts w:cstheme="minorHAnsi"/>
              </w:rPr>
            </w:pPr>
            <w:r>
              <w:rPr>
                <w:rFonts w:cstheme="minorHAnsi"/>
              </w:rPr>
              <w:t>Land tax</w:t>
            </w:r>
          </w:p>
        </w:tc>
        <w:tc>
          <w:tcPr>
            <w:tcW w:w="6629" w:type="dxa"/>
            <w:hideMark/>
          </w:tcPr>
          <w:p w:rsidR="00695082" w:rsidRPr="00CA224E" w:rsidRDefault="00695082" w:rsidP="00C353CB">
            <w:pPr>
              <w:pStyle w:val="ListParagraph"/>
              <w:numPr>
                <w:ilvl w:val="0"/>
                <w:numId w:val="18"/>
              </w:numPr>
              <w:spacing w:after="0" w:line="240" w:lineRule="auto"/>
              <w:ind w:left="339" w:hanging="339"/>
              <w:rPr>
                <w:sz w:val="20"/>
                <w:szCs w:val="20"/>
              </w:rPr>
            </w:pPr>
            <w:r w:rsidRPr="001D318A">
              <w:rPr>
                <w:sz w:val="20"/>
                <w:szCs w:val="20"/>
              </w:rPr>
              <w:t xml:space="preserve">Metropolitan improvement levies, the property part of fire and emergency services levies and conveyance duty replacement </w:t>
            </w:r>
            <w:r w:rsidR="00C353CB">
              <w:rPr>
                <w:sz w:val="20"/>
                <w:szCs w:val="20"/>
              </w:rPr>
              <w:t>by ACT general rates have been co</w:t>
            </w:r>
            <w:r w:rsidRPr="001D318A">
              <w:rPr>
                <w:sz w:val="20"/>
                <w:szCs w:val="20"/>
              </w:rPr>
              <w:t>mbined and are assessed equal per capita</w:t>
            </w:r>
            <w:r>
              <w:rPr>
                <w:sz w:val="20"/>
                <w:szCs w:val="20"/>
              </w:rPr>
              <w:t xml:space="preserve"> (EPC) instead of using the value of properties</w:t>
            </w:r>
            <w:r w:rsidRPr="001D318A">
              <w:rPr>
                <w:sz w:val="20"/>
                <w:szCs w:val="20"/>
              </w:rPr>
              <w:t>.</w:t>
            </w:r>
            <w:r>
              <w:rPr>
                <w:sz w:val="20"/>
                <w:szCs w:val="20"/>
              </w:rPr>
              <w:t xml:space="preserve"> No other change.</w:t>
            </w:r>
          </w:p>
        </w:tc>
      </w:tr>
      <w:tr w:rsidR="00695082" w:rsidRPr="00386147" w:rsidTr="00C15678">
        <w:tc>
          <w:tcPr>
            <w:tcW w:w="2503" w:type="dxa"/>
            <w:hideMark/>
          </w:tcPr>
          <w:p w:rsidR="00695082" w:rsidRPr="00386147" w:rsidRDefault="00695082" w:rsidP="0011214D">
            <w:pPr>
              <w:pStyle w:val="CGCTableStub"/>
              <w:spacing w:before="0" w:after="0"/>
              <w:rPr>
                <w:rFonts w:cstheme="minorHAnsi"/>
              </w:rPr>
            </w:pPr>
            <w:r w:rsidRPr="00386147">
              <w:rPr>
                <w:rFonts w:cstheme="minorHAnsi"/>
              </w:rPr>
              <w:t>Stamp duty</w:t>
            </w:r>
          </w:p>
        </w:tc>
        <w:tc>
          <w:tcPr>
            <w:tcW w:w="6629" w:type="dxa"/>
            <w:hideMark/>
          </w:tcPr>
          <w:p w:rsidR="00695082" w:rsidRPr="00386147" w:rsidRDefault="00695082" w:rsidP="00695082">
            <w:pPr>
              <w:pStyle w:val="ListParagraph"/>
              <w:numPr>
                <w:ilvl w:val="0"/>
                <w:numId w:val="18"/>
              </w:numPr>
              <w:spacing w:after="0" w:line="240" w:lineRule="auto"/>
              <w:ind w:left="339" w:hanging="339"/>
              <w:rPr>
                <w:sz w:val="20"/>
                <w:szCs w:val="20"/>
              </w:rPr>
            </w:pPr>
            <w:r w:rsidRPr="00386147">
              <w:rPr>
                <w:sz w:val="20"/>
                <w:szCs w:val="20"/>
              </w:rPr>
              <w:t>No change</w:t>
            </w:r>
            <w:r w:rsidR="00905CE2">
              <w:rPr>
                <w:sz w:val="20"/>
                <w:szCs w:val="20"/>
              </w:rPr>
              <w:t>.</w:t>
            </w:r>
          </w:p>
        </w:tc>
      </w:tr>
      <w:tr w:rsidR="00695082" w:rsidRPr="00386147" w:rsidTr="00C15678">
        <w:tc>
          <w:tcPr>
            <w:tcW w:w="2503" w:type="dxa"/>
            <w:hideMark/>
          </w:tcPr>
          <w:p w:rsidR="00695082" w:rsidRPr="00386147" w:rsidRDefault="00695082" w:rsidP="0011214D">
            <w:pPr>
              <w:pStyle w:val="CGCTableStub"/>
              <w:spacing w:before="0" w:after="0"/>
              <w:rPr>
                <w:rFonts w:cstheme="minorHAnsi"/>
              </w:rPr>
            </w:pPr>
            <w:r w:rsidRPr="00386147">
              <w:rPr>
                <w:rFonts w:cstheme="minorHAnsi"/>
              </w:rPr>
              <w:t>Insurance tax</w:t>
            </w:r>
          </w:p>
        </w:tc>
        <w:tc>
          <w:tcPr>
            <w:tcW w:w="6629" w:type="dxa"/>
            <w:hideMark/>
          </w:tcPr>
          <w:p w:rsidR="00695082" w:rsidRPr="00386147" w:rsidRDefault="00695082" w:rsidP="00C353CB">
            <w:pPr>
              <w:pStyle w:val="ListParagraph"/>
              <w:numPr>
                <w:ilvl w:val="0"/>
                <w:numId w:val="18"/>
              </w:numPr>
              <w:spacing w:after="0" w:line="240" w:lineRule="auto"/>
              <w:ind w:left="339" w:hanging="339"/>
              <w:rPr>
                <w:sz w:val="20"/>
                <w:szCs w:val="20"/>
              </w:rPr>
            </w:pPr>
            <w:r w:rsidRPr="00386147">
              <w:rPr>
                <w:sz w:val="20"/>
                <w:szCs w:val="20"/>
              </w:rPr>
              <w:t xml:space="preserve">Revenue from workers’ compensation insurance </w:t>
            </w:r>
            <w:r w:rsidR="00C353CB">
              <w:rPr>
                <w:sz w:val="20"/>
                <w:szCs w:val="20"/>
              </w:rPr>
              <w:t>has been</w:t>
            </w:r>
            <w:r w:rsidRPr="00386147">
              <w:rPr>
                <w:sz w:val="20"/>
                <w:szCs w:val="20"/>
              </w:rPr>
              <w:t xml:space="preserve"> moved to the </w:t>
            </w:r>
            <w:proofErr w:type="gramStart"/>
            <w:r w:rsidRPr="00386147">
              <w:rPr>
                <w:sz w:val="20"/>
                <w:szCs w:val="20"/>
              </w:rPr>
              <w:t>Other</w:t>
            </w:r>
            <w:proofErr w:type="gramEnd"/>
            <w:r w:rsidRPr="00386147">
              <w:rPr>
                <w:sz w:val="20"/>
                <w:szCs w:val="20"/>
              </w:rPr>
              <w:t xml:space="preserve"> revenue category. No other change.</w:t>
            </w:r>
          </w:p>
        </w:tc>
      </w:tr>
      <w:tr w:rsidR="00695082" w:rsidRPr="00386147" w:rsidTr="00C15678">
        <w:tc>
          <w:tcPr>
            <w:tcW w:w="2503" w:type="dxa"/>
            <w:hideMark/>
          </w:tcPr>
          <w:p w:rsidR="00695082" w:rsidRPr="00386147" w:rsidRDefault="00695082" w:rsidP="0011214D">
            <w:pPr>
              <w:pStyle w:val="CGCTableStub"/>
              <w:spacing w:before="0" w:after="0"/>
              <w:rPr>
                <w:rFonts w:cstheme="minorHAnsi"/>
              </w:rPr>
            </w:pPr>
            <w:r w:rsidRPr="00386147">
              <w:rPr>
                <w:rFonts w:cstheme="minorHAnsi"/>
              </w:rPr>
              <w:t>Motor taxes</w:t>
            </w:r>
          </w:p>
        </w:tc>
        <w:tc>
          <w:tcPr>
            <w:tcW w:w="6629" w:type="dxa"/>
            <w:hideMark/>
          </w:tcPr>
          <w:p w:rsidR="00695082" w:rsidRPr="00386147" w:rsidRDefault="00695082" w:rsidP="00695082">
            <w:pPr>
              <w:pStyle w:val="ListParagraph"/>
              <w:numPr>
                <w:ilvl w:val="0"/>
                <w:numId w:val="18"/>
              </w:numPr>
              <w:spacing w:after="0" w:line="240" w:lineRule="auto"/>
              <w:ind w:left="339" w:hanging="339"/>
              <w:rPr>
                <w:sz w:val="20"/>
                <w:szCs w:val="20"/>
              </w:rPr>
            </w:pPr>
            <w:r w:rsidRPr="00386147">
              <w:rPr>
                <w:sz w:val="20"/>
                <w:szCs w:val="20"/>
              </w:rPr>
              <w:t>No change</w:t>
            </w:r>
            <w:r w:rsidR="00905CE2">
              <w:rPr>
                <w:sz w:val="20"/>
                <w:szCs w:val="20"/>
              </w:rPr>
              <w:t>.</w:t>
            </w:r>
          </w:p>
        </w:tc>
      </w:tr>
      <w:tr w:rsidR="00695082" w:rsidRPr="00386147" w:rsidTr="00C15678">
        <w:tc>
          <w:tcPr>
            <w:tcW w:w="2503" w:type="dxa"/>
            <w:hideMark/>
          </w:tcPr>
          <w:p w:rsidR="00695082" w:rsidRPr="00386147" w:rsidRDefault="00695082" w:rsidP="0011214D">
            <w:pPr>
              <w:pStyle w:val="CGCTableStub"/>
              <w:spacing w:before="0" w:after="0"/>
              <w:rPr>
                <w:rFonts w:cstheme="minorHAnsi"/>
              </w:rPr>
            </w:pPr>
            <w:r w:rsidRPr="00386147">
              <w:rPr>
                <w:rFonts w:cstheme="minorHAnsi"/>
              </w:rPr>
              <w:t>Mining revenue</w:t>
            </w:r>
          </w:p>
        </w:tc>
        <w:tc>
          <w:tcPr>
            <w:tcW w:w="6629" w:type="dxa"/>
            <w:hideMark/>
          </w:tcPr>
          <w:p w:rsidR="00695082" w:rsidRPr="00386147" w:rsidRDefault="00695082" w:rsidP="00695082">
            <w:pPr>
              <w:pStyle w:val="ListParagraph"/>
              <w:numPr>
                <w:ilvl w:val="0"/>
                <w:numId w:val="18"/>
              </w:numPr>
              <w:spacing w:after="0" w:line="240" w:lineRule="auto"/>
              <w:ind w:left="339" w:hanging="339"/>
              <w:rPr>
                <w:sz w:val="20"/>
                <w:szCs w:val="20"/>
              </w:rPr>
            </w:pPr>
            <w:r w:rsidRPr="00386147">
              <w:rPr>
                <w:sz w:val="20"/>
                <w:szCs w:val="20"/>
              </w:rPr>
              <w:t>The placeholder relating to previous restrictions in terms of reference on the assessment of revenues from iron ore fines has been removed.</w:t>
            </w:r>
          </w:p>
        </w:tc>
      </w:tr>
      <w:tr w:rsidR="00695082" w:rsidRPr="00386147" w:rsidTr="00C15678">
        <w:tc>
          <w:tcPr>
            <w:tcW w:w="2503" w:type="dxa"/>
            <w:hideMark/>
          </w:tcPr>
          <w:p w:rsidR="00695082" w:rsidRPr="00386147" w:rsidRDefault="00695082" w:rsidP="0011214D">
            <w:pPr>
              <w:pStyle w:val="CGCTableStub"/>
              <w:spacing w:before="0" w:after="0"/>
              <w:rPr>
                <w:rFonts w:cstheme="minorHAnsi"/>
              </w:rPr>
            </w:pPr>
            <w:r w:rsidRPr="00386147">
              <w:rPr>
                <w:rFonts w:cstheme="minorHAnsi"/>
              </w:rPr>
              <w:t>Other revenue</w:t>
            </w:r>
          </w:p>
        </w:tc>
        <w:tc>
          <w:tcPr>
            <w:tcW w:w="6629" w:type="dxa"/>
            <w:hideMark/>
          </w:tcPr>
          <w:p w:rsidR="00695082" w:rsidRPr="00386147" w:rsidRDefault="00695082" w:rsidP="00695082">
            <w:pPr>
              <w:pStyle w:val="ListParagraph"/>
              <w:numPr>
                <w:ilvl w:val="0"/>
                <w:numId w:val="18"/>
              </w:numPr>
              <w:spacing w:after="0" w:line="240" w:lineRule="auto"/>
              <w:ind w:left="339" w:hanging="339"/>
              <w:rPr>
                <w:sz w:val="20"/>
                <w:szCs w:val="20"/>
              </w:rPr>
            </w:pPr>
            <w:r w:rsidRPr="00386147">
              <w:rPr>
                <w:sz w:val="20"/>
                <w:szCs w:val="20"/>
              </w:rPr>
              <w:t>Revenue from workers’ compensation insurance was moved from the Insurance category to this category. No other change.</w:t>
            </w:r>
          </w:p>
        </w:tc>
      </w:tr>
      <w:tr w:rsidR="00C15678" w:rsidRPr="00844EE4" w:rsidTr="00C15678">
        <w:tc>
          <w:tcPr>
            <w:tcW w:w="2503" w:type="dxa"/>
          </w:tcPr>
          <w:p w:rsidR="00C15678" w:rsidRPr="00386147" w:rsidRDefault="00401267" w:rsidP="0011214D">
            <w:pPr>
              <w:pStyle w:val="CGCTableStub"/>
              <w:spacing w:before="0" w:after="0"/>
              <w:rPr>
                <w:rFonts w:cstheme="minorHAnsi"/>
              </w:rPr>
            </w:pPr>
            <w:r>
              <w:rPr>
                <w:rFonts w:cstheme="minorHAnsi"/>
              </w:rPr>
              <w:t>Schools education</w:t>
            </w:r>
          </w:p>
        </w:tc>
        <w:tc>
          <w:tcPr>
            <w:tcW w:w="6629" w:type="dxa"/>
          </w:tcPr>
          <w:p w:rsidR="00C15678" w:rsidRPr="00386147" w:rsidRDefault="00C15678" w:rsidP="009E6F1D">
            <w:pPr>
              <w:pStyle w:val="ListParagraph"/>
              <w:numPr>
                <w:ilvl w:val="0"/>
                <w:numId w:val="18"/>
              </w:numPr>
              <w:spacing w:after="0" w:line="240" w:lineRule="auto"/>
              <w:ind w:left="339" w:hanging="339"/>
              <w:rPr>
                <w:sz w:val="20"/>
                <w:szCs w:val="20"/>
              </w:rPr>
            </w:pPr>
            <w:r>
              <w:rPr>
                <w:sz w:val="20"/>
                <w:szCs w:val="20"/>
              </w:rPr>
              <w:t>Urban student transport expenses</w:t>
            </w:r>
            <w:r w:rsidR="00C353CB">
              <w:rPr>
                <w:sz w:val="20"/>
                <w:szCs w:val="20"/>
              </w:rPr>
              <w:t xml:space="preserve"> have been</w:t>
            </w:r>
            <w:r>
              <w:rPr>
                <w:sz w:val="20"/>
                <w:szCs w:val="20"/>
              </w:rPr>
              <w:t xml:space="preserve"> assessed using the proportion of urban students instead of applying the rural student transport disability to these expenses.</w:t>
            </w:r>
          </w:p>
        </w:tc>
      </w:tr>
      <w:tr w:rsidR="00695082" w:rsidTr="00C15678">
        <w:tc>
          <w:tcPr>
            <w:tcW w:w="2503" w:type="dxa"/>
            <w:tcBorders>
              <w:left w:val="nil"/>
              <w:right w:val="nil"/>
            </w:tcBorders>
          </w:tcPr>
          <w:p w:rsidR="00695082" w:rsidRDefault="00695082" w:rsidP="0011214D">
            <w:pPr>
              <w:pStyle w:val="CGCTableStub"/>
              <w:spacing w:before="0" w:after="0"/>
              <w:rPr>
                <w:rFonts w:cstheme="minorHAnsi"/>
              </w:rPr>
            </w:pPr>
            <w:r>
              <w:rPr>
                <w:rFonts w:cstheme="minorHAnsi"/>
              </w:rPr>
              <w:t>Post-secondary education</w:t>
            </w:r>
          </w:p>
        </w:tc>
        <w:tc>
          <w:tcPr>
            <w:tcW w:w="6629" w:type="dxa"/>
            <w:tcBorders>
              <w:left w:val="nil"/>
              <w:right w:val="nil"/>
            </w:tcBorders>
          </w:tcPr>
          <w:p w:rsidR="00695082" w:rsidRDefault="00695082" w:rsidP="00695082">
            <w:pPr>
              <w:pStyle w:val="ListParagraph"/>
              <w:numPr>
                <w:ilvl w:val="0"/>
                <w:numId w:val="18"/>
              </w:numPr>
              <w:spacing w:after="0" w:line="240" w:lineRule="auto"/>
              <w:ind w:left="339" w:hanging="339"/>
              <w:rPr>
                <w:sz w:val="20"/>
                <w:szCs w:val="20"/>
              </w:rPr>
            </w:pPr>
            <w:r w:rsidRPr="001D318A">
              <w:rPr>
                <w:sz w:val="20"/>
                <w:szCs w:val="20"/>
              </w:rPr>
              <w:t xml:space="preserve">Expenses </w:t>
            </w:r>
            <w:r w:rsidR="00C353CB">
              <w:rPr>
                <w:sz w:val="20"/>
                <w:szCs w:val="20"/>
              </w:rPr>
              <w:t>have been</w:t>
            </w:r>
            <w:r w:rsidRPr="001D318A">
              <w:rPr>
                <w:sz w:val="20"/>
                <w:szCs w:val="20"/>
              </w:rPr>
              <w:t xml:space="preserve"> assessed net of user charges.</w:t>
            </w:r>
          </w:p>
          <w:p w:rsidR="009D0CE9" w:rsidRPr="001D318A" w:rsidRDefault="009D0CE9" w:rsidP="00C353CB">
            <w:pPr>
              <w:pStyle w:val="ListParagraph"/>
              <w:numPr>
                <w:ilvl w:val="0"/>
                <w:numId w:val="18"/>
              </w:numPr>
              <w:spacing w:after="0" w:line="240" w:lineRule="auto"/>
              <w:ind w:left="339" w:hanging="339"/>
              <w:rPr>
                <w:sz w:val="20"/>
                <w:szCs w:val="20"/>
              </w:rPr>
            </w:pPr>
            <w:r>
              <w:rPr>
                <w:sz w:val="20"/>
                <w:szCs w:val="20"/>
              </w:rPr>
              <w:t xml:space="preserve">The general regional costs gradient </w:t>
            </w:r>
            <w:r w:rsidR="00C353CB">
              <w:rPr>
                <w:sz w:val="20"/>
                <w:szCs w:val="20"/>
              </w:rPr>
              <w:t>has been</w:t>
            </w:r>
            <w:r>
              <w:rPr>
                <w:sz w:val="20"/>
                <w:szCs w:val="20"/>
              </w:rPr>
              <w:t xml:space="preserve"> used to assess remoteness costs instead of State provided data.</w:t>
            </w:r>
          </w:p>
        </w:tc>
      </w:tr>
      <w:tr w:rsidR="00695082" w:rsidTr="00C15678">
        <w:tc>
          <w:tcPr>
            <w:tcW w:w="2503" w:type="dxa"/>
            <w:tcBorders>
              <w:left w:val="nil"/>
              <w:right w:val="nil"/>
            </w:tcBorders>
            <w:hideMark/>
          </w:tcPr>
          <w:p w:rsidR="00695082" w:rsidRDefault="00695082" w:rsidP="0011214D">
            <w:pPr>
              <w:pStyle w:val="CGCTableStub"/>
              <w:spacing w:before="0" w:after="0"/>
              <w:rPr>
                <w:rFonts w:cstheme="minorHAnsi"/>
              </w:rPr>
            </w:pPr>
            <w:r>
              <w:rPr>
                <w:rFonts w:cstheme="minorHAnsi"/>
              </w:rPr>
              <w:t>Health</w:t>
            </w:r>
          </w:p>
        </w:tc>
        <w:tc>
          <w:tcPr>
            <w:tcW w:w="6629" w:type="dxa"/>
            <w:tcBorders>
              <w:left w:val="nil"/>
              <w:right w:val="nil"/>
            </w:tcBorders>
            <w:hideMark/>
          </w:tcPr>
          <w:p w:rsidR="00695082" w:rsidRPr="001D318A" w:rsidRDefault="009D0CE9" w:rsidP="00C353CB">
            <w:pPr>
              <w:pStyle w:val="ListParagraph"/>
              <w:numPr>
                <w:ilvl w:val="0"/>
                <w:numId w:val="18"/>
              </w:numPr>
              <w:spacing w:after="0" w:line="240" w:lineRule="auto"/>
              <w:ind w:left="339" w:hanging="339"/>
              <w:rPr>
                <w:sz w:val="20"/>
                <w:szCs w:val="20"/>
              </w:rPr>
            </w:pPr>
            <w:r w:rsidRPr="00C15678">
              <w:rPr>
                <w:sz w:val="20"/>
                <w:szCs w:val="20"/>
              </w:rPr>
              <w:t xml:space="preserve">A non-State sector adjustment </w:t>
            </w:r>
            <w:r w:rsidR="00C353CB">
              <w:rPr>
                <w:sz w:val="20"/>
                <w:szCs w:val="20"/>
              </w:rPr>
              <w:t>has been</w:t>
            </w:r>
            <w:r w:rsidRPr="00C15678">
              <w:rPr>
                <w:sz w:val="20"/>
                <w:szCs w:val="20"/>
              </w:rPr>
              <w:t xml:space="preserve"> included in the admitted </w:t>
            </w:r>
            <w:proofErr w:type="gramStart"/>
            <w:r w:rsidRPr="00C15678">
              <w:rPr>
                <w:sz w:val="20"/>
                <w:szCs w:val="20"/>
              </w:rPr>
              <w:t>patients</w:t>
            </w:r>
            <w:proofErr w:type="gramEnd"/>
            <w:r w:rsidRPr="00C15678">
              <w:rPr>
                <w:sz w:val="20"/>
                <w:szCs w:val="20"/>
              </w:rPr>
              <w:t xml:space="preserve"> component</w:t>
            </w:r>
            <w:r w:rsidR="00CA43F9" w:rsidRPr="00C15678">
              <w:rPr>
                <w:sz w:val="20"/>
                <w:szCs w:val="20"/>
              </w:rPr>
              <w:t>.</w:t>
            </w:r>
          </w:p>
        </w:tc>
      </w:tr>
      <w:tr w:rsidR="00C15678" w:rsidTr="00C15678">
        <w:tc>
          <w:tcPr>
            <w:tcW w:w="2503" w:type="dxa"/>
            <w:tcBorders>
              <w:left w:val="nil"/>
              <w:right w:val="nil"/>
            </w:tcBorders>
          </w:tcPr>
          <w:p w:rsidR="00C15678" w:rsidRDefault="00C15678" w:rsidP="0011214D">
            <w:pPr>
              <w:pStyle w:val="CGCTableStub"/>
              <w:spacing w:before="0" w:after="0"/>
              <w:rPr>
                <w:rFonts w:cstheme="minorHAnsi"/>
              </w:rPr>
            </w:pPr>
          </w:p>
        </w:tc>
        <w:tc>
          <w:tcPr>
            <w:tcW w:w="6629" w:type="dxa"/>
            <w:tcBorders>
              <w:left w:val="nil"/>
              <w:right w:val="nil"/>
            </w:tcBorders>
          </w:tcPr>
          <w:p w:rsidR="00C15678" w:rsidRDefault="00C15678" w:rsidP="00C353CB">
            <w:pPr>
              <w:pStyle w:val="ListParagraph"/>
              <w:numPr>
                <w:ilvl w:val="0"/>
                <w:numId w:val="18"/>
              </w:numPr>
              <w:spacing w:after="0" w:line="240" w:lineRule="auto"/>
              <w:ind w:left="339" w:hanging="339"/>
              <w:rPr>
                <w:sz w:val="20"/>
                <w:szCs w:val="20"/>
              </w:rPr>
            </w:pPr>
            <w:r w:rsidRPr="00AA6847">
              <w:rPr>
                <w:sz w:val="20"/>
                <w:szCs w:val="20"/>
              </w:rPr>
              <w:t xml:space="preserve">The substitutability </w:t>
            </w:r>
            <w:r>
              <w:rPr>
                <w:sz w:val="20"/>
                <w:szCs w:val="20"/>
              </w:rPr>
              <w:t>proportions</w:t>
            </w:r>
            <w:r w:rsidRPr="00AA6847">
              <w:rPr>
                <w:sz w:val="20"/>
                <w:szCs w:val="20"/>
              </w:rPr>
              <w:t xml:space="preserve"> in the other components </w:t>
            </w:r>
            <w:r w:rsidR="00C353CB">
              <w:rPr>
                <w:sz w:val="20"/>
                <w:szCs w:val="20"/>
              </w:rPr>
              <w:t xml:space="preserve">have been </w:t>
            </w:r>
            <w:r w:rsidRPr="00AA6847">
              <w:rPr>
                <w:sz w:val="20"/>
                <w:szCs w:val="20"/>
              </w:rPr>
              <w:t>finalised</w:t>
            </w:r>
            <w:r>
              <w:rPr>
                <w:sz w:val="20"/>
                <w:szCs w:val="20"/>
              </w:rPr>
              <w:t>.</w:t>
            </w:r>
          </w:p>
        </w:tc>
      </w:tr>
      <w:tr w:rsidR="00C15678" w:rsidTr="00C15678">
        <w:tc>
          <w:tcPr>
            <w:tcW w:w="2503" w:type="dxa"/>
            <w:tcBorders>
              <w:left w:val="nil"/>
              <w:right w:val="nil"/>
            </w:tcBorders>
          </w:tcPr>
          <w:p w:rsidR="00C15678" w:rsidRDefault="00C15678" w:rsidP="0011214D">
            <w:pPr>
              <w:pStyle w:val="CGCTableStub"/>
              <w:spacing w:before="0" w:after="0"/>
              <w:rPr>
                <w:rFonts w:cstheme="minorHAnsi"/>
              </w:rPr>
            </w:pPr>
          </w:p>
        </w:tc>
        <w:tc>
          <w:tcPr>
            <w:tcW w:w="6629" w:type="dxa"/>
            <w:tcBorders>
              <w:left w:val="nil"/>
              <w:right w:val="nil"/>
            </w:tcBorders>
          </w:tcPr>
          <w:p w:rsidR="00C15678" w:rsidRDefault="00C15678" w:rsidP="00C353CB">
            <w:pPr>
              <w:pStyle w:val="ListParagraph"/>
              <w:numPr>
                <w:ilvl w:val="0"/>
                <w:numId w:val="18"/>
              </w:numPr>
              <w:spacing w:after="0" w:line="240" w:lineRule="auto"/>
              <w:ind w:left="339" w:hanging="339"/>
              <w:rPr>
                <w:sz w:val="20"/>
                <w:szCs w:val="20"/>
              </w:rPr>
            </w:pPr>
            <w:r w:rsidRPr="00AA6847">
              <w:rPr>
                <w:sz w:val="20"/>
                <w:szCs w:val="20"/>
              </w:rPr>
              <w:t xml:space="preserve">The calculation of the non-State sector adjustments </w:t>
            </w:r>
            <w:r w:rsidR="00C353CB">
              <w:rPr>
                <w:sz w:val="20"/>
                <w:szCs w:val="20"/>
              </w:rPr>
              <w:t>has been</w:t>
            </w:r>
            <w:r w:rsidRPr="00AA6847">
              <w:rPr>
                <w:sz w:val="20"/>
                <w:szCs w:val="20"/>
              </w:rPr>
              <w:t xml:space="preserve"> changed to more accurately reflect the impact of the private sector</w:t>
            </w:r>
            <w:r>
              <w:rPr>
                <w:sz w:val="20"/>
                <w:szCs w:val="20"/>
              </w:rPr>
              <w:t>.</w:t>
            </w:r>
          </w:p>
        </w:tc>
      </w:tr>
      <w:tr w:rsidR="00C15678" w:rsidTr="00C15678">
        <w:tc>
          <w:tcPr>
            <w:tcW w:w="2503" w:type="dxa"/>
            <w:tcBorders>
              <w:left w:val="nil"/>
              <w:right w:val="nil"/>
            </w:tcBorders>
          </w:tcPr>
          <w:p w:rsidR="00C15678" w:rsidRDefault="00C15678" w:rsidP="0011214D">
            <w:pPr>
              <w:pStyle w:val="CGCTableStub"/>
              <w:spacing w:before="0" w:after="0"/>
              <w:rPr>
                <w:rFonts w:cstheme="minorHAnsi"/>
              </w:rPr>
            </w:pPr>
          </w:p>
        </w:tc>
        <w:tc>
          <w:tcPr>
            <w:tcW w:w="6629" w:type="dxa"/>
            <w:tcBorders>
              <w:left w:val="nil"/>
              <w:right w:val="nil"/>
            </w:tcBorders>
          </w:tcPr>
          <w:p w:rsidR="00C15678" w:rsidRDefault="00C15678" w:rsidP="00C353CB">
            <w:pPr>
              <w:pStyle w:val="ListParagraph"/>
              <w:numPr>
                <w:ilvl w:val="0"/>
                <w:numId w:val="18"/>
              </w:numPr>
              <w:spacing w:after="0" w:line="240" w:lineRule="auto"/>
              <w:ind w:left="339" w:hanging="339"/>
              <w:rPr>
                <w:sz w:val="20"/>
                <w:szCs w:val="20"/>
              </w:rPr>
            </w:pPr>
            <w:r>
              <w:rPr>
                <w:sz w:val="20"/>
                <w:szCs w:val="20"/>
              </w:rPr>
              <w:t>N</w:t>
            </w:r>
            <w:r w:rsidRPr="001D318A">
              <w:rPr>
                <w:sz w:val="20"/>
                <w:szCs w:val="20"/>
              </w:rPr>
              <w:t>on-State sector adjustments</w:t>
            </w:r>
            <w:r>
              <w:rPr>
                <w:sz w:val="20"/>
                <w:szCs w:val="20"/>
              </w:rPr>
              <w:t xml:space="preserve"> </w:t>
            </w:r>
            <w:r w:rsidR="00C353CB">
              <w:rPr>
                <w:sz w:val="20"/>
                <w:szCs w:val="20"/>
              </w:rPr>
              <w:t>have been</w:t>
            </w:r>
            <w:r>
              <w:rPr>
                <w:sz w:val="20"/>
                <w:szCs w:val="20"/>
              </w:rPr>
              <w:t xml:space="preserve"> standardised for SES and age.</w:t>
            </w:r>
          </w:p>
        </w:tc>
      </w:tr>
      <w:tr w:rsidR="00C15678" w:rsidTr="00C15678">
        <w:tc>
          <w:tcPr>
            <w:tcW w:w="2503" w:type="dxa"/>
            <w:tcBorders>
              <w:left w:val="nil"/>
              <w:right w:val="nil"/>
            </w:tcBorders>
          </w:tcPr>
          <w:p w:rsidR="00C15678" w:rsidRDefault="00C15678" w:rsidP="0011214D">
            <w:pPr>
              <w:pStyle w:val="CGCTableStub"/>
              <w:spacing w:before="0" w:after="0"/>
              <w:rPr>
                <w:rFonts w:cstheme="minorHAnsi"/>
              </w:rPr>
            </w:pPr>
          </w:p>
        </w:tc>
        <w:tc>
          <w:tcPr>
            <w:tcW w:w="6629" w:type="dxa"/>
            <w:tcBorders>
              <w:left w:val="nil"/>
              <w:right w:val="nil"/>
            </w:tcBorders>
          </w:tcPr>
          <w:p w:rsidR="00C15678" w:rsidRDefault="00C15678" w:rsidP="00C353CB">
            <w:pPr>
              <w:pStyle w:val="ListParagraph"/>
              <w:numPr>
                <w:ilvl w:val="0"/>
                <w:numId w:val="18"/>
              </w:numPr>
              <w:spacing w:after="0" w:line="240" w:lineRule="auto"/>
              <w:ind w:left="339" w:hanging="339"/>
              <w:rPr>
                <w:sz w:val="20"/>
                <w:szCs w:val="20"/>
              </w:rPr>
            </w:pPr>
            <w:r w:rsidRPr="00AA6847">
              <w:rPr>
                <w:sz w:val="20"/>
                <w:szCs w:val="20"/>
              </w:rPr>
              <w:t xml:space="preserve">A 25% discount </w:t>
            </w:r>
            <w:r w:rsidR="00C353CB">
              <w:rPr>
                <w:sz w:val="20"/>
                <w:szCs w:val="20"/>
              </w:rPr>
              <w:t>has been</w:t>
            </w:r>
            <w:r w:rsidRPr="00AA6847">
              <w:rPr>
                <w:sz w:val="20"/>
                <w:szCs w:val="20"/>
              </w:rPr>
              <w:t xml:space="preserve"> applied to the non-State sector adjustment in community health.</w:t>
            </w:r>
          </w:p>
        </w:tc>
      </w:tr>
      <w:tr w:rsidR="00C15678" w:rsidTr="00C15678">
        <w:tc>
          <w:tcPr>
            <w:tcW w:w="2503" w:type="dxa"/>
            <w:tcBorders>
              <w:left w:val="nil"/>
              <w:right w:val="nil"/>
            </w:tcBorders>
          </w:tcPr>
          <w:p w:rsidR="00C15678" w:rsidRDefault="00C15678" w:rsidP="0011214D">
            <w:pPr>
              <w:pStyle w:val="CGCTableStub"/>
              <w:spacing w:before="0" w:after="0"/>
              <w:rPr>
                <w:rFonts w:cstheme="minorHAnsi"/>
              </w:rPr>
            </w:pPr>
          </w:p>
        </w:tc>
        <w:tc>
          <w:tcPr>
            <w:tcW w:w="6629" w:type="dxa"/>
            <w:tcBorders>
              <w:left w:val="nil"/>
              <w:right w:val="nil"/>
            </w:tcBorders>
          </w:tcPr>
          <w:p w:rsidR="00C15678" w:rsidRDefault="00C15678" w:rsidP="00C353CB">
            <w:pPr>
              <w:pStyle w:val="ListParagraph"/>
              <w:numPr>
                <w:ilvl w:val="0"/>
                <w:numId w:val="18"/>
              </w:numPr>
              <w:spacing w:after="0" w:line="240" w:lineRule="auto"/>
              <w:ind w:left="339" w:hanging="339"/>
              <w:rPr>
                <w:sz w:val="20"/>
                <w:szCs w:val="20"/>
              </w:rPr>
            </w:pPr>
            <w:r w:rsidRPr="00AA6847">
              <w:rPr>
                <w:sz w:val="20"/>
                <w:szCs w:val="20"/>
              </w:rPr>
              <w:t xml:space="preserve">The assessment of IRHD grants </w:t>
            </w:r>
            <w:r w:rsidR="00C353CB">
              <w:rPr>
                <w:sz w:val="20"/>
                <w:szCs w:val="20"/>
              </w:rPr>
              <w:t>has been</w:t>
            </w:r>
            <w:r w:rsidRPr="00AA6847">
              <w:rPr>
                <w:sz w:val="20"/>
                <w:szCs w:val="20"/>
              </w:rPr>
              <w:t xml:space="preserve"> changed to be based on the difference between each State’s Indigenous SDC assessed expenses (as calculated in the community health SDC assessment) and the actual level of IRHD grants provided in each State</w:t>
            </w:r>
            <w:r>
              <w:rPr>
                <w:sz w:val="20"/>
                <w:szCs w:val="20"/>
              </w:rPr>
              <w:t>.</w:t>
            </w:r>
          </w:p>
        </w:tc>
      </w:tr>
      <w:tr w:rsidR="00695082" w:rsidTr="00C15678">
        <w:tc>
          <w:tcPr>
            <w:tcW w:w="2503" w:type="dxa"/>
            <w:hideMark/>
          </w:tcPr>
          <w:p w:rsidR="00695082" w:rsidRDefault="00695082" w:rsidP="0011214D">
            <w:pPr>
              <w:pStyle w:val="CGCTableStub"/>
              <w:spacing w:before="0" w:after="0"/>
              <w:rPr>
                <w:rFonts w:cstheme="minorHAnsi"/>
              </w:rPr>
            </w:pPr>
            <w:r>
              <w:rPr>
                <w:rFonts w:cstheme="minorHAnsi"/>
              </w:rPr>
              <w:t>Welfare</w:t>
            </w:r>
          </w:p>
        </w:tc>
        <w:tc>
          <w:tcPr>
            <w:tcW w:w="6629" w:type="dxa"/>
            <w:hideMark/>
          </w:tcPr>
          <w:p w:rsidR="00695082" w:rsidRPr="00CA224E" w:rsidRDefault="00386147" w:rsidP="00C353CB">
            <w:pPr>
              <w:pStyle w:val="ListParagraph"/>
              <w:numPr>
                <w:ilvl w:val="0"/>
                <w:numId w:val="18"/>
              </w:numPr>
              <w:spacing w:after="0" w:line="240" w:lineRule="auto"/>
              <w:ind w:left="339" w:hanging="339"/>
              <w:rPr>
                <w:sz w:val="20"/>
                <w:szCs w:val="20"/>
              </w:rPr>
            </w:pPr>
            <w:r>
              <w:rPr>
                <w:sz w:val="20"/>
                <w:szCs w:val="20"/>
              </w:rPr>
              <w:t>Non-concessions</w:t>
            </w:r>
            <w:r w:rsidR="00695082" w:rsidRPr="00D85CED">
              <w:rPr>
                <w:sz w:val="20"/>
                <w:szCs w:val="20"/>
              </w:rPr>
              <w:t xml:space="preserve"> general welfare services </w:t>
            </w:r>
            <w:r w:rsidR="00C353CB">
              <w:rPr>
                <w:sz w:val="20"/>
                <w:szCs w:val="20"/>
              </w:rPr>
              <w:t>have been</w:t>
            </w:r>
            <w:r w:rsidR="00695082" w:rsidRPr="00D85CED">
              <w:rPr>
                <w:sz w:val="20"/>
                <w:szCs w:val="20"/>
              </w:rPr>
              <w:t xml:space="preserve"> assessed using the relative State proportions of people in the bottom quintile of the ABS’s 2006 Census SEIFI</w:t>
            </w:r>
            <w:r w:rsidR="00695082">
              <w:rPr>
                <w:sz w:val="20"/>
                <w:szCs w:val="20"/>
              </w:rPr>
              <w:t xml:space="preserve"> </w:t>
            </w:r>
            <w:r w:rsidR="00695082" w:rsidRPr="00D85CED">
              <w:rPr>
                <w:sz w:val="20"/>
                <w:szCs w:val="20"/>
              </w:rPr>
              <w:t xml:space="preserve">adjusted for changes in the relative proportions of State populations with a health care card or pensioner concession card </w:t>
            </w:r>
            <w:r>
              <w:rPr>
                <w:sz w:val="20"/>
                <w:szCs w:val="20"/>
              </w:rPr>
              <w:t xml:space="preserve">(excluding age pension numbers) </w:t>
            </w:r>
            <w:r w:rsidR="00695082" w:rsidRPr="00D85CED">
              <w:rPr>
                <w:sz w:val="20"/>
                <w:szCs w:val="20"/>
              </w:rPr>
              <w:t>between the 2006 and 2011 Censuses</w:t>
            </w:r>
            <w:r w:rsidR="00695082" w:rsidRPr="00CA224E">
              <w:rPr>
                <w:sz w:val="20"/>
                <w:szCs w:val="20"/>
              </w:rPr>
              <w:t>.</w:t>
            </w:r>
          </w:p>
        </w:tc>
      </w:tr>
      <w:tr w:rsidR="00C15678" w:rsidTr="00C15678">
        <w:tc>
          <w:tcPr>
            <w:tcW w:w="2503" w:type="dxa"/>
          </w:tcPr>
          <w:p w:rsidR="00C15678" w:rsidRDefault="00C15678" w:rsidP="0011214D">
            <w:pPr>
              <w:pStyle w:val="CGCTableStub"/>
              <w:spacing w:before="0" w:after="0"/>
              <w:rPr>
                <w:rFonts w:cstheme="minorHAnsi"/>
              </w:rPr>
            </w:pPr>
            <w:r w:rsidRPr="001D318A">
              <w:rPr>
                <w:rFonts w:cstheme="minorHAnsi"/>
              </w:rPr>
              <w:t>Housing</w:t>
            </w:r>
          </w:p>
        </w:tc>
        <w:tc>
          <w:tcPr>
            <w:tcW w:w="6629" w:type="dxa"/>
          </w:tcPr>
          <w:p w:rsidR="00C15678" w:rsidRDefault="00C15678" w:rsidP="00695082">
            <w:pPr>
              <w:pStyle w:val="ListParagraph"/>
              <w:numPr>
                <w:ilvl w:val="0"/>
                <w:numId w:val="18"/>
              </w:numPr>
              <w:spacing w:after="0" w:line="240" w:lineRule="auto"/>
              <w:ind w:left="339" w:hanging="339"/>
              <w:rPr>
                <w:sz w:val="20"/>
                <w:szCs w:val="20"/>
              </w:rPr>
            </w:pPr>
            <w:r w:rsidRPr="00386147">
              <w:rPr>
                <w:sz w:val="20"/>
                <w:szCs w:val="20"/>
              </w:rPr>
              <w:t>No change</w:t>
            </w:r>
            <w:r>
              <w:rPr>
                <w:sz w:val="20"/>
                <w:szCs w:val="20"/>
              </w:rPr>
              <w:t>.</w:t>
            </w:r>
          </w:p>
        </w:tc>
      </w:tr>
      <w:tr w:rsidR="00C15678" w:rsidTr="00C15678">
        <w:tc>
          <w:tcPr>
            <w:tcW w:w="2503" w:type="dxa"/>
          </w:tcPr>
          <w:p w:rsidR="00C15678" w:rsidRDefault="00C15678" w:rsidP="0011214D">
            <w:pPr>
              <w:pStyle w:val="CGCTableStub"/>
              <w:spacing w:before="0" w:after="0"/>
              <w:rPr>
                <w:rFonts w:cstheme="minorHAnsi"/>
              </w:rPr>
            </w:pPr>
            <w:r w:rsidRPr="001D318A">
              <w:rPr>
                <w:rFonts w:cstheme="minorHAnsi"/>
              </w:rPr>
              <w:t>Services to communities</w:t>
            </w:r>
          </w:p>
        </w:tc>
        <w:tc>
          <w:tcPr>
            <w:tcW w:w="6629" w:type="dxa"/>
          </w:tcPr>
          <w:p w:rsidR="00C15678" w:rsidRDefault="00C15678" w:rsidP="00C353CB">
            <w:pPr>
              <w:pStyle w:val="ListParagraph"/>
              <w:numPr>
                <w:ilvl w:val="0"/>
                <w:numId w:val="18"/>
              </w:numPr>
              <w:spacing w:after="0" w:line="240" w:lineRule="auto"/>
              <w:ind w:left="339" w:hanging="339"/>
              <w:rPr>
                <w:sz w:val="20"/>
                <w:szCs w:val="20"/>
              </w:rPr>
            </w:pPr>
            <w:r>
              <w:rPr>
                <w:sz w:val="20"/>
                <w:szCs w:val="20"/>
              </w:rPr>
              <w:t xml:space="preserve">Regional costs and SDS </w:t>
            </w:r>
            <w:r w:rsidR="00C353CB">
              <w:rPr>
                <w:sz w:val="20"/>
                <w:szCs w:val="20"/>
              </w:rPr>
              <w:t>have been</w:t>
            </w:r>
            <w:r>
              <w:rPr>
                <w:sz w:val="20"/>
                <w:szCs w:val="20"/>
              </w:rPr>
              <w:t xml:space="preserve"> assessed in the utilities component.</w:t>
            </w:r>
          </w:p>
        </w:tc>
      </w:tr>
      <w:tr w:rsidR="00C15678" w:rsidTr="00C15678">
        <w:tc>
          <w:tcPr>
            <w:tcW w:w="2503" w:type="dxa"/>
          </w:tcPr>
          <w:p w:rsidR="00C15678" w:rsidRDefault="00C15678" w:rsidP="0011214D">
            <w:pPr>
              <w:pStyle w:val="CGCTableStub"/>
              <w:spacing w:before="0" w:after="0"/>
              <w:rPr>
                <w:rFonts w:cstheme="minorHAnsi"/>
              </w:rPr>
            </w:pPr>
            <w:r w:rsidRPr="001D318A">
              <w:rPr>
                <w:rFonts w:cstheme="minorHAnsi"/>
              </w:rPr>
              <w:t>Justice</w:t>
            </w:r>
          </w:p>
        </w:tc>
        <w:tc>
          <w:tcPr>
            <w:tcW w:w="6629" w:type="dxa"/>
          </w:tcPr>
          <w:p w:rsidR="00C15678" w:rsidRDefault="00C353CB" w:rsidP="00C353CB">
            <w:pPr>
              <w:pStyle w:val="ListParagraph"/>
              <w:numPr>
                <w:ilvl w:val="0"/>
                <w:numId w:val="18"/>
              </w:numPr>
              <w:spacing w:after="0" w:line="240" w:lineRule="auto"/>
              <w:ind w:left="339" w:hanging="339"/>
              <w:rPr>
                <w:sz w:val="20"/>
                <w:szCs w:val="20"/>
              </w:rPr>
            </w:pPr>
            <w:r>
              <w:rPr>
                <w:sz w:val="20"/>
                <w:szCs w:val="20"/>
              </w:rPr>
              <w:t>The impact of s</w:t>
            </w:r>
            <w:r w:rsidR="00C15678">
              <w:rPr>
                <w:sz w:val="20"/>
                <w:szCs w:val="20"/>
              </w:rPr>
              <w:t>ex</w:t>
            </w:r>
            <w:r>
              <w:rPr>
                <w:sz w:val="20"/>
                <w:szCs w:val="20"/>
              </w:rPr>
              <w:t xml:space="preserve"> on expenses </w:t>
            </w:r>
            <w:r w:rsidR="00C15678">
              <w:rPr>
                <w:sz w:val="20"/>
                <w:szCs w:val="20"/>
              </w:rPr>
              <w:t>is no longer assessed and age groups have changed.</w:t>
            </w:r>
          </w:p>
        </w:tc>
      </w:tr>
      <w:tr w:rsidR="00C15678" w:rsidTr="00C15678">
        <w:tc>
          <w:tcPr>
            <w:tcW w:w="2503" w:type="dxa"/>
          </w:tcPr>
          <w:p w:rsidR="00C15678" w:rsidRDefault="00C15678" w:rsidP="0011214D">
            <w:pPr>
              <w:pStyle w:val="CGCTableStub"/>
              <w:spacing w:before="0" w:after="0"/>
              <w:rPr>
                <w:rFonts w:cstheme="minorHAnsi"/>
              </w:rPr>
            </w:pPr>
            <w:r w:rsidRPr="00386147">
              <w:rPr>
                <w:rFonts w:cstheme="minorHAnsi"/>
              </w:rPr>
              <w:t>Roads</w:t>
            </w:r>
          </w:p>
        </w:tc>
        <w:tc>
          <w:tcPr>
            <w:tcW w:w="6629" w:type="dxa"/>
          </w:tcPr>
          <w:p w:rsidR="00C15678" w:rsidRDefault="00C15678" w:rsidP="00695082">
            <w:pPr>
              <w:pStyle w:val="ListParagraph"/>
              <w:numPr>
                <w:ilvl w:val="0"/>
                <w:numId w:val="18"/>
              </w:numPr>
              <w:spacing w:after="0" w:line="240" w:lineRule="auto"/>
              <w:ind w:left="339" w:hanging="339"/>
              <w:rPr>
                <w:sz w:val="20"/>
                <w:szCs w:val="20"/>
              </w:rPr>
            </w:pPr>
            <w:r w:rsidRPr="00386147">
              <w:rPr>
                <w:sz w:val="20"/>
                <w:szCs w:val="20"/>
              </w:rPr>
              <w:t>No change.</w:t>
            </w:r>
          </w:p>
        </w:tc>
      </w:tr>
      <w:tr w:rsidR="00C15678" w:rsidTr="00C15678">
        <w:tc>
          <w:tcPr>
            <w:tcW w:w="2503" w:type="dxa"/>
          </w:tcPr>
          <w:p w:rsidR="00C15678" w:rsidRDefault="00C15678" w:rsidP="0011214D">
            <w:pPr>
              <w:pStyle w:val="CGCTableStub"/>
              <w:spacing w:before="0" w:after="0"/>
              <w:rPr>
                <w:rFonts w:cstheme="minorHAnsi"/>
              </w:rPr>
            </w:pPr>
            <w:r w:rsidRPr="00386147">
              <w:rPr>
                <w:rFonts w:cstheme="minorHAnsi"/>
              </w:rPr>
              <w:t>Transport</w:t>
            </w:r>
          </w:p>
        </w:tc>
        <w:tc>
          <w:tcPr>
            <w:tcW w:w="6629" w:type="dxa"/>
          </w:tcPr>
          <w:p w:rsidR="00C15678" w:rsidRDefault="00C15678" w:rsidP="00695082">
            <w:pPr>
              <w:pStyle w:val="ListParagraph"/>
              <w:numPr>
                <w:ilvl w:val="0"/>
                <w:numId w:val="18"/>
              </w:numPr>
              <w:spacing w:after="0" w:line="240" w:lineRule="auto"/>
              <w:ind w:left="339" w:hanging="339"/>
              <w:rPr>
                <w:sz w:val="20"/>
                <w:szCs w:val="20"/>
              </w:rPr>
            </w:pPr>
            <w:r w:rsidRPr="00386147">
              <w:rPr>
                <w:sz w:val="20"/>
                <w:szCs w:val="20"/>
              </w:rPr>
              <w:t>No change.</w:t>
            </w:r>
          </w:p>
        </w:tc>
      </w:tr>
      <w:tr w:rsidR="00C15678" w:rsidTr="00C15678">
        <w:tc>
          <w:tcPr>
            <w:tcW w:w="2503" w:type="dxa"/>
          </w:tcPr>
          <w:p w:rsidR="00C15678" w:rsidRDefault="00C15678" w:rsidP="0011214D">
            <w:pPr>
              <w:pStyle w:val="CGCTableStub"/>
              <w:spacing w:before="0" w:after="0"/>
              <w:rPr>
                <w:rFonts w:cstheme="minorHAnsi"/>
              </w:rPr>
            </w:pPr>
            <w:r w:rsidRPr="00386147">
              <w:rPr>
                <w:rFonts w:cstheme="minorHAnsi"/>
              </w:rPr>
              <w:t>Services to industry</w:t>
            </w:r>
          </w:p>
        </w:tc>
        <w:tc>
          <w:tcPr>
            <w:tcW w:w="6629" w:type="dxa"/>
          </w:tcPr>
          <w:p w:rsidR="00C15678" w:rsidRDefault="00C15678" w:rsidP="00695082">
            <w:pPr>
              <w:pStyle w:val="ListParagraph"/>
              <w:numPr>
                <w:ilvl w:val="0"/>
                <w:numId w:val="18"/>
              </w:numPr>
              <w:spacing w:after="0" w:line="240" w:lineRule="auto"/>
              <w:ind w:left="339" w:hanging="339"/>
              <w:rPr>
                <w:sz w:val="20"/>
                <w:szCs w:val="20"/>
              </w:rPr>
            </w:pPr>
            <w:r w:rsidRPr="00386147">
              <w:rPr>
                <w:sz w:val="20"/>
                <w:szCs w:val="20"/>
              </w:rPr>
              <w:t>A separate assessment of regulatory expenses for the mining industry has not been undertaken</w:t>
            </w:r>
            <w:r>
              <w:rPr>
                <w:sz w:val="20"/>
                <w:szCs w:val="20"/>
              </w:rPr>
              <w:t>.</w:t>
            </w:r>
          </w:p>
        </w:tc>
      </w:tr>
      <w:tr w:rsidR="00C15678" w:rsidTr="00C353CB">
        <w:tc>
          <w:tcPr>
            <w:tcW w:w="2503" w:type="dxa"/>
          </w:tcPr>
          <w:p w:rsidR="00C15678" w:rsidRPr="00386147" w:rsidRDefault="00C15678" w:rsidP="0011214D">
            <w:pPr>
              <w:pStyle w:val="CGCTableStub"/>
              <w:spacing w:before="0" w:after="0"/>
              <w:rPr>
                <w:rFonts w:cstheme="minorHAnsi"/>
              </w:rPr>
            </w:pPr>
          </w:p>
        </w:tc>
        <w:tc>
          <w:tcPr>
            <w:tcW w:w="6629" w:type="dxa"/>
          </w:tcPr>
          <w:p w:rsidR="00C15678" w:rsidRPr="00386147" w:rsidRDefault="00C353CB" w:rsidP="00C353CB">
            <w:pPr>
              <w:pStyle w:val="ListParagraph"/>
              <w:numPr>
                <w:ilvl w:val="0"/>
                <w:numId w:val="18"/>
              </w:numPr>
              <w:spacing w:after="0" w:line="240" w:lineRule="auto"/>
              <w:ind w:left="339" w:hanging="339"/>
              <w:rPr>
                <w:sz w:val="20"/>
                <w:szCs w:val="20"/>
              </w:rPr>
            </w:pPr>
            <w:r>
              <w:rPr>
                <w:sz w:val="20"/>
                <w:szCs w:val="20"/>
              </w:rPr>
              <w:t>A r</w:t>
            </w:r>
            <w:r w:rsidR="00C15678" w:rsidRPr="00386147">
              <w:rPr>
                <w:sz w:val="20"/>
                <w:szCs w:val="20"/>
              </w:rPr>
              <w:t xml:space="preserve">egional costs assessment </w:t>
            </w:r>
            <w:r>
              <w:rPr>
                <w:sz w:val="20"/>
                <w:szCs w:val="20"/>
              </w:rPr>
              <w:t xml:space="preserve">has been </w:t>
            </w:r>
            <w:r w:rsidR="00C15678" w:rsidRPr="00386147">
              <w:rPr>
                <w:sz w:val="20"/>
                <w:szCs w:val="20"/>
              </w:rPr>
              <w:t>applied to all regulatory expenses (or about 40% of category expenses). In the draft report the regional costs assessment was applied to 20% of category expenses</w:t>
            </w:r>
            <w:r w:rsidR="00C15678">
              <w:rPr>
                <w:sz w:val="20"/>
                <w:szCs w:val="20"/>
              </w:rPr>
              <w:t>.</w:t>
            </w:r>
          </w:p>
        </w:tc>
      </w:tr>
      <w:tr w:rsidR="00C15678" w:rsidTr="00C353CB">
        <w:tc>
          <w:tcPr>
            <w:tcW w:w="2503" w:type="dxa"/>
            <w:tcBorders>
              <w:bottom w:val="single" w:sz="4" w:space="0" w:color="auto"/>
            </w:tcBorders>
          </w:tcPr>
          <w:p w:rsidR="00C15678" w:rsidRPr="00386147" w:rsidRDefault="00C15678" w:rsidP="0011214D">
            <w:pPr>
              <w:pStyle w:val="CGCTableStub"/>
              <w:spacing w:before="0" w:after="0"/>
              <w:rPr>
                <w:rFonts w:cstheme="minorHAnsi"/>
              </w:rPr>
            </w:pPr>
          </w:p>
        </w:tc>
        <w:tc>
          <w:tcPr>
            <w:tcW w:w="6629" w:type="dxa"/>
            <w:tcBorders>
              <w:bottom w:val="single" w:sz="4" w:space="0" w:color="auto"/>
            </w:tcBorders>
          </w:tcPr>
          <w:p w:rsidR="00C15678" w:rsidRPr="00386147" w:rsidRDefault="00C15678" w:rsidP="00C353CB">
            <w:pPr>
              <w:pStyle w:val="ListParagraph"/>
              <w:numPr>
                <w:ilvl w:val="0"/>
                <w:numId w:val="18"/>
              </w:numPr>
              <w:spacing w:after="0" w:line="240" w:lineRule="auto"/>
              <w:ind w:left="339" w:hanging="339"/>
              <w:rPr>
                <w:sz w:val="20"/>
                <w:szCs w:val="20"/>
              </w:rPr>
            </w:pPr>
            <w:r w:rsidRPr="00386147">
              <w:rPr>
                <w:sz w:val="20"/>
                <w:szCs w:val="20"/>
              </w:rPr>
              <w:t xml:space="preserve">Regulation of investment projects </w:t>
            </w:r>
            <w:r w:rsidR="00C353CB">
              <w:rPr>
                <w:sz w:val="20"/>
                <w:szCs w:val="20"/>
              </w:rPr>
              <w:t>has been</w:t>
            </w:r>
            <w:r w:rsidRPr="00386147">
              <w:rPr>
                <w:sz w:val="20"/>
                <w:szCs w:val="20"/>
              </w:rPr>
              <w:t xml:space="preserve"> assessed using the level of private non-dwelling construction activity</w:t>
            </w:r>
            <w:r>
              <w:rPr>
                <w:sz w:val="20"/>
                <w:szCs w:val="20"/>
              </w:rPr>
              <w:t>.</w:t>
            </w:r>
          </w:p>
        </w:tc>
      </w:tr>
    </w:tbl>
    <w:p w:rsidR="00C353CB" w:rsidRDefault="00C353CB" w:rsidP="00C353CB">
      <w:pPr>
        <w:keepNext/>
        <w:keepLines/>
        <w:rPr>
          <w:rFonts w:ascii="Calibri" w:eastAsia="Calibri" w:hAnsi="Calibri" w:cs="Times New Roman"/>
          <w:b/>
          <w:bCs/>
          <w:szCs w:val="20"/>
        </w:rPr>
      </w:pPr>
    </w:p>
    <w:p w:rsidR="00C15678" w:rsidRDefault="00C15678" w:rsidP="00C353CB">
      <w:pPr>
        <w:keepNext/>
        <w:keepLines/>
      </w:pPr>
      <w:r w:rsidRPr="00695082">
        <w:rPr>
          <w:rFonts w:ascii="Calibri" w:eastAsia="Calibri" w:hAnsi="Calibri" w:cs="Times New Roman"/>
          <w:b/>
          <w:bCs/>
          <w:szCs w:val="20"/>
        </w:rPr>
        <w:t xml:space="preserve">Table </w:t>
      </w:r>
      <w:r w:rsidRPr="00695082">
        <w:rPr>
          <w:rFonts w:ascii="Calibri" w:eastAsia="Calibri" w:hAnsi="Calibri" w:cs="Times New Roman"/>
          <w:b/>
          <w:bCs/>
          <w:szCs w:val="20"/>
        </w:rPr>
        <w:fldChar w:fldCharType="begin"/>
      </w:r>
      <w:r w:rsidRPr="00695082">
        <w:rPr>
          <w:rFonts w:ascii="Calibri" w:eastAsia="Calibri" w:hAnsi="Calibri" w:cs="Times New Roman"/>
          <w:b/>
          <w:bCs/>
          <w:szCs w:val="20"/>
        </w:rPr>
        <w:instrText xml:space="preserve"> SEQ Table \* ARABIC \r1 </w:instrText>
      </w:r>
      <w:r w:rsidRPr="00695082">
        <w:rPr>
          <w:rFonts w:ascii="Calibri" w:eastAsia="Calibri" w:hAnsi="Calibri" w:cs="Times New Roman"/>
          <w:b/>
          <w:bCs/>
          <w:szCs w:val="20"/>
        </w:rPr>
        <w:fldChar w:fldCharType="separate"/>
      </w:r>
      <w:r w:rsidR="00EF572F">
        <w:rPr>
          <w:rFonts w:ascii="Calibri" w:eastAsia="Calibri" w:hAnsi="Calibri" w:cs="Times New Roman"/>
          <w:b/>
          <w:bCs/>
          <w:noProof/>
          <w:szCs w:val="20"/>
        </w:rPr>
        <w:t>1</w:t>
      </w:r>
      <w:r w:rsidRPr="00695082">
        <w:rPr>
          <w:rFonts w:ascii="Calibri" w:eastAsia="Calibri" w:hAnsi="Calibri" w:cs="Times New Roman"/>
          <w:b/>
          <w:bCs/>
          <w:szCs w:val="20"/>
        </w:rPr>
        <w:fldChar w:fldCharType="end"/>
      </w:r>
      <w:r w:rsidRPr="00695082">
        <w:rPr>
          <w:rFonts w:ascii="Calibri" w:eastAsia="Calibri" w:hAnsi="Calibri" w:cs="Times New Roman"/>
          <w:b/>
          <w:bCs/>
          <w:szCs w:val="20"/>
        </w:rPr>
        <w:tab/>
      </w:r>
      <w:r>
        <w:rPr>
          <w:rFonts w:ascii="Calibri" w:eastAsia="Calibri" w:hAnsi="Calibri" w:cs="Times New Roman"/>
          <w:b/>
          <w:bCs/>
          <w:szCs w:val="20"/>
        </w:rPr>
        <w:t>Summary of main method changes since the Draft Report (</w:t>
      </w:r>
      <w:proofErr w:type="spellStart"/>
      <w:r>
        <w:rPr>
          <w:rFonts w:ascii="Calibri" w:eastAsia="Calibri" w:hAnsi="Calibri" w:cs="Times New Roman"/>
          <w:b/>
          <w:bCs/>
          <w:szCs w:val="20"/>
        </w:rPr>
        <w:t>cont</w:t>
      </w:r>
      <w:proofErr w:type="spellEnd"/>
      <w:r>
        <w:rPr>
          <w:rFonts w:ascii="Calibri" w:eastAsia="Calibri" w:hAnsi="Calibri" w:cs="Times New Roman"/>
          <w:b/>
          <w:bCs/>
          <w:szCs w:val="20"/>
        </w:rPr>
        <w:t>)</w:t>
      </w:r>
    </w:p>
    <w:tbl>
      <w:tblPr>
        <w:tblW w:w="9132" w:type="dxa"/>
        <w:tblLayout w:type="fixed"/>
        <w:tblCellMar>
          <w:left w:w="85" w:type="dxa"/>
          <w:right w:w="85" w:type="dxa"/>
        </w:tblCellMar>
        <w:tblLook w:val="04A0" w:firstRow="1" w:lastRow="0" w:firstColumn="1" w:lastColumn="0" w:noHBand="0" w:noVBand="1"/>
      </w:tblPr>
      <w:tblGrid>
        <w:gridCol w:w="2503"/>
        <w:gridCol w:w="6629"/>
      </w:tblGrid>
      <w:tr w:rsidR="00C15678" w:rsidRPr="00FC6AF3" w:rsidTr="00FC6AF3">
        <w:tc>
          <w:tcPr>
            <w:tcW w:w="2503" w:type="dxa"/>
            <w:tcBorders>
              <w:top w:val="single" w:sz="4" w:space="0" w:color="auto"/>
              <w:bottom w:val="single" w:sz="4" w:space="0" w:color="auto"/>
            </w:tcBorders>
          </w:tcPr>
          <w:p w:rsidR="00C15678" w:rsidRPr="001D318A" w:rsidRDefault="00C15678" w:rsidP="00C353CB">
            <w:pPr>
              <w:pStyle w:val="TableColHeadings"/>
              <w:spacing w:line="276" w:lineRule="auto"/>
              <w:jc w:val="left"/>
              <w:rPr>
                <w:rFonts w:cstheme="minorHAnsi"/>
              </w:rPr>
            </w:pPr>
            <w:r>
              <w:rPr>
                <w:rFonts w:cstheme="minorHAnsi"/>
              </w:rPr>
              <w:t>Category</w:t>
            </w:r>
          </w:p>
        </w:tc>
        <w:tc>
          <w:tcPr>
            <w:tcW w:w="6629" w:type="dxa"/>
            <w:tcBorders>
              <w:top w:val="single" w:sz="4" w:space="0" w:color="auto"/>
              <w:bottom w:val="single" w:sz="4" w:space="0" w:color="auto"/>
            </w:tcBorders>
          </w:tcPr>
          <w:p w:rsidR="00C15678" w:rsidRPr="00FC6AF3" w:rsidRDefault="00FC6AF3" w:rsidP="00C353CB">
            <w:pPr>
              <w:pStyle w:val="TableColHeadings"/>
              <w:spacing w:line="276" w:lineRule="auto"/>
              <w:jc w:val="left"/>
              <w:rPr>
                <w:rFonts w:cstheme="minorHAnsi"/>
              </w:rPr>
            </w:pPr>
            <w:r w:rsidRPr="00FC6AF3">
              <w:rPr>
                <w:rFonts w:cstheme="minorHAnsi"/>
              </w:rPr>
              <w:t>Method changes</w:t>
            </w:r>
          </w:p>
        </w:tc>
      </w:tr>
      <w:tr w:rsidR="00C353CB" w:rsidTr="00C353CB">
        <w:tc>
          <w:tcPr>
            <w:tcW w:w="2503" w:type="dxa"/>
            <w:tcBorders>
              <w:top w:val="single" w:sz="4" w:space="0" w:color="auto"/>
            </w:tcBorders>
          </w:tcPr>
          <w:p w:rsidR="00C353CB" w:rsidRPr="00386147" w:rsidRDefault="00C353CB" w:rsidP="00C353CB">
            <w:pPr>
              <w:pStyle w:val="CGCTableStub"/>
              <w:spacing w:before="0" w:after="0"/>
              <w:rPr>
                <w:rFonts w:cstheme="minorHAnsi"/>
              </w:rPr>
            </w:pPr>
            <w:r w:rsidRPr="001D318A">
              <w:rPr>
                <w:rFonts w:cstheme="minorHAnsi"/>
              </w:rPr>
              <w:t>Other expenses</w:t>
            </w:r>
          </w:p>
        </w:tc>
        <w:tc>
          <w:tcPr>
            <w:tcW w:w="6629" w:type="dxa"/>
            <w:tcBorders>
              <w:top w:val="single" w:sz="4" w:space="0" w:color="auto"/>
            </w:tcBorders>
          </w:tcPr>
          <w:p w:rsidR="00C353CB" w:rsidRPr="00386147" w:rsidRDefault="00905CE2" w:rsidP="00905CE2">
            <w:pPr>
              <w:pStyle w:val="ListParagraph"/>
              <w:keepNext/>
              <w:keepLines/>
              <w:numPr>
                <w:ilvl w:val="0"/>
                <w:numId w:val="18"/>
              </w:numPr>
              <w:spacing w:after="0" w:line="240" w:lineRule="auto"/>
              <w:ind w:left="339" w:hanging="339"/>
              <w:rPr>
                <w:sz w:val="20"/>
                <w:szCs w:val="20"/>
              </w:rPr>
            </w:pPr>
            <w:proofErr w:type="gramStart"/>
            <w:r>
              <w:rPr>
                <w:sz w:val="20"/>
                <w:szCs w:val="20"/>
              </w:rPr>
              <w:t>State spending on c</w:t>
            </w:r>
            <w:r w:rsidR="00C353CB" w:rsidRPr="001D318A">
              <w:rPr>
                <w:sz w:val="20"/>
                <w:szCs w:val="20"/>
              </w:rPr>
              <w:t>apital grants to local government</w:t>
            </w:r>
            <w:r w:rsidR="00C353CB">
              <w:rPr>
                <w:sz w:val="20"/>
                <w:szCs w:val="20"/>
              </w:rPr>
              <w:t>s</w:t>
            </w:r>
            <w:r w:rsidR="00C353CB" w:rsidRPr="001D318A">
              <w:rPr>
                <w:sz w:val="20"/>
                <w:szCs w:val="20"/>
              </w:rPr>
              <w:t xml:space="preserve"> </w:t>
            </w:r>
            <w:r w:rsidR="00C353CB">
              <w:rPr>
                <w:sz w:val="20"/>
                <w:szCs w:val="20"/>
              </w:rPr>
              <w:t>have</w:t>
            </w:r>
            <w:proofErr w:type="gramEnd"/>
            <w:r w:rsidR="00C353CB">
              <w:rPr>
                <w:sz w:val="20"/>
                <w:szCs w:val="20"/>
              </w:rPr>
              <w:t xml:space="preserve"> been </w:t>
            </w:r>
            <w:r w:rsidR="00C353CB" w:rsidRPr="001D318A">
              <w:rPr>
                <w:sz w:val="20"/>
                <w:szCs w:val="20"/>
              </w:rPr>
              <w:t>assessed using population growth, not population shares.</w:t>
            </w:r>
          </w:p>
        </w:tc>
      </w:tr>
      <w:tr w:rsidR="00C15678" w:rsidTr="00C353CB">
        <w:tc>
          <w:tcPr>
            <w:tcW w:w="2503" w:type="dxa"/>
          </w:tcPr>
          <w:p w:rsidR="00C15678" w:rsidRPr="001D318A" w:rsidRDefault="00FC6AF3" w:rsidP="00C353CB">
            <w:pPr>
              <w:pStyle w:val="CGCTableStub"/>
              <w:spacing w:before="0" w:after="0"/>
              <w:rPr>
                <w:rFonts w:cstheme="minorHAnsi"/>
              </w:rPr>
            </w:pPr>
            <w:r w:rsidRPr="001D318A">
              <w:rPr>
                <w:rFonts w:cstheme="minorHAnsi"/>
              </w:rPr>
              <w:t>Infrastructure</w:t>
            </w:r>
            <w:r w:rsidR="00401267">
              <w:rPr>
                <w:rFonts w:cstheme="minorHAnsi"/>
              </w:rPr>
              <w:t xml:space="preserve"> (investment and Depreciation)</w:t>
            </w:r>
          </w:p>
        </w:tc>
        <w:tc>
          <w:tcPr>
            <w:tcW w:w="6629" w:type="dxa"/>
          </w:tcPr>
          <w:p w:rsidR="00C15678" w:rsidRPr="001D318A" w:rsidRDefault="00905CE2" w:rsidP="00905CE2">
            <w:pPr>
              <w:pStyle w:val="ListParagraph"/>
              <w:keepNext/>
              <w:keepLines/>
              <w:numPr>
                <w:ilvl w:val="0"/>
                <w:numId w:val="18"/>
              </w:numPr>
              <w:spacing w:after="0" w:line="240" w:lineRule="auto"/>
              <w:ind w:left="339" w:hanging="339"/>
              <w:rPr>
                <w:sz w:val="20"/>
                <w:szCs w:val="20"/>
              </w:rPr>
            </w:pPr>
            <w:r>
              <w:rPr>
                <w:sz w:val="20"/>
                <w:szCs w:val="20"/>
              </w:rPr>
              <w:t>A p</w:t>
            </w:r>
            <w:r w:rsidR="00FC6AF3">
              <w:rPr>
                <w:sz w:val="20"/>
                <w:szCs w:val="20"/>
              </w:rPr>
              <w:t xml:space="preserve">opulation squared model </w:t>
            </w:r>
            <w:r w:rsidR="00C353CB">
              <w:rPr>
                <w:sz w:val="20"/>
                <w:szCs w:val="20"/>
              </w:rPr>
              <w:t xml:space="preserve">has been </w:t>
            </w:r>
            <w:r w:rsidR="00FC6AF3">
              <w:rPr>
                <w:sz w:val="20"/>
                <w:szCs w:val="20"/>
              </w:rPr>
              <w:t>used to assess urban transport infrastructure requirements instead of a regression model of the relationship between asset requirements and city size.</w:t>
            </w:r>
          </w:p>
        </w:tc>
      </w:tr>
      <w:tr w:rsidR="00C15678" w:rsidTr="00C15678">
        <w:tc>
          <w:tcPr>
            <w:tcW w:w="2503" w:type="dxa"/>
          </w:tcPr>
          <w:p w:rsidR="00C15678" w:rsidRPr="001D318A" w:rsidRDefault="00C15678" w:rsidP="00C353CB">
            <w:pPr>
              <w:pStyle w:val="CGCTableStub"/>
              <w:spacing w:before="0" w:after="0"/>
              <w:rPr>
                <w:rFonts w:cstheme="minorHAnsi"/>
              </w:rPr>
            </w:pPr>
          </w:p>
        </w:tc>
        <w:tc>
          <w:tcPr>
            <w:tcW w:w="6629" w:type="dxa"/>
          </w:tcPr>
          <w:p w:rsidR="00C15678" w:rsidRPr="001D318A" w:rsidRDefault="00FC6AF3" w:rsidP="00C353CB">
            <w:pPr>
              <w:pStyle w:val="ListParagraph"/>
              <w:keepNext/>
              <w:keepLines/>
              <w:numPr>
                <w:ilvl w:val="0"/>
                <w:numId w:val="18"/>
              </w:numPr>
              <w:spacing w:after="0" w:line="240" w:lineRule="auto"/>
              <w:ind w:left="339" w:hanging="339"/>
              <w:rPr>
                <w:sz w:val="20"/>
                <w:szCs w:val="20"/>
              </w:rPr>
            </w:pPr>
            <w:r>
              <w:rPr>
                <w:sz w:val="20"/>
                <w:szCs w:val="20"/>
              </w:rPr>
              <w:t xml:space="preserve">The capital stock factor in the </w:t>
            </w:r>
            <w:proofErr w:type="gramStart"/>
            <w:r>
              <w:rPr>
                <w:sz w:val="20"/>
                <w:szCs w:val="20"/>
              </w:rPr>
              <w:t>Other</w:t>
            </w:r>
            <w:proofErr w:type="gramEnd"/>
            <w:r>
              <w:rPr>
                <w:sz w:val="20"/>
                <w:szCs w:val="20"/>
              </w:rPr>
              <w:t xml:space="preserve"> services component </w:t>
            </w:r>
            <w:r w:rsidR="00C353CB">
              <w:rPr>
                <w:sz w:val="20"/>
                <w:szCs w:val="20"/>
              </w:rPr>
              <w:t xml:space="preserve">has </w:t>
            </w:r>
            <w:r>
              <w:rPr>
                <w:sz w:val="20"/>
                <w:szCs w:val="20"/>
              </w:rPr>
              <w:t>included an Indigenous cost weight for schools where over 25% of enrolments were Indigenous.</w:t>
            </w:r>
          </w:p>
        </w:tc>
      </w:tr>
      <w:tr w:rsidR="00C15678" w:rsidTr="00C15678">
        <w:tc>
          <w:tcPr>
            <w:tcW w:w="2503" w:type="dxa"/>
          </w:tcPr>
          <w:p w:rsidR="00C15678" w:rsidRPr="001D318A" w:rsidRDefault="00C15678" w:rsidP="00C353CB">
            <w:pPr>
              <w:pStyle w:val="CGCTableStub"/>
              <w:spacing w:before="0" w:after="0"/>
              <w:rPr>
                <w:rFonts w:cstheme="minorHAnsi"/>
              </w:rPr>
            </w:pPr>
          </w:p>
        </w:tc>
        <w:tc>
          <w:tcPr>
            <w:tcW w:w="6629" w:type="dxa"/>
          </w:tcPr>
          <w:p w:rsidR="00C15678" w:rsidRPr="001D318A" w:rsidRDefault="00FC6AF3" w:rsidP="00905CE2">
            <w:pPr>
              <w:pStyle w:val="ListParagraph"/>
              <w:keepNext/>
              <w:keepLines/>
              <w:numPr>
                <w:ilvl w:val="0"/>
                <w:numId w:val="18"/>
              </w:numPr>
              <w:spacing w:after="0" w:line="240" w:lineRule="auto"/>
              <w:ind w:left="339" w:hanging="339"/>
              <w:rPr>
                <w:sz w:val="20"/>
                <w:szCs w:val="20"/>
              </w:rPr>
            </w:pPr>
            <w:r>
              <w:rPr>
                <w:sz w:val="20"/>
                <w:szCs w:val="20"/>
              </w:rPr>
              <w:t xml:space="preserve">Roads gross capital spending </w:t>
            </w:r>
            <w:r w:rsidR="00905CE2">
              <w:rPr>
                <w:sz w:val="20"/>
                <w:szCs w:val="20"/>
              </w:rPr>
              <w:t xml:space="preserve">has been </w:t>
            </w:r>
            <w:r>
              <w:rPr>
                <w:sz w:val="20"/>
                <w:szCs w:val="20"/>
              </w:rPr>
              <w:t>dissected into urban and rural spending using a blended dissection based two-thirds on State provided data and one-third on NTC data.</w:t>
            </w:r>
          </w:p>
        </w:tc>
      </w:tr>
      <w:tr w:rsidR="00C15678" w:rsidTr="00C15678">
        <w:tc>
          <w:tcPr>
            <w:tcW w:w="2503" w:type="dxa"/>
          </w:tcPr>
          <w:p w:rsidR="00C15678" w:rsidRPr="001D318A" w:rsidRDefault="00C15678" w:rsidP="00C353CB">
            <w:pPr>
              <w:pStyle w:val="CGCTableStub"/>
              <w:spacing w:before="0" w:after="0"/>
              <w:rPr>
                <w:rFonts w:cstheme="minorHAnsi"/>
              </w:rPr>
            </w:pPr>
          </w:p>
        </w:tc>
        <w:tc>
          <w:tcPr>
            <w:tcW w:w="6629" w:type="dxa"/>
          </w:tcPr>
          <w:p w:rsidR="00C15678" w:rsidRPr="001D318A" w:rsidRDefault="00FC6AF3" w:rsidP="00905CE2">
            <w:pPr>
              <w:pStyle w:val="ListParagraph"/>
              <w:keepNext/>
              <w:keepLines/>
              <w:numPr>
                <w:ilvl w:val="0"/>
                <w:numId w:val="18"/>
              </w:numPr>
              <w:spacing w:after="0" w:line="240" w:lineRule="auto"/>
              <w:ind w:left="339" w:hanging="339"/>
              <w:rPr>
                <w:sz w:val="20"/>
                <w:szCs w:val="20"/>
              </w:rPr>
            </w:pPr>
            <w:r w:rsidRPr="001D318A">
              <w:rPr>
                <w:sz w:val="20"/>
                <w:szCs w:val="20"/>
              </w:rPr>
              <w:t xml:space="preserve">Capital cost disabilities </w:t>
            </w:r>
            <w:r w:rsidR="00905CE2">
              <w:rPr>
                <w:sz w:val="20"/>
                <w:szCs w:val="20"/>
              </w:rPr>
              <w:t>have been</w:t>
            </w:r>
            <w:r w:rsidRPr="001D318A">
              <w:rPr>
                <w:sz w:val="20"/>
                <w:szCs w:val="20"/>
              </w:rPr>
              <w:t xml:space="preserve"> measured as the average of capital cost indices derived from </w:t>
            </w:r>
            <w:proofErr w:type="gramStart"/>
            <w:r w:rsidRPr="001D318A">
              <w:rPr>
                <w:sz w:val="20"/>
                <w:szCs w:val="20"/>
              </w:rPr>
              <w:t>Rawlinsons</w:t>
            </w:r>
            <w:proofErr w:type="gramEnd"/>
            <w:r w:rsidRPr="001D318A">
              <w:rPr>
                <w:sz w:val="20"/>
                <w:szCs w:val="20"/>
              </w:rPr>
              <w:t xml:space="preserve"> construction indices and the recurrent wage and location cost factors, which are themselves a</w:t>
            </w:r>
            <w:r>
              <w:rPr>
                <w:sz w:val="20"/>
                <w:szCs w:val="20"/>
              </w:rPr>
              <w:t>ffected by some method changes</w:t>
            </w:r>
            <w:r w:rsidR="00905CE2">
              <w:rPr>
                <w:sz w:val="20"/>
                <w:szCs w:val="20"/>
              </w:rPr>
              <w:t>.</w:t>
            </w:r>
          </w:p>
        </w:tc>
      </w:tr>
      <w:tr w:rsidR="00C15678" w:rsidTr="00C15678">
        <w:tc>
          <w:tcPr>
            <w:tcW w:w="2503" w:type="dxa"/>
          </w:tcPr>
          <w:p w:rsidR="00C15678" w:rsidRPr="001D318A" w:rsidRDefault="00C15678" w:rsidP="00C353CB">
            <w:pPr>
              <w:pStyle w:val="CGCTableStub"/>
              <w:spacing w:before="0" w:after="0"/>
              <w:rPr>
                <w:rFonts w:cstheme="minorHAnsi"/>
              </w:rPr>
            </w:pPr>
          </w:p>
        </w:tc>
        <w:tc>
          <w:tcPr>
            <w:tcW w:w="6629" w:type="dxa"/>
          </w:tcPr>
          <w:p w:rsidR="00C15678" w:rsidRPr="001D318A" w:rsidRDefault="00FC6AF3" w:rsidP="00905CE2">
            <w:pPr>
              <w:pStyle w:val="ListParagraph"/>
              <w:keepNext/>
              <w:keepLines/>
              <w:numPr>
                <w:ilvl w:val="0"/>
                <w:numId w:val="18"/>
              </w:numPr>
              <w:spacing w:after="0" w:line="240" w:lineRule="auto"/>
              <w:ind w:left="339" w:hanging="339"/>
              <w:rPr>
                <w:sz w:val="20"/>
                <w:szCs w:val="20"/>
              </w:rPr>
            </w:pPr>
            <w:r>
              <w:rPr>
                <w:sz w:val="20"/>
                <w:szCs w:val="20"/>
              </w:rPr>
              <w:t xml:space="preserve">50% of Commonwealth payments for projects the Department of Infrastructure and Regional Development advised affected the national rail network </w:t>
            </w:r>
            <w:r w:rsidR="00905CE2">
              <w:rPr>
                <w:sz w:val="20"/>
                <w:szCs w:val="20"/>
              </w:rPr>
              <w:t>have been</w:t>
            </w:r>
            <w:r>
              <w:rPr>
                <w:sz w:val="20"/>
                <w:szCs w:val="20"/>
              </w:rPr>
              <w:t xml:space="preserve"> treated so that they had no effect on the GST distribution.</w:t>
            </w:r>
          </w:p>
        </w:tc>
      </w:tr>
      <w:tr w:rsidR="00FC6AF3" w:rsidTr="00C15678">
        <w:tc>
          <w:tcPr>
            <w:tcW w:w="2503" w:type="dxa"/>
          </w:tcPr>
          <w:p w:rsidR="00FC6AF3" w:rsidRPr="001D318A" w:rsidRDefault="00FC6AF3" w:rsidP="00C353CB">
            <w:pPr>
              <w:pStyle w:val="CGCTableStub"/>
              <w:spacing w:before="0" w:after="0"/>
              <w:rPr>
                <w:rFonts w:cstheme="minorHAnsi"/>
              </w:rPr>
            </w:pPr>
            <w:r w:rsidRPr="001D318A">
              <w:rPr>
                <w:rFonts w:cstheme="minorHAnsi"/>
              </w:rPr>
              <w:t>Net borrowing</w:t>
            </w:r>
          </w:p>
        </w:tc>
        <w:tc>
          <w:tcPr>
            <w:tcW w:w="6629" w:type="dxa"/>
          </w:tcPr>
          <w:p w:rsidR="00FC6AF3" w:rsidRDefault="00FC6AF3" w:rsidP="00C353CB">
            <w:pPr>
              <w:pStyle w:val="ListParagraph"/>
              <w:keepNext/>
              <w:keepLines/>
              <w:numPr>
                <w:ilvl w:val="0"/>
                <w:numId w:val="18"/>
              </w:numPr>
              <w:spacing w:after="0" w:line="240" w:lineRule="auto"/>
              <w:ind w:left="339" w:hanging="339"/>
              <w:rPr>
                <w:sz w:val="20"/>
                <w:szCs w:val="20"/>
              </w:rPr>
            </w:pPr>
            <w:r w:rsidRPr="001D318A">
              <w:rPr>
                <w:sz w:val="20"/>
                <w:szCs w:val="20"/>
              </w:rPr>
              <w:t xml:space="preserve">The 25% discount on this assessment has been </w:t>
            </w:r>
            <w:r>
              <w:rPr>
                <w:sz w:val="20"/>
                <w:szCs w:val="20"/>
              </w:rPr>
              <w:t>reduced to 12.5% instead of being removed entirely.</w:t>
            </w:r>
          </w:p>
        </w:tc>
      </w:tr>
      <w:tr w:rsidR="00FC6AF3" w:rsidTr="00C15678">
        <w:tc>
          <w:tcPr>
            <w:tcW w:w="2503" w:type="dxa"/>
          </w:tcPr>
          <w:p w:rsidR="00FC6AF3" w:rsidRPr="001D318A" w:rsidRDefault="00FC6AF3" w:rsidP="00C353CB">
            <w:pPr>
              <w:pStyle w:val="CGCTableStub"/>
              <w:spacing w:before="0" w:after="0"/>
              <w:rPr>
                <w:rFonts w:cstheme="minorHAnsi"/>
              </w:rPr>
            </w:pPr>
            <w:r w:rsidRPr="001D318A">
              <w:rPr>
                <w:rFonts w:cstheme="minorHAnsi"/>
              </w:rPr>
              <w:t>Regional costs</w:t>
            </w:r>
          </w:p>
        </w:tc>
        <w:tc>
          <w:tcPr>
            <w:tcW w:w="6629" w:type="dxa"/>
          </w:tcPr>
          <w:p w:rsidR="00FC6AF3" w:rsidRDefault="00FC6AF3" w:rsidP="00905CE2">
            <w:pPr>
              <w:pStyle w:val="ListParagraph"/>
              <w:keepNext/>
              <w:keepLines/>
              <w:numPr>
                <w:ilvl w:val="0"/>
                <w:numId w:val="18"/>
              </w:numPr>
              <w:spacing w:after="0" w:line="240" w:lineRule="auto"/>
              <w:ind w:left="339" w:hanging="339"/>
              <w:rPr>
                <w:sz w:val="20"/>
                <w:szCs w:val="20"/>
              </w:rPr>
            </w:pPr>
            <w:r w:rsidRPr="001D318A">
              <w:rPr>
                <w:sz w:val="20"/>
                <w:szCs w:val="20"/>
              </w:rPr>
              <w:t>For</w:t>
            </w:r>
            <w:r>
              <w:rPr>
                <w:sz w:val="20"/>
                <w:szCs w:val="20"/>
              </w:rPr>
              <w:t xml:space="preserve"> categories other than Justice</w:t>
            </w:r>
            <w:r w:rsidRPr="001D318A">
              <w:rPr>
                <w:sz w:val="20"/>
                <w:szCs w:val="20"/>
              </w:rPr>
              <w:t>, where a regional cost disability is assessed, the general gradient has been applied</w:t>
            </w:r>
            <w:r w:rsidR="00905CE2">
              <w:rPr>
                <w:sz w:val="20"/>
                <w:szCs w:val="20"/>
              </w:rPr>
              <w:t>.</w:t>
            </w:r>
            <w:r w:rsidRPr="001D318A">
              <w:rPr>
                <w:sz w:val="20"/>
                <w:szCs w:val="20"/>
              </w:rPr>
              <w:t xml:space="preserve"> </w:t>
            </w:r>
            <w:r w:rsidR="00905CE2">
              <w:rPr>
                <w:sz w:val="20"/>
                <w:szCs w:val="20"/>
              </w:rPr>
              <w:t>T</w:t>
            </w:r>
            <w:r w:rsidRPr="001D318A">
              <w:rPr>
                <w:sz w:val="20"/>
                <w:szCs w:val="20"/>
              </w:rPr>
              <w:t>his is the average of the police and schools gradient</w:t>
            </w:r>
            <w:r>
              <w:rPr>
                <w:sz w:val="20"/>
                <w:szCs w:val="20"/>
              </w:rPr>
              <w:t>, discounted by 25%</w:t>
            </w:r>
            <w:r w:rsidRPr="001D318A">
              <w:rPr>
                <w:sz w:val="20"/>
                <w:szCs w:val="20"/>
              </w:rPr>
              <w:t>.</w:t>
            </w:r>
          </w:p>
        </w:tc>
      </w:tr>
      <w:tr w:rsidR="00FC6AF3" w:rsidTr="00C15678">
        <w:tc>
          <w:tcPr>
            <w:tcW w:w="2503" w:type="dxa"/>
          </w:tcPr>
          <w:p w:rsidR="00FC6AF3" w:rsidRPr="001D318A" w:rsidRDefault="00FC6AF3" w:rsidP="00C353CB">
            <w:pPr>
              <w:pStyle w:val="CGCTableStub"/>
              <w:spacing w:before="0" w:after="0"/>
              <w:rPr>
                <w:rFonts w:cstheme="minorHAnsi"/>
              </w:rPr>
            </w:pPr>
            <w:r w:rsidRPr="007D797B">
              <w:rPr>
                <w:rFonts w:cstheme="minorHAnsi"/>
              </w:rPr>
              <w:t>Wage costs</w:t>
            </w:r>
          </w:p>
        </w:tc>
        <w:tc>
          <w:tcPr>
            <w:tcW w:w="6629" w:type="dxa"/>
          </w:tcPr>
          <w:p w:rsidR="00FC6AF3" w:rsidRDefault="00FC6AF3" w:rsidP="00C353CB">
            <w:pPr>
              <w:pStyle w:val="ListParagraph"/>
              <w:keepNext/>
              <w:keepLines/>
              <w:numPr>
                <w:ilvl w:val="0"/>
                <w:numId w:val="18"/>
              </w:numPr>
              <w:spacing w:after="0" w:line="240" w:lineRule="auto"/>
              <w:ind w:left="339" w:hanging="339"/>
              <w:rPr>
                <w:sz w:val="20"/>
                <w:szCs w:val="20"/>
              </w:rPr>
            </w:pPr>
            <w:r w:rsidRPr="007D797B">
              <w:rPr>
                <w:sz w:val="20"/>
                <w:szCs w:val="20"/>
              </w:rPr>
              <w:t>No change</w:t>
            </w:r>
            <w:r w:rsidR="00905CE2">
              <w:rPr>
                <w:sz w:val="20"/>
                <w:szCs w:val="20"/>
              </w:rPr>
              <w:t>.</w:t>
            </w:r>
          </w:p>
        </w:tc>
      </w:tr>
      <w:tr w:rsidR="00FC6AF3" w:rsidTr="00C15678">
        <w:tc>
          <w:tcPr>
            <w:tcW w:w="2503" w:type="dxa"/>
          </w:tcPr>
          <w:p w:rsidR="00FC6AF3" w:rsidRPr="001D318A" w:rsidRDefault="00FC6AF3" w:rsidP="00C353CB">
            <w:pPr>
              <w:pStyle w:val="CGCTableStub"/>
              <w:spacing w:before="0" w:after="0"/>
              <w:rPr>
                <w:rFonts w:cstheme="minorHAnsi"/>
              </w:rPr>
            </w:pPr>
            <w:r>
              <w:rPr>
                <w:rFonts w:cstheme="minorHAnsi"/>
              </w:rPr>
              <w:t>Location adjustment</w:t>
            </w:r>
          </w:p>
        </w:tc>
        <w:tc>
          <w:tcPr>
            <w:tcW w:w="6629" w:type="dxa"/>
          </w:tcPr>
          <w:p w:rsidR="00FC6AF3" w:rsidRPr="00A71D74" w:rsidRDefault="00FC6AF3" w:rsidP="00905CE2">
            <w:pPr>
              <w:pStyle w:val="ListParagraph"/>
              <w:keepNext/>
              <w:keepLines/>
              <w:numPr>
                <w:ilvl w:val="0"/>
                <w:numId w:val="18"/>
              </w:numPr>
              <w:spacing w:after="0" w:line="240" w:lineRule="auto"/>
              <w:ind w:left="339" w:hanging="339"/>
              <w:rPr>
                <w:sz w:val="20"/>
                <w:szCs w:val="20"/>
              </w:rPr>
            </w:pPr>
            <w:r w:rsidRPr="00A71D74">
              <w:rPr>
                <w:sz w:val="20"/>
                <w:szCs w:val="20"/>
              </w:rPr>
              <w:t xml:space="preserve">A location adjustment </w:t>
            </w:r>
            <w:r w:rsidR="00905CE2">
              <w:rPr>
                <w:sz w:val="20"/>
                <w:szCs w:val="20"/>
              </w:rPr>
              <w:t xml:space="preserve">has been included to </w:t>
            </w:r>
            <w:r w:rsidRPr="00A71D74">
              <w:rPr>
                <w:sz w:val="20"/>
                <w:szCs w:val="20"/>
              </w:rPr>
              <w:t>recognise needs for Western Australia, Tasmania, the ACT and the Northern Territory not previously recognised</w:t>
            </w:r>
            <w:r w:rsidR="00905CE2">
              <w:rPr>
                <w:sz w:val="20"/>
                <w:szCs w:val="20"/>
              </w:rPr>
              <w:t>.</w:t>
            </w:r>
          </w:p>
        </w:tc>
      </w:tr>
      <w:tr w:rsidR="00FC6AF3" w:rsidTr="00C15678">
        <w:tc>
          <w:tcPr>
            <w:tcW w:w="2503" w:type="dxa"/>
          </w:tcPr>
          <w:p w:rsidR="00FC6AF3" w:rsidRPr="001D318A" w:rsidRDefault="00FC6AF3" w:rsidP="00C353CB">
            <w:pPr>
              <w:pStyle w:val="CGCTableStub"/>
              <w:spacing w:before="0" w:after="0"/>
              <w:rPr>
                <w:rFonts w:cstheme="minorHAnsi"/>
              </w:rPr>
            </w:pPr>
            <w:r>
              <w:rPr>
                <w:rFonts w:cstheme="minorHAnsi"/>
              </w:rPr>
              <w:t>Service delivery scale</w:t>
            </w:r>
          </w:p>
        </w:tc>
        <w:tc>
          <w:tcPr>
            <w:tcW w:w="6629" w:type="dxa"/>
          </w:tcPr>
          <w:p w:rsidR="00FC6AF3" w:rsidRPr="00A71D74" w:rsidRDefault="00FC6AF3" w:rsidP="00C353CB">
            <w:pPr>
              <w:pStyle w:val="ListParagraph"/>
              <w:keepNext/>
              <w:keepLines/>
              <w:numPr>
                <w:ilvl w:val="0"/>
                <w:numId w:val="18"/>
              </w:numPr>
              <w:spacing w:after="0" w:line="240" w:lineRule="auto"/>
              <w:ind w:left="339" w:hanging="339"/>
              <w:rPr>
                <w:sz w:val="20"/>
                <w:szCs w:val="20"/>
              </w:rPr>
            </w:pPr>
            <w:r w:rsidRPr="00A71D74">
              <w:rPr>
                <w:sz w:val="20"/>
                <w:szCs w:val="20"/>
              </w:rPr>
              <w:t>Now applied in services to Communities – Small communities utilities subsidies</w:t>
            </w:r>
            <w:r w:rsidR="00905CE2">
              <w:rPr>
                <w:sz w:val="20"/>
                <w:szCs w:val="20"/>
              </w:rPr>
              <w:t>.</w:t>
            </w:r>
          </w:p>
        </w:tc>
      </w:tr>
      <w:tr w:rsidR="00FC6AF3" w:rsidTr="00C15678">
        <w:tc>
          <w:tcPr>
            <w:tcW w:w="2503" w:type="dxa"/>
          </w:tcPr>
          <w:p w:rsidR="00FC6AF3" w:rsidRPr="001D318A" w:rsidRDefault="00FC6AF3" w:rsidP="00C353CB">
            <w:pPr>
              <w:pStyle w:val="CGCTableStub"/>
              <w:spacing w:before="0" w:after="0"/>
              <w:rPr>
                <w:rFonts w:cstheme="minorHAnsi"/>
              </w:rPr>
            </w:pPr>
            <w:r>
              <w:rPr>
                <w:rFonts w:cstheme="minorHAnsi"/>
              </w:rPr>
              <w:t>Indigenous status</w:t>
            </w:r>
          </w:p>
        </w:tc>
        <w:tc>
          <w:tcPr>
            <w:tcW w:w="6629" w:type="dxa"/>
          </w:tcPr>
          <w:p w:rsidR="00FC6AF3" w:rsidRPr="00A71D74" w:rsidRDefault="00A71D74" w:rsidP="00C353CB">
            <w:pPr>
              <w:pStyle w:val="ListParagraph"/>
              <w:keepNext/>
              <w:keepLines/>
              <w:numPr>
                <w:ilvl w:val="0"/>
                <w:numId w:val="18"/>
              </w:numPr>
              <w:spacing w:after="0" w:line="240" w:lineRule="auto"/>
              <w:ind w:left="339" w:hanging="339"/>
              <w:rPr>
                <w:sz w:val="20"/>
                <w:szCs w:val="20"/>
              </w:rPr>
            </w:pPr>
            <w:r w:rsidRPr="00A71D74">
              <w:rPr>
                <w:sz w:val="20"/>
                <w:szCs w:val="20"/>
              </w:rPr>
              <w:t>No change</w:t>
            </w:r>
            <w:r w:rsidR="00905CE2">
              <w:rPr>
                <w:sz w:val="20"/>
                <w:szCs w:val="20"/>
              </w:rPr>
              <w:t>.</w:t>
            </w:r>
          </w:p>
        </w:tc>
      </w:tr>
      <w:tr w:rsidR="00C15678" w:rsidTr="00C15678">
        <w:tc>
          <w:tcPr>
            <w:tcW w:w="2503" w:type="dxa"/>
            <w:tcBorders>
              <w:bottom w:val="single" w:sz="4" w:space="0" w:color="auto"/>
            </w:tcBorders>
          </w:tcPr>
          <w:p w:rsidR="00C15678" w:rsidRPr="001D318A" w:rsidRDefault="00FC6AF3" w:rsidP="00C353CB">
            <w:pPr>
              <w:pStyle w:val="CGCTableStub"/>
              <w:spacing w:before="0" w:after="0"/>
              <w:rPr>
                <w:rFonts w:cstheme="minorHAnsi"/>
              </w:rPr>
            </w:pPr>
            <w:r>
              <w:rPr>
                <w:rFonts w:cstheme="minorHAnsi"/>
              </w:rPr>
              <w:t>Cultural and linguistic diversity</w:t>
            </w:r>
          </w:p>
        </w:tc>
        <w:tc>
          <w:tcPr>
            <w:tcW w:w="6629" w:type="dxa"/>
            <w:tcBorders>
              <w:bottom w:val="single" w:sz="4" w:space="0" w:color="auto"/>
            </w:tcBorders>
          </w:tcPr>
          <w:p w:rsidR="00C15678" w:rsidRPr="001D318A" w:rsidRDefault="00FC6AF3" w:rsidP="00C353CB">
            <w:pPr>
              <w:pStyle w:val="ListParagraph"/>
              <w:keepNext/>
              <w:keepLines/>
              <w:numPr>
                <w:ilvl w:val="0"/>
                <w:numId w:val="18"/>
              </w:numPr>
              <w:spacing w:after="0" w:line="240" w:lineRule="auto"/>
              <w:ind w:left="339" w:hanging="339"/>
              <w:rPr>
                <w:sz w:val="20"/>
                <w:szCs w:val="20"/>
              </w:rPr>
            </w:pPr>
            <w:r w:rsidRPr="007D797B">
              <w:rPr>
                <w:sz w:val="20"/>
                <w:szCs w:val="20"/>
              </w:rPr>
              <w:t>No change</w:t>
            </w:r>
            <w:r w:rsidR="00905CE2">
              <w:rPr>
                <w:sz w:val="20"/>
                <w:szCs w:val="20"/>
              </w:rPr>
              <w:t>.</w:t>
            </w:r>
          </w:p>
        </w:tc>
      </w:tr>
    </w:tbl>
    <w:p w:rsidR="00695082" w:rsidRDefault="00695082" w:rsidP="00C353CB">
      <w:pPr>
        <w:pStyle w:val="CGCTableFootnote"/>
        <w:keepNext/>
        <w:keepLines/>
      </w:pPr>
      <w:r>
        <w:t>Note:</w:t>
      </w:r>
      <w:r>
        <w:tab/>
        <w:t>Acronyms used in this table are spelt out in the relevant chapters</w:t>
      </w:r>
      <w:r w:rsidR="007D797B">
        <w:t xml:space="preserve"> of the Final Report</w:t>
      </w:r>
      <w:r>
        <w:t>.</w:t>
      </w:r>
    </w:p>
    <w:p w:rsidR="00695082" w:rsidRDefault="00695082" w:rsidP="00C353CB">
      <w:pPr>
        <w:pStyle w:val="CGCTableFootnote"/>
        <w:keepNext/>
        <w:keepLines/>
      </w:pPr>
      <w:r>
        <w:t>Source:</w:t>
      </w:r>
      <w:r>
        <w:tab/>
        <w:t>Commission decisions.</w:t>
      </w:r>
    </w:p>
    <w:p w:rsidR="00695082" w:rsidRPr="00C21EF9" w:rsidRDefault="00695082" w:rsidP="00695082"/>
    <w:p w:rsidR="000F6176" w:rsidRPr="000F6176" w:rsidRDefault="000F6176" w:rsidP="000F6176">
      <w:pPr>
        <w:pStyle w:val="CGCNumberedPara"/>
        <w:numPr>
          <w:ilvl w:val="0"/>
          <w:numId w:val="0"/>
        </w:numPr>
      </w:pPr>
    </w:p>
    <w:sectPr w:rsidR="000F6176" w:rsidRPr="000F6176" w:rsidSect="009844EA">
      <w:footerReference w:type="default" r:id="rId12"/>
      <w:footerReference w:type="first" r:id="rId13"/>
      <w:pgSz w:w="11906" w:h="16838" w:code="9"/>
      <w:pgMar w:top="1701" w:right="1474" w:bottom="1701"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93" w:rsidRDefault="008B7893" w:rsidP="00410163">
      <w:pPr>
        <w:spacing w:after="0" w:line="240" w:lineRule="auto"/>
      </w:pPr>
      <w:r>
        <w:separator/>
      </w:r>
    </w:p>
  </w:endnote>
  <w:endnote w:type="continuationSeparator" w:id="0">
    <w:p w:rsidR="008B7893" w:rsidRDefault="008B7893" w:rsidP="0041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4D" w:rsidRPr="00875C0F" w:rsidRDefault="00BE794D" w:rsidP="00875C0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07996343"/>
      <w:docPartObj>
        <w:docPartGallery w:val="Page Numbers (Bottom of Page)"/>
        <w:docPartUnique/>
      </w:docPartObj>
    </w:sdtPr>
    <w:sdtEndPr/>
    <w:sdtContent>
      <w:p w:rsidR="00BE794D" w:rsidRPr="00875C0F" w:rsidRDefault="00BE794D" w:rsidP="00705CE4">
        <w:pPr>
          <w:pStyle w:val="Footer"/>
          <w:rPr>
            <w:sz w:val="20"/>
            <w:szCs w:val="20"/>
          </w:rPr>
        </w:pPr>
        <w:r w:rsidRPr="00875C0F">
          <w:rPr>
            <w:snapToGrid w:val="0"/>
            <w:sz w:val="20"/>
            <w:szCs w:val="20"/>
          </w:rPr>
          <w:fldChar w:fldCharType="begin"/>
        </w:r>
        <w:r w:rsidRPr="00875C0F">
          <w:rPr>
            <w:snapToGrid w:val="0"/>
            <w:sz w:val="20"/>
            <w:szCs w:val="20"/>
          </w:rPr>
          <w:instrText xml:space="preserve"> FILENAME \p </w:instrText>
        </w:r>
        <w:r w:rsidRPr="00875C0F">
          <w:rPr>
            <w:snapToGrid w:val="0"/>
            <w:sz w:val="20"/>
            <w:szCs w:val="20"/>
          </w:rPr>
          <w:fldChar w:fldCharType="separate"/>
        </w:r>
        <w:r w:rsidR="00EF572F">
          <w:rPr>
            <w:noProof/>
            <w:snapToGrid w:val="0"/>
            <w:sz w:val="20"/>
            <w:szCs w:val="20"/>
          </w:rPr>
          <w:t>\\cgcna01\I_drive\R2015\Discussion papers\Drafts\CGC 2015-01-S Main method changes since the Draft Report.docx</w:t>
        </w:r>
        <w:r w:rsidRPr="00875C0F">
          <w:rPr>
            <w:snapToGrid w:val="0"/>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63" w:rsidRPr="00410163" w:rsidRDefault="00410163" w:rsidP="00410163">
    <w:pPr>
      <w:pStyle w:val="Footer"/>
      <w:tabs>
        <w:tab w:val="clear" w:pos="4513"/>
        <w:tab w:val="right" w:pos="8931"/>
      </w:tabs>
      <w:rPr>
        <w:rFonts w:cstheme="minorHAnsi"/>
      </w:rPr>
    </w:pPr>
    <w:r w:rsidRPr="00410163">
      <w:rPr>
        <w:rFonts w:cstheme="minorHAnsi"/>
      </w:rPr>
      <w:ptab w:relativeTo="margin" w:alignment="center" w:leader="none"/>
    </w:r>
    <w:r w:rsidRPr="00410163">
      <w:rPr>
        <w:rFonts w:cstheme="minorHAnsi"/>
      </w:rPr>
      <w:ptab w:relativeTo="margin" w:alignment="right" w:leader="none"/>
    </w:r>
    <w:r>
      <w:rPr>
        <w:rFonts w:cstheme="minorHAnsi"/>
      </w:rPr>
      <w:fldChar w:fldCharType="begin"/>
    </w:r>
    <w:r>
      <w:rPr>
        <w:rFonts w:cstheme="minorHAnsi"/>
      </w:rPr>
      <w:instrText xml:space="preserve"> PAGE \* MERGEFORMAT </w:instrText>
    </w:r>
    <w:r>
      <w:rPr>
        <w:rFonts w:cstheme="minorHAnsi"/>
      </w:rPr>
      <w:fldChar w:fldCharType="separate"/>
    </w:r>
    <w:r w:rsidR="00361918">
      <w:rPr>
        <w:rFonts w:cstheme="minorHAnsi"/>
        <w:noProof/>
      </w:rPr>
      <w:t>4</w:t>
    </w:r>
    <w:r>
      <w:rPr>
        <w:rFonts w:cstheme="minorHAns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63" w:rsidRDefault="00410163" w:rsidP="00410163">
    <w:pPr>
      <w:pStyle w:val="Footer"/>
      <w:tabs>
        <w:tab w:val="clear" w:pos="4513"/>
      </w:tabs>
    </w:pPr>
    <w:r>
      <w:tab/>
    </w:r>
    <w:r>
      <w:fldChar w:fldCharType="begin"/>
    </w:r>
    <w:r>
      <w:instrText xml:space="preserve"> PAGE \* MERGEFORMAT </w:instrText>
    </w:r>
    <w:r>
      <w:fldChar w:fldCharType="separate"/>
    </w:r>
    <w:r w:rsidR="0036191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93" w:rsidRDefault="008B7893" w:rsidP="00410163">
      <w:pPr>
        <w:spacing w:after="0" w:line="240" w:lineRule="auto"/>
      </w:pPr>
      <w:r>
        <w:separator/>
      </w:r>
    </w:p>
  </w:footnote>
  <w:footnote w:type="continuationSeparator" w:id="0">
    <w:p w:rsidR="008B7893" w:rsidRDefault="008B7893" w:rsidP="00410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E03038"/>
    <w:lvl w:ilvl="0">
      <w:start w:val="1"/>
      <w:numFmt w:val="decimal"/>
      <w:lvlText w:val="%1."/>
      <w:lvlJc w:val="left"/>
      <w:pPr>
        <w:tabs>
          <w:tab w:val="num" w:pos="1492"/>
        </w:tabs>
        <w:ind w:left="1492" w:hanging="360"/>
      </w:pPr>
    </w:lvl>
  </w:abstractNum>
  <w:abstractNum w:abstractNumId="1">
    <w:nsid w:val="FFFFFF7D"/>
    <w:multiLevelType w:val="singleLevel"/>
    <w:tmpl w:val="B42A3D7C"/>
    <w:lvl w:ilvl="0">
      <w:start w:val="1"/>
      <w:numFmt w:val="decimal"/>
      <w:lvlText w:val="%1."/>
      <w:lvlJc w:val="left"/>
      <w:pPr>
        <w:tabs>
          <w:tab w:val="num" w:pos="1209"/>
        </w:tabs>
        <w:ind w:left="1209" w:hanging="360"/>
      </w:pPr>
    </w:lvl>
  </w:abstractNum>
  <w:abstractNum w:abstractNumId="2">
    <w:nsid w:val="FFFFFF7E"/>
    <w:multiLevelType w:val="singleLevel"/>
    <w:tmpl w:val="126E6FF2"/>
    <w:lvl w:ilvl="0">
      <w:start w:val="1"/>
      <w:numFmt w:val="decimal"/>
      <w:lvlText w:val="%1."/>
      <w:lvlJc w:val="left"/>
      <w:pPr>
        <w:tabs>
          <w:tab w:val="num" w:pos="926"/>
        </w:tabs>
        <w:ind w:left="926" w:hanging="360"/>
      </w:pPr>
    </w:lvl>
  </w:abstractNum>
  <w:abstractNum w:abstractNumId="3">
    <w:nsid w:val="FFFFFF7F"/>
    <w:multiLevelType w:val="singleLevel"/>
    <w:tmpl w:val="A392BDCA"/>
    <w:lvl w:ilvl="0">
      <w:start w:val="1"/>
      <w:numFmt w:val="decimal"/>
      <w:lvlText w:val="%1."/>
      <w:lvlJc w:val="left"/>
      <w:pPr>
        <w:tabs>
          <w:tab w:val="num" w:pos="643"/>
        </w:tabs>
        <w:ind w:left="643" w:hanging="360"/>
      </w:pPr>
    </w:lvl>
  </w:abstractNum>
  <w:abstractNum w:abstractNumId="4">
    <w:nsid w:val="FFFFFF80"/>
    <w:multiLevelType w:val="singleLevel"/>
    <w:tmpl w:val="4D120C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6018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22AB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6E3E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128486"/>
    <w:lvl w:ilvl="0">
      <w:start w:val="1"/>
      <w:numFmt w:val="decimal"/>
      <w:lvlText w:val="%1."/>
      <w:lvlJc w:val="left"/>
      <w:pPr>
        <w:tabs>
          <w:tab w:val="num" w:pos="360"/>
        </w:tabs>
        <w:ind w:left="360" w:hanging="360"/>
      </w:pPr>
    </w:lvl>
  </w:abstractNum>
  <w:abstractNum w:abstractNumId="9">
    <w:nsid w:val="FFFFFF89"/>
    <w:multiLevelType w:val="singleLevel"/>
    <w:tmpl w:val="C4104514"/>
    <w:lvl w:ilvl="0">
      <w:start w:val="1"/>
      <w:numFmt w:val="bullet"/>
      <w:lvlText w:val=""/>
      <w:lvlJc w:val="left"/>
      <w:pPr>
        <w:tabs>
          <w:tab w:val="num" w:pos="360"/>
        </w:tabs>
        <w:ind w:left="360" w:hanging="360"/>
      </w:pPr>
      <w:rPr>
        <w:rFonts w:ascii="Symbol" w:hAnsi="Symbol" w:hint="default"/>
      </w:rPr>
    </w:lvl>
  </w:abstractNum>
  <w:abstractNum w:abstractNumId="1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9661824"/>
    <w:multiLevelType w:val="hybridMultilevel"/>
    <w:tmpl w:val="ED6AA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7A6023"/>
    <w:multiLevelType w:val="hybridMultilevel"/>
    <w:tmpl w:val="1262912E"/>
    <w:lvl w:ilvl="0" w:tplc="9B9083DC">
      <w:start w:val="1"/>
      <w:numFmt w:val="lowerRoman"/>
      <w:pStyle w:val="CGCNumeralList"/>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D517EA6"/>
    <w:multiLevelType w:val="multilevel"/>
    <w:tmpl w:val="2D22BA72"/>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5">
    <w:nsid w:val="77D62F87"/>
    <w:multiLevelType w:val="hybridMultilevel"/>
    <w:tmpl w:val="E454F9EC"/>
    <w:lvl w:ilvl="0" w:tplc="80F48E56">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5"/>
  </w:num>
  <w:num w:numId="15">
    <w:abstractNumId w:val="13"/>
  </w:num>
  <w:num w:numId="16">
    <w:abstractNumId w:val="12"/>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93"/>
    <w:rsid w:val="00001731"/>
    <w:rsid w:val="000F6176"/>
    <w:rsid w:val="00144676"/>
    <w:rsid w:val="002351F8"/>
    <w:rsid w:val="00266164"/>
    <w:rsid w:val="00267A1A"/>
    <w:rsid w:val="00345E3F"/>
    <w:rsid w:val="00361918"/>
    <w:rsid w:val="00383390"/>
    <w:rsid w:val="00386147"/>
    <w:rsid w:val="003E0C86"/>
    <w:rsid w:val="003F3FED"/>
    <w:rsid w:val="00401267"/>
    <w:rsid w:val="0040562E"/>
    <w:rsid w:val="00410163"/>
    <w:rsid w:val="004157EA"/>
    <w:rsid w:val="00484FBC"/>
    <w:rsid w:val="00512424"/>
    <w:rsid w:val="005F15D6"/>
    <w:rsid w:val="00695082"/>
    <w:rsid w:val="006C65C2"/>
    <w:rsid w:val="007D797B"/>
    <w:rsid w:val="00872071"/>
    <w:rsid w:val="008B7893"/>
    <w:rsid w:val="00905CE2"/>
    <w:rsid w:val="009844EA"/>
    <w:rsid w:val="009D0CE9"/>
    <w:rsid w:val="009E6F1D"/>
    <w:rsid w:val="00A25FA6"/>
    <w:rsid w:val="00A71D74"/>
    <w:rsid w:val="00AB6E49"/>
    <w:rsid w:val="00AD1999"/>
    <w:rsid w:val="00B5214A"/>
    <w:rsid w:val="00B61C9C"/>
    <w:rsid w:val="00BD1799"/>
    <w:rsid w:val="00BE794D"/>
    <w:rsid w:val="00C15678"/>
    <w:rsid w:val="00C353CB"/>
    <w:rsid w:val="00CA43F9"/>
    <w:rsid w:val="00CE05AE"/>
    <w:rsid w:val="00E202E2"/>
    <w:rsid w:val="00E92226"/>
    <w:rsid w:val="00EF572F"/>
    <w:rsid w:val="00F81390"/>
    <w:rsid w:val="00FA3ECB"/>
    <w:rsid w:val="00FC6AF3"/>
    <w:rsid w:val="00FC7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80"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unhideWhenUsed="0"/>
    <w:lsdException w:name="heading 8" w:uiPriority="9" w:unhideWhenUsed="0"/>
    <w:lsdException w:name="heading 9"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E794D"/>
    <w:pPr>
      <w:tabs>
        <w:tab w:val="left" w:pos="567"/>
      </w:tabs>
    </w:pPr>
    <w:rPr>
      <w:sz w:val="24"/>
      <w:szCs w:val="24"/>
    </w:rPr>
  </w:style>
  <w:style w:type="paragraph" w:styleId="Heading1">
    <w:name w:val="heading 1"/>
    <w:basedOn w:val="Normal"/>
    <w:next w:val="Heading2"/>
    <w:link w:val="Heading1Char"/>
    <w:qFormat/>
    <w:rsid w:val="000F6176"/>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qFormat/>
    <w:rsid w:val="000F6176"/>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qFormat/>
    <w:rsid w:val="00BD1799"/>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qFormat/>
    <w:rsid w:val="00BD1799"/>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BD1799"/>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AD1999"/>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00173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84FBC"/>
    <w:rPr>
      <w:rFonts w:eastAsiaTheme="majorEastAsia" w:cstheme="majorBidi"/>
      <w:b/>
      <w:i/>
      <w:iCs/>
      <w:color w:val="2C8558"/>
      <w:sz w:val="28"/>
    </w:rPr>
  </w:style>
  <w:style w:type="character" w:customStyle="1" w:styleId="Heading1Char">
    <w:name w:val="Heading 1 Char"/>
    <w:basedOn w:val="DefaultParagraphFont"/>
    <w:link w:val="Heading1"/>
    <w:rsid w:val="000F6176"/>
    <w:rPr>
      <w:rFonts w:eastAsiaTheme="majorEastAsia" w:cstheme="majorBidi"/>
      <w:b/>
      <w:bCs/>
      <w:caps/>
      <w:color w:val="2C8558"/>
      <w:sz w:val="40"/>
      <w:szCs w:val="28"/>
    </w:rPr>
  </w:style>
  <w:style w:type="character" w:customStyle="1" w:styleId="Heading7Char">
    <w:name w:val="Heading 7 Char"/>
    <w:basedOn w:val="DefaultParagraphFont"/>
    <w:link w:val="Heading7"/>
    <w:uiPriority w:val="9"/>
    <w:semiHidden/>
    <w:rsid w:val="00001731"/>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rsid w:val="000F6176"/>
    <w:rPr>
      <w:rFonts w:eastAsiaTheme="majorEastAsia" w:cstheme="majorBidi"/>
      <w:b/>
      <w:bCs/>
      <w:caps/>
      <w:color w:val="2C8558"/>
      <w:sz w:val="40"/>
      <w:szCs w:val="26"/>
    </w:rPr>
  </w:style>
  <w:style w:type="character" w:customStyle="1" w:styleId="Heading3Char">
    <w:name w:val="Heading 3 Char"/>
    <w:basedOn w:val="DefaultParagraphFont"/>
    <w:link w:val="Heading3"/>
    <w:rsid w:val="00484FBC"/>
    <w:rPr>
      <w:rFonts w:eastAsiaTheme="majorEastAsia" w:cstheme="majorBidi"/>
      <w:b/>
      <w:bCs/>
      <w:caps/>
      <w:color w:val="2C8558"/>
      <w:sz w:val="32"/>
    </w:rPr>
  </w:style>
  <w:style w:type="character" w:customStyle="1" w:styleId="Heading4Char">
    <w:name w:val="Heading 4 Char"/>
    <w:basedOn w:val="DefaultParagraphFont"/>
    <w:link w:val="Heading4"/>
    <w:rsid w:val="00484FBC"/>
    <w:rPr>
      <w:rFonts w:eastAsiaTheme="majorEastAsia" w:cstheme="majorBidi"/>
      <w:b/>
      <w:bCs/>
      <w:iCs/>
      <w:color w:val="2C8558"/>
      <w:sz w:val="32"/>
    </w:rPr>
  </w:style>
  <w:style w:type="character" w:customStyle="1" w:styleId="Heading5Char">
    <w:name w:val="Heading 5 Char"/>
    <w:basedOn w:val="DefaultParagraphFont"/>
    <w:link w:val="Heading5"/>
    <w:uiPriority w:val="9"/>
    <w:rsid w:val="00484FBC"/>
    <w:rPr>
      <w:rFonts w:eastAsiaTheme="majorEastAsia" w:cstheme="majorBidi"/>
      <w:b/>
      <w:i/>
      <w:color w:val="2C8558"/>
      <w:sz w:val="28"/>
    </w:rPr>
  </w:style>
  <w:style w:type="paragraph" w:customStyle="1" w:styleId="CGCBulletlist">
    <w:name w:val="CGC Bullet list"/>
    <w:aliases w:val="CGC List 1"/>
    <w:basedOn w:val="Normal"/>
    <w:qFormat/>
    <w:rsid w:val="00CE05AE"/>
    <w:pPr>
      <w:numPr>
        <w:numId w:val="11"/>
      </w:numPr>
      <w:tabs>
        <w:tab w:val="clear" w:pos="567"/>
        <w:tab w:val="left" w:pos="1134"/>
      </w:tabs>
      <w:spacing w:before="80" w:line="300" w:lineRule="atLeast"/>
    </w:pPr>
    <w:rPr>
      <w:szCs w:val="20"/>
    </w:rPr>
  </w:style>
  <w:style w:type="paragraph" w:customStyle="1" w:styleId="CGCNumberedPara">
    <w:name w:val="CGC Numbered Para"/>
    <w:aliases w:val="CGC Para No"/>
    <w:basedOn w:val="Normal"/>
    <w:qFormat/>
    <w:rsid w:val="00CE05AE"/>
    <w:pPr>
      <w:numPr>
        <w:ilvl w:val="1"/>
        <w:numId w:val="12"/>
      </w:numPr>
      <w:spacing w:before="120"/>
    </w:pPr>
  </w:style>
  <w:style w:type="paragraph" w:customStyle="1" w:styleId="CGCTableFootnote">
    <w:name w:val="CGC Table Footnote"/>
    <w:basedOn w:val="CGCNumberedPara"/>
    <w:next w:val="NoSpacing"/>
    <w:link w:val="CGCTableFootnoteChar"/>
    <w:qFormat/>
    <w:rsid w:val="00CE05AE"/>
    <w:pPr>
      <w:numPr>
        <w:ilvl w:val="0"/>
        <w:numId w:val="0"/>
      </w:numPr>
      <w:tabs>
        <w:tab w:val="left" w:pos="851"/>
      </w:tabs>
      <w:spacing w:before="0" w:after="0" w:line="240" w:lineRule="auto"/>
      <w:ind w:left="851" w:hanging="851"/>
    </w:pPr>
    <w:rPr>
      <w:sz w:val="20"/>
    </w:rPr>
  </w:style>
  <w:style w:type="paragraph" w:styleId="NoSpacing">
    <w:name w:val="No Spacing"/>
    <w:uiPriority w:val="1"/>
    <w:qFormat/>
    <w:rsid w:val="00CE05AE"/>
    <w:pPr>
      <w:tabs>
        <w:tab w:val="left" w:pos="567"/>
      </w:tabs>
      <w:spacing w:after="0" w:line="240" w:lineRule="auto"/>
    </w:pPr>
    <w:rPr>
      <w:sz w:val="24"/>
    </w:rPr>
  </w:style>
  <w:style w:type="paragraph" w:customStyle="1" w:styleId="CGCDataCaption">
    <w:name w:val="CGC Data Caption"/>
    <w:basedOn w:val="CGCTableFootnote"/>
    <w:next w:val="NoSpacing"/>
    <w:link w:val="DataCaptionChar"/>
    <w:qFormat/>
    <w:rsid w:val="00CE05AE"/>
  </w:style>
  <w:style w:type="character" w:customStyle="1" w:styleId="DataCaptionChar">
    <w:name w:val="Data Caption Char"/>
    <w:basedOn w:val="DefaultParagraphFont"/>
    <w:link w:val="CGCDataCaption"/>
    <w:rsid w:val="00CE05AE"/>
    <w:rPr>
      <w:sz w:val="20"/>
      <w:szCs w:val="24"/>
    </w:rPr>
  </w:style>
  <w:style w:type="paragraph" w:customStyle="1" w:styleId="CGCNumeralList">
    <w:name w:val="CGC Numeral List"/>
    <w:aliases w:val="CGC List 3"/>
    <w:basedOn w:val="Normal"/>
    <w:qFormat/>
    <w:rsid w:val="00CE05AE"/>
    <w:pPr>
      <w:numPr>
        <w:numId w:val="13"/>
      </w:numPr>
      <w:tabs>
        <w:tab w:val="clear" w:pos="567"/>
      </w:tabs>
      <w:spacing w:line="300" w:lineRule="atLeast"/>
    </w:pPr>
    <w:rPr>
      <w:szCs w:val="20"/>
    </w:rPr>
  </w:style>
  <w:style w:type="paragraph" w:customStyle="1" w:styleId="CGCQuotation">
    <w:name w:val="CGC Quotation"/>
    <w:basedOn w:val="Normal"/>
    <w:next w:val="CGCNumberedPara"/>
    <w:rsid w:val="00CE05AE"/>
    <w:pPr>
      <w:tabs>
        <w:tab w:val="clear" w:pos="567"/>
      </w:tabs>
      <w:spacing w:before="120" w:after="120" w:line="240" w:lineRule="auto"/>
      <w:ind w:left="1134" w:right="1134"/>
    </w:pPr>
    <w:rPr>
      <w:sz w:val="22"/>
    </w:rPr>
  </w:style>
  <w:style w:type="paragraph" w:customStyle="1" w:styleId="CGCSubbulletlist">
    <w:name w:val="CGC Sub bullet list"/>
    <w:aliases w:val="CGC List 2"/>
    <w:basedOn w:val="Normal"/>
    <w:qFormat/>
    <w:rsid w:val="00CE05AE"/>
    <w:pPr>
      <w:numPr>
        <w:numId w:val="14"/>
      </w:numPr>
      <w:tabs>
        <w:tab w:val="clear" w:pos="567"/>
        <w:tab w:val="left" w:pos="1701"/>
      </w:tabs>
      <w:spacing w:line="300" w:lineRule="atLeast"/>
    </w:pPr>
    <w:rPr>
      <w:szCs w:val="20"/>
    </w:rPr>
  </w:style>
  <w:style w:type="paragraph" w:customStyle="1" w:styleId="CGCQuotationBullet">
    <w:name w:val="CGC Quotation Bullet"/>
    <w:basedOn w:val="CGCSubbulletlist"/>
    <w:rsid w:val="00CE05AE"/>
    <w:pPr>
      <w:numPr>
        <w:numId w:val="15"/>
      </w:numPr>
      <w:ind w:right="1134"/>
    </w:pPr>
    <w:rPr>
      <w:sz w:val="22"/>
    </w:rPr>
  </w:style>
  <w:style w:type="paragraph" w:customStyle="1" w:styleId="CGCTableHeading">
    <w:name w:val="CGC Table Heading"/>
    <w:basedOn w:val="Normal"/>
    <w:next w:val="Normal"/>
    <w:qFormat/>
    <w:rsid w:val="00CE05AE"/>
    <w:pPr>
      <w:keepNext/>
      <w:keepLines/>
      <w:tabs>
        <w:tab w:val="clear" w:pos="567"/>
        <w:tab w:val="left" w:pos="1420"/>
      </w:tabs>
      <w:spacing w:before="240" w:after="120" w:line="240" w:lineRule="auto"/>
      <w:ind w:left="1418" w:hanging="1418"/>
    </w:pPr>
    <w:rPr>
      <w:b/>
      <w:szCs w:val="20"/>
    </w:rPr>
  </w:style>
  <w:style w:type="paragraph" w:customStyle="1" w:styleId="CGCTableStub">
    <w:name w:val="CGC Table Stub"/>
    <w:basedOn w:val="Normal"/>
    <w:link w:val="CGCTableStubChar"/>
    <w:qFormat/>
    <w:rsid w:val="00CE05AE"/>
    <w:pPr>
      <w:keepNext/>
      <w:keepLines/>
      <w:tabs>
        <w:tab w:val="left" w:pos="284"/>
      </w:tabs>
      <w:spacing w:before="60" w:after="60" w:line="200" w:lineRule="atLeast"/>
    </w:pPr>
    <w:rPr>
      <w:sz w:val="20"/>
      <w:szCs w:val="20"/>
    </w:rPr>
  </w:style>
  <w:style w:type="paragraph" w:styleId="Header">
    <w:name w:val="header"/>
    <w:basedOn w:val="Normal"/>
    <w:link w:val="HeaderChar"/>
    <w:unhideWhenUsed/>
    <w:rsid w:val="00410163"/>
    <w:pPr>
      <w:tabs>
        <w:tab w:val="clear" w:pos="567"/>
        <w:tab w:val="center" w:pos="4513"/>
        <w:tab w:val="right" w:pos="9026"/>
      </w:tabs>
      <w:spacing w:after="0" w:line="240" w:lineRule="auto"/>
    </w:pPr>
  </w:style>
  <w:style w:type="character" w:customStyle="1" w:styleId="HeaderChar">
    <w:name w:val="Header Char"/>
    <w:basedOn w:val="DefaultParagraphFont"/>
    <w:link w:val="Header"/>
    <w:rsid w:val="00410163"/>
    <w:rPr>
      <w:sz w:val="24"/>
    </w:rPr>
  </w:style>
  <w:style w:type="paragraph" w:styleId="Footer">
    <w:name w:val="footer"/>
    <w:basedOn w:val="Normal"/>
    <w:link w:val="FooterChar"/>
    <w:uiPriority w:val="99"/>
    <w:unhideWhenUsed/>
    <w:rsid w:val="00410163"/>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410163"/>
    <w:rPr>
      <w:sz w:val="24"/>
    </w:rPr>
  </w:style>
  <w:style w:type="paragraph" w:styleId="BalloonText">
    <w:name w:val="Balloon Text"/>
    <w:basedOn w:val="Normal"/>
    <w:link w:val="BalloonTextChar"/>
    <w:uiPriority w:val="99"/>
    <w:semiHidden/>
    <w:unhideWhenUsed/>
    <w:rsid w:val="0041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163"/>
    <w:rPr>
      <w:rFonts w:ascii="Tahoma" w:hAnsi="Tahoma" w:cs="Tahoma"/>
      <w:sz w:val="16"/>
      <w:szCs w:val="16"/>
    </w:rPr>
  </w:style>
  <w:style w:type="paragraph" w:styleId="ListParagraph">
    <w:name w:val="List Paragraph"/>
    <w:basedOn w:val="Normal"/>
    <w:uiPriority w:val="34"/>
    <w:qFormat/>
    <w:rsid w:val="00872071"/>
    <w:pPr>
      <w:tabs>
        <w:tab w:val="clear" w:pos="567"/>
      </w:tabs>
      <w:spacing w:line="300" w:lineRule="atLeast"/>
      <w:ind w:left="1134"/>
    </w:pPr>
  </w:style>
  <w:style w:type="character" w:styleId="Hyperlink">
    <w:name w:val="Hyperlink"/>
    <w:basedOn w:val="DefaultParagraphFont"/>
    <w:rsid w:val="00BE794D"/>
    <w:rPr>
      <w:color w:val="0000FF"/>
      <w:u w:val="single"/>
    </w:rPr>
  </w:style>
  <w:style w:type="table" w:styleId="TableGrid">
    <w:name w:val="Table Grid"/>
    <w:basedOn w:val="TableNormal"/>
    <w:rsid w:val="00BE794D"/>
    <w:pPr>
      <w:tabs>
        <w:tab w:val="left" w:pos="1418"/>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695082"/>
    <w:pPr>
      <w:spacing w:after="200" w:line="240" w:lineRule="auto"/>
    </w:pPr>
    <w:rPr>
      <w:b/>
      <w:bCs/>
      <w:color w:val="4F81BD" w:themeColor="accent1"/>
      <w:sz w:val="18"/>
      <w:szCs w:val="18"/>
    </w:rPr>
  </w:style>
  <w:style w:type="character" w:styleId="CommentReference">
    <w:name w:val="annotation reference"/>
    <w:basedOn w:val="DefaultParagraphFont"/>
    <w:rsid w:val="00695082"/>
    <w:rPr>
      <w:sz w:val="16"/>
      <w:szCs w:val="16"/>
    </w:rPr>
  </w:style>
  <w:style w:type="paragraph" w:styleId="CommentText">
    <w:name w:val="annotation text"/>
    <w:basedOn w:val="Normal"/>
    <w:link w:val="CommentTextChar"/>
    <w:rsid w:val="00695082"/>
    <w:rPr>
      <w:sz w:val="20"/>
      <w:szCs w:val="20"/>
    </w:rPr>
  </w:style>
  <w:style w:type="character" w:customStyle="1" w:styleId="CommentTextChar">
    <w:name w:val="Comment Text Char"/>
    <w:basedOn w:val="DefaultParagraphFont"/>
    <w:link w:val="CommentText"/>
    <w:rsid w:val="00695082"/>
    <w:rPr>
      <w:sz w:val="20"/>
      <w:szCs w:val="20"/>
    </w:rPr>
  </w:style>
  <w:style w:type="paragraph" w:customStyle="1" w:styleId="TableColHeadings">
    <w:name w:val="TableColHeadings"/>
    <w:basedOn w:val="Normal"/>
    <w:rsid w:val="00695082"/>
    <w:pPr>
      <w:keepNext/>
      <w:keepLines/>
      <w:tabs>
        <w:tab w:val="left" w:pos="475"/>
        <w:tab w:val="left" w:pos="1440"/>
        <w:tab w:val="left" w:pos="2160"/>
        <w:tab w:val="left" w:pos="2880"/>
      </w:tabs>
      <w:spacing w:before="60" w:after="60" w:line="240" w:lineRule="auto"/>
      <w:jc w:val="right"/>
    </w:pPr>
    <w:rPr>
      <w:sz w:val="20"/>
      <w:szCs w:val="20"/>
    </w:rPr>
  </w:style>
  <w:style w:type="character" w:customStyle="1" w:styleId="CaptionChar">
    <w:name w:val="Caption Char"/>
    <w:basedOn w:val="DefaultParagraphFont"/>
    <w:link w:val="Caption"/>
    <w:rsid w:val="00695082"/>
    <w:rPr>
      <w:b/>
      <w:bCs/>
      <w:color w:val="4F81BD" w:themeColor="accent1"/>
      <w:sz w:val="18"/>
      <w:szCs w:val="18"/>
    </w:rPr>
  </w:style>
  <w:style w:type="character" w:customStyle="1" w:styleId="CGCTableFootnoteChar">
    <w:name w:val="CGC Table Footnote Char"/>
    <w:basedOn w:val="DefaultParagraphFont"/>
    <w:link w:val="CGCTableFootnote"/>
    <w:rsid w:val="00695082"/>
    <w:rPr>
      <w:sz w:val="20"/>
      <w:szCs w:val="24"/>
    </w:rPr>
  </w:style>
  <w:style w:type="character" w:customStyle="1" w:styleId="CGCTableStubChar">
    <w:name w:val="CGC Table Stub Char"/>
    <w:basedOn w:val="DefaultParagraphFont"/>
    <w:link w:val="CGCTableStub"/>
    <w:rsid w:val="0069508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80" w:line="3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unhideWhenUsed="0"/>
    <w:lsdException w:name="heading 8" w:uiPriority="9" w:unhideWhenUsed="0"/>
    <w:lsdException w:name="heading 9"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E794D"/>
    <w:pPr>
      <w:tabs>
        <w:tab w:val="left" w:pos="567"/>
      </w:tabs>
    </w:pPr>
    <w:rPr>
      <w:sz w:val="24"/>
      <w:szCs w:val="24"/>
    </w:rPr>
  </w:style>
  <w:style w:type="paragraph" w:styleId="Heading1">
    <w:name w:val="heading 1"/>
    <w:basedOn w:val="Normal"/>
    <w:next w:val="Heading2"/>
    <w:link w:val="Heading1Char"/>
    <w:qFormat/>
    <w:rsid w:val="000F6176"/>
    <w:pPr>
      <w:keepNext/>
      <w:widowControl w:val="0"/>
      <w:pBdr>
        <w:bottom w:val="single" w:sz="4" w:space="1" w:color="auto"/>
      </w:pBdr>
      <w:spacing w:before="800" w:after="0" w:line="240" w:lineRule="auto"/>
      <w:outlineLvl w:val="0"/>
    </w:pPr>
    <w:rPr>
      <w:rFonts w:eastAsiaTheme="majorEastAsia" w:cstheme="majorBidi"/>
      <w:b/>
      <w:bCs/>
      <w:caps/>
      <w:color w:val="2C8558"/>
      <w:sz w:val="40"/>
      <w:szCs w:val="28"/>
    </w:rPr>
  </w:style>
  <w:style w:type="paragraph" w:styleId="Heading2">
    <w:name w:val="heading 2"/>
    <w:basedOn w:val="Normal"/>
    <w:next w:val="Heading3"/>
    <w:link w:val="Heading2Char"/>
    <w:qFormat/>
    <w:rsid w:val="000F6176"/>
    <w:pPr>
      <w:keepNext/>
      <w:widowControl w:val="0"/>
      <w:spacing w:before="100" w:after="720" w:line="240" w:lineRule="auto"/>
      <w:outlineLvl w:val="1"/>
    </w:pPr>
    <w:rPr>
      <w:rFonts w:eastAsiaTheme="majorEastAsia" w:cstheme="majorBidi"/>
      <w:b/>
      <w:bCs/>
      <w:caps/>
      <w:color w:val="2C8558"/>
      <w:sz w:val="40"/>
      <w:szCs w:val="26"/>
    </w:rPr>
  </w:style>
  <w:style w:type="paragraph" w:styleId="Heading3">
    <w:name w:val="heading 3"/>
    <w:basedOn w:val="Normal"/>
    <w:next w:val="Heading4"/>
    <w:link w:val="Heading3Char"/>
    <w:qFormat/>
    <w:rsid w:val="00BD1799"/>
    <w:pPr>
      <w:keepNext/>
      <w:widowControl w:val="0"/>
      <w:spacing w:before="600" w:after="200" w:line="240" w:lineRule="auto"/>
      <w:outlineLvl w:val="2"/>
    </w:pPr>
    <w:rPr>
      <w:rFonts w:eastAsiaTheme="majorEastAsia" w:cstheme="majorBidi"/>
      <w:b/>
      <w:bCs/>
      <w:caps/>
      <w:color w:val="2C8558"/>
      <w:sz w:val="32"/>
    </w:rPr>
  </w:style>
  <w:style w:type="paragraph" w:styleId="Heading4">
    <w:name w:val="heading 4"/>
    <w:basedOn w:val="Normal"/>
    <w:next w:val="Heading5"/>
    <w:link w:val="Heading4Char"/>
    <w:qFormat/>
    <w:rsid w:val="00BD1799"/>
    <w:pPr>
      <w:keepNext/>
      <w:widowControl w:val="0"/>
      <w:spacing w:before="300" w:after="40" w:line="240" w:lineRule="auto"/>
      <w:outlineLvl w:val="3"/>
    </w:pPr>
    <w:rPr>
      <w:rFonts w:eastAsiaTheme="majorEastAsia" w:cstheme="majorBidi"/>
      <w:b/>
      <w:bCs/>
      <w:iCs/>
      <w:color w:val="2C8558"/>
      <w:sz w:val="32"/>
    </w:rPr>
  </w:style>
  <w:style w:type="paragraph" w:styleId="Heading5">
    <w:name w:val="heading 5"/>
    <w:basedOn w:val="Normal"/>
    <w:next w:val="Heading6"/>
    <w:link w:val="Heading5Char"/>
    <w:uiPriority w:val="9"/>
    <w:qFormat/>
    <w:rsid w:val="00BD1799"/>
    <w:pPr>
      <w:keepNext/>
      <w:tabs>
        <w:tab w:val="clear" w:pos="567"/>
      </w:tabs>
      <w:spacing w:before="300" w:after="40" w:line="240" w:lineRule="auto"/>
      <w:outlineLvl w:val="4"/>
    </w:pPr>
    <w:rPr>
      <w:rFonts w:eastAsiaTheme="majorEastAsia" w:cstheme="majorBidi"/>
      <w:b/>
      <w:i/>
      <w:color w:val="2C8558"/>
      <w:sz w:val="28"/>
    </w:rPr>
  </w:style>
  <w:style w:type="paragraph" w:styleId="Heading6">
    <w:name w:val="heading 6"/>
    <w:basedOn w:val="Normal"/>
    <w:next w:val="Normal"/>
    <w:link w:val="Heading6Char"/>
    <w:uiPriority w:val="9"/>
    <w:qFormat/>
    <w:rsid w:val="00AD1999"/>
    <w:pPr>
      <w:keepNext/>
      <w:keepLines/>
      <w:spacing w:before="120"/>
      <w:outlineLvl w:val="5"/>
    </w:pPr>
    <w:rPr>
      <w:rFonts w:eastAsiaTheme="majorEastAsia" w:cstheme="majorBidi"/>
      <w:b/>
      <w:i/>
      <w:iCs/>
      <w:color w:val="2C8558"/>
      <w:sz w:val="28"/>
    </w:rPr>
  </w:style>
  <w:style w:type="paragraph" w:styleId="Heading7">
    <w:name w:val="heading 7"/>
    <w:basedOn w:val="Normal"/>
    <w:next w:val="Normal"/>
    <w:link w:val="Heading7Char"/>
    <w:uiPriority w:val="9"/>
    <w:semiHidden/>
    <w:rsid w:val="0000173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84FBC"/>
    <w:rPr>
      <w:rFonts w:eastAsiaTheme="majorEastAsia" w:cstheme="majorBidi"/>
      <w:b/>
      <w:i/>
      <w:iCs/>
      <w:color w:val="2C8558"/>
      <w:sz w:val="28"/>
    </w:rPr>
  </w:style>
  <w:style w:type="character" w:customStyle="1" w:styleId="Heading1Char">
    <w:name w:val="Heading 1 Char"/>
    <w:basedOn w:val="DefaultParagraphFont"/>
    <w:link w:val="Heading1"/>
    <w:rsid w:val="000F6176"/>
    <w:rPr>
      <w:rFonts w:eastAsiaTheme="majorEastAsia" w:cstheme="majorBidi"/>
      <w:b/>
      <w:bCs/>
      <w:caps/>
      <w:color w:val="2C8558"/>
      <w:sz w:val="40"/>
      <w:szCs w:val="28"/>
    </w:rPr>
  </w:style>
  <w:style w:type="character" w:customStyle="1" w:styleId="Heading7Char">
    <w:name w:val="Heading 7 Char"/>
    <w:basedOn w:val="DefaultParagraphFont"/>
    <w:link w:val="Heading7"/>
    <w:uiPriority w:val="9"/>
    <w:semiHidden/>
    <w:rsid w:val="00001731"/>
    <w:rPr>
      <w:rFonts w:asciiTheme="majorHAnsi" w:eastAsiaTheme="majorEastAsia" w:hAnsiTheme="majorHAnsi" w:cstheme="majorBidi"/>
      <w:i/>
      <w:iCs/>
      <w:color w:val="404040" w:themeColor="text1" w:themeTint="BF"/>
      <w:sz w:val="24"/>
    </w:rPr>
  </w:style>
  <w:style w:type="character" w:customStyle="1" w:styleId="Heading2Char">
    <w:name w:val="Heading 2 Char"/>
    <w:basedOn w:val="DefaultParagraphFont"/>
    <w:link w:val="Heading2"/>
    <w:rsid w:val="000F6176"/>
    <w:rPr>
      <w:rFonts w:eastAsiaTheme="majorEastAsia" w:cstheme="majorBidi"/>
      <w:b/>
      <w:bCs/>
      <w:caps/>
      <w:color w:val="2C8558"/>
      <w:sz w:val="40"/>
      <w:szCs w:val="26"/>
    </w:rPr>
  </w:style>
  <w:style w:type="character" w:customStyle="1" w:styleId="Heading3Char">
    <w:name w:val="Heading 3 Char"/>
    <w:basedOn w:val="DefaultParagraphFont"/>
    <w:link w:val="Heading3"/>
    <w:rsid w:val="00484FBC"/>
    <w:rPr>
      <w:rFonts w:eastAsiaTheme="majorEastAsia" w:cstheme="majorBidi"/>
      <w:b/>
      <w:bCs/>
      <w:caps/>
      <w:color w:val="2C8558"/>
      <w:sz w:val="32"/>
    </w:rPr>
  </w:style>
  <w:style w:type="character" w:customStyle="1" w:styleId="Heading4Char">
    <w:name w:val="Heading 4 Char"/>
    <w:basedOn w:val="DefaultParagraphFont"/>
    <w:link w:val="Heading4"/>
    <w:rsid w:val="00484FBC"/>
    <w:rPr>
      <w:rFonts w:eastAsiaTheme="majorEastAsia" w:cstheme="majorBidi"/>
      <w:b/>
      <w:bCs/>
      <w:iCs/>
      <w:color w:val="2C8558"/>
      <w:sz w:val="32"/>
    </w:rPr>
  </w:style>
  <w:style w:type="character" w:customStyle="1" w:styleId="Heading5Char">
    <w:name w:val="Heading 5 Char"/>
    <w:basedOn w:val="DefaultParagraphFont"/>
    <w:link w:val="Heading5"/>
    <w:uiPriority w:val="9"/>
    <w:rsid w:val="00484FBC"/>
    <w:rPr>
      <w:rFonts w:eastAsiaTheme="majorEastAsia" w:cstheme="majorBidi"/>
      <w:b/>
      <w:i/>
      <w:color w:val="2C8558"/>
      <w:sz w:val="28"/>
    </w:rPr>
  </w:style>
  <w:style w:type="paragraph" w:customStyle="1" w:styleId="CGCBulletlist">
    <w:name w:val="CGC Bullet list"/>
    <w:aliases w:val="CGC List 1"/>
    <w:basedOn w:val="Normal"/>
    <w:qFormat/>
    <w:rsid w:val="00CE05AE"/>
    <w:pPr>
      <w:numPr>
        <w:numId w:val="11"/>
      </w:numPr>
      <w:tabs>
        <w:tab w:val="clear" w:pos="567"/>
        <w:tab w:val="left" w:pos="1134"/>
      </w:tabs>
      <w:spacing w:before="80" w:line="300" w:lineRule="atLeast"/>
    </w:pPr>
    <w:rPr>
      <w:szCs w:val="20"/>
    </w:rPr>
  </w:style>
  <w:style w:type="paragraph" w:customStyle="1" w:styleId="CGCNumberedPara">
    <w:name w:val="CGC Numbered Para"/>
    <w:aliases w:val="CGC Para No"/>
    <w:basedOn w:val="Normal"/>
    <w:qFormat/>
    <w:rsid w:val="00CE05AE"/>
    <w:pPr>
      <w:numPr>
        <w:ilvl w:val="1"/>
        <w:numId w:val="12"/>
      </w:numPr>
      <w:spacing w:before="120"/>
    </w:pPr>
  </w:style>
  <w:style w:type="paragraph" w:customStyle="1" w:styleId="CGCTableFootnote">
    <w:name w:val="CGC Table Footnote"/>
    <w:basedOn w:val="CGCNumberedPara"/>
    <w:next w:val="NoSpacing"/>
    <w:link w:val="CGCTableFootnoteChar"/>
    <w:qFormat/>
    <w:rsid w:val="00CE05AE"/>
    <w:pPr>
      <w:numPr>
        <w:ilvl w:val="0"/>
        <w:numId w:val="0"/>
      </w:numPr>
      <w:tabs>
        <w:tab w:val="left" w:pos="851"/>
      </w:tabs>
      <w:spacing w:before="0" w:after="0" w:line="240" w:lineRule="auto"/>
      <w:ind w:left="851" w:hanging="851"/>
    </w:pPr>
    <w:rPr>
      <w:sz w:val="20"/>
    </w:rPr>
  </w:style>
  <w:style w:type="paragraph" w:styleId="NoSpacing">
    <w:name w:val="No Spacing"/>
    <w:uiPriority w:val="1"/>
    <w:qFormat/>
    <w:rsid w:val="00CE05AE"/>
    <w:pPr>
      <w:tabs>
        <w:tab w:val="left" w:pos="567"/>
      </w:tabs>
      <w:spacing w:after="0" w:line="240" w:lineRule="auto"/>
    </w:pPr>
    <w:rPr>
      <w:sz w:val="24"/>
    </w:rPr>
  </w:style>
  <w:style w:type="paragraph" w:customStyle="1" w:styleId="CGCDataCaption">
    <w:name w:val="CGC Data Caption"/>
    <w:basedOn w:val="CGCTableFootnote"/>
    <w:next w:val="NoSpacing"/>
    <w:link w:val="DataCaptionChar"/>
    <w:qFormat/>
    <w:rsid w:val="00CE05AE"/>
  </w:style>
  <w:style w:type="character" w:customStyle="1" w:styleId="DataCaptionChar">
    <w:name w:val="Data Caption Char"/>
    <w:basedOn w:val="DefaultParagraphFont"/>
    <w:link w:val="CGCDataCaption"/>
    <w:rsid w:val="00CE05AE"/>
    <w:rPr>
      <w:sz w:val="20"/>
      <w:szCs w:val="24"/>
    </w:rPr>
  </w:style>
  <w:style w:type="paragraph" w:customStyle="1" w:styleId="CGCNumeralList">
    <w:name w:val="CGC Numeral List"/>
    <w:aliases w:val="CGC List 3"/>
    <w:basedOn w:val="Normal"/>
    <w:qFormat/>
    <w:rsid w:val="00CE05AE"/>
    <w:pPr>
      <w:numPr>
        <w:numId w:val="13"/>
      </w:numPr>
      <w:tabs>
        <w:tab w:val="clear" w:pos="567"/>
      </w:tabs>
      <w:spacing w:line="300" w:lineRule="atLeast"/>
    </w:pPr>
    <w:rPr>
      <w:szCs w:val="20"/>
    </w:rPr>
  </w:style>
  <w:style w:type="paragraph" w:customStyle="1" w:styleId="CGCQuotation">
    <w:name w:val="CGC Quotation"/>
    <w:basedOn w:val="Normal"/>
    <w:next w:val="CGCNumberedPara"/>
    <w:rsid w:val="00CE05AE"/>
    <w:pPr>
      <w:tabs>
        <w:tab w:val="clear" w:pos="567"/>
      </w:tabs>
      <w:spacing w:before="120" w:after="120" w:line="240" w:lineRule="auto"/>
      <w:ind w:left="1134" w:right="1134"/>
    </w:pPr>
    <w:rPr>
      <w:sz w:val="22"/>
    </w:rPr>
  </w:style>
  <w:style w:type="paragraph" w:customStyle="1" w:styleId="CGCSubbulletlist">
    <w:name w:val="CGC Sub bullet list"/>
    <w:aliases w:val="CGC List 2"/>
    <w:basedOn w:val="Normal"/>
    <w:qFormat/>
    <w:rsid w:val="00CE05AE"/>
    <w:pPr>
      <w:numPr>
        <w:numId w:val="14"/>
      </w:numPr>
      <w:tabs>
        <w:tab w:val="clear" w:pos="567"/>
        <w:tab w:val="left" w:pos="1701"/>
      </w:tabs>
      <w:spacing w:line="300" w:lineRule="atLeast"/>
    </w:pPr>
    <w:rPr>
      <w:szCs w:val="20"/>
    </w:rPr>
  </w:style>
  <w:style w:type="paragraph" w:customStyle="1" w:styleId="CGCQuotationBullet">
    <w:name w:val="CGC Quotation Bullet"/>
    <w:basedOn w:val="CGCSubbulletlist"/>
    <w:rsid w:val="00CE05AE"/>
    <w:pPr>
      <w:numPr>
        <w:numId w:val="15"/>
      </w:numPr>
      <w:ind w:right="1134"/>
    </w:pPr>
    <w:rPr>
      <w:sz w:val="22"/>
    </w:rPr>
  </w:style>
  <w:style w:type="paragraph" w:customStyle="1" w:styleId="CGCTableHeading">
    <w:name w:val="CGC Table Heading"/>
    <w:basedOn w:val="Normal"/>
    <w:next w:val="Normal"/>
    <w:qFormat/>
    <w:rsid w:val="00CE05AE"/>
    <w:pPr>
      <w:keepNext/>
      <w:keepLines/>
      <w:tabs>
        <w:tab w:val="clear" w:pos="567"/>
        <w:tab w:val="left" w:pos="1420"/>
      </w:tabs>
      <w:spacing w:before="240" w:after="120" w:line="240" w:lineRule="auto"/>
      <w:ind w:left="1418" w:hanging="1418"/>
    </w:pPr>
    <w:rPr>
      <w:b/>
      <w:szCs w:val="20"/>
    </w:rPr>
  </w:style>
  <w:style w:type="paragraph" w:customStyle="1" w:styleId="CGCTableStub">
    <w:name w:val="CGC Table Stub"/>
    <w:basedOn w:val="Normal"/>
    <w:link w:val="CGCTableStubChar"/>
    <w:qFormat/>
    <w:rsid w:val="00CE05AE"/>
    <w:pPr>
      <w:keepNext/>
      <w:keepLines/>
      <w:tabs>
        <w:tab w:val="left" w:pos="284"/>
      </w:tabs>
      <w:spacing w:before="60" w:after="60" w:line="200" w:lineRule="atLeast"/>
    </w:pPr>
    <w:rPr>
      <w:sz w:val="20"/>
      <w:szCs w:val="20"/>
    </w:rPr>
  </w:style>
  <w:style w:type="paragraph" w:styleId="Header">
    <w:name w:val="header"/>
    <w:basedOn w:val="Normal"/>
    <w:link w:val="HeaderChar"/>
    <w:unhideWhenUsed/>
    <w:rsid w:val="00410163"/>
    <w:pPr>
      <w:tabs>
        <w:tab w:val="clear" w:pos="567"/>
        <w:tab w:val="center" w:pos="4513"/>
        <w:tab w:val="right" w:pos="9026"/>
      </w:tabs>
      <w:spacing w:after="0" w:line="240" w:lineRule="auto"/>
    </w:pPr>
  </w:style>
  <w:style w:type="character" w:customStyle="1" w:styleId="HeaderChar">
    <w:name w:val="Header Char"/>
    <w:basedOn w:val="DefaultParagraphFont"/>
    <w:link w:val="Header"/>
    <w:rsid w:val="00410163"/>
    <w:rPr>
      <w:sz w:val="24"/>
    </w:rPr>
  </w:style>
  <w:style w:type="paragraph" w:styleId="Footer">
    <w:name w:val="footer"/>
    <w:basedOn w:val="Normal"/>
    <w:link w:val="FooterChar"/>
    <w:uiPriority w:val="99"/>
    <w:unhideWhenUsed/>
    <w:rsid w:val="00410163"/>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410163"/>
    <w:rPr>
      <w:sz w:val="24"/>
    </w:rPr>
  </w:style>
  <w:style w:type="paragraph" w:styleId="BalloonText">
    <w:name w:val="Balloon Text"/>
    <w:basedOn w:val="Normal"/>
    <w:link w:val="BalloonTextChar"/>
    <w:uiPriority w:val="99"/>
    <w:semiHidden/>
    <w:unhideWhenUsed/>
    <w:rsid w:val="0041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163"/>
    <w:rPr>
      <w:rFonts w:ascii="Tahoma" w:hAnsi="Tahoma" w:cs="Tahoma"/>
      <w:sz w:val="16"/>
      <w:szCs w:val="16"/>
    </w:rPr>
  </w:style>
  <w:style w:type="paragraph" w:styleId="ListParagraph">
    <w:name w:val="List Paragraph"/>
    <w:basedOn w:val="Normal"/>
    <w:uiPriority w:val="34"/>
    <w:qFormat/>
    <w:rsid w:val="00872071"/>
    <w:pPr>
      <w:tabs>
        <w:tab w:val="clear" w:pos="567"/>
      </w:tabs>
      <w:spacing w:line="300" w:lineRule="atLeast"/>
      <w:ind w:left="1134"/>
    </w:pPr>
  </w:style>
  <w:style w:type="character" w:styleId="Hyperlink">
    <w:name w:val="Hyperlink"/>
    <w:basedOn w:val="DefaultParagraphFont"/>
    <w:rsid w:val="00BE794D"/>
    <w:rPr>
      <w:color w:val="0000FF"/>
      <w:u w:val="single"/>
    </w:rPr>
  </w:style>
  <w:style w:type="table" w:styleId="TableGrid">
    <w:name w:val="Table Grid"/>
    <w:basedOn w:val="TableNormal"/>
    <w:rsid w:val="00BE794D"/>
    <w:pPr>
      <w:tabs>
        <w:tab w:val="left" w:pos="1418"/>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695082"/>
    <w:pPr>
      <w:spacing w:after="200" w:line="240" w:lineRule="auto"/>
    </w:pPr>
    <w:rPr>
      <w:b/>
      <w:bCs/>
      <w:color w:val="4F81BD" w:themeColor="accent1"/>
      <w:sz w:val="18"/>
      <w:szCs w:val="18"/>
    </w:rPr>
  </w:style>
  <w:style w:type="character" w:styleId="CommentReference">
    <w:name w:val="annotation reference"/>
    <w:basedOn w:val="DefaultParagraphFont"/>
    <w:rsid w:val="00695082"/>
    <w:rPr>
      <w:sz w:val="16"/>
      <w:szCs w:val="16"/>
    </w:rPr>
  </w:style>
  <w:style w:type="paragraph" w:styleId="CommentText">
    <w:name w:val="annotation text"/>
    <w:basedOn w:val="Normal"/>
    <w:link w:val="CommentTextChar"/>
    <w:rsid w:val="00695082"/>
    <w:rPr>
      <w:sz w:val="20"/>
      <w:szCs w:val="20"/>
    </w:rPr>
  </w:style>
  <w:style w:type="character" w:customStyle="1" w:styleId="CommentTextChar">
    <w:name w:val="Comment Text Char"/>
    <w:basedOn w:val="DefaultParagraphFont"/>
    <w:link w:val="CommentText"/>
    <w:rsid w:val="00695082"/>
    <w:rPr>
      <w:sz w:val="20"/>
      <w:szCs w:val="20"/>
    </w:rPr>
  </w:style>
  <w:style w:type="paragraph" w:customStyle="1" w:styleId="TableColHeadings">
    <w:name w:val="TableColHeadings"/>
    <w:basedOn w:val="Normal"/>
    <w:rsid w:val="00695082"/>
    <w:pPr>
      <w:keepNext/>
      <w:keepLines/>
      <w:tabs>
        <w:tab w:val="left" w:pos="475"/>
        <w:tab w:val="left" w:pos="1440"/>
        <w:tab w:val="left" w:pos="2160"/>
        <w:tab w:val="left" w:pos="2880"/>
      </w:tabs>
      <w:spacing w:before="60" w:after="60" w:line="240" w:lineRule="auto"/>
      <w:jc w:val="right"/>
    </w:pPr>
    <w:rPr>
      <w:sz w:val="20"/>
      <w:szCs w:val="20"/>
    </w:rPr>
  </w:style>
  <w:style w:type="character" w:customStyle="1" w:styleId="CaptionChar">
    <w:name w:val="Caption Char"/>
    <w:basedOn w:val="DefaultParagraphFont"/>
    <w:link w:val="Caption"/>
    <w:rsid w:val="00695082"/>
    <w:rPr>
      <w:b/>
      <w:bCs/>
      <w:color w:val="4F81BD" w:themeColor="accent1"/>
      <w:sz w:val="18"/>
      <w:szCs w:val="18"/>
    </w:rPr>
  </w:style>
  <w:style w:type="character" w:customStyle="1" w:styleId="CGCTableFootnoteChar">
    <w:name w:val="CGC Table Footnote Char"/>
    <w:basedOn w:val="DefaultParagraphFont"/>
    <w:link w:val="CGCTableFootnote"/>
    <w:rsid w:val="00695082"/>
    <w:rPr>
      <w:sz w:val="20"/>
      <w:szCs w:val="24"/>
    </w:rPr>
  </w:style>
  <w:style w:type="character" w:customStyle="1" w:styleId="CGCTableStubChar">
    <w:name w:val="CGC Table Stub Char"/>
    <w:basedOn w:val="DefaultParagraphFont"/>
    <w:link w:val="CGCTableStub"/>
    <w:rsid w:val="006950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cna01\ODrive\Word%20Templates\Official%20Template\Document%20Templates\Discussion%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0F66-B2A3-4F12-983E-C053216A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Discussion Paper.dotx</Template>
  <TotalTime>1</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2015-03-19T01:38:00Z</cp:lastPrinted>
  <dcterms:created xsi:type="dcterms:W3CDTF">2015-03-19T22:03:00Z</dcterms:created>
  <dcterms:modified xsi:type="dcterms:W3CDTF">2015-03-19T22:03:00Z</dcterms:modified>
</cp:coreProperties>
</file>