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DC" w:rsidRPr="00755429" w:rsidRDefault="00647BDC" w:rsidP="00647BDC">
      <w:pPr>
        <w:pStyle w:val="Heading1"/>
      </w:pPr>
      <w:bookmarkStart w:id="0" w:name="_Toc390955792"/>
      <w:r>
        <w:t>ATTACHMENT</w:t>
      </w:r>
      <w:r w:rsidRPr="00755429">
        <w:t xml:space="preserve"> 1</w:t>
      </w:r>
      <w:bookmarkEnd w:id="0"/>
    </w:p>
    <w:p w:rsidR="00647BDC" w:rsidRPr="00755429" w:rsidRDefault="00647BDC" w:rsidP="00647BDC">
      <w:pPr>
        <w:pStyle w:val="Heading2"/>
      </w:pPr>
      <w:bookmarkStart w:id="1" w:name="_Toc390955793"/>
      <w:r w:rsidRPr="00755429">
        <w:rPr>
          <w:caps w:val="0"/>
        </w:rPr>
        <w:t>REVENUE ASSESSMENTS</w:t>
      </w:r>
      <w:bookmarkEnd w:id="1"/>
    </w:p>
    <w:p w:rsidR="00647BDC" w:rsidRPr="00755429" w:rsidRDefault="00647BDC" w:rsidP="00647BDC">
      <w:pPr>
        <w:pStyle w:val="CGCNumberedPara"/>
        <w:numPr>
          <w:ilvl w:val="1"/>
          <w:numId w:val="10"/>
        </w:numPr>
      </w:pPr>
      <w:r w:rsidRPr="00755429">
        <w:t>Revenue assessments aim to measure the revenue each State would raise if it applied the Australian average tax rates to its tax bases — that is, if it made the average effort to raise revenue.</w:t>
      </w:r>
    </w:p>
    <w:p w:rsidR="00647BDC" w:rsidRPr="00755429" w:rsidRDefault="00647BDC" w:rsidP="00D07581">
      <w:pPr>
        <w:pStyle w:val="CGCBulletlist"/>
      </w:pPr>
      <w:r w:rsidRPr="00755429">
        <w:rPr>
          <w:rStyle w:val="Heading6Char"/>
        </w:rPr>
        <w:t>Tax bases</w:t>
      </w:r>
      <w:r w:rsidRPr="00755429">
        <w:t xml:space="preserve"> are generally measured using the value of transactions or goods in each State that would be taxed under the average tax policy. For example, the tax base for stamp duty on conveyances is the value of property sold and for mining revenue it is the value of mining production. A State has a revenue raising advantage if the per capita value of its tax base exceeds the national value. In that case, making the average tax effort will yield above average per capita revenue.</w:t>
      </w:r>
    </w:p>
    <w:p w:rsidR="00647BDC" w:rsidRPr="00755429" w:rsidRDefault="00647BDC" w:rsidP="00647BDC">
      <w:pPr>
        <w:pStyle w:val="CGCNumberedPara"/>
        <w:numPr>
          <w:ilvl w:val="1"/>
          <w:numId w:val="2"/>
        </w:numPr>
      </w:pPr>
      <w:r w:rsidRPr="00755429">
        <w:t>There are some cases where we assess the revenue capacity or costs of providing services to be the same in all States (we call this an equal per capita (EPC) assessment) because:</w:t>
      </w:r>
    </w:p>
    <w:p w:rsidR="00647BDC" w:rsidRPr="00755429" w:rsidRDefault="00647BDC" w:rsidP="00D07581">
      <w:pPr>
        <w:pStyle w:val="CGCBulletlist"/>
      </w:pPr>
      <w:r w:rsidRPr="00755429">
        <w:t>we consider all differences in revenues are due to differences in State policies — no State has a disability, or</w:t>
      </w:r>
    </w:p>
    <w:p w:rsidR="00647BDC" w:rsidRPr="00755429" w:rsidRDefault="00647BDC" w:rsidP="00D07581">
      <w:pPr>
        <w:pStyle w:val="CGCBulletlist"/>
      </w:pPr>
      <w:proofErr w:type="gramStart"/>
      <w:r w:rsidRPr="00755429">
        <w:t>there</w:t>
      </w:r>
      <w:proofErr w:type="gramEnd"/>
      <w:r w:rsidRPr="00755429">
        <w:t xml:space="preserve"> are disabilities but they cannot be adequately measured or we do not include them because they are not material.</w:t>
      </w:r>
    </w:p>
    <w:p w:rsidR="00647BDC" w:rsidRPr="00755429" w:rsidRDefault="00647BDC" w:rsidP="00647BDC">
      <w:pPr>
        <w:pStyle w:val="CGCNumberedPara"/>
        <w:numPr>
          <w:ilvl w:val="1"/>
          <w:numId w:val="2"/>
        </w:numPr>
      </w:pPr>
      <w:r w:rsidRPr="00755429">
        <w:t xml:space="preserve">The revenue bases we have used for each category and how we have measured them are summarised in </w:t>
      </w:r>
      <w:r w:rsidRPr="00755429">
        <w:fldChar w:fldCharType="begin"/>
      </w:r>
      <w:r w:rsidRPr="00755429">
        <w:instrText xml:space="preserve"> REF _Ref387753782 \h </w:instrText>
      </w:r>
      <w:r>
        <w:instrText xml:space="preserve"> \* MERGEFORMAT </w:instrText>
      </w:r>
      <w:r w:rsidRPr="00755429">
        <w:fldChar w:fldCharType="separate"/>
      </w:r>
      <w:r w:rsidR="005B69B1" w:rsidRPr="00755429">
        <w:t xml:space="preserve">Table </w:t>
      </w:r>
      <w:r w:rsidR="005B69B1">
        <w:rPr>
          <w:noProof/>
        </w:rPr>
        <w:t>1</w:t>
      </w:r>
      <w:r w:rsidRPr="00755429">
        <w:fldChar w:fldCharType="end"/>
      </w:r>
      <w:r w:rsidRPr="00755429">
        <w:t>. Details of each category assessment are provided in the following attachments.</w:t>
      </w:r>
    </w:p>
    <w:p w:rsidR="00647BDC" w:rsidRPr="00755429" w:rsidRDefault="00647BDC" w:rsidP="00647BDC">
      <w:pPr>
        <w:pStyle w:val="CGCTableHeading"/>
      </w:pPr>
      <w:bookmarkStart w:id="2" w:name="_Ref387753782"/>
      <w:r w:rsidRPr="00755429">
        <w:lastRenderedPageBreak/>
        <w:t xml:space="preserve">Table </w:t>
      </w:r>
      <w:r w:rsidR="005B69B1">
        <w:fldChar w:fldCharType="begin"/>
      </w:r>
      <w:r w:rsidR="005B69B1">
        <w:instrText xml:space="preserve"> SEQ Table \* ARABIC \r1 </w:instrText>
      </w:r>
      <w:r w:rsidR="005B69B1">
        <w:fldChar w:fldCharType="separate"/>
      </w:r>
      <w:r w:rsidR="005B69B1">
        <w:rPr>
          <w:noProof/>
        </w:rPr>
        <w:t>1</w:t>
      </w:r>
      <w:r w:rsidR="005B69B1">
        <w:rPr>
          <w:noProof/>
        </w:rPr>
        <w:fldChar w:fldCharType="end"/>
      </w:r>
      <w:bookmarkEnd w:id="2"/>
      <w:r w:rsidRPr="00755429">
        <w:tab/>
        <w:t>Measures of revenue bases</w:t>
      </w:r>
    </w:p>
    <w:tbl>
      <w:tblPr>
        <w:tblW w:w="5000" w:type="pct"/>
        <w:tblCellMar>
          <w:left w:w="85" w:type="dxa"/>
          <w:right w:w="85" w:type="dxa"/>
        </w:tblCellMar>
        <w:tblLook w:val="0000" w:firstRow="0" w:lastRow="0" w:firstColumn="0" w:lastColumn="0" w:noHBand="0" w:noVBand="0"/>
      </w:tblPr>
      <w:tblGrid>
        <w:gridCol w:w="2496"/>
        <w:gridCol w:w="6625"/>
      </w:tblGrid>
      <w:tr w:rsidR="00647BDC" w:rsidRPr="00755429" w:rsidTr="00D07581">
        <w:tc>
          <w:tcPr>
            <w:tcW w:w="1368" w:type="pct"/>
            <w:tcBorders>
              <w:top w:val="single" w:sz="6" w:space="0" w:color="auto"/>
              <w:bottom w:val="single" w:sz="6" w:space="0" w:color="auto"/>
            </w:tcBorders>
            <w:vAlign w:val="bottom"/>
          </w:tcPr>
          <w:p w:rsidR="00647BDC" w:rsidRPr="00755429" w:rsidRDefault="00647BDC" w:rsidP="00D07581">
            <w:pPr>
              <w:pStyle w:val="TableColHeadings"/>
              <w:jc w:val="both"/>
              <w:rPr>
                <w:rFonts w:cstheme="minorHAnsi"/>
              </w:rPr>
            </w:pPr>
            <w:r w:rsidRPr="00755429">
              <w:rPr>
                <w:rFonts w:cstheme="minorHAnsi"/>
              </w:rPr>
              <w:t>Revenue source</w:t>
            </w:r>
          </w:p>
        </w:tc>
        <w:tc>
          <w:tcPr>
            <w:tcW w:w="3632" w:type="pct"/>
            <w:tcBorders>
              <w:top w:val="single" w:sz="6" w:space="0" w:color="auto"/>
              <w:bottom w:val="single" w:sz="6" w:space="0" w:color="auto"/>
            </w:tcBorders>
            <w:vAlign w:val="bottom"/>
          </w:tcPr>
          <w:p w:rsidR="00647BDC" w:rsidRPr="00755429" w:rsidRDefault="00647BDC" w:rsidP="00D07581">
            <w:pPr>
              <w:pStyle w:val="TableColHeadings"/>
              <w:jc w:val="both"/>
              <w:rPr>
                <w:rFonts w:cstheme="minorHAnsi"/>
              </w:rPr>
            </w:pPr>
            <w:r w:rsidRPr="00755429">
              <w:rPr>
                <w:rFonts w:cstheme="minorHAnsi"/>
              </w:rPr>
              <w:t>Tax base and source of data</w:t>
            </w:r>
          </w:p>
        </w:tc>
      </w:tr>
      <w:tr w:rsidR="00647BDC" w:rsidRPr="00755429" w:rsidTr="00D07581">
        <w:tc>
          <w:tcPr>
            <w:tcW w:w="1368" w:type="pct"/>
          </w:tcPr>
          <w:p w:rsidR="00647BDC" w:rsidRPr="00755429" w:rsidRDefault="00647BDC" w:rsidP="00D07581">
            <w:pPr>
              <w:pStyle w:val="CGCTableStub"/>
              <w:jc w:val="both"/>
              <w:rPr>
                <w:rFonts w:cstheme="minorHAnsi"/>
              </w:rPr>
            </w:pPr>
            <w:r w:rsidRPr="00755429">
              <w:rPr>
                <w:rFonts w:cstheme="minorHAnsi"/>
              </w:rPr>
              <w:t>Payroll tax</w:t>
            </w:r>
          </w:p>
        </w:tc>
        <w:tc>
          <w:tcPr>
            <w:tcW w:w="3632" w:type="pct"/>
            <w:vAlign w:val="bottom"/>
          </w:tcPr>
          <w:p w:rsidR="00647BDC" w:rsidRPr="00755429" w:rsidRDefault="00647BDC" w:rsidP="00D07581">
            <w:pPr>
              <w:pStyle w:val="CGCTableStub"/>
              <w:jc w:val="both"/>
              <w:rPr>
                <w:rFonts w:cstheme="minorHAnsi"/>
              </w:rPr>
            </w:pPr>
            <w:r w:rsidRPr="00755429">
              <w:rPr>
                <w:rFonts w:cstheme="minorHAnsi"/>
              </w:rPr>
              <w:t>The value of payrolls in each State, excluding small employers, the general government sector of the Commonwealth, the States and local government and payrolls below the tax-free threshold. Measured using ABS data on compensation of employees, private sector wages and salaries and public sector wages and salaries.</w:t>
            </w:r>
          </w:p>
        </w:tc>
      </w:tr>
      <w:tr w:rsidR="00647BDC" w:rsidRPr="00755429" w:rsidTr="00D07581">
        <w:tc>
          <w:tcPr>
            <w:tcW w:w="1368" w:type="pct"/>
          </w:tcPr>
          <w:p w:rsidR="00647BDC" w:rsidRPr="00755429" w:rsidRDefault="00647BDC" w:rsidP="00D07581">
            <w:pPr>
              <w:pStyle w:val="CGCTableStub"/>
              <w:jc w:val="both"/>
              <w:rPr>
                <w:rFonts w:cstheme="minorHAnsi"/>
              </w:rPr>
            </w:pPr>
            <w:r w:rsidRPr="00755429">
              <w:rPr>
                <w:rFonts w:cstheme="minorHAnsi"/>
              </w:rPr>
              <w:t>Land tax</w:t>
            </w:r>
          </w:p>
        </w:tc>
        <w:tc>
          <w:tcPr>
            <w:tcW w:w="3632" w:type="pct"/>
            <w:vAlign w:val="bottom"/>
          </w:tcPr>
          <w:p w:rsidR="00647BDC" w:rsidRPr="00755429" w:rsidRDefault="00647BDC" w:rsidP="00D07581">
            <w:pPr>
              <w:pStyle w:val="CGCTableStub"/>
              <w:jc w:val="both"/>
              <w:rPr>
                <w:rFonts w:cstheme="minorHAnsi"/>
              </w:rPr>
            </w:pPr>
            <w:r w:rsidRPr="00755429">
              <w:rPr>
                <w:rFonts w:cstheme="minorHAnsi"/>
              </w:rPr>
              <w:t>The value of commercial</w:t>
            </w:r>
            <w:r>
              <w:rPr>
                <w:rFonts w:cstheme="minorHAnsi"/>
              </w:rPr>
              <w:t>,</w:t>
            </w:r>
            <w:r w:rsidRPr="00755429">
              <w:rPr>
                <w:rFonts w:cstheme="minorHAnsi"/>
              </w:rPr>
              <w:t xml:space="preserve"> industrial and residential land. Measured using </w:t>
            </w:r>
            <w:proofErr w:type="spellStart"/>
            <w:r w:rsidRPr="00755429">
              <w:rPr>
                <w:rFonts w:cstheme="minorHAnsi"/>
              </w:rPr>
              <w:t>Valuer</w:t>
            </w:r>
            <w:proofErr w:type="spellEnd"/>
            <w:r w:rsidRPr="00755429">
              <w:rPr>
                <w:rFonts w:cstheme="minorHAnsi"/>
              </w:rPr>
              <w:t xml:space="preserve"> General data on land values.</w:t>
            </w:r>
          </w:p>
          <w:p w:rsidR="00647BDC" w:rsidRPr="00755429" w:rsidRDefault="00647BDC" w:rsidP="00D07581">
            <w:pPr>
              <w:pStyle w:val="CGCTableStub"/>
              <w:jc w:val="both"/>
              <w:rPr>
                <w:rFonts w:cstheme="minorHAnsi"/>
              </w:rPr>
            </w:pPr>
            <w:r w:rsidRPr="00755429">
              <w:rPr>
                <w:rFonts w:cstheme="minorHAnsi"/>
              </w:rPr>
              <w:t>The value of commercial, industrial and non-principal residential land, adjusted for the effects of tax free thresholds and progressive tax rates. Measured using State data on land values.</w:t>
            </w:r>
          </w:p>
        </w:tc>
      </w:tr>
      <w:tr w:rsidR="00647BDC" w:rsidRPr="00755429" w:rsidTr="00D07581">
        <w:tc>
          <w:tcPr>
            <w:tcW w:w="1368" w:type="pct"/>
          </w:tcPr>
          <w:p w:rsidR="00647BDC" w:rsidRPr="00755429" w:rsidRDefault="00647BDC" w:rsidP="00D07581">
            <w:pPr>
              <w:pStyle w:val="CGCTableStub"/>
              <w:jc w:val="both"/>
              <w:rPr>
                <w:rFonts w:cstheme="minorHAnsi"/>
              </w:rPr>
            </w:pPr>
            <w:r w:rsidRPr="00755429">
              <w:rPr>
                <w:rFonts w:cstheme="minorHAnsi"/>
              </w:rPr>
              <w:t>Stamp duty on conveyances</w:t>
            </w:r>
          </w:p>
        </w:tc>
        <w:tc>
          <w:tcPr>
            <w:tcW w:w="3632" w:type="pct"/>
            <w:vAlign w:val="bottom"/>
          </w:tcPr>
          <w:p w:rsidR="00647BDC" w:rsidRPr="00755429" w:rsidRDefault="00647BDC" w:rsidP="00D07581">
            <w:pPr>
              <w:pStyle w:val="CGCTableStub"/>
              <w:jc w:val="both"/>
              <w:rPr>
                <w:rFonts w:cstheme="minorHAnsi"/>
              </w:rPr>
            </w:pPr>
            <w:r w:rsidRPr="00755429">
              <w:rPr>
                <w:rFonts w:cstheme="minorHAnsi"/>
              </w:rPr>
              <w:t xml:space="preserve">The value of property transferred, adjusted to reflect a common range of taxable transactions and the effects of progressive tax rates. Measured using State data on the value of property transferred. </w:t>
            </w:r>
          </w:p>
          <w:p w:rsidR="00647BDC" w:rsidRPr="00755429" w:rsidRDefault="00647BDC" w:rsidP="00D07581">
            <w:pPr>
              <w:pStyle w:val="CGCTableStub"/>
              <w:jc w:val="both"/>
              <w:rPr>
                <w:rFonts w:cstheme="minorHAnsi"/>
              </w:rPr>
            </w:pPr>
            <w:r w:rsidRPr="00755429">
              <w:rPr>
                <w:rFonts w:cstheme="minorHAnsi"/>
              </w:rPr>
              <w:t>The value of vehicles sold. Measured using State data on the value of vehicles transferred.</w:t>
            </w:r>
          </w:p>
        </w:tc>
      </w:tr>
      <w:tr w:rsidR="00647BDC" w:rsidRPr="00755429" w:rsidTr="00D07581">
        <w:tc>
          <w:tcPr>
            <w:tcW w:w="1368" w:type="pct"/>
          </w:tcPr>
          <w:p w:rsidR="00647BDC" w:rsidRPr="00755429" w:rsidRDefault="00647BDC" w:rsidP="00D07581">
            <w:pPr>
              <w:pStyle w:val="CGCTableStub"/>
              <w:jc w:val="both"/>
              <w:rPr>
                <w:rFonts w:cstheme="minorHAnsi"/>
              </w:rPr>
            </w:pPr>
            <w:r w:rsidRPr="00755429">
              <w:rPr>
                <w:rFonts w:cstheme="minorHAnsi"/>
              </w:rPr>
              <w:t>Insurance taxes</w:t>
            </w:r>
          </w:p>
        </w:tc>
        <w:tc>
          <w:tcPr>
            <w:tcW w:w="3632" w:type="pct"/>
            <w:vAlign w:val="bottom"/>
          </w:tcPr>
          <w:p w:rsidR="00647BDC" w:rsidRPr="00755429" w:rsidRDefault="00647BDC" w:rsidP="00D07581">
            <w:pPr>
              <w:pStyle w:val="CGCTableStub"/>
              <w:jc w:val="both"/>
              <w:rPr>
                <w:rFonts w:cstheme="minorHAnsi"/>
              </w:rPr>
            </w:pPr>
            <w:r w:rsidRPr="00755429">
              <w:rPr>
                <w:rFonts w:cstheme="minorHAnsi"/>
              </w:rPr>
              <w:t>Total premiums paid for general and compulsory third party insurance. Measured using Australian Prudential Regulation Authority data on premiums.</w:t>
            </w:r>
          </w:p>
        </w:tc>
      </w:tr>
      <w:tr w:rsidR="00647BDC" w:rsidRPr="00755429" w:rsidTr="00D07581">
        <w:tc>
          <w:tcPr>
            <w:tcW w:w="1368" w:type="pct"/>
          </w:tcPr>
          <w:p w:rsidR="00647BDC" w:rsidRPr="00755429" w:rsidRDefault="00647BDC" w:rsidP="00D07581">
            <w:pPr>
              <w:pStyle w:val="CGCTableStub"/>
              <w:jc w:val="both"/>
              <w:rPr>
                <w:rFonts w:cstheme="minorHAnsi"/>
              </w:rPr>
            </w:pPr>
            <w:r w:rsidRPr="00755429">
              <w:rPr>
                <w:rFonts w:cstheme="minorHAnsi"/>
              </w:rPr>
              <w:t>Motor vehicle registrations</w:t>
            </w:r>
          </w:p>
        </w:tc>
        <w:tc>
          <w:tcPr>
            <w:tcW w:w="3632" w:type="pct"/>
            <w:vAlign w:val="bottom"/>
          </w:tcPr>
          <w:p w:rsidR="00647BDC" w:rsidRPr="00755429" w:rsidRDefault="00647BDC" w:rsidP="00D07581">
            <w:pPr>
              <w:pStyle w:val="CGCTableStub"/>
              <w:jc w:val="both"/>
              <w:rPr>
                <w:rFonts w:cstheme="minorHAnsi"/>
              </w:rPr>
            </w:pPr>
            <w:r w:rsidRPr="00755429">
              <w:rPr>
                <w:rFonts w:cstheme="minorHAnsi"/>
              </w:rPr>
              <w:t xml:space="preserve">The number of light and heavy vehicles registered. Measured using the ABS motor vehicle census. </w:t>
            </w:r>
          </w:p>
        </w:tc>
      </w:tr>
      <w:tr w:rsidR="00647BDC" w:rsidRPr="00755429" w:rsidTr="00D07581">
        <w:tc>
          <w:tcPr>
            <w:tcW w:w="1368" w:type="pct"/>
          </w:tcPr>
          <w:p w:rsidR="00647BDC" w:rsidRPr="00755429" w:rsidRDefault="00647BDC" w:rsidP="00D07581">
            <w:pPr>
              <w:pStyle w:val="CGCTableStub"/>
              <w:jc w:val="both"/>
              <w:rPr>
                <w:rFonts w:cstheme="minorHAnsi"/>
              </w:rPr>
            </w:pPr>
            <w:r w:rsidRPr="00755429">
              <w:rPr>
                <w:rFonts w:cstheme="minorHAnsi"/>
              </w:rPr>
              <w:t>Mining royalty revenue</w:t>
            </w:r>
          </w:p>
        </w:tc>
        <w:tc>
          <w:tcPr>
            <w:tcW w:w="3632" w:type="pct"/>
            <w:vAlign w:val="bottom"/>
          </w:tcPr>
          <w:p w:rsidR="00647BDC" w:rsidRPr="00755429" w:rsidRDefault="00647BDC" w:rsidP="00D07581">
            <w:pPr>
              <w:pStyle w:val="CGCTableStub"/>
              <w:jc w:val="both"/>
              <w:rPr>
                <w:rFonts w:cstheme="minorHAnsi"/>
              </w:rPr>
            </w:pPr>
            <w:r w:rsidRPr="00755429">
              <w:rPr>
                <w:rFonts w:cstheme="minorHAnsi"/>
              </w:rPr>
              <w:t>Gross value of minerals produced in each State plus an adjustment for revenue received under revenue sharing arrangements with the Commonwealth. Measured using ABS and State data on value of mining production.</w:t>
            </w:r>
          </w:p>
        </w:tc>
      </w:tr>
      <w:tr w:rsidR="00647BDC" w:rsidRPr="00755429" w:rsidTr="00D07581">
        <w:tc>
          <w:tcPr>
            <w:tcW w:w="1368" w:type="pct"/>
            <w:tcBorders>
              <w:bottom w:val="single" w:sz="6" w:space="0" w:color="auto"/>
            </w:tcBorders>
          </w:tcPr>
          <w:p w:rsidR="00647BDC" w:rsidRPr="00755429" w:rsidRDefault="00647BDC" w:rsidP="00D07581">
            <w:pPr>
              <w:pStyle w:val="CGCTableStub"/>
              <w:jc w:val="both"/>
              <w:rPr>
                <w:rFonts w:cstheme="minorHAnsi"/>
              </w:rPr>
            </w:pPr>
            <w:r w:rsidRPr="00755429">
              <w:rPr>
                <w:rFonts w:cstheme="minorHAnsi"/>
              </w:rPr>
              <w:t>Other revenue</w:t>
            </w:r>
          </w:p>
        </w:tc>
        <w:tc>
          <w:tcPr>
            <w:tcW w:w="3632" w:type="pct"/>
            <w:tcBorders>
              <w:bottom w:val="single" w:sz="6" w:space="0" w:color="auto"/>
            </w:tcBorders>
            <w:vAlign w:val="bottom"/>
          </w:tcPr>
          <w:p w:rsidR="00647BDC" w:rsidRPr="00755429" w:rsidRDefault="00647BDC" w:rsidP="00D07581">
            <w:pPr>
              <w:pStyle w:val="CGCTableStub"/>
              <w:jc w:val="both"/>
              <w:rPr>
                <w:rFonts w:cstheme="minorHAnsi"/>
              </w:rPr>
            </w:pPr>
            <w:r w:rsidRPr="00755429">
              <w:rPr>
                <w:rFonts w:cstheme="minorHAnsi"/>
              </w:rPr>
              <w:t>Population. All States were considered to be able to raise the average per capita revenue for this category.</w:t>
            </w:r>
          </w:p>
        </w:tc>
      </w:tr>
    </w:tbl>
    <w:p w:rsidR="00647BDC" w:rsidRPr="001078DC" w:rsidRDefault="00647BDC" w:rsidP="00647BDC">
      <w:pPr>
        <w:pStyle w:val="Heading3"/>
      </w:pPr>
      <w:bookmarkStart w:id="3" w:name="_Toc390955794"/>
      <w:bookmarkStart w:id="4" w:name="_Toc106707728"/>
      <w:bookmarkStart w:id="5" w:name="_Toc155675938"/>
      <w:bookmarkStart w:id="6" w:name="_Toc174415773"/>
      <w:bookmarkStart w:id="7" w:name="_Toc174415847"/>
      <w:bookmarkStart w:id="8" w:name="_Toc174415938"/>
      <w:bookmarkStart w:id="9" w:name="_Toc174416623"/>
      <w:bookmarkStart w:id="10" w:name="_Toc174416665"/>
      <w:bookmarkStart w:id="11" w:name="_Toc174416678"/>
      <w:r w:rsidRPr="001078DC">
        <w:t>A global assessment of revenue</w:t>
      </w:r>
      <w:bookmarkEnd w:id="3"/>
    </w:p>
    <w:bookmarkEnd w:id="4"/>
    <w:bookmarkEnd w:id="5"/>
    <w:bookmarkEnd w:id="6"/>
    <w:bookmarkEnd w:id="7"/>
    <w:bookmarkEnd w:id="8"/>
    <w:bookmarkEnd w:id="9"/>
    <w:bookmarkEnd w:id="10"/>
    <w:bookmarkEnd w:id="11"/>
    <w:p w:rsidR="00647BDC" w:rsidRPr="00755429" w:rsidRDefault="00647BDC" w:rsidP="00647BDC">
      <w:pPr>
        <w:pStyle w:val="CGCNumberedPara"/>
        <w:numPr>
          <w:ilvl w:val="1"/>
          <w:numId w:val="2"/>
        </w:numPr>
      </w:pPr>
      <w:r w:rsidRPr="00755429">
        <w:t>Some States said a single assessment of revenue would be preferable to the Commission’s traditional tax by tax approach. They said a global assessment:</w:t>
      </w:r>
    </w:p>
    <w:p w:rsidR="00647BDC" w:rsidRPr="00D07581" w:rsidRDefault="00647BDC" w:rsidP="00D07581">
      <w:pPr>
        <w:pStyle w:val="CGCBulletlist"/>
      </w:pPr>
      <w:r w:rsidRPr="00D07581">
        <w:t>is simple</w:t>
      </w:r>
    </w:p>
    <w:p w:rsidR="00647BDC" w:rsidRPr="00D07581" w:rsidRDefault="00647BDC" w:rsidP="00D07581">
      <w:pPr>
        <w:pStyle w:val="CGCBulletlist"/>
      </w:pPr>
      <w:r w:rsidRPr="00D07581">
        <w:t xml:space="preserve">is less policy contaminated, because it is not tied to how States raise taxes  </w:t>
      </w:r>
    </w:p>
    <w:p w:rsidR="00647BDC" w:rsidRPr="00D07581" w:rsidRDefault="00647BDC" w:rsidP="00D07581">
      <w:pPr>
        <w:pStyle w:val="CGCBulletlist"/>
      </w:pPr>
      <w:r w:rsidRPr="00D07581">
        <w:t xml:space="preserve">removes disincentives (to either tax reform or tax compliance) and grant design inefficiencies  </w:t>
      </w:r>
    </w:p>
    <w:p w:rsidR="00647BDC" w:rsidRPr="00D07581" w:rsidRDefault="00647BDC" w:rsidP="00D07581">
      <w:pPr>
        <w:pStyle w:val="CGCBulletlist"/>
      </w:pPr>
      <w:proofErr w:type="gramStart"/>
      <w:r w:rsidRPr="00D07581">
        <w:t>captures</w:t>
      </w:r>
      <w:proofErr w:type="gramEnd"/>
      <w:r w:rsidRPr="00D07581">
        <w:t xml:space="preserve"> the capacity of the community to pay taxes.</w:t>
      </w:r>
    </w:p>
    <w:p w:rsidR="00647BDC" w:rsidRPr="00755429" w:rsidRDefault="00647BDC" w:rsidP="00647BDC">
      <w:pPr>
        <w:pStyle w:val="CGCNumberedPara"/>
        <w:numPr>
          <w:ilvl w:val="1"/>
          <w:numId w:val="2"/>
        </w:numPr>
      </w:pPr>
      <w:r w:rsidRPr="00755429">
        <w:t>They suggested a range of global indicators, including EPC, household disposable income, and adjusted Gross State Product.</w:t>
      </w:r>
    </w:p>
    <w:p w:rsidR="00647BDC" w:rsidRPr="00755429" w:rsidRDefault="00647BDC" w:rsidP="00647BDC">
      <w:pPr>
        <w:pStyle w:val="CGCNumberedPara"/>
        <w:numPr>
          <w:ilvl w:val="1"/>
          <w:numId w:val="2"/>
        </w:numPr>
      </w:pPr>
      <w:r w:rsidRPr="00755429">
        <w:t>Our primary concern is that the indicators so far investigated produce a very different measure of States’ revenue capacities. This means these indicators go too far beyond the legal basis of State taxes.</w:t>
      </w:r>
    </w:p>
    <w:p w:rsidR="00647BDC" w:rsidRPr="00755429" w:rsidRDefault="00647BDC" w:rsidP="00647BDC">
      <w:pPr>
        <w:pStyle w:val="CGCNumberedPara"/>
        <w:numPr>
          <w:ilvl w:val="1"/>
          <w:numId w:val="2"/>
        </w:numPr>
      </w:pPr>
      <w:r w:rsidRPr="00755429">
        <w:lastRenderedPageBreak/>
        <w:t>We have not adopted a global approach because:</w:t>
      </w:r>
    </w:p>
    <w:p w:rsidR="00647BDC" w:rsidRPr="00755429" w:rsidRDefault="00647BDC" w:rsidP="00D07581">
      <w:pPr>
        <w:pStyle w:val="CGCBulletlist"/>
      </w:pPr>
      <w:r w:rsidRPr="00755429">
        <w:t>Equalisation is about the capacity of States to raise taxes rather than the capacit</w:t>
      </w:r>
      <w:r>
        <w:t>y of communities to pay taxes.</w:t>
      </w:r>
    </w:p>
    <w:p w:rsidR="00647BDC" w:rsidRPr="00755429" w:rsidRDefault="00647BDC" w:rsidP="00D07581">
      <w:pPr>
        <w:pStyle w:val="CGCBulletlist"/>
      </w:pPr>
      <w:r w:rsidRPr="00755429">
        <w:t xml:space="preserve">States cannot tax global revenue bases in reality. </w:t>
      </w:r>
      <w:proofErr w:type="gramStart"/>
      <w:r w:rsidRPr="00755429">
        <w:t>Tax by tax assessments reflect</w:t>
      </w:r>
      <w:proofErr w:type="gramEnd"/>
      <w:r w:rsidRPr="00755429">
        <w:t xml:space="preserve"> how States actually raise revenue; they are more consistent with the ‘what States collecti</w:t>
      </w:r>
      <w:r>
        <w:t>vely do’ supporting principle.</w:t>
      </w:r>
    </w:p>
    <w:p w:rsidR="00647BDC" w:rsidRPr="00755429" w:rsidRDefault="00647BDC" w:rsidP="00D07581">
      <w:pPr>
        <w:pStyle w:val="CGCBulletlist"/>
      </w:pPr>
      <w:r w:rsidRPr="00755429">
        <w:t>Revenue raising disabilities differ for different taxes. Revenue bases that reflect legislative basis are better able to capture these differe</w:t>
      </w:r>
      <w:r>
        <w:t>nces than a global assessment.</w:t>
      </w:r>
    </w:p>
    <w:p w:rsidR="00647BDC" w:rsidRPr="00755429" w:rsidRDefault="00647BDC" w:rsidP="00D07581">
      <w:pPr>
        <w:pStyle w:val="CGCBulletlist"/>
      </w:pPr>
      <w:r w:rsidRPr="00755429">
        <w:t>There are data problems with global assessments; for instance, the identified potential indicators do not allow for differences in industry structure, income distribution, wealth or ability to export tax bases. A global measure implies the burden of the tax falls on the residents of the taxing State. However, if the burden falls on overseas residents or residents of another State, a global measure can understate th</w:t>
      </w:r>
      <w:r>
        <w:t>e capacity of the taxing State.</w:t>
      </w:r>
    </w:p>
    <w:p w:rsidR="00647BDC" w:rsidRPr="00755429" w:rsidRDefault="00647BDC" w:rsidP="00647BDC">
      <w:pPr>
        <w:pStyle w:val="CGCNumberedPara"/>
        <w:numPr>
          <w:ilvl w:val="1"/>
          <w:numId w:val="2"/>
        </w:numPr>
      </w:pPr>
      <w:r w:rsidRPr="00755429">
        <w:t xml:space="preserve">The advantage of a tax by tax approach is its focus on the legislative bases available to States, it captures the activities States are legally empowered </w:t>
      </w:r>
      <w:r>
        <w:t>to tax and are actually taxing.</w:t>
      </w:r>
    </w:p>
    <w:p w:rsidR="00647BDC" w:rsidRPr="001078DC" w:rsidRDefault="00647BDC" w:rsidP="00647BDC">
      <w:pPr>
        <w:pStyle w:val="Heading3"/>
      </w:pPr>
      <w:bookmarkStart w:id="12" w:name="_Toc390955795"/>
      <w:r w:rsidRPr="001078DC">
        <w:t xml:space="preserve">Broader </w:t>
      </w:r>
      <w:r>
        <w:t>r</w:t>
      </w:r>
      <w:r w:rsidRPr="001078DC">
        <w:t xml:space="preserve">evenue </w:t>
      </w:r>
      <w:r>
        <w:t>a</w:t>
      </w:r>
      <w:r w:rsidRPr="001078DC">
        <w:t>ssessments</w:t>
      </w:r>
      <w:bookmarkEnd w:id="12"/>
    </w:p>
    <w:p w:rsidR="00647BDC" w:rsidRPr="00755429" w:rsidRDefault="00647BDC" w:rsidP="00647BDC">
      <w:pPr>
        <w:pStyle w:val="CGCNumberedPara"/>
        <w:numPr>
          <w:ilvl w:val="1"/>
          <w:numId w:val="2"/>
        </w:numPr>
      </w:pPr>
      <w:r w:rsidRPr="00755429">
        <w:t>Some States have suggested the Commission undertake a broader assessment of individual revenues. They said broader assessments focus on the activities States are legally empowered to tax but do so in ways that are:</w:t>
      </w:r>
    </w:p>
    <w:p w:rsidR="00647BDC" w:rsidRPr="00755429" w:rsidRDefault="00647BDC" w:rsidP="00D07581">
      <w:pPr>
        <w:pStyle w:val="CGCBulletlist"/>
      </w:pPr>
      <w:r w:rsidRPr="00755429">
        <w:t>simple: they require much less data</w:t>
      </w:r>
    </w:p>
    <w:p w:rsidR="00647BDC" w:rsidRPr="00755429" w:rsidRDefault="00647BDC" w:rsidP="00D07581">
      <w:pPr>
        <w:pStyle w:val="CGCBulletlist"/>
      </w:pPr>
      <w:proofErr w:type="gramStart"/>
      <w:r w:rsidRPr="00755429">
        <w:t>less</w:t>
      </w:r>
      <w:proofErr w:type="gramEnd"/>
      <w:r w:rsidRPr="00755429">
        <w:t xml:space="preserve"> policy contaminated: they are not tied to the detail of how States raise taxes.</w:t>
      </w:r>
    </w:p>
    <w:p w:rsidR="00647BDC" w:rsidRPr="00755429" w:rsidRDefault="00647BDC" w:rsidP="00647BDC">
      <w:pPr>
        <w:pStyle w:val="CGCNumberedPara"/>
        <w:numPr>
          <w:ilvl w:val="1"/>
          <w:numId w:val="2"/>
        </w:numPr>
      </w:pPr>
      <w:r w:rsidRPr="00755429">
        <w:t xml:space="preserve">A broader assessment would focus on the potential revenue base available to States, rather than on how States tax that potential base. For example, it would ignore tax free thresholds, progressive rates of tax, and </w:t>
      </w:r>
      <w:r>
        <w:t>exemptions States may offer.</w:t>
      </w:r>
    </w:p>
    <w:p w:rsidR="00647BDC" w:rsidRPr="00755429" w:rsidRDefault="00647BDC" w:rsidP="00647BDC">
      <w:pPr>
        <w:pStyle w:val="CGCNumberedPara"/>
        <w:numPr>
          <w:ilvl w:val="1"/>
          <w:numId w:val="2"/>
        </w:numPr>
      </w:pPr>
      <w:r w:rsidRPr="00755429">
        <w:t>Our concern with broader revenue assessments is they can omit aspects of States’ tax policy that have a material impact on their GST distributions. Where intrinsic differences exist in the tax bases available to States and where States act on those differences (progressive rates of tax, for example), we believe we should examine them. Where we can measure aspects of State tax policy that are material and we can do so reliably and in a way that is not unduly complex, we think we should.</w:t>
      </w:r>
    </w:p>
    <w:p w:rsidR="00647BDC" w:rsidRPr="00755429" w:rsidRDefault="00647BDC" w:rsidP="00647BDC">
      <w:pPr>
        <w:pStyle w:val="CGCNumberedPara"/>
        <w:numPr>
          <w:ilvl w:val="1"/>
          <w:numId w:val="2"/>
        </w:numPr>
      </w:pPr>
      <w:r w:rsidRPr="00755429">
        <w:t>We propose to choose the broadest possible indicator that is consistent with what States collectively do. We will consider making adjustments where:</w:t>
      </w:r>
    </w:p>
    <w:p w:rsidR="00647BDC" w:rsidRPr="00755429" w:rsidRDefault="00647BDC" w:rsidP="00D07581">
      <w:pPr>
        <w:pStyle w:val="CGCBulletlist"/>
      </w:pPr>
      <w:r w:rsidRPr="00755429">
        <w:t>the adjustment is consistent with what States collectively do</w:t>
      </w:r>
    </w:p>
    <w:p w:rsidR="00647BDC" w:rsidRPr="00755429" w:rsidRDefault="00647BDC" w:rsidP="00D07581">
      <w:pPr>
        <w:pStyle w:val="CGCBulletlist"/>
      </w:pPr>
      <w:r w:rsidRPr="00755429">
        <w:lastRenderedPageBreak/>
        <w:t>it would produce a materially different GST distribution</w:t>
      </w:r>
    </w:p>
    <w:p w:rsidR="00647BDC" w:rsidRPr="00755429" w:rsidRDefault="00647BDC" w:rsidP="00D07581">
      <w:pPr>
        <w:pStyle w:val="CGCBulletlist"/>
      </w:pPr>
      <w:proofErr w:type="gramStart"/>
      <w:r w:rsidRPr="00755429">
        <w:t>reliable</w:t>
      </w:r>
      <w:proofErr w:type="gramEnd"/>
      <w:r w:rsidRPr="00755429">
        <w:t xml:space="preserve"> data are available that would allow us to make the adjustment.</w:t>
      </w:r>
    </w:p>
    <w:p w:rsidR="00647BDC" w:rsidRDefault="00647BDC" w:rsidP="00647BDC">
      <w:pPr>
        <w:pStyle w:val="Heading3"/>
      </w:pPr>
      <w:bookmarkStart w:id="13" w:name="_Toc390955796"/>
      <w:r>
        <w:t>Adjustments for elasticity effects</w:t>
      </w:r>
      <w:bookmarkEnd w:id="13"/>
    </w:p>
    <w:p w:rsidR="00647BDC" w:rsidRPr="00755429" w:rsidRDefault="00647BDC" w:rsidP="00647BDC">
      <w:pPr>
        <w:pStyle w:val="CGCNumberedPara"/>
        <w:numPr>
          <w:ilvl w:val="1"/>
          <w:numId w:val="2"/>
        </w:numPr>
      </w:pPr>
      <w:r w:rsidRPr="00755429">
        <w:t>The revenue methodology uses observed tax bases to measure the capacity of a State to raise revenue. We assume each State applies the average revenue policy, including the average taxation rates. Economic theory suggests that if States’ actual tax rates differ from the average, that difference can affect the level of activity and therefore the observed size of States’ tax bases. States imposing above average rates of tax would shrink their tax bases and vice versa.</w:t>
      </w:r>
    </w:p>
    <w:p w:rsidR="00647BDC" w:rsidRPr="00755429" w:rsidRDefault="00647BDC" w:rsidP="00647BDC">
      <w:pPr>
        <w:pStyle w:val="CGCNumberedPara"/>
        <w:numPr>
          <w:ilvl w:val="1"/>
          <w:numId w:val="2"/>
        </w:numPr>
      </w:pPr>
      <w:r w:rsidRPr="00755429">
        <w:t xml:space="preserve">Elasticity adjustments have been assessed in the past, but were discontinued in the 1999 Review because of concerns about our ability to reliably measure elasticity effects. </w:t>
      </w:r>
      <w:r w:rsidRPr="00755429">
        <w:fldChar w:fldCharType="begin"/>
      </w:r>
      <w:r w:rsidRPr="00755429">
        <w:instrText xml:space="preserve"> REF _Ref387754840 \h </w:instrText>
      </w:r>
      <w:r>
        <w:instrText xml:space="preserve"> \* MERGEFORMAT </w:instrText>
      </w:r>
      <w:r w:rsidRPr="00755429">
        <w:fldChar w:fldCharType="separate"/>
      </w:r>
      <w:r w:rsidR="005B69B1" w:rsidRPr="00755429">
        <w:t xml:space="preserve">Table </w:t>
      </w:r>
      <w:r w:rsidR="005B69B1">
        <w:rPr>
          <w:noProof/>
        </w:rPr>
        <w:t>2</w:t>
      </w:r>
      <w:r w:rsidRPr="00755429">
        <w:fldChar w:fldCharType="end"/>
      </w:r>
      <w:r w:rsidRPr="00755429">
        <w:t xml:space="preserve"> shows the history of elasticity adjustments.</w:t>
      </w:r>
    </w:p>
    <w:p w:rsidR="00647BDC" w:rsidRPr="00755429" w:rsidRDefault="00647BDC" w:rsidP="00647BDC">
      <w:pPr>
        <w:pStyle w:val="CGCTableHeading"/>
      </w:pPr>
      <w:bookmarkStart w:id="14" w:name="_Ref387754840"/>
      <w:r w:rsidRPr="00755429">
        <w:t xml:space="preserve">Table </w:t>
      </w:r>
      <w:r w:rsidR="005B69B1">
        <w:fldChar w:fldCharType="begin"/>
      </w:r>
      <w:r w:rsidR="005B69B1">
        <w:instrText xml:space="preserve"> SEQ Table \* ARABIC </w:instrText>
      </w:r>
      <w:r w:rsidR="005B69B1">
        <w:fldChar w:fldCharType="separate"/>
      </w:r>
      <w:r w:rsidR="005B69B1">
        <w:rPr>
          <w:noProof/>
        </w:rPr>
        <w:t>2</w:t>
      </w:r>
      <w:r w:rsidR="005B69B1">
        <w:rPr>
          <w:noProof/>
        </w:rPr>
        <w:fldChar w:fldCharType="end"/>
      </w:r>
      <w:bookmarkEnd w:id="14"/>
      <w:r w:rsidRPr="00755429">
        <w:tab/>
        <w:t>History of elasticity adjustments</w:t>
      </w:r>
    </w:p>
    <w:tbl>
      <w:tblPr>
        <w:tblW w:w="5000" w:type="pct"/>
        <w:tblLayout w:type="fixed"/>
        <w:tblCellMar>
          <w:left w:w="0" w:type="dxa"/>
          <w:right w:w="0" w:type="dxa"/>
        </w:tblCellMar>
        <w:tblLook w:val="0000" w:firstRow="0" w:lastRow="0" w:firstColumn="0" w:lastColumn="0" w:noHBand="0" w:noVBand="0"/>
      </w:tblPr>
      <w:tblGrid>
        <w:gridCol w:w="919"/>
        <w:gridCol w:w="2200"/>
        <w:gridCol w:w="2411"/>
        <w:gridCol w:w="3421"/>
      </w:tblGrid>
      <w:tr w:rsidR="00647BDC" w:rsidRPr="00755429" w:rsidTr="00D07581">
        <w:tc>
          <w:tcPr>
            <w:tcW w:w="513" w:type="pct"/>
            <w:tcBorders>
              <w:top w:val="single" w:sz="6" w:space="0" w:color="auto"/>
              <w:bottom w:val="single" w:sz="6" w:space="0" w:color="auto"/>
            </w:tcBorders>
            <w:vAlign w:val="center"/>
          </w:tcPr>
          <w:p w:rsidR="00647BDC" w:rsidRPr="00755429" w:rsidRDefault="00647BDC" w:rsidP="00D07581">
            <w:pPr>
              <w:pStyle w:val="TableColHeadings"/>
              <w:ind w:left="193" w:hanging="142"/>
              <w:jc w:val="left"/>
              <w:rPr>
                <w:rFonts w:cstheme="minorHAnsi"/>
              </w:rPr>
            </w:pPr>
            <w:r w:rsidRPr="00755429">
              <w:rPr>
                <w:rFonts w:cstheme="minorHAnsi"/>
              </w:rPr>
              <w:t>Review</w:t>
            </w:r>
          </w:p>
        </w:tc>
        <w:tc>
          <w:tcPr>
            <w:tcW w:w="1229" w:type="pct"/>
            <w:tcBorders>
              <w:top w:val="single" w:sz="6" w:space="0" w:color="auto"/>
              <w:bottom w:val="single" w:sz="6" w:space="0" w:color="auto"/>
            </w:tcBorders>
            <w:vAlign w:val="center"/>
          </w:tcPr>
          <w:p w:rsidR="00647BDC" w:rsidRPr="00755429" w:rsidRDefault="00647BDC" w:rsidP="00D07581">
            <w:pPr>
              <w:pStyle w:val="TableColHeadings"/>
              <w:jc w:val="left"/>
              <w:rPr>
                <w:rFonts w:cstheme="minorHAnsi"/>
              </w:rPr>
            </w:pPr>
            <w:r w:rsidRPr="00755429">
              <w:rPr>
                <w:rFonts w:cstheme="minorHAnsi"/>
              </w:rPr>
              <w:t>Petroleum</w:t>
            </w:r>
          </w:p>
        </w:tc>
        <w:tc>
          <w:tcPr>
            <w:tcW w:w="1347" w:type="pct"/>
            <w:tcBorders>
              <w:top w:val="single" w:sz="6" w:space="0" w:color="auto"/>
              <w:bottom w:val="single" w:sz="6" w:space="0" w:color="auto"/>
            </w:tcBorders>
            <w:vAlign w:val="center"/>
          </w:tcPr>
          <w:p w:rsidR="00647BDC" w:rsidRPr="00755429" w:rsidRDefault="00647BDC" w:rsidP="00D07581">
            <w:pPr>
              <w:pStyle w:val="TableColHeadings"/>
              <w:jc w:val="left"/>
              <w:rPr>
                <w:rFonts w:cstheme="minorHAnsi"/>
              </w:rPr>
            </w:pPr>
            <w:r w:rsidRPr="00755429">
              <w:rPr>
                <w:rFonts w:cstheme="minorHAnsi"/>
              </w:rPr>
              <w:t>Tobacco</w:t>
            </w:r>
          </w:p>
        </w:tc>
        <w:tc>
          <w:tcPr>
            <w:tcW w:w="1912" w:type="pct"/>
            <w:tcBorders>
              <w:top w:val="single" w:sz="6" w:space="0" w:color="auto"/>
              <w:bottom w:val="single" w:sz="6" w:space="0" w:color="auto"/>
            </w:tcBorders>
            <w:vAlign w:val="center"/>
          </w:tcPr>
          <w:p w:rsidR="00647BDC" w:rsidRPr="00755429" w:rsidRDefault="00647BDC" w:rsidP="00D07581">
            <w:pPr>
              <w:pStyle w:val="TableColHeadings"/>
              <w:jc w:val="left"/>
              <w:rPr>
                <w:rFonts w:cstheme="minorHAnsi"/>
              </w:rPr>
            </w:pPr>
            <w:r w:rsidRPr="00755429">
              <w:rPr>
                <w:rFonts w:cstheme="minorHAnsi"/>
              </w:rPr>
              <w:t>Mining</w:t>
            </w:r>
          </w:p>
        </w:tc>
      </w:tr>
      <w:tr w:rsidR="00647BDC" w:rsidRPr="00755429" w:rsidTr="00D07581">
        <w:tc>
          <w:tcPr>
            <w:tcW w:w="513" w:type="pct"/>
            <w:vAlign w:val="center"/>
          </w:tcPr>
          <w:p w:rsidR="00647BDC" w:rsidRPr="00755429" w:rsidRDefault="00647BDC" w:rsidP="00D07581">
            <w:pPr>
              <w:pStyle w:val="CGCTableStub"/>
              <w:tabs>
                <w:tab w:val="center" w:pos="142"/>
                <w:tab w:val="center" w:pos="284"/>
                <w:tab w:val="center" w:pos="425"/>
                <w:tab w:val="center" w:pos="567"/>
                <w:tab w:val="center" w:pos="709"/>
                <w:tab w:val="left" w:pos="851"/>
              </w:tabs>
              <w:ind w:left="193" w:hanging="142"/>
              <w:rPr>
                <w:rFonts w:cstheme="minorHAnsi"/>
              </w:rPr>
            </w:pPr>
            <w:r w:rsidRPr="00755429">
              <w:rPr>
                <w:rFonts w:cstheme="minorHAnsi"/>
              </w:rPr>
              <w:t>1985</w:t>
            </w:r>
          </w:p>
        </w:tc>
        <w:tc>
          <w:tcPr>
            <w:tcW w:w="1229" w:type="pct"/>
            <w:vAlign w:val="bottom"/>
          </w:tcPr>
          <w:p w:rsidR="00647BDC" w:rsidRPr="00755429" w:rsidRDefault="00647BDC" w:rsidP="00D07581">
            <w:pPr>
              <w:pStyle w:val="TableRowNormal"/>
              <w:ind w:left="0" w:firstLine="0"/>
              <w:jc w:val="left"/>
              <w:rPr>
                <w:rFonts w:cstheme="minorHAnsi"/>
              </w:rPr>
            </w:pPr>
            <w:r w:rsidRPr="00755429">
              <w:rPr>
                <w:rFonts w:cstheme="minorHAnsi"/>
              </w:rPr>
              <w:t>-</w:t>
            </w:r>
          </w:p>
        </w:tc>
        <w:tc>
          <w:tcPr>
            <w:tcW w:w="1347" w:type="pct"/>
            <w:vAlign w:val="bottom"/>
          </w:tcPr>
          <w:p w:rsidR="00647BDC" w:rsidRPr="00755429" w:rsidRDefault="00647BDC" w:rsidP="00D07581">
            <w:pPr>
              <w:pStyle w:val="TableRowNormal"/>
              <w:ind w:left="0" w:firstLine="0"/>
              <w:jc w:val="left"/>
              <w:rPr>
                <w:rFonts w:cstheme="minorHAnsi"/>
              </w:rPr>
            </w:pPr>
            <w:r w:rsidRPr="00755429">
              <w:t>Adjustment assessed for Queensland only</w:t>
            </w:r>
          </w:p>
        </w:tc>
        <w:tc>
          <w:tcPr>
            <w:tcW w:w="1912" w:type="pct"/>
            <w:vAlign w:val="bottom"/>
          </w:tcPr>
          <w:p w:rsidR="00647BDC" w:rsidRPr="00755429" w:rsidRDefault="00647BDC" w:rsidP="00D07581">
            <w:pPr>
              <w:pStyle w:val="TableRowNormal"/>
              <w:ind w:left="0" w:firstLine="0"/>
              <w:jc w:val="left"/>
              <w:rPr>
                <w:rFonts w:cstheme="minorHAnsi"/>
              </w:rPr>
            </w:pPr>
            <w:r w:rsidRPr="00755429">
              <w:rPr>
                <w:rFonts w:cstheme="minorHAnsi"/>
              </w:rPr>
              <w:t>-</w:t>
            </w:r>
          </w:p>
        </w:tc>
      </w:tr>
      <w:tr w:rsidR="00647BDC" w:rsidRPr="00755429" w:rsidTr="00D07581">
        <w:tc>
          <w:tcPr>
            <w:tcW w:w="513" w:type="pct"/>
            <w:vAlign w:val="center"/>
          </w:tcPr>
          <w:p w:rsidR="00647BDC" w:rsidRPr="00755429" w:rsidRDefault="00647BDC" w:rsidP="00D07581">
            <w:pPr>
              <w:pStyle w:val="CGCTableStub"/>
              <w:tabs>
                <w:tab w:val="center" w:pos="142"/>
                <w:tab w:val="center" w:pos="284"/>
                <w:tab w:val="center" w:pos="425"/>
                <w:tab w:val="center" w:pos="567"/>
                <w:tab w:val="center" w:pos="709"/>
                <w:tab w:val="left" w:pos="851"/>
              </w:tabs>
              <w:ind w:left="193" w:hanging="142"/>
              <w:rPr>
                <w:rFonts w:cstheme="minorHAnsi"/>
              </w:rPr>
            </w:pPr>
            <w:r w:rsidRPr="00755429">
              <w:rPr>
                <w:rFonts w:cstheme="minorHAnsi"/>
              </w:rPr>
              <w:t>1988</w:t>
            </w:r>
          </w:p>
        </w:tc>
        <w:tc>
          <w:tcPr>
            <w:tcW w:w="1229" w:type="pct"/>
            <w:vAlign w:val="bottom"/>
          </w:tcPr>
          <w:p w:rsidR="00647BDC" w:rsidRPr="00755429" w:rsidRDefault="00647BDC" w:rsidP="00D07581">
            <w:pPr>
              <w:pStyle w:val="TableRowNormal"/>
              <w:ind w:left="0" w:firstLine="0"/>
              <w:jc w:val="left"/>
              <w:rPr>
                <w:rFonts w:cstheme="minorHAnsi"/>
              </w:rPr>
            </w:pPr>
            <w:r w:rsidRPr="00755429">
              <w:rPr>
                <w:rFonts w:cstheme="minorHAnsi"/>
              </w:rPr>
              <w:t>-</w:t>
            </w:r>
          </w:p>
        </w:tc>
        <w:tc>
          <w:tcPr>
            <w:tcW w:w="1347" w:type="pct"/>
            <w:vAlign w:val="bottom"/>
          </w:tcPr>
          <w:p w:rsidR="00647BDC" w:rsidRPr="00755429" w:rsidRDefault="00647BDC" w:rsidP="00D07581">
            <w:pPr>
              <w:pStyle w:val="TableRowNormal"/>
              <w:ind w:left="0" w:firstLine="0"/>
              <w:jc w:val="left"/>
              <w:rPr>
                <w:rFonts w:cstheme="minorHAnsi"/>
              </w:rPr>
            </w:pPr>
            <w:r w:rsidRPr="00755429">
              <w:t xml:space="preserve">Price elasticity of demand of </w:t>
            </w:r>
            <w:r w:rsidRPr="00755429">
              <w:noBreakHyphen/>
              <w:t>0.15 for all States</w:t>
            </w:r>
          </w:p>
        </w:tc>
        <w:tc>
          <w:tcPr>
            <w:tcW w:w="1912" w:type="pct"/>
            <w:vAlign w:val="bottom"/>
          </w:tcPr>
          <w:p w:rsidR="00647BDC" w:rsidRPr="00755429" w:rsidRDefault="00647BDC" w:rsidP="00D07581">
            <w:pPr>
              <w:pStyle w:val="TableRowNormal"/>
              <w:ind w:left="0" w:firstLine="0"/>
              <w:jc w:val="left"/>
              <w:rPr>
                <w:rFonts w:cstheme="minorHAnsi"/>
              </w:rPr>
            </w:pPr>
            <w:r w:rsidRPr="00755429">
              <w:rPr>
                <w:rFonts w:cstheme="minorHAnsi"/>
              </w:rPr>
              <w:t>-</w:t>
            </w:r>
          </w:p>
        </w:tc>
      </w:tr>
      <w:tr w:rsidR="00647BDC" w:rsidRPr="00755429" w:rsidTr="00D07581">
        <w:tc>
          <w:tcPr>
            <w:tcW w:w="513" w:type="pct"/>
            <w:vAlign w:val="center"/>
          </w:tcPr>
          <w:p w:rsidR="00647BDC" w:rsidRPr="00755429" w:rsidRDefault="00647BDC" w:rsidP="00D07581">
            <w:pPr>
              <w:pStyle w:val="CGCTableStub"/>
              <w:tabs>
                <w:tab w:val="center" w:pos="142"/>
                <w:tab w:val="center" w:pos="284"/>
                <w:tab w:val="center" w:pos="425"/>
                <w:tab w:val="center" w:pos="567"/>
                <w:tab w:val="center" w:pos="709"/>
                <w:tab w:val="left" w:pos="851"/>
              </w:tabs>
              <w:ind w:left="193" w:hanging="142"/>
              <w:rPr>
                <w:rFonts w:cstheme="minorHAnsi"/>
              </w:rPr>
            </w:pPr>
            <w:r w:rsidRPr="00755429">
              <w:rPr>
                <w:rFonts w:cstheme="minorHAnsi"/>
              </w:rPr>
              <w:t>1993</w:t>
            </w:r>
          </w:p>
        </w:tc>
        <w:tc>
          <w:tcPr>
            <w:tcW w:w="1229" w:type="pct"/>
            <w:vAlign w:val="bottom"/>
          </w:tcPr>
          <w:p w:rsidR="00647BDC" w:rsidRPr="00755429" w:rsidRDefault="00647BDC" w:rsidP="00D07581">
            <w:pPr>
              <w:pStyle w:val="TableRowNormal"/>
              <w:ind w:left="0" w:firstLine="0"/>
              <w:jc w:val="left"/>
              <w:rPr>
                <w:rFonts w:cstheme="minorHAnsi"/>
              </w:rPr>
            </w:pPr>
            <w:r w:rsidRPr="00755429">
              <w:t xml:space="preserve">Price elasticity of demand of  </w:t>
            </w:r>
            <w:r w:rsidRPr="00755429">
              <w:noBreakHyphen/>
              <w:t>0.5 for all States</w:t>
            </w:r>
          </w:p>
        </w:tc>
        <w:tc>
          <w:tcPr>
            <w:tcW w:w="1347" w:type="pct"/>
            <w:vAlign w:val="bottom"/>
          </w:tcPr>
          <w:p w:rsidR="00647BDC" w:rsidRPr="00755429" w:rsidRDefault="00647BDC" w:rsidP="00D07581">
            <w:pPr>
              <w:pStyle w:val="TableRowNormal"/>
              <w:ind w:left="0" w:firstLine="0"/>
              <w:jc w:val="left"/>
              <w:rPr>
                <w:rFonts w:cstheme="minorHAnsi"/>
              </w:rPr>
            </w:pPr>
            <w:r w:rsidRPr="00755429">
              <w:t xml:space="preserve">Price elasticity of demand of </w:t>
            </w:r>
            <w:r w:rsidRPr="00755429">
              <w:noBreakHyphen/>
              <w:t>0.15 for all States</w:t>
            </w:r>
          </w:p>
        </w:tc>
        <w:tc>
          <w:tcPr>
            <w:tcW w:w="1912" w:type="pct"/>
            <w:vAlign w:val="bottom"/>
          </w:tcPr>
          <w:p w:rsidR="00647BDC" w:rsidRPr="00755429" w:rsidRDefault="00647BDC" w:rsidP="00D07581">
            <w:pPr>
              <w:pStyle w:val="TableRowNormal"/>
              <w:ind w:left="0" w:firstLine="0"/>
              <w:jc w:val="left"/>
              <w:rPr>
                <w:rFonts w:cstheme="minorHAnsi"/>
              </w:rPr>
            </w:pPr>
            <w:r w:rsidRPr="00755429">
              <w:t>Tax elasticity of supply of -3 for all States</w:t>
            </w:r>
          </w:p>
        </w:tc>
      </w:tr>
      <w:tr w:rsidR="00647BDC" w:rsidRPr="00755429" w:rsidTr="00D07581">
        <w:tc>
          <w:tcPr>
            <w:tcW w:w="513" w:type="pct"/>
            <w:tcBorders>
              <w:bottom w:val="single" w:sz="4" w:space="0" w:color="auto"/>
            </w:tcBorders>
            <w:vAlign w:val="center"/>
          </w:tcPr>
          <w:p w:rsidR="00647BDC" w:rsidRPr="00755429" w:rsidRDefault="00647BDC" w:rsidP="00D07581">
            <w:pPr>
              <w:pStyle w:val="CGCTableStub"/>
              <w:tabs>
                <w:tab w:val="center" w:pos="142"/>
                <w:tab w:val="center" w:pos="284"/>
                <w:tab w:val="center" w:pos="425"/>
                <w:tab w:val="center" w:pos="567"/>
                <w:tab w:val="center" w:pos="709"/>
                <w:tab w:val="left" w:pos="851"/>
              </w:tabs>
              <w:ind w:left="193" w:hanging="142"/>
              <w:rPr>
                <w:rFonts w:cstheme="minorHAnsi"/>
              </w:rPr>
            </w:pPr>
            <w:r w:rsidRPr="00755429">
              <w:rPr>
                <w:rFonts w:cstheme="minorHAnsi"/>
              </w:rPr>
              <w:t>1999</w:t>
            </w:r>
          </w:p>
        </w:tc>
        <w:tc>
          <w:tcPr>
            <w:tcW w:w="1229" w:type="pct"/>
            <w:tcBorders>
              <w:bottom w:val="single" w:sz="4" w:space="0" w:color="auto"/>
            </w:tcBorders>
            <w:vAlign w:val="bottom"/>
          </w:tcPr>
          <w:p w:rsidR="00647BDC" w:rsidRPr="00755429" w:rsidRDefault="00647BDC" w:rsidP="00D07581">
            <w:pPr>
              <w:pStyle w:val="TableRowNormal"/>
              <w:ind w:left="0" w:firstLine="0"/>
              <w:jc w:val="left"/>
              <w:rPr>
                <w:rFonts w:cstheme="minorHAnsi"/>
              </w:rPr>
            </w:pPr>
            <w:r w:rsidRPr="00755429">
              <w:rPr>
                <w:rFonts w:cstheme="minorHAnsi"/>
              </w:rPr>
              <w:t>-</w:t>
            </w:r>
          </w:p>
        </w:tc>
        <w:tc>
          <w:tcPr>
            <w:tcW w:w="1347" w:type="pct"/>
            <w:tcBorders>
              <w:bottom w:val="single" w:sz="4" w:space="0" w:color="auto"/>
            </w:tcBorders>
            <w:vAlign w:val="bottom"/>
          </w:tcPr>
          <w:p w:rsidR="00647BDC" w:rsidRPr="00755429" w:rsidRDefault="00647BDC" w:rsidP="00D07581">
            <w:pPr>
              <w:pStyle w:val="TableRowNormal"/>
              <w:ind w:left="0" w:firstLine="0"/>
              <w:jc w:val="left"/>
              <w:rPr>
                <w:rFonts w:cstheme="minorHAnsi"/>
              </w:rPr>
            </w:pPr>
            <w:r w:rsidRPr="00755429">
              <w:rPr>
                <w:rFonts w:cstheme="minorHAnsi"/>
              </w:rPr>
              <w:t>-</w:t>
            </w:r>
          </w:p>
        </w:tc>
        <w:tc>
          <w:tcPr>
            <w:tcW w:w="1912" w:type="pct"/>
            <w:tcBorders>
              <w:bottom w:val="single" w:sz="4" w:space="0" w:color="auto"/>
            </w:tcBorders>
            <w:vAlign w:val="bottom"/>
          </w:tcPr>
          <w:p w:rsidR="00647BDC" w:rsidRPr="00755429" w:rsidRDefault="00647BDC" w:rsidP="00D07581">
            <w:pPr>
              <w:pStyle w:val="TableRowNormal"/>
              <w:ind w:left="0" w:firstLine="0"/>
              <w:jc w:val="left"/>
              <w:rPr>
                <w:rFonts w:cstheme="minorHAnsi"/>
              </w:rPr>
            </w:pPr>
            <w:r w:rsidRPr="00755429">
              <w:t>Tax elasticity of supply of -3 for all States</w:t>
            </w:r>
          </w:p>
        </w:tc>
      </w:tr>
    </w:tbl>
    <w:p w:rsidR="00647BDC" w:rsidRPr="00755429" w:rsidRDefault="00647BDC" w:rsidP="00647BDC">
      <w:pPr>
        <w:pStyle w:val="CGCTableFootnote"/>
      </w:pPr>
      <w:r w:rsidRPr="00755429">
        <w:t>Source:</w:t>
      </w:r>
      <w:r w:rsidRPr="00755429">
        <w:tab/>
        <w:t>Commonwealth Grants Commission, Reports on Research in Progress, 1996, Volume 2, page 283.</w:t>
      </w:r>
    </w:p>
    <w:p w:rsidR="00647BDC" w:rsidRPr="00755429" w:rsidRDefault="00647BDC" w:rsidP="00647BDC">
      <w:pPr>
        <w:pStyle w:val="CGCNumberedPara"/>
        <w:numPr>
          <w:ilvl w:val="1"/>
          <w:numId w:val="2"/>
        </w:numPr>
      </w:pPr>
      <w:r w:rsidRPr="00755429">
        <w:t xml:space="preserve">The GST Distribution Review said there may be merit in the Commission further investigating the impact of tax rates on the size of State tax bases. </w:t>
      </w:r>
    </w:p>
    <w:p w:rsidR="00647BDC" w:rsidRPr="00755429" w:rsidRDefault="00647BDC" w:rsidP="00647BDC">
      <w:pPr>
        <w:pStyle w:val="CGCNumberedPara"/>
        <w:numPr>
          <w:ilvl w:val="1"/>
          <w:numId w:val="2"/>
        </w:numPr>
      </w:pPr>
      <w:r w:rsidRPr="00755429">
        <w:t xml:space="preserve">The ACT suggested the Commission investigate incorporating tax elasticity effects into revenue assessments, to avoid penalising States that undertake tax reform. It believed elasticity effects could have significant impacts where tax reform shifted a State’s revenue effort from taxes with high elasticity to those with low elasticity. In these circumstances, the net effect would be to increase the overall size of a State’s tax base, and thus its assessed revenue raising capacity. </w:t>
      </w:r>
    </w:p>
    <w:p w:rsidR="00647BDC" w:rsidRPr="00755429" w:rsidRDefault="00647BDC" w:rsidP="00647BDC">
      <w:pPr>
        <w:pStyle w:val="CGCNumberedPara"/>
        <w:numPr>
          <w:ilvl w:val="1"/>
          <w:numId w:val="2"/>
        </w:numPr>
      </w:pPr>
      <w:r w:rsidRPr="00755429">
        <w:t xml:space="preserve">New South Wales suggested the Commission could incorporate tax elasticity effects for insurance using data from the Henry Review (Australia’s Future Tax System), possibly combined with discounting. However, the Henry tax review does not contain the estimates of interstate relative elasticity we require. We do not think it is appropriate to discount in this situation. A discount would imply that States with </w:t>
      </w:r>
      <w:r w:rsidRPr="00755429">
        <w:lastRenderedPageBreak/>
        <w:t xml:space="preserve">higher efforts are those with above average revenue bases. This is not always the case. </w:t>
      </w:r>
    </w:p>
    <w:p w:rsidR="00647BDC" w:rsidRPr="00755429" w:rsidRDefault="00647BDC" w:rsidP="00647BDC">
      <w:pPr>
        <w:pStyle w:val="CGCNumberedPara"/>
        <w:numPr>
          <w:ilvl w:val="1"/>
          <w:numId w:val="2"/>
        </w:numPr>
      </w:pPr>
      <w:r w:rsidRPr="00755429">
        <w:t>We have examined whether adjustments for elasticity effects can be reliably made and whether they are likely to produce materially different GST distributions. Our analysis suggests the adjustments would need to be large to be material, larger than those suggested in economic literature.</w:t>
      </w:r>
    </w:p>
    <w:p w:rsidR="00647BDC" w:rsidRPr="00755429" w:rsidRDefault="00647BDC" w:rsidP="00647BDC">
      <w:pPr>
        <w:pStyle w:val="CGCNumberedPara"/>
        <w:numPr>
          <w:ilvl w:val="1"/>
          <w:numId w:val="2"/>
        </w:numPr>
      </w:pPr>
      <w:r w:rsidRPr="00755429" w:rsidDel="0095330F">
        <w:t xml:space="preserve">New South Wales suggested the Commission assess elasticity adjustments by judgment. </w:t>
      </w:r>
      <w:r w:rsidRPr="00755429">
        <w:t xml:space="preserve">Making an adjustment would be simple. We know which States are high taxing and which are low taxing, so we could make a conservative estimate for each individual tax base, moving its tax base in the appropriate direction. However, our concern is that the elasticity differs for different tax bases, and we have little information on that. For example, New South Wales has above average effort on Land </w:t>
      </w:r>
      <w:proofErr w:type="gramStart"/>
      <w:r w:rsidRPr="00755429">
        <w:t>tax,</w:t>
      </w:r>
      <w:proofErr w:type="gramEnd"/>
      <w:r w:rsidRPr="00755429">
        <w:t xml:space="preserve"> and below average effort on Stamp duty on conveyances. An elasticity adjustment would dampen their land tax base and expand their stamp duty base. However, we have no information on which of these adjustments should be larger. As such, we are concerned that we cannot reliably make an elasticity adjustment, even a conservative one. </w:t>
      </w:r>
      <w:r w:rsidRPr="00755429" w:rsidDel="0095330F">
        <w:t xml:space="preserve">We have </w:t>
      </w:r>
      <w:r w:rsidRPr="00755429">
        <w:t>decided not to base elasticity adjustments on judgment</w:t>
      </w:r>
      <w:r w:rsidRPr="00755429" w:rsidDel="0095330F">
        <w:t xml:space="preserve">, </w:t>
      </w:r>
      <w:r w:rsidRPr="00755429">
        <w:t xml:space="preserve">as </w:t>
      </w:r>
      <w:r w:rsidRPr="00755429" w:rsidDel="0095330F">
        <w:t>in the absence of reliable data, our judgment would be to introduce small elasticity adjustments and they would fail our materiality threshold.</w:t>
      </w:r>
    </w:p>
    <w:p w:rsidR="00647BDC" w:rsidRPr="00755429" w:rsidRDefault="00647BDC" w:rsidP="00647BDC">
      <w:pPr>
        <w:pStyle w:val="CGCNumberedPara"/>
        <w:numPr>
          <w:ilvl w:val="1"/>
          <w:numId w:val="2"/>
        </w:numPr>
      </w:pPr>
      <w:r w:rsidRPr="00755429">
        <w:t xml:space="preserve">We have decided not to make adjustments for elasticity effects in the 2015 Review. We do not have reliable data available that would allow us to make an assessment of these effects that is material and reliable. </w:t>
      </w:r>
    </w:p>
    <w:p w:rsidR="00647BDC" w:rsidRPr="00755429" w:rsidRDefault="00647BDC" w:rsidP="00647BDC">
      <w:pPr>
        <w:pStyle w:val="CGCNumberedPara"/>
        <w:numPr>
          <w:ilvl w:val="1"/>
          <w:numId w:val="2"/>
        </w:numPr>
      </w:pPr>
      <w:r w:rsidRPr="00755429">
        <w:rPr>
          <w:rStyle w:val="Heading6Char"/>
        </w:rPr>
        <w:t>Other State impacts on revenue base.</w:t>
      </w:r>
      <w:r w:rsidRPr="00755429">
        <w:t xml:space="preserve"> In addition to having variable tax rates, which affect the size of a revenue base, States have other differences in policies that may affect the size of their revenue base. States have raised this issue in the context of potential discounting of mining revenue, and we have considered the issue in </w:t>
      </w:r>
      <w:r>
        <w:t>Attachment 7</w:t>
      </w:r>
      <w:r w:rsidRPr="00755429">
        <w:t xml:space="preserve">. However, there is a broader question here. </w:t>
      </w:r>
    </w:p>
    <w:p w:rsidR="00647BDC" w:rsidRPr="00755429" w:rsidRDefault="00647BDC" w:rsidP="00647BDC">
      <w:pPr>
        <w:pStyle w:val="CGCNumberedPara"/>
        <w:numPr>
          <w:ilvl w:val="1"/>
          <w:numId w:val="2"/>
        </w:numPr>
      </w:pPr>
      <w:r w:rsidRPr="00755429">
        <w:t>In principle, we would prefer to measure the tax base that each State would have if it had the average industry policy, the average level of infrastructure for industry, the average tax rate etc. We consider that there are probably differences between States in these policies. However, we have no evidence on which States have more pro</w:t>
      </w:r>
      <w:r w:rsidRPr="00755429">
        <w:noBreakHyphen/>
        <w:t>development policies, and which have less pro</w:t>
      </w:r>
      <w:r w:rsidRPr="00755429">
        <w:noBreakHyphen/>
        <w:t xml:space="preserve">development policies. As such, we have not identified any method for removing the policy differences that exist in the revenue bases we measure. We do not consider that a discount is an appropriate response to this issue. </w:t>
      </w:r>
    </w:p>
    <w:p w:rsidR="00647BDC" w:rsidRPr="00755429" w:rsidRDefault="00647BDC" w:rsidP="00647BDC">
      <w:pPr>
        <w:tabs>
          <w:tab w:val="clear" w:pos="567"/>
        </w:tabs>
        <w:spacing w:after="200" w:line="276" w:lineRule="auto"/>
        <w:sectPr w:rsidR="00647BDC" w:rsidRPr="00755429" w:rsidSect="00F97C6A">
          <w:footerReference w:type="default" r:id="rId9"/>
          <w:footerReference w:type="first" r:id="rId10"/>
          <w:footnotePr>
            <w:numRestart w:val="eachSect"/>
          </w:footnotePr>
          <w:pgSz w:w="11899" w:h="16838" w:code="9"/>
          <w:pgMar w:top="1701" w:right="1474" w:bottom="1701" w:left="1474" w:header="709" w:footer="709" w:gutter="0"/>
          <w:pgNumType w:start="81"/>
          <w:cols w:space="708"/>
          <w:titlePg/>
          <w:docGrid w:linePitch="299"/>
        </w:sectPr>
      </w:pPr>
    </w:p>
    <w:p w:rsidR="00647BDC" w:rsidRPr="00755429" w:rsidRDefault="00647BDC" w:rsidP="00647BDC">
      <w:pPr>
        <w:pStyle w:val="Heading1"/>
      </w:pPr>
      <w:bookmarkStart w:id="15" w:name="_Toc390955797"/>
      <w:r>
        <w:lastRenderedPageBreak/>
        <w:t>ATTACHMENT</w:t>
      </w:r>
      <w:r w:rsidRPr="00755429">
        <w:t xml:space="preserve"> 2</w:t>
      </w:r>
      <w:bookmarkEnd w:id="15"/>
    </w:p>
    <w:p w:rsidR="00647BDC" w:rsidRPr="00755429" w:rsidRDefault="00647BDC" w:rsidP="00647BDC">
      <w:pPr>
        <w:pStyle w:val="Heading2"/>
      </w:pPr>
      <w:bookmarkStart w:id="16" w:name="_Toc390955798"/>
      <w:r w:rsidRPr="00755429">
        <w:t>PAYROLL TAX</w:t>
      </w:r>
      <w:bookmarkEnd w:id="16"/>
    </w:p>
    <w:tbl>
      <w:tblPr>
        <w:tblStyle w:val="TableGrid"/>
        <w:tblW w:w="0" w:type="auto"/>
        <w:tblLook w:val="04A0" w:firstRow="1" w:lastRow="0" w:firstColumn="1" w:lastColumn="0" w:noHBand="0" w:noVBand="1"/>
      </w:tblPr>
      <w:tblGrid>
        <w:gridCol w:w="9167"/>
      </w:tblGrid>
      <w:tr w:rsidR="00647BDC" w:rsidRPr="00755429" w:rsidTr="00D07581">
        <w:tc>
          <w:tcPr>
            <w:tcW w:w="9167" w:type="dxa"/>
            <w:tcBorders>
              <w:top w:val="nil"/>
              <w:left w:val="nil"/>
              <w:bottom w:val="nil"/>
              <w:right w:val="nil"/>
            </w:tcBorders>
            <w:shd w:val="clear" w:color="auto" w:fill="D9F3E6"/>
          </w:tcPr>
          <w:p w:rsidR="00647BDC" w:rsidRPr="00755429" w:rsidRDefault="00647BDC" w:rsidP="00D07581">
            <w:pPr>
              <w:rPr>
                <w:b/>
              </w:rPr>
            </w:pPr>
            <w:r w:rsidRPr="00755429">
              <w:rPr>
                <w:b/>
              </w:rPr>
              <w:t>Summary of changes since the 2010 Review</w:t>
            </w:r>
          </w:p>
          <w:p w:rsidR="00647BDC" w:rsidRPr="00755429" w:rsidRDefault="00647BDC" w:rsidP="00D07581">
            <w:pPr>
              <w:pStyle w:val="CGCBulletlist"/>
            </w:pPr>
            <w:r w:rsidRPr="00755429">
              <w:t>There have been no changes to this assessment.</w:t>
            </w:r>
          </w:p>
        </w:tc>
      </w:tr>
    </w:tbl>
    <w:p w:rsidR="00647BDC" w:rsidRDefault="00647BDC" w:rsidP="00647BDC">
      <w:pPr>
        <w:pStyle w:val="Heading3"/>
      </w:pPr>
      <w:bookmarkStart w:id="17" w:name="_Toc390955799"/>
      <w:r>
        <w:t>What is included in the payroll tax category?</w:t>
      </w:r>
      <w:bookmarkEnd w:id="17"/>
    </w:p>
    <w:p w:rsidR="00647BDC" w:rsidRPr="00755429" w:rsidRDefault="00647BDC" w:rsidP="00647BDC">
      <w:pPr>
        <w:pStyle w:val="CGCNumberedPara"/>
        <w:numPr>
          <w:ilvl w:val="1"/>
          <w:numId w:val="11"/>
        </w:numPr>
      </w:pPr>
      <w:r w:rsidRPr="00755429">
        <w:t xml:space="preserve">Payroll tax is a broad based tax that is imposed on the wages and related benefits (remuneration) paid by employers. Taxable remuneration includes wages, salaries, allowances, commissions, bonuses, employer superannuation contributions, fringe </w:t>
      </w:r>
      <w:proofErr w:type="gramStart"/>
      <w:r w:rsidRPr="00755429">
        <w:t>benefits,</w:t>
      </w:r>
      <w:proofErr w:type="gramEnd"/>
      <w:r w:rsidRPr="00755429">
        <w:t xml:space="preserve"> the value of shares and options, payments to some contractors, payments by employment agencies arising from employment agency contracts, remuneration paid by a company to company directors, employment termination payments and accrued leave.</w:t>
      </w:r>
    </w:p>
    <w:p w:rsidR="00647BDC" w:rsidRPr="00755429" w:rsidRDefault="00647BDC" w:rsidP="00647BDC">
      <w:pPr>
        <w:pStyle w:val="CGCNumberedPara"/>
        <w:numPr>
          <w:ilvl w:val="1"/>
          <w:numId w:val="2"/>
        </w:numPr>
      </w:pPr>
      <w:r w:rsidRPr="00755429">
        <w:fldChar w:fldCharType="begin"/>
      </w:r>
      <w:r w:rsidRPr="00755429">
        <w:instrText xml:space="preserve"> REF _Ref388536242 \h </w:instrText>
      </w:r>
      <w:r>
        <w:instrText xml:space="preserve"> \* MERGEFORMAT </w:instrText>
      </w:r>
      <w:r w:rsidRPr="00755429">
        <w:fldChar w:fldCharType="separate"/>
      </w:r>
      <w:r w:rsidR="005B69B1" w:rsidRPr="00755429">
        <w:t xml:space="preserve">Table </w:t>
      </w:r>
      <w:r w:rsidR="005B69B1">
        <w:rPr>
          <w:noProof/>
        </w:rPr>
        <w:t>1</w:t>
      </w:r>
      <w:r w:rsidRPr="00755429">
        <w:fldChar w:fldCharType="end"/>
      </w:r>
      <w:r w:rsidRPr="00755429">
        <w:t xml:space="preserve"> shows States raised $20.8 billion from payroll tax in 2012</w:t>
      </w:r>
      <w:r w:rsidRPr="00755429">
        <w:noBreakHyphen/>
        <w:t>13.</w:t>
      </w:r>
    </w:p>
    <w:p w:rsidR="00647BDC" w:rsidRPr="00755429" w:rsidRDefault="00647BDC" w:rsidP="00647BDC">
      <w:pPr>
        <w:pStyle w:val="Caption"/>
      </w:pPr>
      <w:bookmarkStart w:id="18" w:name="_Ref388536242"/>
      <w:r w:rsidRPr="00755429">
        <w:t xml:space="preserve">Table </w:t>
      </w:r>
      <w:r w:rsidR="005B69B1">
        <w:fldChar w:fldCharType="begin"/>
      </w:r>
      <w:r w:rsidR="005B69B1">
        <w:instrText xml:space="preserve"> SEQ Table \* ARABIC \r1 </w:instrText>
      </w:r>
      <w:r w:rsidR="005B69B1">
        <w:fldChar w:fldCharType="separate"/>
      </w:r>
      <w:r w:rsidR="005B69B1">
        <w:rPr>
          <w:noProof/>
        </w:rPr>
        <w:t>1</w:t>
      </w:r>
      <w:r w:rsidR="005B69B1">
        <w:rPr>
          <w:noProof/>
        </w:rPr>
        <w:fldChar w:fldCharType="end"/>
      </w:r>
      <w:bookmarkEnd w:id="18"/>
      <w:r w:rsidRPr="00755429">
        <w:tab/>
        <w:t>Revenue from payroll tax, 2012</w:t>
      </w:r>
      <w:r w:rsidRPr="00755429">
        <w:noBreakHyphen/>
        <w:t>13</w:t>
      </w:r>
    </w:p>
    <w:tbl>
      <w:tblPr>
        <w:tblW w:w="9060" w:type="dxa"/>
        <w:tblInd w:w="93" w:type="dxa"/>
        <w:tblLook w:val="04A0" w:firstRow="1" w:lastRow="0" w:firstColumn="1" w:lastColumn="0" w:noHBand="0" w:noVBand="1"/>
      </w:tblPr>
      <w:tblGrid>
        <w:gridCol w:w="1280"/>
        <w:gridCol w:w="880"/>
        <w:gridCol w:w="880"/>
        <w:gridCol w:w="880"/>
        <w:gridCol w:w="880"/>
        <w:gridCol w:w="880"/>
        <w:gridCol w:w="800"/>
        <w:gridCol w:w="800"/>
        <w:gridCol w:w="800"/>
        <w:gridCol w:w="980"/>
      </w:tblGrid>
      <w:tr w:rsidR="00647BDC" w:rsidRPr="009C5103" w:rsidTr="00D07581">
        <w:trPr>
          <w:trHeight w:val="379"/>
        </w:trPr>
        <w:tc>
          <w:tcPr>
            <w:tcW w:w="1280" w:type="dxa"/>
            <w:tcBorders>
              <w:top w:val="single" w:sz="4" w:space="0" w:color="auto"/>
              <w:left w:val="nil"/>
              <w:bottom w:val="single" w:sz="4" w:space="0" w:color="auto"/>
              <w:right w:val="nil"/>
            </w:tcBorders>
            <w:shd w:val="clear" w:color="auto" w:fill="auto"/>
            <w:noWrap/>
            <w:vAlign w:val="center"/>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 </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NSW</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Vic</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Qld</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WA</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SA</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9C5103">
              <w:rPr>
                <w:rFonts w:ascii="Calibri" w:eastAsia="Times New Roman" w:hAnsi="Calibri" w:cs="Times New Roman"/>
                <w:sz w:val="20"/>
                <w:szCs w:val="20"/>
                <w:lang w:eastAsia="en-AU"/>
              </w:rPr>
              <w:t>Tas</w:t>
            </w:r>
            <w:proofErr w:type="spellEnd"/>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ACT</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NT</w:t>
            </w:r>
          </w:p>
        </w:tc>
        <w:tc>
          <w:tcPr>
            <w:tcW w:w="980" w:type="dxa"/>
            <w:tcBorders>
              <w:top w:val="single" w:sz="4" w:space="0" w:color="auto"/>
              <w:left w:val="nil"/>
              <w:bottom w:val="single" w:sz="4" w:space="0" w:color="auto"/>
              <w:right w:val="nil"/>
            </w:tcBorders>
            <w:shd w:val="clear" w:color="auto" w:fill="auto"/>
            <w:noWrap/>
            <w:vAlign w:val="center"/>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Total</w:t>
            </w:r>
          </w:p>
        </w:tc>
      </w:tr>
      <w:tr w:rsidR="00647BDC" w:rsidRPr="009C5103" w:rsidTr="00D07581">
        <w:trPr>
          <w:trHeight w:val="259"/>
        </w:trPr>
        <w:tc>
          <w:tcPr>
            <w:tcW w:w="12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8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$m</w:t>
            </w:r>
          </w:p>
        </w:tc>
        <w:tc>
          <w:tcPr>
            <w:tcW w:w="80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$m</w:t>
            </w:r>
          </w:p>
        </w:tc>
        <w:tc>
          <w:tcPr>
            <w:tcW w:w="80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$m</w:t>
            </w:r>
          </w:p>
        </w:tc>
        <w:tc>
          <w:tcPr>
            <w:tcW w:w="80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$m</w:t>
            </w:r>
          </w:p>
        </w:tc>
        <w:tc>
          <w:tcPr>
            <w:tcW w:w="9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$m</w:t>
            </w:r>
          </w:p>
        </w:tc>
      </w:tr>
      <w:tr w:rsidR="00647BDC" w:rsidRPr="009C5103" w:rsidTr="00D07581">
        <w:trPr>
          <w:trHeight w:val="315"/>
        </w:trPr>
        <w:tc>
          <w:tcPr>
            <w:tcW w:w="1280" w:type="dxa"/>
            <w:tcBorders>
              <w:top w:val="nil"/>
              <w:left w:val="nil"/>
              <w:bottom w:val="single" w:sz="4" w:space="0" w:color="auto"/>
              <w:right w:val="nil"/>
            </w:tcBorders>
            <w:shd w:val="clear" w:color="auto" w:fill="auto"/>
            <w:noWrap/>
            <w:vAlign w:val="bottom"/>
            <w:hideMark/>
          </w:tcPr>
          <w:p w:rsidR="00647BDC" w:rsidRPr="009C5103"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Payroll tax</w:t>
            </w:r>
          </w:p>
        </w:tc>
        <w:tc>
          <w:tcPr>
            <w:tcW w:w="880" w:type="dxa"/>
            <w:tcBorders>
              <w:top w:val="nil"/>
              <w:left w:val="nil"/>
              <w:bottom w:val="single" w:sz="4" w:space="0" w:color="auto"/>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 xml:space="preserve"> 6 946</w:t>
            </w:r>
          </w:p>
        </w:tc>
        <w:tc>
          <w:tcPr>
            <w:tcW w:w="880" w:type="dxa"/>
            <w:tcBorders>
              <w:top w:val="nil"/>
              <w:left w:val="nil"/>
              <w:bottom w:val="single" w:sz="4" w:space="0" w:color="auto"/>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 xml:space="preserve"> 4 751</w:t>
            </w:r>
          </w:p>
        </w:tc>
        <w:tc>
          <w:tcPr>
            <w:tcW w:w="880" w:type="dxa"/>
            <w:tcBorders>
              <w:top w:val="nil"/>
              <w:left w:val="nil"/>
              <w:bottom w:val="single" w:sz="4" w:space="0" w:color="auto"/>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 xml:space="preserve"> 3 751</w:t>
            </w:r>
          </w:p>
        </w:tc>
        <w:tc>
          <w:tcPr>
            <w:tcW w:w="880" w:type="dxa"/>
            <w:tcBorders>
              <w:top w:val="nil"/>
              <w:left w:val="nil"/>
              <w:bottom w:val="single" w:sz="4" w:space="0" w:color="auto"/>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 xml:space="preserve"> 3 415</w:t>
            </w:r>
          </w:p>
        </w:tc>
        <w:tc>
          <w:tcPr>
            <w:tcW w:w="880" w:type="dxa"/>
            <w:tcBorders>
              <w:top w:val="nil"/>
              <w:left w:val="nil"/>
              <w:bottom w:val="single" w:sz="4" w:space="0" w:color="auto"/>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 xml:space="preserve"> 1 077</w:t>
            </w:r>
          </w:p>
        </w:tc>
        <w:tc>
          <w:tcPr>
            <w:tcW w:w="800" w:type="dxa"/>
            <w:tcBorders>
              <w:top w:val="nil"/>
              <w:left w:val="nil"/>
              <w:bottom w:val="single" w:sz="4" w:space="0" w:color="auto"/>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 xml:space="preserve">  304</w:t>
            </w:r>
          </w:p>
        </w:tc>
        <w:tc>
          <w:tcPr>
            <w:tcW w:w="800" w:type="dxa"/>
            <w:tcBorders>
              <w:top w:val="nil"/>
              <w:left w:val="nil"/>
              <w:bottom w:val="single" w:sz="4" w:space="0" w:color="auto"/>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 xml:space="preserve">  319</w:t>
            </w:r>
          </w:p>
        </w:tc>
        <w:tc>
          <w:tcPr>
            <w:tcW w:w="800" w:type="dxa"/>
            <w:tcBorders>
              <w:top w:val="nil"/>
              <w:left w:val="nil"/>
              <w:bottom w:val="single" w:sz="4" w:space="0" w:color="auto"/>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 xml:space="preserve">  205</w:t>
            </w:r>
          </w:p>
        </w:tc>
        <w:tc>
          <w:tcPr>
            <w:tcW w:w="980" w:type="dxa"/>
            <w:tcBorders>
              <w:top w:val="nil"/>
              <w:left w:val="nil"/>
              <w:bottom w:val="single" w:sz="4" w:space="0" w:color="auto"/>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 xml:space="preserve"> 20 768</w:t>
            </w:r>
          </w:p>
        </w:tc>
      </w:tr>
    </w:tbl>
    <w:p w:rsidR="00647BDC" w:rsidRDefault="00647BDC" w:rsidP="00647BDC">
      <w:pPr>
        <w:pStyle w:val="CGCTableFootnote"/>
      </w:pPr>
      <w:r w:rsidRPr="00921958">
        <w:t>Source:</w:t>
      </w:r>
      <w:r>
        <w:tab/>
      </w:r>
      <w:r w:rsidRPr="00921958">
        <w:t xml:space="preserve">ABS </w:t>
      </w:r>
      <w:r>
        <w:t>Government Finance Statistics (</w:t>
      </w:r>
      <w:r w:rsidRPr="00921958">
        <w:t>GFS</w:t>
      </w:r>
      <w:r>
        <w:t>)</w:t>
      </w:r>
      <w:r w:rsidRPr="00921958">
        <w:t xml:space="preserve"> data and State data.</w:t>
      </w:r>
    </w:p>
    <w:p w:rsidR="00647BDC" w:rsidRPr="00755429" w:rsidRDefault="00647BDC" w:rsidP="00647BDC">
      <w:pPr>
        <w:pStyle w:val="CGCNumberedPara"/>
        <w:numPr>
          <w:ilvl w:val="1"/>
          <w:numId w:val="2"/>
        </w:numPr>
      </w:pPr>
      <w:r w:rsidRPr="00755429">
        <w:fldChar w:fldCharType="begin"/>
      </w:r>
      <w:r w:rsidRPr="00755429">
        <w:instrText xml:space="preserve"> REF _Ref388536383 \h </w:instrText>
      </w:r>
      <w:r>
        <w:instrText xml:space="preserve"> \* MERGEFORMAT </w:instrText>
      </w:r>
      <w:r w:rsidRPr="00755429">
        <w:fldChar w:fldCharType="separate"/>
      </w:r>
      <w:r w:rsidR="005B69B1" w:rsidRPr="00755429">
        <w:t xml:space="preserve">Table </w:t>
      </w:r>
      <w:r w:rsidR="005B69B1">
        <w:rPr>
          <w:noProof/>
        </w:rPr>
        <w:t>2</w:t>
      </w:r>
      <w:r w:rsidRPr="00755429">
        <w:fldChar w:fldCharType="end"/>
      </w:r>
      <w:r w:rsidRPr="00755429">
        <w:t xml:space="preserve"> shows payroll tax contributed around </w:t>
      </w:r>
      <w:r>
        <w:t>19</w:t>
      </w:r>
      <w:r w:rsidRPr="00755429">
        <w:t>% of State own-source revenue in 2012</w:t>
      </w:r>
      <w:r w:rsidRPr="00755429">
        <w:noBreakHyphen/>
        <w:t>13.</w:t>
      </w:r>
    </w:p>
    <w:p w:rsidR="00647BDC" w:rsidRPr="00755429" w:rsidRDefault="00647BDC" w:rsidP="00647BDC">
      <w:pPr>
        <w:pStyle w:val="CGCTableHeading"/>
      </w:pPr>
      <w:bookmarkStart w:id="19" w:name="_Ref388536383"/>
      <w:r w:rsidRPr="00755429">
        <w:t xml:space="preserve">Table </w:t>
      </w:r>
      <w:r w:rsidR="005B69B1">
        <w:fldChar w:fldCharType="begin"/>
      </w:r>
      <w:r w:rsidR="005B69B1">
        <w:instrText xml:space="preserve"> SEQ Table \* ARABIC </w:instrText>
      </w:r>
      <w:r w:rsidR="005B69B1">
        <w:fldChar w:fldCharType="separate"/>
      </w:r>
      <w:r w:rsidR="005B69B1">
        <w:rPr>
          <w:noProof/>
        </w:rPr>
        <w:t>2</w:t>
      </w:r>
      <w:r w:rsidR="005B69B1">
        <w:rPr>
          <w:noProof/>
        </w:rPr>
        <w:fldChar w:fldCharType="end"/>
      </w:r>
      <w:bookmarkEnd w:id="19"/>
      <w:r w:rsidRPr="00755429">
        <w:tab/>
        <w:t>Payroll tax as a proportion of State own-source revenue</w:t>
      </w:r>
    </w:p>
    <w:tbl>
      <w:tblPr>
        <w:tblW w:w="8940" w:type="dxa"/>
        <w:tblInd w:w="93" w:type="dxa"/>
        <w:tblLook w:val="04A0" w:firstRow="1" w:lastRow="0" w:firstColumn="1" w:lastColumn="0" w:noHBand="0" w:noVBand="1"/>
      </w:tblPr>
      <w:tblGrid>
        <w:gridCol w:w="4180"/>
        <w:gridCol w:w="1180"/>
        <w:gridCol w:w="1180"/>
        <w:gridCol w:w="1180"/>
        <w:gridCol w:w="1220"/>
      </w:tblGrid>
      <w:tr w:rsidR="00647BDC" w:rsidRPr="009C5103" w:rsidTr="00D07581">
        <w:trPr>
          <w:trHeight w:val="375"/>
        </w:trPr>
        <w:tc>
          <w:tcPr>
            <w:tcW w:w="4180" w:type="dxa"/>
            <w:tcBorders>
              <w:top w:val="single" w:sz="4" w:space="0" w:color="auto"/>
              <w:left w:val="nil"/>
              <w:bottom w:val="single" w:sz="4" w:space="0" w:color="auto"/>
              <w:right w:val="nil"/>
            </w:tcBorders>
            <w:shd w:val="clear" w:color="auto" w:fill="auto"/>
            <w:noWrap/>
            <w:vAlign w:val="bottom"/>
            <w:hideMark/>
          </w:tcPr>
          <w:p w:rsidR="00647BDC" w:rsidRPr="009C5103" w:rsidRDefault="00647BDC" w:rsidP="00D07581">
            <w:pPr>
              <w:keepNext/>
              <w:tabs>
                <w:tab w:val="clear" w:pos="567"/>
              </w:tabs>
              <w:spacing w:after="0" w:line="240" w:lineRule="auto"/>
              <w:rPr>
                <w:rFonts w:ascii="Calibri" w:eastAsia="Times New Roman" w:hAnsi="Calibri" w:cs="Times New Roman"/>
                <w:sz w:val="20"/>
                <w:szCs w:val="20"/>
                <w:lang w:eastAsia="en-AU"/>
              </w:rPr>
            </w:pPr>
            <w:bookmarkStart w:id="20" w:name="RANGE!A3:E6"/>
            <w:r w:rsidRPr="009C5103">
              <w:rPr>
                <w:rFonts w:ascii="Calibri" w:eastAsia="Times New Roman" w:hAnsi="Calibri" w:cs="Times New Roman"/>
                <w:sz w:val="20"/>
                <w:szCs w:val="20"/>
                <w:lang w:eastAsia="en-AU"/>
              </w:rPr>
              <w:t> </w:t>
            </w:r>
            <w:bookmarkEnd w:id="20"/>
          </w:p>
        </w:tc>
        <w:tc>
          <w:tcPr>
            <w:tcW w:w="1180" w:type="dxa"/>
            <w:tcBorders>
              <w:top w:val="single" w:sz="4" w:space="0" w:color="auto"/>
              <w:left w:val="nil"/>
              <w:bottom w:val="single" w:sz="4" w:space="0" w:color="auto"/>
              <w:right w:val="nil"/>
            </w:tcBorders>
            <w:shd w:val="clear" w:color="auto" w:fill="auto"/>
            <w:noWrap/>
            <w:vAlign w:val="center"/>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2009-10</w:t>
            </w:r>
          </w:p>
        </w:tc>
        <w:tc>
          <w:tcPr>
            <w:tcW w:w="1180" w:type="dxa"/>
            <w:tcBorders>
              <w:top w:val="single" w:sz="4" w:space="0" w:color="auto"/>
              <w:left w:val="nil"/>
              <w:bottom w:val="single" w:sz="4" w:space="0" w:color="auto"/>
              <w:right w:val="nil"/>
            </w:tcBorders>
            <w:shd w:val="clear" w:color="auto" w:fill="auto"/>
            <w:noWrap/>
            <w:vAlign w:val="center"/>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2010-11</w:t>
            </w:r>
          </w:p>
        </w:tc>
        <w:tc>
          <w:tcPr>
            <w:tcW w:w="1180" w:type="dxa"/>
            <w:tcBorders>
              <w:top w:val="single" w:sz="4" w:space="0" w:color="auto"/>
              <w:left w:val="nil"/>
              <w:bottom w:val="single" w:sz="4" w:space="0" w:color="auto"/>
              <w:right w:val="nil"/>
            </w:tcBorders>
            <w:shd w:val="clear" w:color="auto" w:fill="auto"/>
            <w:noWrap/>
            <w:vAlign w:val="center"/>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2011-12</w:t>
            </w:r>
          </w:p>
        </w:tc>
        <w:tc>
          <w:tcPr>
            <w:tcW w:w="1220" w:type="dxa"/>
            <w:tcBorders>
              <w:top w:val="single" w:sz="4" w:space="0" w:color="auto"/>
              <w:left w:val="nil"/>
              <w:bottom w:val="single" w:sz="4" w:space="0" w:color="auto"/>
              <w:right w:val="nil"/>
            </w:tcBorders>
            <w:shd w:val="clear" w:color="auto" w:fill="auto"/>
            <w:noWrap/>
            <w:vAlign w:val="center"/>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2012-13</w:t>
            </w:r>
          </w:p>
        </w:tc>
      </w:tr>
      <w:tr w:rsidR="00647BDC" w:rsidRPr="009C5103" w:rsidTr="00D07581">
        <w:trPr>
          <w:trHeight w:val="315"/>
        </w:trPr>
        <w:tc>
          <w:tcPr>
            <w:tcW w:w="41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Total for category ($m)</w:t>
            </w:r>
          </w:p>
        </w:tc>
        <w:tc>
          <w:tcPr>
            <w:tcW w:w="11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16 795</w:t>
            </w:r>
          </w:p>
        </w:tc>
        <w:tc>
          <w:tcPr>
            <w:tcW w:w="11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17 986</w:t>
            </w:r>
          </w:p>
        </w:tc>
        <w:tc>
          <w:tcPr>
            <w:tcW w:w="11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19 779</w:t>
            </w:r>
          </w:p>
        </w:tc>
        <w:tc>
          <w:tcPr>
            <w:tcW w:w="122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20 768</w:t>
            </w:r>
          </w:p>
        </w:tc>
      </w:tr>
      <w:tr w:rsidR="00647BDC" w:rsidRPr="009C5103" w:rsidTr="00D07581">
        <w:trPr>
          <w:trHeight w:val="315"/>
        </w:trPr>
        <w:tc>
          <w:tcPr>
            <w:tcW w:w="41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Total own source revenue ($m)</w:t>
            </w:r>
          </w:p>
        </w:tc>
        <w:tc>
          <w:tcPr>
            <w:tcW w:w="11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86 388</w:t>
            </w:r>
          </w:p>
        </w:tc>
        <w:tc>
          <w:tcPr>
            <w:tcW w:w="11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94 809</w:t>
            </w:r>
          </w:p>
        </w:tc>
        <w:tc>
          <w:tcPr>
            <w:tcW w:w="118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98 699</w:t>
            </w:r>
          </w:p>
        </w:tc>
        <w:tc>
          <w:tcPr>
            <w:tcW w:w="1220" w:type="dxa"/>
            <w:tcBorders>
              <w:top w:val="nil"/>
              <w:left w:val="nil"/>
              <w:bottom w:val="nil"/>
              <w:right w:val="nil"/>
            </w:tcBorders>
            <w:shd w:val="clear" w:color="auto" w:fill="auto"/>
            <w:noWrap/>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107 061</w:t>
            </w:r>
          </w:p>
        </w:tc>
      </w:tr>
      <w:tr w:rsidR="00647BDC" w:rsidRPr="009C5103" w:rsidTr="00D07581">
        <w:trPr>
          <w:trHeight w:val="315"/>
        </w:trPr>
        <w:tc>
          <w:tcPr>
            <w:tcW w:w="4180" w:type="dxa"/>
            <w:tcBorders>
              <w:top w:val="nil"/>
              <w:left w:val="nil"/>
              <w:bottom w:val="single" w:sz="4" w:space="0" w:color="auto"/>
              <w:right w:val="nil"/>
            </w:tcBorders>
            <w:shd w:val="clear" w:color="auto" w:fill="auto"/>
            <w:vAlign w:val="bottom"/>
            <w:hideMark/>
          </w:tcPr>
          <w:p w:rsidR="00647BDC" w:rsidRPr="009C5103"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9C5103">
              <w:rPr>
                <w:rFonts w:ascii="Calibri" w:eastAsia="Times New Roman" w:hAnsi="Calibri" w:cs="Times New Roman"/>
                <w:sz w:val="20"/>
                <w:szCs w:val="20"/>
                <w:lang w:eastAsia="en-AU"/>
              </w:rPr>
              <w:t>Proportion of total own source revenue (%)</w:t>
            </w:r>
          </w:p>
        </w:tc>
        <w:tc>
          <w:tcPr>
            <w:tcW w:w="1180" w:type="dxa"/>
            <w:tcBorders>
              <w:top w:val="nil"/>
              <w:left w:val="nil"/>
              <w:bottom w:val="single" w:sz="4" w:space="0" w:color="auto"/>
              <w:right w:val="nil"/>
            </w:tcBorders>
            <w:shd w:val="clear" w:color="auto" w:fill="auto"/>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19.4</w:t>
            </w:r>
          </w:p>
        </w:tc>
        <w:tc>
          <w:tcPr>
            <w:tcW w:w="1180" w:type="dxa"/>
            <w:tcBorders>
              <w:top w:val="nil"/>
              <w:left w:val="nil"/>
              <w:bottom w:val="single" w:sz="4" w:space="0" w:color="auto"/>
              <w:right w:val="nil"/>
            </w:tcBorders>
            <w:shd w:val="clear" w:color="auto" w:fill="auto"/>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19.0</w:t>
            </w:r>
          </w:p>
        </w:tc>
        <w:tc>
          <w:tcPr>
            <w:tcW w:w="1180" w:type="dxa"/>
            <w:tcBorders>
              <w:top w:val="nil"/>
              <w:left w:val="nil"/>
              <w:bottom w:val="single" w:sz="4" w:space="0" w:color="auto"/>
              <w:right w:val="nil"/>
            </w:tcBorders>
            <w:shd w:val="clear" w:color="auto" w:fill="auto"/>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20.0</w:t>
            </w:r>
          </w:p>
        </w:tc>
        <w:tc>
          <w:tcPr>
            <w:tcW w:w="1220" w:type="dxa"/>
            <w:tcBorders>
              <w:top w:val="nil"/>
              <w:left w:val="nil"/>
              <w:bottom w:val="single" w:sz="4" w:space="0" w:color="auto"/>
              <w:right w:val="nil"/>
            </w:tcBorders>
            <w:shd w:val="clear" w:color="auto" w:fill="auto"/>
            <w:vAlign w:val="bottom"/>
            <w:hideMark/>
          </w:tcPr>
          <w:p w:rsidR="00647BDC" w:rsidRPr="009C510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19.4</w:t>
            </w:r>
          </w:p>
        </w:tc>
      </w:tr>
    </w:tbl>
    <w:p w:rsidR="00647BDC" w:rsidRDefault="00647BDC" w:rsidP="00647BDC">
      <w:pPr>
        <w:pStyle w:val="CGCTableFootnote"/>
      </w:pPr>
      <w:r w:rsidRPr="00921958">
        <w:t>Source:</w:t>
      </w:r>
      <w:r>
        <w:tab/>
      </w:r>
      <w:r w:rsidRPr="00921958">
        <w:t>Commission calculation using ABS GFS data and State data.</w:t>
      </w:r>
    </w:p>
    <w:p w:rsidR="00647BDC" w:rsidRPr="00755429" w:rsidRDefault="00647BDC" w:rsidP="00647BDC">
      <w:pPr>
        <w:pStyle w:val="Heading4"/>
      </w:pPr>
      <w:r w:rsidRPr="00755429">
        <w:lastRenderedPageBreak/>
        <w:t>How are revenues raised?</w:t>
      </w:r>
    </w:p>
    <w:p w:rsidR="00647BDC" w:rsidRPr="00755429" w:rsidRDefault="00647BDC" w:rsidP="00647BDC">
      <w:pPr>
        <w:pStyle w:val="CGCNumberedPara"/>
        <w:numPr>
          <w:ilvl w:val="1"/>
          <w:numId w:val="2"/>
        </w:numPr>
      </w:pPr>
      <w:r w:rsidRPr="00755429">
        <w:t>States signed a protocol in March 2007</w:t>
      </w:r>
      <w:r w:rsidRPr="00755429">
        <w:rPr>
          <w:rStyle w:val="FootnoteReference"/>
        </w:rPr>
        <w:footnoteReference w:id="1"/>
      </w:r>
      <w:r w:rsidRPr="00755429">
        <w:t xml:space="preserve"> to harmonise the scope of the tax. Since then they have harmonised in eight key areas</w:t>
      </w:r>
      <w:r w:rsidRPr="00755429">
        <w:rPr>
          <w:rStyle w:val="FootnoteReference"/>
        </w:rPr>
        <w:footnoteReference w:id="2"/>
      </w:r>
      <w:r w:rsidRPr="00755429">
        <w:t xml:space="preserve"> and six States have fully harmonised legislation. State tax rates and thresholds differ.</w:t>
      </w:r>
    </w:p>
    <w:p w:rsidR="00647BDC" w:rsidRPr="00755429" w:rsidRDefault="00647BDC" w:rsidP="00647BDC">
      <w:pPr>
        <w:pStyle w:val="CGCNumberedPara"/>
        <w:numPr>
          <w:ilvl w:val="1"/>
          <w:numId w:val="2"/>
        </w:numPr>
      </w:pPr>
      <w:r w:rsidRPr="00755429">
        <w:t xml:space="preserve">Employers are liable for payroll tax if their remuneration paid (in Australia) exceeds a general deduction threshold. Thus, the remuneration paid by small firms is exempt. </w:t>
      </w:r>
      <w:r w:rsidRPr="00755429">
        <w:fldChar w:fldCharType="begin"/>
      </w:r>
      <w:r w:rsidRPr="00755429">
        <w:instrText xml:space="preserve"> REF _Ref388536591 \h </w:instrText>
      </w:r>
      <w:r>
        <w:instrText xml:space="preserve"> \* MERGEFORMAT </w:instrText>
      </w:r>
      <w:r w:rsidRPr="00755429">
        <w:fldChar w:fldCharType="separate"/>
      </w:r>
      <w:r w:rsidR="005B69B1" w:rsidRPr="00755429">
        <w:t xml:space="preserve">Table </w:t>
      </w:r>
      <w:r w:rsidR="005B69B1">
        <w:rPr>
          <w:noProof/>
        </w:rPr>
        <w:t>3</w:t>
      </w:r>
      <w:r w:rsidRPr="00755429">
        <w:fldChar w:fldCharType="end"/>
      </w:r>
      <w:r w:rsidRPr="00755429">
        <w:t xml:space="preserve"> shows each State’s tax rate and general deduction threshold for 2012</w:t>
      </w:r>
      <w:r w:rsidRPr="00755429">
        <w:noBreakHyphen/>
        <w:t>13.</w:t>
      </w:r>
    </w:p>
    <w:p w:rsidR="00647BDC" w:rsidRPr="00755429" w:rsidRDefault="00647BDC" w:rsidP="00647BDC">
      <w:pPr>
        <w:pStyle w:val="CGCTableHeading"/>
      </w:pPr>
      <w:bookmarkStart w:id="21" w:name="_Ref388536591"/>
      <w:r w:rsidRPr="00755429">
        <w:t xml:space="preserve">Table </w:t>
      </w:r>
      <w:r w:rsidR="005B69B1">
        <w:fldChar w:fldCharType="begin"/>
      </w:r>
      <w:r w:rsidR="005B69B1">
        <w:instrText xml:space="preserve"> SEQ Table \* ARABIC </w:instrText>
      </w:r>
      <w:r w:rsidR="005B69B1">
        <w:fldChar w:fldCharType="separate"/>
      </w:r>
      <w:r w:rsidR="005B69B1">
        <w:rPr>
          <w:noProof/>
        </w:rPr>
        <w:t>3</w:t>
      </w:r>
      <w:r w:rsidR="005B69B1">
        <w:rPr>
          <w:noProof/>
        </w:rPr>
        <w:fldChar w:fldCharType="end"/>
      </w:r>
      <w:bookmarkEnd w:id="21"/>
      <w:r w:rsidRPr="00755429">
        <w:tab/>
        <w:t>Legislated tax rates and general deduction thresholds as at 1 July 2012</w:t>
      </w:r>
    </w:p>
    <w:tbl>
      <w:tblPr>
        <w:tblW w:w="8960" w:type="dxa"/>
        <w:tblInd w:w="93" w:type="dxa"/>
        <w:tblLook w:val="04A0" w:firstRow="1" w:lastRow="0" w:firstColumn="1" w:lastColumn="0" w:noHBand="0" w:noVBand="1"/>
      </w:tblPr>
      <w:tblGrid>
        <w:gridCol w:w="1920"/>
        <w:gridCol w:w="820"/>
        <w:gridCol w:w="820"/>
        <w:gridCol w:w="940"/>
        <w:gridCol w:w="820"/>
        <w:gridCol w:w="820"/>
        <w:gridCol w:w="940"/>
        <w:gridCol w:w="940"/>
        <w:gridCol w:w="940"/>
      </w:tblGrid>
      <w:tr w:rsidR="00647BDC" w:rsidRPr="00940EE1" w:rsidTr="00D07581">
        <w:trPr>
          <w:trHeight w:val="379"/>
        </w:trPr>
        <w:tc>
          <w:tcPr>
            <w:tcW w:w="1920" w:type="dxa"/>
            <w:tcBorders>
              <w:top w:val="single" w:sz="4" w:space="0" w:color="auto"/>
              <w:left w:val="nil"/>
              <w:bottom w:val="single" w:sz="4" w:space="0" w:color="auto"/>
              <w:right w:val="nil"/>
            </w:tcBorders>
            <w:shd w:val="clear" w:color="auto" w:fill="auto"/>
            <w:noWrap/>
            <w:vAlign w:val="center"/>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 </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NSW</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Vic</w:t>
            </w:r>
          </w:p>
        </w:tc>
        <w:tc>
          <w:tcPr>
            <w:tcW w:w="940" w:type="dxa"/>
            <w:tcBorders>
              <w:top w:val="single" w:sz="4" w:space="0" w:color="auto"/>
              <w:left w:val="nil"/>
              <w:bottom w:val="single" w:sz="4" w:space="0" w:color="auto"/>
              <w:right w:val="nil"/>
            </w:tcBorders>
            <w:shd w:val="clear" w:color="auto" w:fill="auto"/>
            <w:noWrap/>
            <w:vAlign w:val="center"/>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Qld</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WA</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SA</w:t>
            </w:r>
          </w:p>
        </w:tc>
        <w:tc>
          <w:tcPr>
            <w:tcW w:w="940" w:type="dxa"/>
            <w:tcBorders>
              <w:top w:val="single" w:sz="4" w:space="0" w:color="auto"/>
              <w:left w:val="nil"/>
              <w:bottom w:val="single" w:sz="4" w:space="0" w:color="auto"/>
              <w:right w:val="nil"/>
            </w:tcBorders>
            <w:shd w:val="clear" w:color="auto" w:fill="auto"/>
            <w:noWrap/>
            <w:vAlign w:val="center"/>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940EE1">
              <w:rPr>
                <w:rFonts w:ascii="Calibri" w:eastAsia="Times New Roman" w:hAnsi="Calibri" w:cs="Times New Roman"/>
                <w:sz w:val="20"/>
                <w:szCs w:val="20"/>
                <w:lang w:eastAsia="en-AU"/>
              </w:rPr>
              <w:t>Tas</w:t>
            </w:r>
            <w:proofErr w:type="spellEnd"/>
          </w:p>
        </w:tc>
        <w:tc>
          <w:tcPr>
            <w:tcW w:w="940" w:type="dxa"/>
            <w:tcBorders>
              <w:top w:val="single" w:sz="4" w:space="0" w:color="auto"/>
              <w:left w:val="nil"/>
              <w:bottom w:val="single" w:sz="4" w:space="0" w:color="auto"/>
              <w:right w:val="nil"/>
            </w:tcBorders>
            <w:shd w:val="clear" w:color="auto" w:fill="auto"/>
            <w:noWrap/>
            <w:vAlign w:val="center"/>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ACT</w:t>
            </w:r>
          </w:p>
        </w:tc>
        <w:tc>
          <w:tcPr>
            <w:tcW w:w="940" w:type="dxa"/>
            <w:tcBorders>
              <w:top w:val="single" w:sz="4" w:space="0" w:color="auto"/>
              <w:left w:val="nil"/>
              <w:bottom w:val="single" w:sz="4" w:space="0" w:color="auto"/>
              <w:right w:val="nil"/>
            </w:tcBorders>
            <w:shd w:val="clear" w:color="auto" w:fill="auto"/>
            <w:noWrap/>
            <w:vAlign w:val="center"/>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NT</w:t>
            </w:r>
          </w:p>
        </w:tc>
      </w:tr>
      <w:tr w:rsidR="00647BDC" w:rsidRPr="00940EE1" w:rsidTr="00D07581">
        <w:trPr>
          <w:trHeight w:val="315"/>
        </w:trPr>
        <w:tc>
          <w:tcPr>
            <w:tcW w:w="1920" w:type="dxa"/>
            <w:tcBorders>
              <w:top w:val="nil"/>
              <w:left w:val="nil"/>
              <w:bottom w:val="nil"/>
              <w:right w:val="nil"/>
            </w:tcBorders>
            <w:shd w:val="clear" w:color="auto" w:fill="auto"/>
            <w:noWrap/>
            <w:vAlign w:val="bottom"/>
            <w:hideMark/>
          </w:tcPr>
          <w:p w:rsidR="00647BDC" w:rsidRPr="00940EE1"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Tax rate (%)</w:t>
            </w:r>
          </w:p>
        </w:tc>
        <w:tc>
          <w:tcPr>
            <w:tcW w:w="820" w:type="dxa"/>
            <w:tcBorders>
              <w:top w:val="nil"/>
              <w:left w:val="nil"/>
              <w:bottom w:val="nil"/>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5.45</w:t>
            </w:r>
          </w:p>
        </w:tc>
        <w:tc>
          <w:tcPr>
            <w:tcW w:w="820" w:type="dxa"/>
            <w:tcBorders>
              <w:top w:val="nil"/>
              <w:left w:val="nil"/>
              <w:bottom w:val="nil"/>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4.90</w:t>
            </w:r>
          </w:p>
        </w:tc>
        <w:tc>
          <w:tcPr>
            <w:tcW w:w="940" w:type="dxa"/>
            <w:tcBorders>
              <w:top w:val="nil"/>
              <w:left w:val="nil"/>
              <w:bottom w:val="nil"/>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4.75</w:t>
            </w:r>
          </w:p>
        </w:tc>
        <w:tc>
          <w:tcPr>
            <w:tcW w:w="820" w:type="dxa"/>
            <w:tcBorders>
              <w:top w:val="nil"/>
              <w:left w:val="nil"/>
              <w:bottom w:val="nil"/>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5.50</w:t>
            </w:r>
          </w:p>
        </w:tc>
        <w:tc>
          <w:tcPr>
            <w:tcW w:w="820" w:type="dxa"/>
            <w:tcBorders>
              <w:top w:val="nil"/>
              <w:left w:val="nil"/>
              <w:bottom w:val="nil"/>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4.95</w:t>
            </w:r>
          </w:p>
        </w:tc>
        <w:tc>
          <w:tcPr>
            <w:tcW w:w="940" w:type="dxa"/>
            <w:tcBorders>
              <w:top w:val="nil"/>
              <w:left w:val="nil"/>
              <w:bottom w:val="nil"/>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6.10</w:t>
            </w:r>
          </w:p>
        </w:tc>
        <w:tc>
          <w:tcPr>
            <w:tcW w:w="940" w:type="dxa"/>
            <w:tcBorders>
              <w:top w:val="nil"/>
              <w:left w:val="nil"/>
              <w:bottom w:val="nil"/>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6.85</w:t>
            </w:r>
          </w:p>
        </w:tc>
        <w:tc>
          <w:tcPr>
            <w:tcW w:w="940" w:type="dxa"/>
            <w:tcBorders>
              <w:top w:val="nil"/>
              <w:left w:val="nil"/>
              <w:bottom w:val="nil"/>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5.50</w:t>
            </w:r>
          </w:p>
        </w:tc>
      </w:tr>
      <w:tr w:rsidR="00647BDC" w:rsidRPr="00940EE1" w:rsidTr="00D07581">
        <w:trPr>
          <w:trHeight w:val="315"/>
        </w:trPr>
        <w:tc>
          <w:tcPr>
            <w:tcW w:w="1920" w:type="dxa"/>
            <w:tcBorders>
              <w:top w:val="nil"/>
              <w:left w:val="nil"/>
              <w:bottom w:val="single" w:sz="4" w:space="0" w:color="auto"/>
              <w:right w:val="nil"/>
            </w:tcBorders>
            <w:shd w:val="clear" w:color="auto" w:fill="auto"/>
            <w:noWrap/>
            <w:vAlign w:val="bottom"/>
            <w:hideMark/>
          </w:tcPr>
          <w:p w:rsidR="00647BDC" w:rsidRPr="00940EE1"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Threshold ($'000)</w:t>
            </w:r>
          </w:p>
        </w:tc>
        <w:tc>
          <w:tcPr>
            <w:tcW w:w="820" w:type="dxa"/>
            <w:tcBorders>
              <w:top w:val="nil"/>
              <w:left w:val="nil"/>
              <w:bottom w:val="single" w:sz="4" w:space="0" w:color="auto"/>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689</w:t>
            </w:r>
          </w:p>
        </w:tc>
        <w:tc>
          <w:tcPr>
            <w:tcW w:w="820" w:type="dxa"/>
            <w:tcBorders>
              <w:top w:val="nil"/>
              <w:left w:val="nil"/>
              <w:bottom w:val="single" w:sz="4" w:space="0" w:color="auto"/>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550</w:t>
            </w:r>
          </w:p>
        </w:tc>
        <w:tc>
          <w:tcPr>
            <w:tcW w:w="940" w:type="dxa"/>
            <w:tcBorders>
              <w:top w:val="nil"/>
              <w:left w:val="nil"/>
              <w:bottom w:val="single" w:sz="4" w:space="0" w:color="auto"/>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1 100</w:t>
            </w:r>
          </w:p>
        </w:tc>
        <w:tc>
          <w:tcPr>
            <w:tcW w:w="820" w:type="dxa"/>
            <w:tcBorders>
              <w:top w:val="nil"/>
              <w:left w:val="nil"/>
              <w:bottom w:val="single" w:sz="4" w:space="0" w:color="auto"/>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750</w:t>
            </w:r>
          </w:p>
        </w:tc>
        <w:tc>
          <w:tcPr>
            <w:tcW w:w="820" w:type="dxa"/>
            <w:tcBorders>
              <w:top w:val="nil"/>
              <w:left w:val="nil"/>
              <w:bottom w:val="single" w:sz="4" w:space="0" w:color="auto"/>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600</w:t>
            </w:r>
          </w:p>
        </w:tc>
        <w:tc>
          <w:tcPr>
            <w:tcW w:w="940" w:type="dxa"/>
            <w:tcBorders>
              <w:top w:val="nil"/>
              <w:left w:val="nil"/>
              <w:bottom w:val="single" w:sz="4" w:space="0" w:color="auto"/>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1 010</w:t>
            </w:r>
          </w:p>
        </w:tc>
        <w:tc>
          <w:tcPr>
            <w:tcW w:w="940" w:type="dxa"/>
            <w:tcBorders>
              <w:top w:val="nil"/>
              <w:left w:val="nil"/>
              <w:bottom w:val="single" w:sz="4" w:space="0" w:color="auto"/>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1 750</w:t>
            </w:r>
          </w:p>
        </w:tc>
        <w:tc>
          <w:tcPr>
            <w:tcW w:w="940" w:type="dxa"/>
            <w:tcBorders>
              <w:top w:val="nil"/>
              <w:left w:val="nil"/>
              <w:bottom w:val="single" w:sz="4" w:space="0" w:color="auto"/>
              <w:right w:val="nil"/>
            </w:tcBorders>
            <w:shd w:val="clear" w:color="auto" w:fill="auto"/>
            <w:noWrap/>
            <w:vAlign w:val="bottom"/>
            <w:hideMark/>
          </w:tcPr>
          <w:p w:rsidR="00647BDC" w:rsidRPr="00940EE1"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40EE1">
              <w:rPr>
                <w:rFonts w:ascii="Calibri" w:eastAsia="Times New Roman" w:hAnsi="Calibri" w:cs="Times New Roman"/>
                <w:sz w:val="20"/>
                <w:szCs w:val="20"/>
                <w:lang w:eastAsia="en-AU"/>
              </w:rPr>
              <w:t>1 500</w:t>
            </w:r>
          </w:p>
        </w:tc>
      </w:tr>
    </w:tbl>
    <w:p w:rsidR="00647BDC" w:rsidRDefault="00647BDC" w:rsidP="00647BDC">
      <w:pPr>
        <w:pStyle w:val="CGCTableFootnote"/>
      </w:pPr>
      <w:r w:rsidRPr="00921958">
        <w:t>Source:</w:t>
      </w:r>
      <w:r w:rsidRPr="00921958">
        <w:tab/>
        <w:t>New South Wales Treasury, Interstate Comparison of Taxes 2012-13.</w:t>
      </w:r>
    </w:p>
    <w:p w:rsidR="00647BDC" w:rsidRPr="00755429" w:rsidRDefault="00647BDC" w:rsidP="00647BDC">
      <w:pPr>
        <w:pStyle w:val="CGCNumberedPara"/>
        <w:numPr>
          <w:ilvl w:val="1"/>
          <w:numId w:val="2"/>
        </w:numPr>
      </w:pPr>
      <w:r w:rsidRPr="00755429">
        <w:t>States apply grouping provisions to prevent employers breaking up their operations into separate businesses to avoid, or reduce, payroll tax liability.</w:t>
      </w:r>
    </w:p>
    <w:p w:rsidR="00647BDC" w:rsidRPr="00755429" w:rsidRDefault="00647BDC" w:rsidP="00647BDC">
      <w:pPr>
        <w:pStyle w:val="CGCNumberedPara"/>
        <w:numPr>
          <w:ilvl w:val="1"/>
          <w:numId w:val="2"/>
        </w:numPr>
      </w:pPr>
      <w:r w:rsidRPr="00755429">
        <w:t>States offer exemptions. Some exemptions are common, such as the payrolls of non</w:t>
      </w:r>
      <w:r w:rsidRPr="00755429">
        <w:noBreakHyphen/>
        <w:t>profit charitable institutions and remuneration paid to employees on maternity leave or performing services overseas for a continuous period of more than six months. Some exemptions are offered by a majority of States, such as the remuneration paid to apprentices and trainees in approved non-profit group training schemes and remuneration paid by local governments. Some exemptions are offered by a minority of States. They can offer full or partial payroll tax rebates or concessions to employers in particular industries, or in relation to particular groups of employees. For example, three States offer a rebate to employers hiring new employees with a disability. South Australia offers a rebate for remuneration associated with the construction of renewable energy projects, and Queensland for remuneration associated with film and television production in the State.</w:t>
      </w:r>
    </w:p>
    <w:p w:rsidR="00647BDC" w:rsidRPr="00755429" w:rsidRDefault="00647BDC" w:rsidP="00647BDC">
      <w:pPr>
        <w:pStyle w:val="CGCNumberedPara"/>
        <w:numPr>
          <w:ilvl w:val="1"/>
          <w:numId w:val="2"/>
        </w:numPr>
      </w:pPr>
      <w:r w:rsidRPr="00755429">
        <w:t>While the Constitution prevents States from imposing payroll tax on Commonwealth general government sector employees, higher education institutions are liable. Similarly, under the 1995 Competition Principles Agreement between States and the Commonwealth, significant government business enterprises at all levels of government are liable.</w:t>
      </w:r>
    </w:p>
    <w:p w:rsidR="00647BDC" w:rsidRPr="00755429" w:rsidRDefault="00647BDC" w:rsidP="00647BDC">
      <w:pPr>
        <w:pStyle w:val="Heading3"/>
      </w:pPr>
      <w:bookmarkStart w:id="22" w:name="_Toc390955800"/>
      <w:r>
        <w:lastRenderedPageBreak/>
        <w:t>Assessment approach</w:t>
      </w:r>
      <w:bookmarkEnd w:id="22"/>
    </w:p>
    <w:p w:rsidR="00647BDC" w:rsidRPr="00755429" w:rsidRDefault="00647BDC" w:rsidP="00647BDC">
      <w:pPr>
        <w:pStyle w:val="Heading4"/>
      </w:pPr>
      <w:r w:rsidRPr="00755429">
        <w:t>Scope of the revenue base</w:t>
      </w:r>
    </w:p>
    <w:p w:rsidR="00647BDC" w:rsidRPr="00755429" w:rsidRDefault="00647BDC" w:rsidP="00647BDC">
      <w:pPr>
        <w:pStyle w:val="CGCNumberedPara"/>
        <w:numPr>
          <w:ilvl w:val="1"/>
          <w:numId w:val="2"/>
        </w:numPr>
      </w:pPr>
      <w:r w:rsidRPr="00755429">
        <w:t>We measure revenue capacity using ABS national accounts data on Compensation of Employees (</w:t>
      </w:r>
      <w:proofErr w:type="spellStart"/>
      <w:r w:rsidRPr="00755429">
        <w:t>CoE</w:t>
      </w:r>
      <w:proofErr w:type="spellEnd"/>
      <w:r w:rsidRPr="00755429">
        <w:t xml:space="preserve">). </w:t>
      </w:r>
      <w:proofErr w:type="spellStart"/>
      <w:r w:rsidRPr="00755429">
        <w:t>CoE</w:t>
      </w:r>
      <w:proofErr w:type="spellEnd"/>
      <w:r w:rsidRPr="00755429">
        <w:t xml:space="preserve"> is a broad measure of the remuneration paid, covering wages, </w:t>
      </w:r>
      <w:proofErr w:type="gramStart"/>
      <w:r w:rsidRPr="00755429">
        <w:t>salaries</w:t>
      </w:r>
      <w:proofErr w:type="gramEnd"/>
      <w:r w:rsidRPr="00755429">
        <w:t>, other cash benefits on behalf of employees (such as superannuation) and non-cash benefits.</w:t>
      </w:r>
    </w:p>
    <w:p w:rsidR="00647BDC" w:rsidRPr="00755429" w:rsidRDefault="00647BDC" w:rsidP="00647BDC">
      <w:pPr>
        <w:pStyle w:val="CGCNumberedPara"/>
        <w:numPr>
          <w:ilvl w:val="1"/>
          <w:numId w:val="2"/>
        </w:numPr>
      </w:pPr>
      <w:r w:rsidRPr="00755429">
        <w:t xml:space="preserve">We adjust </w:t>
      </w:r>
      <w:proofErr w:type="spellStart"/>
      <w:r w:rsidRPr="00755429">
        <w:t>CoE</w:t>
      </w:r>
      <w:proofErr w:type="spellEnd"/>
      <w:r w:rsidRPr="00755429">
        <w:t xml:space="preserve"> to reflect:</w:t>
      </w:r>
    </w:p>
    <w:p w:rsidR="00647BDC" w:rsidRPr="00755429" w:rsidRDefault="00647BDC" w:rsidP="00D07581">
      <w:pPr>
        <w:pStyle w:val="CGCBulletlist"/>
      </w:pPr>
      <w:r w:rsidRPr="00755429">
        <w:t>the reduced scope of the public sector</w:t>
      </w:r>
    </w:p>
    <w:p w:rsidR="00647BDC" w:rsidRPr="00755429" w:rsidRDefault="00647BDC" w:rsidP="00D07581">
      <w:pPr>
        <w:pStyle w:val="CGCBulletlist"/>
      </w:pPr>
      <w:proofErr w:type="gramStart"/>
      <w:r w:rsidRPr="00755429">
        <w:t>the</w:t>
      </w:r>
      <w:proofErr w:type="gramEnd"/>
      <w:r w:rsidRPr="00755429">
        <w:t xml:space="preserve"> average policy to exempt payrolls below an average threshold.</w:t>
      </w:r>
    </w:p>
    <w:p w:rsidR="00647BDC" w:rsidRPr="00755429" w:rsidRDefault="00647BDC" w:rsidP="00647BDC">
      <w:pPr>
        <w:pStyle w:val="CGCNumberedPara"/>
        <w:numPr>
          <w:ilvl w:val="1"/>
          <w:numId w:val="2"/>
        </w:numPr>
      </w:pPr>
      <w:r w:rsidRPr="00755429">
        <w:rPr>
          <w:rStyle w:val="Heading6Char"/>
        </w:rPr>
        <w:t>The reduced scope of the public sector.</w:t>
      </w:r>
      <w:r w:rsidRPr="00755429">
        <w:t xml:space="preserve"> We exclude the remuneration of employees in the general government sectors.</w:t>
      </w:r>
      <w:r w:rsidRPr="00755429">
        <w:rPr>
          <w:rStyle w:val="FootnoteReference"/>
        </w:rPr>
        <w:footnoteReference w:id="3"/>
      </w:r>
      <w:r w:rsidRPr="00755429">
        <w:t xml:space="preserve"> This means the scope of public sector remuneration is restricted to the remuneration paid to employees of public sector corporations and higher education institutions.</w:t>
      </w:r>
      <w:r w:rsidRPr="00755429">
        <w:rPr>
          <w:rStyle w:val="FootnoteReference"/>
        </w:rPr>
        <w:footnoteReference w:id="4"/>
      </w:r>
    </w:p>
    <w:p w:rsidR="00647BDC" w:rsidRPr="00755429" w:rsidRDefault="00647BDC" w:rsidP="00647BDC">
      <w:pPr>
        <w:pStyle w:val="CGCNumberedPara"/>
        <w:numPr>
          <w:ilvl w:val="1"/>
          <w:numId w:val="2"/>
        </w:numPr>
      </w:pPr>
      <w:r w:rsidRPr="00755429">
        <w:t>States supported restricting the scope of public sector remuneration. This adjustment has a material impact on the GST distribution.</w:t>
      </w:r>
    </w:p>
    <w:p w:rsidR="00647BDC" w:rsidRPr="00755429" w:rsidRDefault="00647BDC" w:rsidP="00647BDC">
      <w:pPr>
        <w:pStyle w:val="CGCNumberedPara"/>
        <w:numPr>
          <w:ilvl w:val="1"/>
          <w:numId w:val="2"/>
        </w:numPr>
      </w:pPr>
      <w:r w:rsidRPr="00755429">
        <w:rPr>
          <w:rStyle w:val="Heading6Char"/>
        </w:rPr>
        <w:t>Exempt payrolls below a threshold.</w:t>
      </w:r>
      <w:r w:rsidRPr="00755429">
        <w:t xml:space="preserve"> A business is liable for payroll tax if its remuneration exceeds the general deduction threshold. Five States said we should adjust </w:t>
      </w:r>
      <w:proofErr w:type="spellStart"/>
      <w:r w:rsidRPr="00755429">
        <w:t>CoE</w:t>
      </w:r>
      <w:proofErr w:type="spellEnd"/>
      <w:r w:rsidRPr="00755429">
        <w:t xml:space="preserve"> to exclude remuneration below the threshold because it reflected 'what States do', was material and could be made reliably. They said the fiscal capacities of States with proportionally more small firms would be overstated if the threshold was not taken into account. Three States said we should discontinue the threshold adjustment because it adds unnecessary complexity and compromises the policy neutrality of the assessment.</w:t>
      </w:r>
    </w:p>
    <w:p w:rsidR="00647BDC" w:rsidRPr="00755429" w:rsidRDefault="00647BDC" w:rsidP="00647BDC">
      <w:pPr>
        <w:pStyle w:val="CGCNumberedPara"/>
        <w:numPr>
          <w:ilvl w:val="1"/>
          <w:numId w:val="2"/>
        </w:numPr>
      </w:pPr>
      <w:r w:rsidRPr="00755429">
        <w:t>We have retained the threshold adjustment and removed the remuneration below it. The threshold is a major feature of State tax policy and there are material differences between the States in the proportion of total remuneration paid by small firms.</w:t>
      </w:r>
    </w:p>
    <w:p w:rsidR="00647BDC" w:rsidRPr="00755429" w:rsidRDefault="00647BDC" w:rsidP="00647BDC">
      <w:pPr>
        <w:pStyle w:val="Heading4"/>
      </w:pPr>
      <w:r w:rsidRPr="00755429">
        <w:t>Data sources and adjustments</w:t>
      </w:r>
    </w:p>
    <w:p w:rsidR="00647BDC" w:rsidRPr="00755429" w:rsidRDefault="00647BDC" w:rsidP="00647BDC">
      <w:pPr>
        <w:pStyle w:val="CGCNumberedPara"/>
        <w:numPr>
          <w:ilvl w:val="1"/>
          <w:numId w:val="2"/>
        </w:numPr>
      </w:pPr>
      <w:r w:rsidRPr="00755429">
        <w:t xml:space="preserve">The ABS </w:t>
      </w:r>
      <w:proofErr w:type="gramStart"/>
      <w:r w:rsidRPr="00755429">
        <w:t>provide</w:t>
      </w:r>
      <w:proofErr w:type="gramEnd"/>
      <w:r w:rsidRPr="00755429">
        <w:t xml:space="preserve"> </w:t>
      </w:r>
      <w:proofErr w:type="spellStart"/>
      <w:r w:rsidRPr="00755429">
        <w:t>CoE</w:t>
      </w:r>
      <w:proofErr w:type="spellEnd"/>
      <w:r w:rsidRPr="00755429">
        <w:t xml:space="preserve"> data separately for the public and private sectors. We estimate an average </w:t>
      </w:r>
      <w:proofErr w:type="spellStart"/>
      <w:r w:rsidRPr="00755429">
        <w:t>CoE</w:t>
      </w:r>
      <w:proofErr w:type="spellEnd"/>
      <w:r w:rsidRPr="00755429">
        <w:t xml:space="preserve"> threshold by weighting each State's threshold by its share of the total remuneration paid. We calculate the average threshold annually to take account of </w:t>
      </w:r>
      <w:r w:rsidRPr="00755429">
        <w:lastRenderedPageBreak/>
        <w:t xml:space="preserve">any change in State legislation. The average </w:t>
      </w:r>
      <w:proofErr w:type="spellStart"/>
      <w:r w:rsidRPr="00755429">
        <w:t>CoE</w:t>
      </w:r>
      <w:proofErr w:type="spellEnd"/>
      <w:r w:rsidRPr="00755429">
        <w:t xml:space="preserve"> threshold in 2012</w:t>
      </w:r>
      <w:r w:rsidRPr="00755429">
        <w:noBreakHyphen/>
        <w:t xml:space="preserve">13 was $0.78 million. </w:t>
      </w:r>
    </w:p>
    <w:p w:rsidR="00647BDC" w:rsidRPr="00755429" w:rsidRDefault="00647BDC" w:rsidP="00647BDC">
      <w:pPr>
        <w:pStyle w:val="CGCNumberedPara"/>
        <w:numPr>
          <w:ilvl w:val="1"/>
          <w:numId w:val="2"/>
        </w:numPr>
      </w:pPr>
      <w:proofErr w:type="spellStart"/>
      <w:r w:rsidRPr="00755429">
        <w:t>CoE</w:t>
      </w:r>
      <w:proofErr w:type="spellEnd"/>
      <w:r w:rsidRPr="00755429">
        <w:t xml:space="preserve"> are not available by size of payroll so we cannot estimate the impact of the average threshold using </w:t>
      </w:r>
      <w:proofErr w:type="spellStart"/>
      <w:r w:rsidRPr="00755429">
        <w:t>CoE</w:t>
      </w:r>
      <w:proofErr w:type="spellEnd"/>
      <w:r w:rsidRPr="00755429">
        <w:t xml:space="preserve">. We have used ABS data on the wages and salaries in each sector, which are available by size of payroll. Wages and salaries data are narrower in scope than </w:t>
      </w:r>
      <w:proofErr w:type="spellStart"/>
      <w:r w:rsidRPr="00755429">
        <w:t>CoE</w:t>
      </w:r>
      <w:proofErr w:type="spellEnd"/>
      <w:r w:rsidRPr="00755429">
        <w:t xml:space="preserve"> and we have used a lower threshold for wages and salaries. Based on the average proportion of </w:t>
      </w:r>
      <w:proofErr w:type="spellStart"/>
      <w:r w:rsidRPr="00755429">
        <w:t>CoE</w:t>
      </w:r>
      <w:proofErr w:type="spellEnd"/>
      <w:r w:rsidRPr="00755429">
        <w:t xml:space="preserve"> comprising wages and salaries between 2009</w:t>
      </w:r>
      <w:r w:rsidRPr="00755429">
        <w:noBreakHyphen/>
        <w:t>10 and 2012</w:t>
      </w:r>
      <w:r w:rsidRPr="00755429">
        <w:noBreakHyphen/>
        <w:t xml:space="preserve">13, we have set the private sector wages and salaries threshold at 90% of the </w:t>
      </w:r>
      <w:proofErr w:type="spellStart"/>
      <w:r w:rsidRPr="00755429">
        <w:t>CoE</w:t>
      </w:r>
      <w:proofErr w:type="spellEnd"/>
      <w:r w:rsidRPr="00755429">
        <w:t xml:space="preserve"> threshold and the public sector wages and salaries threshold at 86% of the </w:t>
      </w:r>
      <w:proofErr w:type="spellStart"/>
      <w:r w:rsidRPr="00755429">
        <w:t>CoE</w:t>
      </w:r>
      <w:proofErr w:type="spellEnd"/>
      <w:r w:rsidRPr="00755429">
        <w:t xml:space="preserve"> threshold. </w:t>
      </w:r>
    </w:p>
    <w:p w:rsidR="00647BDC" w:rsidRPr="00755429" w:rsidRDefault="00647BDC" w:rsidP="00647BDC">
      <w:pPr>
        <w:pStyle w:val="CGCNumberedPara"/>
        <w:numPr>
          <w:ilvl w:val="1"/>
          <w:numId w:val="2"/>
        </w:numPr>
      </w:pPr>
      <w:r w:rsidRPr="00755429">
        <w:t>The general government sector is not taxable, but public sector corporations are. Whether certain functions are performed by the general government or by public sector corporations vary depending on the policies of each State. We have used total wages and salaries of public sector employees in 'commercial' industries, rather than wages and salaries of the public sector corporations. By choosing industries in which public sector activity is predominantly commercial</w:t>
      </w:r>
      <w:r w:rsidRPr="00755429">
        <w:rPr>
          <w:rStyle w:val="FootnoteReference"/>
        </w:rPr>
        <w:footnoteReference w:id="5"/>
      </w:r>
      <w:r w:rsidRPr="00755429">
        <w:t>, the assessment is not affected by State decisions on whether an agency is part of its general government sector or a public sector corporation.</w:t>
      </w:r>
    </w:p>
    <w:p w:rsidR="00647BDC" w:rsidRPr="00755429" w:rsidRDefault="00647BDC" w:rsidP="00647BDC">
      <w:pPr>
        <w:pStyle w:val="CGCNumberedPara"/>
        <w:numPr>
          <w:ilvl w:val="1"/>
          <w:numId w:val="2"/>
        </w:numPr>
      </w:pPr>
      <w:r w:rsidRPr="00755429">
        <w:t>The revenue base for 2012</w:t>
      </w:r>
      <w:r w:rsidRPr="00755429">
        <w:noBreakHyphen/>
        <w:t>13 was derived by:</w:t>
      </w:r>
    </w:p>
    <w:p w:rsidR="00647BDC" w:rsidRPr="00755429" w:rsidRDefault="00647BDC" w:rsidP="00D07581">
      <w:pPr>
        <w:pStyle w:val="CGCBulletlist"/>
      </w:pPr>
      <w:r w:rsidRPr="00755429">
        <w:t xml:space="preserve">applying the public sector taxable proportion (adjusting for scope and the threshold) to the public sector </w:t>
      </w:r>
      <w:proofErr w:type="spellStart"/>
      <w:r w:rsidRPr="00755429">
        <w:t>CoE</w:t>
      </w:r>
      <w:proofErr w:type="spellEnd"/>
    </w:p>
    <w:p w:rsidR="00647BDC" w:rsidRPr="00755429" w:rsidRDefault="00647BDC" w:rsidP="00D07581">
      <w:pPr>
        <w:pStyle w:val="CGCBulletlist"/>
      </w:pPr>
      <w:r w:rsidRPr="00755429">
        <w:t xml:space="preserve">applying the private sector taxable proportion to private sector </w:t>
      </w:r>
      <w:proofErr w:type="spellStart"/>
      <w:r w:rsidRPr="00755429">
        <w:t>CoE</w:t>
      </w:r>
      <w:proofErr w:type="spellEnd"/>
    </w:p>
    <w:p w:rsidR="00647BDC" w:rsidRPr="00755429" w:rsidRDefault="00647BDC" w:rsidP="00D07581">
      <w:pPr>
        <w:pStyle w:val="CGCBulletlist"/>
      </w:pPr>
      <w:proofErr w:type="gramStart"/>
      <w:r w:rsidRPr="00755429">
        <w:t>adding</w:t>
      </w:r>
      <w:proofErr w:type="gramEnd"/>
      <w:r w:rsidRPr="00755429">
        <w:t xml:space="preserve"> the taxable public sector </w:t>
      </w:r>
      <w:proofErr w:type="spellStart"/>
      <w:r w:rsidRPr="00755429">
        <w:t>CoE</w:t>
      </w:r>
      <w:proofErr w:type="spellEnd"/>
      <w:r w:rsidRPr="00755429">
        <w:t xml:space="preserve"> and taxable private sector </w:t>
      </w:r>
      <w:proofErr w:type="spellStart"/>
      <w:r w:rsidRPr="00755429">
        <w:t>CoE</w:t>
      </w:r>
      <w:proofErr w:type="spellEnd"/>
      <w:r w:rsidRPr="00755429">
        <w:t>.</w:t>
      </w:r>
    </w:p>
    <w:p w:rsidR="00647BDC" w:rsidRPr="00755429" w:rsidRDefault="00647BDC" w:rsidP="00647BDC">
      <w:pPr>
        <w:pStyle w:val="Caption"/>
      </w:pPr>
      <w:r w:rsidRPr="00755429">
        <w:lastRenderedPageBreak/>
        <w:t xml:space="preserve">Table </w:t>
      </w:r>
      <w:r w:rsidR="005B69B1">
        <w:fldChar w:fldCharType="begin"/>
      </w:r>
      <w:r w:rsidR="005B69B1">
        <w:instrText xml:space="preserve"> SEQ Table \* ARABIC </w:instrText>
      </w:r>
      <w:r w:rsidR="005B69B1">
        <w:fldChar w:fldCharType="separate"/>
      </w:r>
      <w:r w:rsidR="005B69B1">
        <w:rPr>
          <w:noProof/>
        </w:rPr>
        <w:t>4</w:t>
      </w:r>
      <w:r w:rsidR="005B69B1">
        <w:rPr>
          <w:noProof/>
        </w:rPr>
        <w:fldChar w:fldCharType="end"/>
      </w:r>
      <w:r w:rsidRPr="00755429">
        <w:tab/>
        <w:t xml:space="preserve">Calculating the taxable proportion of </w:t>
      </w:r>
      <w:r>
        <w:t>Compensation of Employees</w:t>
      </w:r>
      <w:r w:rsidRPr="00755429">
        <w:t>, 2012</w:t>
      </w:r>
      <w:r w:rsidRPr="00755429">
        <w:noBreakHyphen/>
        <w:t>13</w:t>
      </w:r>
    </w:p>
    <w:tbl>
      <w:tblPr>
        <w:tblW w:w="8900" w:type="dxa"/>
        <w:tblInd w:w="93" w:type="dxa"/>
        <w:tblLook w:val="04A0" w:firstRow="1" w:lastRow="0" w:firstColumn="1" w:lastColumn="0" w:noHBand="0" w:noVBand="1"/>
      </w:tblPr>
      <w:tblGrid>
        <w:gridCol w:w="2540"/>
        <w:gridCol w:w="700"/>
        <w:gridCol w:w="700"/>
        <w:gridCol w:w="700"/>
        <w:gridCol w:w="700"/>
        <w:gridCol w:w="700"/>
        <w:gridCol w:w="700"/>
        <w:gridCol w:w="700"/>
        <w:gridCol w:w="700"/>
        <w:gridCol w:w="760"/>
      </w:tblGrid>
      <w:tr w:rsidR="00647BDC" w:rsidRPr="00D46707" w:rsidTr="00D07581">
        <w:trPr>
          <w:trHeight w:val="379"/>
        </w:trPr>
        <w:tc>
          <w:tcPr>
            <w:tcW w:w="2540" w:type="dxa"/>
            <w:tcBorders>
              <w:top w:val="single" w:sz="4" w:space="0" w:color="auto"/>
              <w:left w:val="nil"/>
              <w:bottom w:val="single" w:sz="4" w:space="0" w:color="auto"/>
              <w:right w:val="nil"/>
            </w:tcBorders>
            <w:shd w:val="clear" w:color="auto" w:fill="auto"/>
            <w:noWrap/>
            <w:vAlign w:val="center"/>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bookmarkStart w:id="23" w:name="RANGE!A4:J13"/>
            <w:r w:rsidRPr="00D46707">
              <w:rPr>
                <w:rFonts w:ascii="Calibri" w:eastAsia="Times New Roman" w:hAnsi="Calibri" w:cs="Times New Roman"/>
                <w:sz w:val="20"/>
                <w:szCs w:val="20"/>
                <w:lang w:eastAsia="en-AU"/>
              </w:rPr>
              <w:t> </w:t>
            </w:r>
            <w:bookmarkEnd w:id="23"/>
          </w:p>
        </w:tc>
        <w:tc>
          <w:tcPr>
            <w:tcW w:w="700" w:type="dxa"/>
            <w:tcBorders>
              <w:top w:val="single" w:sz="4" w:space="0" w:color="auto"/>
              <w:left w:val="nil"/>
              <w:bottom w:val="single" w:sz="4" w:space="0" w:color="auto"/>
              <w:right w:val="nil"/>
            </w:tcBorders>
            <w:shd w:val="clear" w:color="auto" w:fill="auto"/>
            <w:noWrap/>
            <w:vAlign w:val="center"/>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NSW</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Qld</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WA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D46707">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ACT</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NT</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Total</w:t>
            </w:r>
          </w:p>
        </w:tc>
      </w:tr>
      <w:tr w:rsidR="00647BDC" w:rsidRPr="00D46707" w:rsidTr="00D07581">
        <w:trPr>
          <w:trHeight w:val="315"/>
        </w:trPr>
        <w:tc>
          <w:tcPr>
            <w:tcW w:w="254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Public sector</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r>
      <w:tr w:rsidR="00647BDC" w:rsidRPr="00D46707" w:rsidTr="00D07581">
        <w:trPr>
          <w:trHeight w:val="315"/>
        </w:trPr>
        <w:tc>
          <w:tcPr>
            <w:tcW w:w="254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proofErr w:type="spellStart"/>
            <w:r w:rsidRPr="00D46707">
              <w:rPr>
                <w:rFonts w:ascii="Calibri" w:eastAsia="Times New Roman" w:hAnsi="Calibri" w:cs="Times New Roman"/>
                <w:sz w:val="20"/>
                <w:szCs w:val="20"/>
                <w:lang w:eastAsia="en-AU"/>
              </w:rPr>
              <w:t>CoE</w:t>
            </w:r>
            <w:proofErr w:type="spellEnd"/>
            <w:r w:rsidRPr="00D46707">
              <w:rPr>
                <w:rFonts w:ascii="Calibri" w:eastAsia="Times New Roman" w:hAnsi="Calibri" w:cs="Times New Roman"/>
                <w:sz w:val="20"/>
                <w:szCs w:val="20"/>
                <w:lang w:eastAsia="en-AU"/>
              </w:rPr>
              <w:t xml:space="preserve"> ($b) (a)</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46</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30</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28</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16</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12</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3</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11</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3</w:t>
            </w:r>
          </w:p>
        </w:tc>
        <w:tc>
          <w:tcPr>
            <w:tcW w:w="76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148</w:t>
            </w:r>
          </w:p>
        </w:tc>
      </w:tr>
      <w:tr w:rsidR="00647BDC" w:rsidRPr="00D46707" w:rsidTr="00D07581">
        <w:trPr>
          <w:trHeight w:val="315"/>
        </w:trPr>
        <w:tc>
          <w:tcPr>
            <w:tcW w:w="254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Taxable proportion (%)</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22.6</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19.7</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21.4</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18.3</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16.0</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21.4</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10.0</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10.0</w:t>
            </w:r>
          </w:p>
        </w:tc>
        <w:tc>
          <w:tcPr>
            <w:tcW w:w="76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19.7</w:t>
            </w:r>
          </w:p>
        </w:tc>
      </w:tr>
      <w:tr w:rsidR="00647BDC" w:rsidRPr="00D46707" w:rsidTr="00D07581">
        <w:trPr>
          <w:trHeight w:val="315"/>
        </w:trPr>
        <w:tc>
          <w:tcPr>
            <w:tcW w:w="254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 xml:space="preserve">Taxable </w:t>
            </w:r>
            <w:proofErr w:type="spellStart"/>
            <w:r w:rsidRPr="00D46707">
              <w:rPr>
                <w:rFonts w:ascii="Calibri" w:eastAsia="Times New Roman" w:hAnsi="Calibri" w:cs="Times New Roman"/>
                <w:sz w:val="20"/>
                <w:szCs w:val="20"/>
                <w:lang w:eastAsia="en-AU"/>
              </w:rPr>
              <w:t>CoE</w:t>
            </w:r>
            <w:proofErr w:type="spellEnd"/>
            <w:r w:rsidRPr="00D46707">
              <w:rPr>
                <w:rFonts w:ascii="Calibri" w:eastAsia="Times New Roman" w:hAnsi="Calibri" w:cs="Times New Roman"/>
                <w:sz w:val="20"/>
                <w:szCs w:val="20"/>
                <w:lang w:eastAsia="en-AU"/>
              </w:rPr>
              <w:t xml:space="preserve"> ($b)</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10</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6</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6</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3</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2</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0</w:t>
            </w:r>
          </w:p>
        </w:tc>
        <w:tc>
          <w:tcPr>
            <w:tcW w:w="76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29</w:t>
            </w:r>
          </w:p>
        </w:tc>
      </w:tr>
      <w:tr w:rsidR="00647BDC" w:rsidRPr="00D46707" w:rsidTr="00D07581">
        <w:trPr>
          <w:trHeight w:val="315"/>
        </w:trPr>
        <w:tc>
          <w:tcPr>
            <w:tcW w:w="254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Private sector</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r>
      <w:tr w:rsidR="00647BDC" w:rsidRPr="00D46707" w:rsidTr="00D07581">
        <w:trPr>
          <w:trHeight w:val="315"/>
        </w:trPr>
        <w:tc>
          <w:tcPr>
            <w:tcW w:w="254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proofErr w:type="spellStart"/>
            <w:r w:rsidRPr="00D46707">
              <w:rPr>
                <w:rFonts w:ascii="Calibri" w:eastAsia="Times New Roman" w:hAnsi="Calibri" w:cs="Times New Roman"/>
                <w:sz w:val="20"/>
                <w:szCs w:val="20"/>
                <w:lang w:eastAsia="en-AU"/>
              </w:rPr>
              <w:t>CoE</w:t>
            </w:r>
            <w:proofErr w:type="spellEnd"/>
            <w:r w:rsidRPr="00D46707">
              <w:rPr>
                <w:rFonts w:ascii="Calibri" w:eastAsia="Times New Roman" w:hAnsi="Calibri" w:cs="Times New Roman"/>
                <w:sz w:val="20"/>
                <w:szCs w:val="20"/>
                <w:lang w:eastAsia="en-AU"/>
              </w:rPr>
              <w:t xml:space="preserve"> ($b) (a)</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187</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139</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111</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84</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34</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8</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9</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6</w:t>
            </w:r>
          </w:p>
        </w:tc>
        <w:tc>
          <w:tcPr>
            <w:tcW w:w="76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578</w:t>
            </w:r>
          </w:p>
        </w:tc>
      </w:tr>
      <w:tr w:rsidR="00647BDC" w:rsidRPr="00D46707" w:rsidTr="00D07581">
        <w:trPr>
          <w:trHeight w:val="315"/>
        </w:trPr>
        <w:tc>
          <w:tcPr>
            <w:tcW w:w="254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Taxable proportion (%)</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70.5</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69.8</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71.2</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77.0</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67.0</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62.4</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63.2</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67.8</w:t>
            </w:r>
          </w:p>
        </w:tc>
        <w:tc>
          <w:tcPr>
            <w:tcW w:w="76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70.9</w:t>
            </w:r>
          </w:p>
        </w:tc>
      </w:tr>
      <w:tr w:rsidR="00647BDC" w:rsidRPr="00D46707" w:rsidTr="00D07581">
        <w:trPr>
          <w:trHeight w:val="315"/>
        </w:trPr>
        <w:tc>
          <w:tcPr>
            <w:tcW w:w="254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 xml:space="preserve">Taxable </w:t>
            </w:r>
            <w:proofErr w:type="spellStart"/>
            <w:r w:rsidRPr="00D46707">
              <w:rPr>
                <w:rFonts w:ascii="Calibri" w:eastAsia="Times New Roman" w:hAnsi="Calibri" w:cs="Times New Roman"/>
                <w:sz w:val="20"/>
                <w:szCs w:val="20"/>
                <w:lang w:eastAsia="en-AU"/>
              </w:rPr>
              <w:t>CoE</w:t>
            </w:r>
            <w:proofErr w:type="spellEnd"/>
            <w:r w:rsidRPr="00D46707">
              <w:rPr>
                <w:rFonts w:ascii="Calibri" w:eastAsia="Times New Roman" w:hAnsi="Calibri" w:cs="Times New Roman"/>
                <w:sz w:val="20"/>
                <w:szCs w:val="20"/>
                <w:lang w:eastAsia="en-AU"/>
              </w:rPr>
              <w:t xml:space="preserve"> ($b)</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132</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97</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79</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65</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23</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5</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6</w:t>
            </w:r>
          </w:p>
        </w:tc>
        <w:tc>
          <w:tcPr>
            <w:tcW w:w="70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4</w:t>
            </w:r>
          </w:p>
        </w:tc>
        <w:tc>
          <w:tcPr>
            <w:tcW w:w="760" w:type="dxa"/>
            <w:tcBorders>
              <w:top w:val="nil"/>
              <w:left w:val="nil"/>
              <w:bottom w:val="nil"/>
              <w:right w:val="nil"/>
            </w:tcBorders>
            <w:shd w:val="clear" w:color="auto" w:fill="auto"/>
            <w:noWrap/>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410</w:t>
            </w:r>
          </w:p>
        </w:tc>
      </w:tr>
      <w:tr w:rsidR="00647BDC" w:rsidRPr="00D46707" w:rsidTr="00D07581">
        <w:trPr>
          <w:trHeight w:val="315"/>
        </w:trPr>
        <w:tc>
          <w:tcPr>
            <w:tcW w:w="2540" w:type="dxa"/>
            <w:tcBorders>
              <w:top w:val="nil"/>
              <w:left w:val="nil"/>
              <w:bottom w:val="single" w:sz="4" w:space="0" w:color="auto"/>
              <w:right w:val="nil"/>
            </w:tcBorders>
            <w:shd w:val="clear" w:color="auto" w:fill="auto"/>
            <w:vAlign w:val="bottom"/>
            <w:hideMark/>
          </w:tcPr>
          <w:p w:rsidR="00647BDC" w:rsidRPr="00D46707"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Total taxable payrolls ($b)</w:t>
            </w:r>
          </w:p>
        </w:tc>
        <w:tc>
          <w:tcPr>
            <w:tcW w:w="700" w:type="dxa"/>
            <w:tcBorders>
              <w:top w:val="nil"/>
              <w:left w:val="nil"/>
              <w:bottom w:val="single" w:sz="4" w:space="0" w:color="auto"/>
              <w:right w:val="nil"/>
            </w:tcBorders>
            <w:shd w:val="clear" w:color="auto" w:fill="auto"/>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142</w:t>
            </w:r>
          </w:p>
        </w:tc>
        <w:tc>
          <w:tcPr>
            <w:tcW w:w="700" w:type="dxa"/>
            <w:tcBorders>
              <w:top w:val="nil"/>
              <w:left w:val="nil"/>
              <w:bottom w:val="single" w:sz="4" w:space="0" w:color="auto"/>
              <w:right w:val="nil"/>
            </w:tcBorders>
            <w:shd w:val="clear" w:color="auto" w:fill="auto"/>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103</w:t>
            </w:r>
          </w:p>
        </w:tc>
        <w:tc>
          <w:tcPr>
            <w:tcW w:w="700" w:type="dxa"/>
            <w:tcBorders>
              <w:top w:val="nil"/>
              <w:left w:val="nil"/>
              <w:bottom w:val="single" w:sz="4" w:space="0" w:color="auto"/>
              <w:right w:val="nil"/>
            </w:tcBorders>
            <w:shd w:val="clear" w:color="auto" w:fill="auto"/>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85</w:t>
            </w:r>
          </w:p>
        </w:tc>
        <w:tc>
          <w:tcPr>
            <w:tcW w:w="700" w:type="dxa"/>
            <w:tcBorders>
              <w:top w:val="nil"/>
              <w:left w:val="nil"/>
              <w:bottom w:val="single" w:sz="4" w:space="0" w:color="auto"/>
              <w:right w:val="nil"/>
            </w:tcBorders>
            <w:shd w:val="clear" w:color="auto" w:fill="auto"/>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68</w:t>
            </w:r>
          </w:p>
        </w:tc>
        <w:tc>
          <w:tcPr>
            <w:tcW w:w="700" w:type="dxa"/>
            <w:tcBorders>
              <w:top w:val="nil"/>
              <w:left w:val="nil"/>
              <w:bottom w:val="single" w:sz="4" w:space="0" w:color="auto"/>
              <w:right w:val="nil"/>
            </w:tcBorders>
            <w:shd w:val="clear" w:color="auto" w:fill="auto"/>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25</w:t>
            </w:r>
          </w:p>
        </w:tc>
        <w:tc>
          <w:tcPr>
            <w:tcW w:w="700" w:type="dxa"/>
            <w:tcBorders>
              <w:top w:val="nil"/>
              <w:left w:val="nil"/>
              <w:bottom w:val="single" w:sz="4" w:space="0" w:color="auto"/>
              <w:right w:val="nil"/>
            </w:tcBorders>
            <w:shd w:val="clear" w:color="auto" w:fill="auto"/>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6</w:t>
            </w:r>
          </w:p>
        </w:tc>
        <w:tc>
          <w:tcPr>
            <w:tcW w:w="700" w:type="dxa"/>
            <w:tcBorders>
              <w:top w:val="nil"/>
              <w:left w:val="nil"/>
              <w:bottom w:val="single" w:sz="4" w:space="0" w:color="auto"/>
              <w:right w:val="nil"/>
            </w:tcBorders>
            <w:shd w:val="clear" w:color="auto" w:fill="auto"/>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7</w:t>
            </w:r>
          </w:p>
        </w:tc>
        <w:tc>
          <w:tcPr>
            <w:tcW w:w="700" w:type="dxa"/>
            <w:tcBorders>
              <w:top w:val="nil"/>
              <w:left w:val="nil"/>
              <w:bottom w:val="single" w:sz="4" w:space="0" w:color="auto"/>
              <w:right w:val="nil"/>
            </w:tcBorders>
            <w:shd w:val="clear" w:color="auto" w:fill="auto"/>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4</w:t>
            </w:r>
          </w:p>
        </w:tc>
        <w:tc>
          <w:tcPr>
            <w:tcW w:w="760" w:type="dxa"/>
            <w:tcBorders>
              <w:top w:val="nil"/>
              <w:left w:val="nil"/>
              <w:bottom w:val="single" w:sz="4" w:space="0" w:color="auto"/>
              <w:right w:val="nil"/>
            </w:tcBorders>
            <w:shd w:val="clear" w:color="auto" w:fill="auto"/>
            <w:vAlign w:val="bottom"/>
            <w:hideMark/>
          </w:tcPr>
          <w:p w:rsidR="00647BDC" w:rsidRPr="00D46707"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46707">
              <w:rPr>
                <w:rFonts w:ascii="Calibri" w:eastAsia="Times New Roman" w:hAnsi="Calibri" w:cs="Times New Roman"/>
                <w:sz w:val="20"/>
                <w:szCs w:val="20"/>
                <w:lang w:eastAsia="en-AU"/>
              </w:rPr>
              <w:t>439</w:t>
            </w:r>
          </w:p>
        </w:tc>
      </w:tr>
    </w:tbl>
    <w:p w:rsidR="00647BDC" w:rsidRDefault="00647BDC" w:rsidP="00647BDC">
      <w:pPr>
        <w:pStyle w:val="CGCTableFootnote"/>
        <w:keepNext/>
      </w:pPr>
      <w:r>
        <w:t>(a)</w:t>
      </w:r>
      <w:r>
        <w:tab/>
        <w:t xml:space="preserve">Excludes </w:t>
      </w:r>
      <w:proofErr w:type="spellStart"/>
      <w:r>
        <w:t>CoE</w:t>
      </w:r>
      <w:proofErr w:type="spellEnd"/>
      <w:r>
        <w:t xml:space="preserve"> for members of the defence forces and employees of Australian embassies and consulates overseas.</w:t>
      </w:r>
    </w:p>
    <w:p w:rsidR="00647BDC" w:rsidRDefault="00647BDC" w:rsidP="00647BDC">
      <w:pPr>
        <w:pStyle w:val="CGCTableFootnote"/>
        <w:keepNext/>
      </w:pPr>
      <w:r>
        <w:t>Source:</w:t>
      </w:r>
      <w:r>
        <w:tab/>
        <w:t>Unpublished ABS data and 2012-13 annual reports from the Department of Defence and the Department of Foreign Affairs.</w:t>
      </w:r>
    </w:p>
    <w:p w:rsidR="00647BDC" w:rsidRPr="00755429" w:rsidRDefault="00647BDC" w:rsidP="00647BDC">
      <w:pPr>
        <w:pStyle w:val="CGCNumberedPara"/>
        <w:numPr>
          <w:ilvl w:val="1"/>
          <w:numId w:val="2"/>
        </w:numPr>
      </w:pPr>
      <w:r w:rsidRPr="00755429">
        <w:fldChar w:fldCharType="begin"/>
      </w:r>
      <w:r w:rsidRPr="00755429">
        <w:instrText xml:space="preserve"> REF _Ref388537474 \h </w:instrText>
      </w:r>
      <w:r>
        <w:instrText xml:space="preserve"> \* MERGEFORMAT </w:instrText>
      </w:r>
      <w:r w:rsidRPr="00755429">
        <w:fldChar w:fldCharType="separate"/>
      </w:r>
      <w:r w:rsidR="005B69B1" w:rsidRPr="00755429">
        <w:t xml:space="preserve">Table </w:t>
      </w:r>
      <w:r w:rsidR="005B69B1">
        <w:rPr>
          <w:noProof/>
        </w:rPr>
        <w:t>5</w:t>
      </w:r>
      <w:r w:rsidRPr="00755429">
        <w:fldChar w:fldCharType="end"/>
      </w:r>
      <w:r w:rsidRPr="00755429">
        <w:t xml:space="preserve"> shows the derivation of a national average effective rate of tax for 2012</w:t>
      </w:r>
      <w:r w:rsidRPr="00755429">
        <w:noBreakHyphen/>
        <w:t xml:space="preserve">13. It was obtained by dividing total tax collections by the taxable </w:t>
      </w:r>
      <w:proofErr w:type="spellStart"/>
      <w:r w:rsidRPr="00755429">
        <w:t>CoE</w:t>
      </w:r>
      <w:proofErr w:type="spellEnd"/>
      <w:r w:rsidRPr="00755429">
        <w:t xml:space="preserve"> revenue base. It also shows each State’s assessed revenue was derived by applying the national average effective rate of tax to its revenue base.</w:t>
      </w:r>
    </w:p>
    <w:p w:rsidR="00647BDC" w:rsidRPr="00755429" w:rsidRDefault="00647BDC" w:rsidP="00647BDC">
      <w:pPr>
        <w:pStyle w:val="Caption"/>
      </w:pPr>
      <w:bookmarkStart w:id="24" w:name="_Ref388537474"/>
      <w:r w:rsidRPr="00755429">
        <w:t xml:space="preserve">Table </w:t>
      </w:r>
      <w:r w:rsidR="005B69B1">
        <w:fldChar w:fldCharType="begin"/>
      </w:r>
      <w:r w:rsidR="005B69B1">
        <w:instrText xml:space="preserve"> SEQ Table \* ARABIC </w:instrText>
      </w:r>
      <w:r w:rsidR="005B69B1">
        <w:fldChar w:fldCharType="separate"/>
      </w:r>
      <w:r w:rsidR="005B69B1">
        <w:rPr>
          <w:noProof/>
        </w:rPr>
        <w:t>5</w:t>
      </w:r>
      <w:r w:rsidR="005B69B1">
        <w:rPr>
          <w:noProof/>
        </w:rPr>
        <w:fldChar w:fldCharType="end"/>
      </w:r>
      <w:bookmarkEnd w:id="24"/>
      <w:r w:rsidRPr="00755429">
        <w:tab/>
        <w:t>Illustrative assessed revenue and revenue raising capacity, 2012</w:t>
      </w:r>
      <w:r w:rsidRPr="00755429">
        <w:noBreakHyphen/>
        <w:t>13</w:t>
      </w:r>
    </w:p>
    <w:tbl>
      <w:tblPr>
        <w:tblW w:w="8940" w:type="dxa"/>
        <w:tblInd w:w="93" w:type="dxa"/>
        <w:tblLook w:val="04A0" w:firstRow="1" w:lastRow="0" w:firstColumn="1" w:lastColumn="0" w:noHBand="0" w:noVBand="1"/>
      </w:tblPr>
      <w:tblGrid>
        <w:gridCol w:w="2240"/>
        <w:gridCol w:w="760"/>
        <w:gridCol w:w="760"/>
        <w:gridCol w:w="760"/>
        <w:gridCol w:w="760"/>
        <w:gridCol w:w="760"/>
        <w:gridCol w:w="680"/>
        <w:gridCol w:w="680"/>
        <w:gridCol w:w="680"/>
        <w:gridCol w:w="860"/>
      </w:tblGrid>
      <w:tr w:rsidR="00647BDC" w:rsidRPr="00DE6A82" w:rsidTr="00D07581">
        <w:trPr>
          <w:trHeight w:val="379"/>
        </w:trPr>
        <w:tc>
          <w:tcPr>
            <w:tcW w:w="2240" w:type="dxa"/>
            <w:tcBorders>
              <w:top w:val="single" w:sz="4" w:space="0" w:color="auto"/>
              <w:left w:val="nil"/>
              <w:bottom w:val="single" w:sz="4" w:space="0" w:color="auto"/>
              <w:right w:val="nil"/>
            </w:tcBorders>
            <w:shd w:val="clear" w:color="auto" w:fill="auto"/>
            <w:noWrap/>
            <w:vAlign w:val="center"/>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 </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WA</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SA</w:t>
            </w:r>
          </w:p>
        </w:tc>
        <w:tc>
          <w:tcPr>
            <w:tcW w:w="680" w:type="dxa"/>
            <w:tcBorders>
              <w:top w:val="single" w:sz="4" w:space="0" w:color="auto"/>
              <w:left w:val="nil"/>
              <w:bottom w:val="single" w:sz="4" w:space="0" w:color="auto"/>
              <w:right w:val="nil"/>
            </w:tcBorders>
            <w:shd w:val="clear" w:color="auto" w:fill="auto"/>
            <w:noWrap/>
            <w:vAlign w:val="center"/>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DE6A82">
              <w:rPr>
                <w:rFonts w:ascii="Calibri" w:eastAsia="Times New Roman" w:hAnsi="Calibri" w:cs="Times New Roman"/>
                <w:sz w:val="20"/>
                <w:szCs w:val="20"/>
                <w:lang w:eastAsia="en-AU"/>
              </w:rPr>
              <w:t>Tas</w:t>
            </w:r>
            <w:proofErr w:type="spellEnd"/>
          </w:p>
        </w:tc>
        <w:tc>
          <w:tcPr>
            <w:tcW w:w="680" w:type="dxa"/>
            <w:tcBorders>
              <w:top w:val="single" w:sz="4" w:space="0" w:color="auto"/>
              <w:left w:val="nil"/>
              <w:bottom w:val="single" w:sz="4" w:space="0" w:color="auto"/>
              <w:right w:val="nil"/>
            </w:tcBorders>
            <w:shd w:val="clear" w:color="auto" w:fill="auto"/>
            <w:noWrap/>
            <w:vAlign w:val="center"/>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ACT</w:t>
            </w:r>
          </w:p>
        </w:tc>
        <w:tc>
          <w:tcPr>
            <w:tcW w:w="680" w:type="dxa"/>
            <w:tcBorders>
              <w:top w:val="single" w:sz="4" w:space="0" w:color="auto"/>
              <w:left w:val="nil"/>
              <w:bottom w:val="single" w:sz="4" w:space="0" w:color="auto"/>
              <w:right w:val="nil"/>
            </w:tcBorders>
            <w:shd w:val="clear" w:color="auto" w:fill="auto"/>
            <w:noWrap/>
            <w:vAlign w:val="center"/>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NT</w:t>
            </w:r>
          </w:p>
        </w:tc>
        <w:tc>
          <w:tcPr>
            <w:tcW w:w="860" w:type="dxa"/>
            <w:tcBorders>
              <w:top w:val="single" w:sz="4" w:space="0" w:color="auto"/>
              <w:left w:val="nil"/>
              <w:bottom w:val="single" w:sz="4" w:space="0" w:color="auto"/>
              <w:right w:val="nil"/>
            </w:tcBorders>
            <w:shd w:val="clear" w:color="auto" w:fill="auto"/>
            <w:noWrap/>
            <w:vAlign w:val="center"/>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Total</w:t>
            </w:r>
          </w:p>
        </w:tc>
      </w:tr>
      <w:tr w:rsidR="00647BDC" w:rsidRPr="00DE6A82" w:rsidTr="00D07581">
        <w:trPr>
          <w:trHeight w:val="315"/>
        </w:trPr>
        <w:tc>
          <w:tcPr>
            <w:tcW w:w="224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Actual revenue ($m)</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6 946</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4 751</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3 751</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3 415</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1 077</w:t>
            </w: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304</w:t>
            </w: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319</w:t>
            </w: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205</w:t>
            </w:r>
          </w:p>
        </w:tc>
        <w:tc>
          <w:tcPr>
            <w:tcW w:w="8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20 768</w:t>
            </w:r>
          </w:p>
        </w:tc>
      </w:tr>
      <w:tr w:rsidR="00647BDC" w:rsidRPr="00DE6A82" w:rsidTr="00D07581">
        <w:trPr>
          <w:trHeight w:val="315"/>
        </w:trPr>
        <w:tc>
          <w:tcPr>
            <w:tcW w:w="224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Taxable payrolls ($b)</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142</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103</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85</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68</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25</w:t>
            </w: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6</w:t>
            </w: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7</w:t>
            </w: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4</w:t>
            </w:r>
          </w:p>
        </w:tc>
        <w:tc>
          <w:tcPr>
            <w:tcW w:w="8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439</w:t>
            </w:r>
          </w:p>
        </w:tc>
      </w:tr>
      <w:tr w:rsidR="00647BDC" w:rsidRPr="00DE6A82" w:rsidTr="00D07581">
        <w:trPr>
          <w:trHeight w:val="315"/>
        </w:trPr>
        <w:tc>
          <w:tcPr>
            <w:tcW w:w="224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Average tax rate (%)</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8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4.7</w:t>
            </w:r>
          </w:p>
        </w:tc>
      </w:tr>
      <w:tr w:rsidR="00647BDC" w:rsidRPr="00DE6A82" w:rsidTr="00D07581">
        <w:trPr>
          <w:trHeight w:val="315"/>
        </w:trPr>
        <w:tc>
          <w:tcPr>
            <w:tcW w:w="224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Assessed revenue ($m)</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6 713</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4 856</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4 014</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3 208</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1 170</w:t>
            </w: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279</w:t>
            </w: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327</w:t>
            </w: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200</w:t>
            </w:r>
          </w:p>
        </w:tc>
        <w:tc>
          <w:tcPr>
            <w:tcW w:w="8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20 768</w:t>
            </w:r>
          </w:p>
        </w:tc>
      </w:tr>
      <w:tr w:rsidR="00647BDC" w:rsidRPr="00DE6A82" w:rsidTr="00D07581">
        <w:trPr>
          <w:trHeight w:val="315"/>
        </w:trPr>
        <w:tc>
          <w:tcPr>
            <w:tcW w:w="224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Assessed revenue ($pc)</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913</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854</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870</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 xml:space="preserve"> 1 295</w:t>
            </w:r>
          </w:p>
        </w:tc>
        <w:tc>
          <w:tcPr>
            <w:tcW w:w="7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704</w:t>
            </w: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544</w:t>
            </w: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864</w:t>
            </w:r>
          </w:p>
        </w:tc>
        <w:tc>
          <w:tcPr>
            <w:tcW w:w="68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842</w:t>
            </w:r>
          </w:p>
        </w:tc>
        <w:tc>
          <w:tcPr>
            <w:tcW w:w="860" w:type="dxa"/>
            <w:tcBorders>
              <w:top w:val="nil"/>
              <w:left w:val="nil"/>
              <w:bottom w:val="nil"/>
              <w:right w:val="nil"/>
            </w:tcBorders>
            <w:shd w:val="clear" w:color="auto" w:fill="auto"/>
            <w:noWrap/>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906</w:t>
            </w:r>
          </w:p>
        </w:tc>
      </w:tr>
      <w:tr w:rsidR="00647BDC" w:rsidRPr="00DE6A82" w:rsidTr="00D07581">
        <w:trPr>
          <w:trHeight w:val="315"/>
        </w:trPr>
        <w:tc>
          <w:tcPr>
            <w:tcW w:w="2240" w:type="dxa"/>
            <w:tcBorders>
              <w:top w:val="nil"/>
              <w:left w:val="nil"/>
              <w:bottom w:val="single" w:sz="4" w:space="0" w:color="auto"/>
              <w:right w:val="nil"/>
            </w:tcBorders>
            <w:shd w:val="clear" w:color="auto" w:fill="auto"/>
            <w:vAlign w:val="bottom"/>
            <w:hideMark/>
          </w:tcPr>
          <w:p w:rsidR="00647BDC" w:rsidRPr="00DE6A82"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Revenue raising capacity</w:t>
            </w:r>
          </w:p>
        </w:tc>
        <w:tc>
          <w:tcPr>
            <w:tcW w:w="760" w:type="dxa"/>
            <w:tcBorders>
              <w:top w:val="nil"/>
              <w:left w:val="nil"/>
              <w:bottom w:val="single" w:sz="4" w:space="0" w:color="auto"/>
              <w:right w:val="nil"/>
            </w:tcBorders>
            <w:shd w:val="clear" w:color="auto" w:fill="auto"/>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1.007</w:t>
            </w:r>
          </w:p>
        </w:tc>
        <w:tc>
          <w:tcPr>
            <w:tcW w:w="760" w:type="dxa"/>
            <w:tcBorders>
              <w:top w:val="nil"/>
              <w:left w:val="nil"/>
              <w:bottom w:val="single" w:sz="4" w:space="0" w:color="auto"/>
              <w:right w:val="nil"/>
            </w:tcBorders>
            <w:shd w:val="clear" w:color="auto" w:fill="auto"/>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0.943</w:t>
            </w:r>
          </w:p>
        </w:tc>
        <w:tc>
          <w:tcPr>
            <w:tcW w:w="760" w:type="dxa"/>
            <w:tcBorders>
              <w:top w:val="nil"/>
              <w:left w:val="nil"/>
              <w:bottom w:val="single" w:sz="4" w:space="0" w:color="auto"/>
              <w:right w:val="nil"/>
            </w:tcBorders>
            <w:shd w:val="clear" w:color="auto" w:fill="auto"/>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0.960</w:t>
            </w:r>
          </w:p>
        </w:tc>
        <w:tc>
          <w:tcPr>
            <w:tcW w:w="760" w:type="dxa"/>
            <w:tcBorders>
              <w:top w:val="nil"/>
              <w:left w:val="nil"/>
              <w:bottom w:val="single" w:sz="4" w:space="0" w:color="auto"/>
              <w:right w:val="nil"/>
            </w:tcBorders>
            <w:shd w:val="clear" w:color="auto" w:fill="auto"/>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1.429</w:t>
            </w:r>
          </w:p>
        </w:tc>
        <w:tc>
          <w:tcPr>
            <w:tcW w:w="760" w:type="dxa"/>
            <w:tcBorders>
              <w:top w:val="nil"/>
              <w:left w:val="nil"/>
              <w:bottom w:val="single" w:sz="4" w:space="0" w:color="auto"/>
              <w:right w:val="nil"/>
            </w:tcBorders>
            <w:shd w:val="clear" w:color="auto" w:fill="auto"/>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0.777</w:t>
            </w:r>
          </w:p>
        </w:tc>
        <w:tc>
          <w:tcPr>
            <w:tcW w:w="680" w:type="dxa"/>
            <w:tcBorders>
              <w:top w:val="nil"/>
              <w:left w:val="nil"/>
              <w:bottom w:val="single" w:sz="4" w:space="0" w:color="auto"/>
              <w:right w:val="nil"/>
            </w:tcBorders>
            <w:shd w:val="clear" w:color="auto" w:fill="auto"/>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0.601</w:t>
            </w:r>
          </w:p>
        </w:tc>
        <w:tc>
          <w:tcPr>
            <w:tcW w:w="680" w:type="dxa"/>
            <w:tcBorders>
              <w:top w:val="nil"/>
              <w:left w:val="nil"/>
              <w:bottom w:val="single" w:sz="4" w:space="0" w:color="auto"/>
              <w:right w:val="nil"/>
            </w:tcBorders>
            <w:shd w:val="clear" w:color="auto" w:fill="auto"/>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0.953</w:t>
            </w:r>
          </w:p>
        </w:tc>
        <w:tc>
          <w:tcPr>
            <w:tcW w:w="680" w:type="dxa"/>
            <w:tcBorders>
              <w:top w:val="nil"/>
              <w:left w:val="nil"/>
              <w:bottom w:val="single" w:sz="4" w:space="0" w:color="auto"/>
              <w:right w:val="nil"/>
            </w:tcBorders>
            <w:shd w:val="clear" w:color="auto" w:fill="auto"/>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0.929</w:t>
            </w:r>
          </w:p>
        </w:tc>
        <w:tc>
          <w:tcPr>
            <w:tcW w:w="860" w:type="dxa"/>
            <w:tcBorders>
              <w:top w:val="nil"/>
              <w:left w:val="nil"/>
              <w:bottom w:val="single" w:sz="4" w:space="0" w:color="auto"/>
              <w:right w:val="nil"/>
            </w:tcBorders>
            <w:shd w:val="clear" w:color="auto" w:fill="auto"/>
            <w:vAlign w:val="bottom"/>
            <w:hideMark/>
          </w:tcPr>
          <w:p w:rsidR="00647BDC" w:rsidRPr="00DE6A82"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E6A82">
              <w:rPr>
                <w:rFonts w:ascii="Calibri" w:eastAsia="Times New Roman" w:hAnsi="Calibri" w:cs="Times New Roman"/>
                <w:sz w:val="20"/>
                <w:szCs w:val="20"/>
                <w:lang w:eastAsia="en-AU"/>
              </w:rPr>
              <w:t>1.000</w:t>
            </w:r>
          </w:p>
        </w:tc>
      </w:tr>
    </w:tbl>
    <w:p w:rsidR="00647BDC" w:rsidRDefault="00647BDC" w:rsidP="00647BDC">
      <w:pPr>
        <w:pStyle w:val="CGCTableFootnote"/>
      </w:pPr>
      <w:r>
        <w:t>Note:</w:t>
      </w:r>
      <w:r>
        <w:tab/>
      </w:r>
      <w:r w:rsidRPr="00755429">
        <w:t>Revenue raising capacity ratio is calculated as assessed revenue per capita divided by average revenue</w:t>
      </w:r>
      <w:r>
        <w:t>.</w:t>
      </w:r>
    </w:p>
    <w:p w:rsidR="00647BDC" w:rsidRDefault="00647BDC" w:rsidP="00647BDC">
      <w:pPr>
        <w:pStyle w:val="CGCTableFootnote"/>
      </w:pPr>
      <w:r>
        <w:t>Source:</w:t>
      </w:r>
      <w:r>
        <w:tab/>
        <w:t>Commission calculation.</w:t>
      </w:r>
    </w:p>
    <w:p w:rsidR="00647BDC" w:rsidRPr="00755429" w:rsidRDefault="00647BDC" w:rsidP="00647BDC">
      <w:pPr>
        <w:pStyle w:val="CGCNumberedPara"/>
        <w:numPr>
          <w:ilvl w:val="1"/>
          <w:numId w:val="2"/>
        </w:numPr>
      </w:pPr>
      <w:r w:rsidRPr="00755429">
        <w:fldChar w:fldCharType="begin"/>
      </w:r>
      <w:r w:rsidRPr="00755429">
        <w:instrText xml:space="preserve"> REF _Ref389349264 \h  \* MERGEFORMAT </w:instrText>
      </w:r>
      <w:r w:rsidRPr="00755429">
        <w:fldChar w:fldCharType="separate"/>
      </w:r>
      <w:r w:rsidR="005B69B1" w:rsidRPr="00755429">
        <w:t xml:space="preserve">Table </w:t>
      </w:r>
      <w:r w:rsidR="005B69B1">
        <w:rPr>
          <w:noProof/>
        </w:rPr>
        <w:t>6</w:t>
      </w:r>
      <w:r w:rsidRPr="00755429">
        <w:fldChar w:fldCharType="end"/>
      </w:r>
      <w:r w:rsidRPr="00755429">
        <w:t xml:space="preserve"> shows calculation of the category on a per capita basis. It shows that Western Australia is assessed to have the capacity to </w:t>
      </w:r>
      <w:proofErr w:type="gramStart"/>
      <w:r w:rsidRPr="00755429">
        <w:t>raise</w:t>
      </w:r>
      <w:proofErr w:type="gramEnd"/>
      <w:r w:rsidRPr="00755429">
        <w:t xml:space="preserve"> significantly more than average, while South Australia and Tasmania have much smaller than average capacities. Most of the difference is driven by compensation of employees, although the adjustments for the scope of the public sector and the tax free threshold are both material. </w:t>
      </w:r>
    </w:p>
    <w:p w:rsidR="00647BDC" w:rsidRPr="00755429" w:rsidRDefault="00647BDC" w:rsidP="00647BDC">
      <w:pPr>
        <w:pStyle w:val="Caption"/>
      </w:pPr>
      <w:bookmarkStart w:id="25" w:name="_Ref389349264"/>
      <w:r w:rsidRPr="00755429">
        <w:lastRenderedPageBreak/>
        <w:t xml:space="preserve">Table </w:t>
      </w:r>
      <w:r w:rsidR="005B69B1">
        <w:fldChar w:fldCharType="begin"/>
      </w:r>
      <w:r w:rsidR="005B69B1">
        <w:instrText xml:space="preserve"> SEQ Table \* ARABIC </w:instrText>
      </w:r>
      <w:r w:rsidR="005B69B1">
        <w:fldChar w:fldCharType="separate"/>
      </w:r>
      <w:r w:rsidR="005B69B1">
        <w:rPr>
          <w:noProof/>
        </w:rPr>
        <w:t>6</w:t>
      </w:r>
      <w:r w:rsidR="005B69B1">
        <w:rPr>
          <w:noProof/>
        </w:rPr>
        <w:fldChar w:fldCharType="end"/>
      </w:r>
      <w:bookmarkEnd w:id="25"/>
      <w:r w:rsidRPr="00755429">
        <w:tab/>
        <w:t>Illustrative assessed revenue per capita, 2012</w:t>
      </w:r>
      <w:r w:rsidRPr="00755429">
        <w:noBreakHyphen/>
        <w:t>13</w:t>
      </w:r>
    </w:p>
    <w:tbl>
      <w:tblPr>
        <w:tblW w:w="9056" w:type="dxa"/>
        <w:tblInd w:w="93" w:type="dxa"/>
        <w:tblLook w:val="04A0" w:firstRow="1" w:lastRow="0" w:firstColumn="1" w:lastColumn="0" w:noHBand="0" w:noVBand="1"/>
      </w:tblPr>
      <w:tblGrid>
        <w:gridCol w:w="3120"/>
        <w:gridCol w:w="615"/>
        <w:gridCol w:w="580"/>
        <w:gridCol w:w="580"/>
        <w:gridCol w:w="720"/>
        <w:gridCol w:w="640"/>
        <w:gridCol w:w="640"/>
        <w:gridCol w:w="640"/>
        <w:gridCol w:w="640"/>
        <w:gridCol w:w="881"/>
      </w:tblGrid>
      <w:tr w:rsidR="00647BDC" w:rsidRPr="00DF6BF3" w:rsidTr="00D07581">
        <w:trPr>
          <w:trHeight w:val="379"/>
        </w:trPr>
        <w:tc>
          <w:tcPr>
            <w:tcW w:w="3120" w:type="dxa"/>
            <w:tcBorders>
              <w:top w:val="single" w:sz="4" w:space="0" w:color="auto"/>
              <w:left w:val="nil"/>
              <w:bottom w:val="single" w:sz="4" w:space="0" w:color="auto"/>
              <w:right w:val="nil"/>
            </w:tcBorders>
            <w:shd w:val="clear" w:color="auto" w:fill="auto"/>
            <w:noWrap/>
            <w:vAlign w:val="center"/>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 </w:t>
            </w:r>
          </w:p>
        </w:tc>
        <w:tc>
          <w:tcPr>
            <w:tcW w:w="615" w:type="dxa"/>
            <w:tcBorders>
              <w:top w:val="single" w:sz="4" w:space="0" w:color="auto"/>
              <w:left w:val="nil"/>
              <w:bottom w:val="single" w:sz="4" w:space="0" w:color="auto"/>
              <w:right w:val="nil"/>
            </w:tcBorders>
            <w:shd w:val="clear" w:color="auto" w:fill="auto"/>
            <w:noWrap/>
            <w:vAlign w:val="center"/>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NSW</w:t>
            </w:r>
          </w:p>
        </w:tc>
        <w:tc>
          <w:tcPr>
            <w:tcW w:w="580" w:type="dxa"/>
            <w:tcBorders>
              <w:top w:val="single" w:sz="4" w:space="0" w:color="auto"/>
              <w:left w:val="nil"/>
              <w:bottom w:val="single" w:sz="4" w:space="0" w:color="auto"/>
              <w:right w:val="nil"/>
            </w:tcBorders>
            <w:shd w:val="clear" w:color="auto" w:fill="auto"/>
            <w:noWrap/>
            <w:vAlign w:val="center"/>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Vic</w:t>
            </w:r>
          </w:p>
        </w:tc>
        <w:tc>
          <w:tcPr>
            <w:tcW w:w="580" w:type="dxa"/>
            <w:tcBorders>
              <w:top w:val="single" w:sz="4" w:space="0" w:color="auto"/>
              <w:left w:val="nil"/>
              <w:bottom w:val="single" w:sz="4" w:space="0" w:color="auto"/>
              <w:right w:val="nil"/>
            </w:tcBorders>
            <w:shd w:val="clear" w:color="auto" w:fill="auto"/>
            <w:noWrap/>
            <w:vAlign w:val="center"/>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Qld</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WA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DF6BF3">
              <w:rPr>
                <w:rFonts w:ascii="Calibri" w:eastAsia="Times New Roman" w:hAnsi="Calibri" w:cs="Times New Roman"/>
                <w:sz w:val="20"/>
                <w:szCs w:val="20"/>
                <w:lang w:eastAsia="en-AU"/>
              </w:rPr>
              <w:t>Tas</w:t>
            </w:r>
            <w:proofErr w:type="spellEnd"/>
          </w:p>
        </w:tc>
        <w:tc>
          <w:tcPr>
            <w:tcW w:w="640" w:type="dxa"/>
            <w:tcBorders>
              <w:top w:val="single" w:sz="4" w:space="0" w:color="auto"/>
              <w:left w:val="nil"/>
              <w:bottom w:val="single" w:sz="4" w:space="0" w:color="auto"/>
              <w:right w:val="nil"/>
            </w:tcBorders>
            <w:shd w:val="clear" w:color="auto" w:fill="auto"/>
            <w:noWrap/>
            <w:vAlign w:val="center"/>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NT</w:t>
            </w:r>
          </w:p>
        </w:tc>
        <w:tc>
          <w:tcPr>
            <w:tcW w:w="881" w:type="dxa"/>
            <w:tcBorders>
              <w:top w:val="single" w:sz="4" w:space="0" w:color="auto"/>
              <w:left w:val="nil"/>
              <w:bottom w:val="single" w:sz="4" w:space="0" w:color="auto"/>
              <w:right w:val="nil"/>
            </w:tcBorders>
            <w:shd w:val="clear" w:color="auto" w:fill="auto"/>
            <w:noWrap/>
            <w:vAlign w:val="center"/>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Average</w:t>
            </w:r>
          </w:p>
        </w:tc>
      </w:tr>
      <w:tr w:rsidR="00647BDC" w:rsidRPr="00DF6BF3" w:rsidTr="00D07581">
        <w:trPr>
          <w:trHeight w:val="259"/>
        </w:trPr>
        <w:tc>
          <w:tcPr>
            <w:tcW w:w="3120" w:type="dxa"/>
            <w:tcBorders>
              <w:top w:val="nil"/>
              <w:left w:val="nil"/>
              <w:bottom w:val="nil"/>
              <w:right w:val="nil"/>
            </w:tcBorders>
            <w:shd w:val="clear" w:color="auto" w:fill="auto"/>
            <w:noWrap/>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15" w:type="dxa"/>
            <w:tcBorders>
              <w:top w:val="nil"/>
              <w:left w:val="nil"/>
              <w:bottom w:val="nil"/>
              <w:right w:val="nil"/>
            </w:tcBorders>
            <w:shd w:val="clear" w:color="auto" w:fill="auto"/>
            <w:noWrap/>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$pc</w:t>
            </w:r>
          </w:p>
        </w:tc>
        <w:tc>
          <w:tcPr>
            <w:tcW w:w="580" w:type="dxa"/>
            <w:tcBorders>
              <w:top w:val="nil"/>
              <w:left w:val="nil"/>
              <w:bottom w:val="nil"/>
              <w:right w:val="nil"/>
            </w:tcBorders>
            <w:shd w:val="clear" w:color="auto" w:fill="auto"/>
            <w:noWrap/>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$pc</w:t>
            </w:r>
          </w:p>
        </w:tc>
        <w:tc>
          <w:tcPr>
            <w:tcW w:w="580" w:type="dxa"/>
            <w:tcBorders>
              <w:top w:val="nil"/>
              <w:left w:val="nil"/>
              <w:bottom w:val="nil"/>
              <w:right w:val="nil"/>
            </w:tcBorders>
            <w:shd w:val="clear" w:color="auto" w:fill="auto"/>
            <w:noWrap/>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$pc</w:t>
            </w:r>
          </w:p>
        </w:tc>
        <w:tc>
          <w:tcPr>
            <w:tcW w:w="720" w:type="dxa"/>
            <w:tcBorders>
              <w:top w:val="nil"/>
              <w:left w:val="nil"/>
              <w:bottom w:val="nil"/>
              <w:right w:val="nil"/>
            </w:tcBorders>
            <w:shd w:val="clear" w:color="auto" w:fill="auto"/>
            <w:noWrap/>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$pc</w:t>
            </w:r>
          </w:p>
        </w:tc>
        <w:tc>
          <w:tcPr>
            <w:tcW w:w="640" w:type="dxa"/>
            <w:tcBorders>
              <w:top w:val="nil"/>
              <w:left w:val="nil"/>
              <w:bottom w:val="nil"/>
              <w:right w:val="nil"/>
            </w:tcBorders>
            <w:shd w:val="clear" w:color="auto" w:fill="auto"/>
            <w:noWrap/>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$pc</w:t>
            </w:r>
          </w:p>
        </w:tc>
        <w:tc>
          <w:tcPr>
            <w:tcW w:w="640" w:type="dxa"/>
            <w:tcBorders>
              <w:top w:val="nil"/>
              <w:left w:val="nil"/>
              <w:bottom w:val="nil"/>
              <w:right w:val="nil"/>
            </w:tcBorders>
            <w:shd w:val="clear" w:color="auto" w:fill="auto"/>
            <w:noWrap/>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$pc</w:t>
            </w:r>
          </w:p>
        </w:tc>
        <w:tc>
          <w:tcPr>
            <w:tcW w:w="640" w:type="dxa"/>
            <w:tcBorders>
              <w:top w:val="nil"/>
              <w:left w:val="nil"/>
              <w:bottom w:val="nil"/>
              <w:right w:val="nil"/>
            </w:tcBorders>
            <w:shd w:val="clear" w:color="auto" w:fill="auto"/>
            <w:noWrap/>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$pc</w:t>
            </w:r>
          </w:p>
        </w:tc>
        <w:tc>
          <w:tcPr>
            <w:tcW w:w="640" w:type="dxa"/>
            <w:tcBorders>
              <w:top w:val="nil"/>
              <w:left w:val="nil"/>
              <w:bottom w:val="nil"/>
              <w:right w:val="nil"/>
            </w:tcBorders>
            <w:shd w:val="clear" w:color="auto" w:fill="auto"/>
            <w:noWrap/>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$pc</w:t>
            </w:r>
          </w:p>
        </w:tc>
        <w:tc>
          <w:tcPr>
            <w:tcW w:w="881" w:type="dxa"/>
            <w:tcBorders>
              <w:top w:val="nil"/>
              <w:left w:val="nil"/>
              <w:bottom w:val="nil"/>
              <w:right w:val="nil"/>
            </w:tcBorders>
            <w:shd w:val="clear" w:color="auto" w:fill="auto"/>
            <w:noWrap/>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$pc</w:t>
            </w:r>
          </w:p>
        </w:tc>
      </w:tr>
      <w:tr w:rsidR="00647BDC" w:rsidRPr="00DF6BF3" w:rsidTr="00D07581">
        <w:trPr>
          <w:trHeight w:val="315"/>
        </w:trPr>
        <w:tc>
          <w:tcPr>
            <w:tcW w:w="3120" w:type="dxa"/>
            <w:tcBorders>
              <w:top w:val="nil"/>
              <w:left w:val="nil"/>
              <w:bottom w:val="nil"/>
              <w:right w:val="nil"/>
            </w:tcBorders>
            <w:shd w:val="clear" w:color="auto" w:fill="auto"/>
            <w:noWrap/>
            <w:vAlign w:val="bottom"/>
            <w:hideMark/>
          </w:tcPr>
          <w:p w:rsidR="00647BDC" w:rsidRPr="00DF6BF3"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EPC</w:t>
            </w:r>
          </w:p>
        </w:tc>
        <w:tc>
          <w:tcPr>
            <w:tcW w:w="615"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bookmarkStart w:id="26" w:name="RANGE!B6:J6"/>
            <w:r w:rsidRPr="00DF6BF3">
              <w:rPr>
                <w:rFonts w:ascii="Calibri" w:eastAsia="Times New Roman" w:hAnsi="Calibri" w:cs="Times New Roman"/>
                <w:sz w:val="20"/>
                <w:szCs w:val="20"/>
                <w:lang w:eastAsia="en-AU"/>
              </w:rPr>
              <w:t>906</w:t>
            </w:r>
            <w:bookmarkEnd w:id="26"/>
          </w:p>
        </w:tc>
        <w:tc>
          <w:tcPr>
            <w:tcW w:w="58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906</w:t>
            </w:r>
          </w:p>
        </w:tc>
        <w:tc>
          <w:tcPr>
            <w:tcW w:w="58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906</w:t>
            </w:r>
          </w:p>
        </w:tc>
        <w:tc>
          <w:tcPr>
            <w:tcW w:w="72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906</w:t>
            </w:r>
          </w:p>
        </w:tc>
        <w:tc>
          <w:tcPr>
            <w:tcW w:w="64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906</w:t>
            </w:r>
          </w:p>
        </w:tc>
        <w:tc>
          <w:tcPr>
            <w:tcW w:w="64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906</w:t>
            </w:r>
          </w:p>
        </w:tc>
        <w:tc>
          <w:tcPr>
            <w:tcW w:w="64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906</w:t>
            </w:r>
          </w:p>
        </w:tc>
        <w:tc>
          <w:tcPr>
            <w:tcW w:w="64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906</w:t>
            </w:r>
          </w:p>
        </w:tc>
        <w:tc>
          <w:tcPr>
            <w:tcW w:w="881"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906</w:t>
            </w:r>
          </w:p>
        </w:tc>
      </w:tr>
      <w:tr w:rsidR="00647BDC" w:rsidRPr="00DF6BF3" w:rsidTr="00D07581">
        <w:trPr>
          <w:trHeight w:val="315"/>
        </w:trPr>
        <w:tc>
          <w:tcPr>
            <w:tcW w:w="312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Compensation of all employees</w:t>
            </w:r>
          </w:p>
        </w:tc>
        <w:tc>
          <w:tcPr>
            <w:tcW w:w="615"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-3</w:t>
            </w:r>
          </w:p>
        </w:tc>
        <w:tc>
          <w:tcPr>
            <w:tcW w:w="58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-61</w:t>
            </w:r>
          </w:p>
        </w:tc>
        <w:tc>
          <w:tcPr>
            <w:tcW w:w="58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-42</w:t>
            </w:r>
          </w:p>
        </w:tc>
        <w:tc>
          <w:tcPr>
            <w:tcW w:w="72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241</w:t>
            </w:r>
          </w:p>
        </w:tc>
        <w:tc>
          <w:tcPr>
            <w:tcW w:w="64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-117</w:t>
            </w:r>
          </w:p>
        </w:tc>
        <w:tc>
          <w:tcPr>
            <w:tcW w:w="64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-266</w:t>
            </w:r>
          </w:p>
        </w:tc>
        <w:tc>
          <w:tcPr>
            <w:tcW w:w="64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675</w:t>
            </w:r>
          </w:p>
        </w:tc>
        <w:tc>
          <w:tcPr>
            <w:tcW w:w="64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187</w:t>
            </w:r>
          </w:p>
        </w:tc>
        <w:tc>
          <w:tcPr>
            <w:tcW w:w="881"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0</w:t>
            </w:r>
          </w:p>
        </w:tc>
      </w:tr>
      <w:tr w:rsidR="00647BDC" w:rsidRPr="00DF6BF3" w:rsidTr="00D07581">
        <w:trPr>
          <w:trHeight w:val="315"/>
        </w:trPr>
        <w:tc>
          <w:tcPr>
            <w:tcW w:w="312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Adjust for scope of public sector (a)</w:t>
            </w:r>
          </w:p>
        </w:tc>
        <w:tc>
          <w:tcPr>
            <w:tcW w:w="615"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14</w:t>
            </w:r>
          </w:p>
        </w:tc>
        <w:tc>
          <w:tcPr>
            <w:tcW w:w="58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25</w:t>
            </w:r>
          </w:p>
        </w:tc>
        <w:tc>
          <w:tcPr>
            <w:tcW w:w="58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2</w:t>
            </w:r>
          </w:p>
        </w:tc>
        <w:tc>
          <w:tcPr>
            <w:tcW w:w="72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58</w:t>
            </w:r>
          </w:p>
        </w:tc>
        <w:tc>
          <w:tcPr>
            <w:tcW w:w="64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-48</w:t>
            </w:r>
          </w:p>
        </w:tc>
        <w:tc>
          <w:tcPr>
            <w:tcW w:w="64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-36</w:t>
            </w:r>
          </w:p>
        </w:tc>
        <w:tc>
          <w:tcPr>
            <w:tcW w:w="64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-649</w:t>
            </w:r>
          </w:p>
        </w:tc>
        <w:tc>
          <w:tcPr>
            <w:tcW w:w="640"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-213</w:t>
            </w:r>
          </w:p>
        </w:tc>
        <w:tc>
          <w:tcPr>
            <w:tcW w:w="881" w:type="dxa"/>
            <w:tcBorders>
              <w:top w:val="nil"/>
              <w:left w:val="nil"/>
              <w:bottom w:val="nil"/>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0</w:t>
            </w:r>
          </w:p>
        </w:tc>
      </w:tr>
      <w:tr w:rsidR="00647BDC" w:rsidRPr="00DF6BF3" w:rsidTr="00D07581">
        <w:trPr>
          <w:trHeight w:val="315"/>
        </w:trPr>
        <w:tc>
          <w:tcPr>
            <w:tcW w:w="3120" w:type="dxa"/>
            <w:tcBorders>
              <w:top w:val="nil"/>
              <w:left w:val="nil"/>
              <w:bottom w:val="nil"/>
              <w:right w:val="nil"/>
            </w:tcBorders>
            <w:shd w:val="clear" w:color="auto" w:fill="auto"/>
            <w:noWrap/>
            <w:vAlign w:val="bottom"/>
            <w:hideMark/>
          </w:tcPr>
          <w:p w:rsidR="00647BDC" w:rsidRPr="00DF6BF3"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Tax free threshold</w:t>
            </w:r>
          </w:p>
        </w:tc>
        <w:tc>
          <w:tcPr>
            <w:tcW w:w="615"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-4</w:t>
            </w:r>
          </w:p>
        </w:tc>
        <w:tc>
          <w:tcPr>
            <w:tcW w:w="580"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-16</w:t>
            </w:r>
          </w:p>
        </w:tc>
        <w:tc>
          <w:tcPr>
            <w:tcW w:w="580"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4</w:t>
            </w:r>
          </w:p>
        </w:tc>
        <w:tc>
          <w:tcPr>
            <w:tcW w:w="720"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90</w:t>
            </w:r>
          </w:p>
        </w:tc>
        <w:tc>
          <w:tcPr>
            <w:tcW w:w="640"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-37</w:t>
            </w:r>
          </w:p>
        </w:tc>
        <w:tc>
          <w:tcPr>
            <w:tcW w:w="640"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-59</w:t>
            </w:r>
          </w:p>
        </w:tc>
        <w:tc>
          <w:tcPr>
            <w:tcW w:w="640"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-68</w:t>
            </w:r>
          </w:p>
        </w:tc>
        <w:tc>
          <w:tcPr>
            <w:tcW w:w="640"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-38</w:t>
            </w:r>
          </w:p>
        </w:tc>
        <w:tc>
          <w:tcPr>
            <w:tcW w:w="881" w:type="dxa"/>
            <w:tcBorders>
              <w:top w:val="nil"/>
              <w:left w:val="nil"/>
              <w:bottom w:val="single" w:sz="4" w:space="0" w:color="auto"/>
              <w:right w:val="nil"/>
            </w:tcBorders>
            <w:shd w:val="clear" w:color="auto" w:fill="auto"/>
            <w:noWrap/>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0</w:t>
            </w:r>
          </w:p>
        </w:tc>
      </w:tr>
      <w:tr w:rsidR="00647BDC" w:rsidRPr="00DF6BF3" w:rsidTr="00D07581">
        <w:trPr>
          <w:trHeight w:val="315"/>
        </w:trPr>
        <w:tc>
          <w:tcPr>
            <w:tcW w:w="3120" w:type="dxa"/>
            <w:tcBorders>
              <w:top w:val="nil"/>
              <w:left w:val="nil"/>
              <w:bottom w:val="single" w:sz="4" w:space="0" w:color="auto"/>
              <w:right w:val="nil"/>
            </w:tcBorders>
            <w:shd w:val="clear" w:color="auto" w:fill="auto"/>
            <w:noWrap/>
            <w:vAlign w:val="bottom"/>
            <w:hideMark/>
          </w:tcPr>
          <w:p w:rsidR="00647BDC" w:rsidRPr="00DF6BF3"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Total category</w:t>
            </w:r>
          </w:p>
        </w:tc>
        <w:tc>
          <w:tcPr>
            <w:tcW w:w="615"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913</w:t>
            </w:r>
          </w:p>
        </w:tc>
        <w:tc>
          <w:tcPr>
            <w:tcW w:w="580"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854</w:t>
            </w:r>
          </w:p>
        </w:tc>
        <w:tc>
          <w:tcPr>
            <w:tcW w:w="580"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870</w:t>
            </w:r>
          </w:p>
        </w:tc>
        <w:tc>
          <w:tcPr>
            <w:tcW w:w="720" w:type="dxa"/>
            <w:tcBorders>
              <w:top w:val="nil"/>
              <w:left w:val="nil"/>
              <w:bottom w:val="single" w:sz="4" w:space="0" w:color="auto"/>
              <w:right w:val="nil"/>
            </w:tcBorders>
            <w:shd w:val="clear" w:color="auto" w:fill="auto"/>
            <w:noWrap/>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 xml:space="preserve"> 1 295</w:t>
            </w:r>
          </w:p>
        </w:tc>
        <w:tc>
          <w:tcPr>
            <w:tcW w:w="640"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704</w:t>
            </w:r>
          </w:p>
        </w:tc>
        <w:tc>
          <w:tcPr>
            <w:tcW w:w="640"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544</w:t>
            </w:r>
          </w:p>
        </w:tc>
        <w:tc>
          <w:tcPr>
            <w:tcW w:w="640"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864</w:t>
            </w:r>
          </w:p>
        </w:tc>
        <w:tc>
          <w:tcPr>
            <w:tcW w:w="640"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842</w:t>
            </w:r>
          </w:p>
        </w:tc>
        <w:tc>
          <w:tcPr>
            <w:tcW w:w="881" w:type="dxa"/>
            <w:tcBorders>
              <w:top w:val="nil"/>
              <w:left w:val="nil"/>
              <w:bottom w:val="single" w:sz="4" w:space="0" w:color="auto"/>
              <w:right w:val="nil"/>
            </w:tcBorders>
            <w:shd w:val="clear" w:color="auto" w:fill="auto"/>
            <w:vAlign w:val="bottom"/>
            <w:hideMark/>
          </w:tcPr>
          <w:p w:rsidR="00647BDC" w:rsidRPr="00DF6BF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DF6BF3">
              <w:rPr>
                <w:rFonts w:ascii="Calibri" w:eastAsia="Times New Roman" w:hAnsi="Calibri" w:cs="Times New Roman"/>
                <w:sz w:val="20"/>
                <w:szCs w:val="20"/>
                <w:lang w:eastAsia="en-AU"/>
              </w:rPr>
              <w:t>906</w:t>
            </w:r>
          </w:p>
        </w:tc>
      </w:tr>
    </w:tbl>
    <w:p w:rsidR="00647BDC" w:rsidRPr="00DF6BF3" w:rsidRDefault="00647BDC" w:rsidP="00647BDC">
      <w:pPr>
        <w:pStyle w:val="CGCTableFootnote"/>
      </w:pPr>
      <w:r w:rsidRPr="009102C0">
        <w:t>(a)</w:t>
      </w:r>
      <w:r w:rsidRPr="009102C0">
        <w:tab/>
      </w:r>
      <w:r w:rsidRPr="00DF6BF3">
        <w:t>Includes removal of remuneration paid to Australian embassy, defence force and Commonwealth government employees (which States are legally unable to tax), State general government sector employees (since any tax paid represents an internal budget transfer), and local government general government sector employees (since average policy is not to tax them) and public sector payrolls below the average threshold.</w:t>
      </w:r>
    </w:p>
    <w:p w:rsidR="00647BDC" w:rsidRPr="00DF6BF3" w:rsidRDefault="00647BDC" w:rsidP="00647BDC">
      <w:pPr>
        <w:pStyle w:val="CGCTableFootnote"/>
      </w:pPr>
      <w:r w:rsidRPr="00DF6BF3">
        <w:t>Source:</w:t>
      </w:r>
      <w:r w:rsidRPr="00DF6BF3">
        <w:tab/>
        <w:t>Commission calculation.</w:t>
      </w:r>
    </w:p>
    <w:p w:rsidR="00647BDC" w:rsidRPr="001078DC" w:rsidRDefault="00647BDC" w:rsidP="00647BDC">
      <w:pPr>
        <w:pStyle w:val="Heading3"/>
      </w:pPr>
      <w:bookmarkStart w:id="27" w:name="_Toc390955801"/>
      <w:r>
        <w:t>Issues not assessed in this category</w:t>
      </w:r>
      <w:bookmarkEnd w:id="27"/>
    </w:p>
    <w:p w:rsidR="00647BDC" w:rsidRPr="00755429" w:rsidRDefault="00647BDC" w:rsidP="00647BDC">
      <w:pPr>
        <w:pStyle w:val="CGCNumberedPara"/>
        <w:numPr>
          <w:ilvl w:val="1"/>
          <w:numId w:val="2"/>
        </w:numPr>
      </w:pPr>
      <w:r w:rsidRPr="00755429">
        <w:rPr>
          <w:rStyle w:val="Heading6Char"/>
        </w:rPr>
        <w:t>Fly-in fly-out workers.</w:t>
      </w:r>
      <w:r w:rsidRPr="00755429">
        <w:t xml:space="preserve"> Western Australia said an adjustment should be made to </w:t>
      </w:r>
      <w:proofErr w:type="spellStart"/>
      <w:r w:rsidRPr="00755429">
        <w:t>CoE</w:t>
      </w:r>
      <w:proofErr w:type="spellEnd"/>
      <w:r w:rsidRPr="00755429">
        <w:t xml:space="preserve"> to account for its large number of fly-in/fly-out (FIFO) workers from other jurisdictions. It said remuneration paid to these workers was included in its </w:t>
      </w:r>
      <w:proofErr w:type="spellStart"/>
      <w:r w:rsidRPr="00755429">
        <w:t>CoE</w:t>
      </w:r>
      <w:proofErr w:type="spellEnd"/>
      <w:r w:rsidRPr="00755429">
        <w:t xml:space="preserve"> but, under nexus agreements</w:t>
      </w:r>
      <w:r w:rsidRPr="00755429">
        <w:rPr>
          <w:rStyle w:val="FootnoteReference"/>
        </w:rPr>
        <w:footnoteReference w:id="6"/>
      </w:r>
      <w:r w:rsidRPr="00755429">
        <w:t>, payroll tax was payable in their State of residence. We do not have reliable data on the remuneration paid to FIFO workers and their State of residence to allow us to consider an adjustment.</w:t>
      </w:r>
    </w:p>
    <w:p w:rsidR="00647BDC" w:rsidRPr="00755429" w:rsidRDefault="00647BDC" w:rsidP="00647BDC">
      <w:pPr>
        <w:pStyle w:val="Heading3"/>
      </w:pPr>
      <w:bookmarkStart w:id="28" w:name="_Toc390955802"/>
      <w:r>
        <w:t>What is the impact on the GST distribution</w:t>
      </w:r>
      <w:r w:rsidRPr="00755429">
        <w:t>?</w:t>
      </w:r>
      <w:bookmarkEnd w:id="28"/>
    </w:p>
    <w:p w:rsidR="00647BDC" w:rsidRPr="00755429" w:rsidRDefault="00647BDC" w:rsidP="00647BDC">
      <w:pPr>
        <w:pStyle w:val="CGCNumberedPara"/>
        <w:numPr>
          <w:ilvl w:val="1"/>
          <w:numId w:val="2"/>
        </w:numPr>
      </w:pPr>
      <w:r w:rsidRPr="00755429">
        <w:fldChar w:fldCharType="begin"/>
      </w:r>
      <w:r w:rsidRPr="00755429">
        <w:instrText xml:space="preserve"> REF _Ref388537691 \h </w:instrText>
      </w:r>
      <w:r>
        <w:instrText xml:space="preserve"> \* MERGEFORMAT </w:instrText>
      </w:r>
      <w:r w:rsidRPr="00755429">
        <w:fldChar w:fldCharType="separate"/>
      </w:r>
      <w:r w:rsidR="005B69B1" w:rsidRPr="00755429">
        <w:t xml:space="preserve">Table </w:t>
      </w:r>
      <w:r w:rsidR="005B69B1">
        <w:rPr>
          <w:noProof/>
        </w:rPr>
        <w:t>7</w:t>
      </w:r>
      <w:r w:rsidRPr="00755429">
        <w:fldChar w:fldCharType="end"/>
      </w:r>
      <w:r w:rsidRPr="00755429">
        <w:t xml:space="preserve"> shows the extent to which the assessment for this category moves the distribution of GST away from an equal per capita distribution in 2012</w:t>
      </w:r>
      <w:r w:rsidRPr="00755429">
        <w:noBreakHyphen/>
        <w:t>13. It shows GST revenue is redistributed from States assessed to have above average revenue raising capacities (New South Wales and Western Australia) to States with below average revenue capacity (Victoria, Queensland, South Australia, Tasmania, the ACT and the Northern Territory).</w:t>
      </w:r>
    </w:p>
    <w:p w:rsidR="00647BDC" w:rsidRPr="00755429" w:rsidRDefault="00647BDC" w:rsidP="00647BDC">
      <w:pPr>
        <w:pStyle w:val="Caption"/>
      </w:pPr>
      <w:bookmarkStart w:id="29" w:name="_Ref388537691"/>
      <w:r w:rsidRPr="00755429">
        <w:lastRenderedPageBreak/>
        <w:t xml:space="preserve">Table </w:t>
      </w:r>
      <w:r w:rsidR="005B69B1">
        <w:fldChar w:fldCharType="begin"/>
      </w:r>
      <w:r w:rsidR="005B69B1">
        <w:instrText xml:space="preserve"> SEQ Table \* ARABIC </w:instrText>
      </w:r>
      <w:r w:rsidR="005B69B1">
        <w:fldChar w:fldCharType="separate"/>
      </w:r>
      <w:r w:rsidR="005B69B1">
        <w:rPr>
          <w:noProof/>
        </w:rPr>
        <w:t>7</w:t>
      </w:r>
      <w:r w:rsidR="005B69B1">
        <w:rPr>
          <w:noProof/>
        </w:rPr>
        <w:fldChar w:fldCharType="end"/>
      </w:r>
      <w:bookmarkEnd w:id="29"/>
      <w:r w:rsidRPr="00755429">
        <w:tab/>
        <w:t>Illustrative GST impact of the Payroll tax assessment, 2012</w:t>
      </w:r>
      <w:r w:rsidRPr="00755429">
        <w:noBreakHyphen/>
        <w:t>13</w:t>
      </w:r>
    </w:p>
    <w:tbl>
      <w:tblPr>
        <w:tblW w:w="8940" w:type="dxa"/>
        <w:tblInd w:w="93" w:type="dxa"/>
        <w:tblLook w:val="04A0" w:firstRow="1" w:lastRow="0" w:firstColumn="1" w:lastColumn="0" w:noHBand="0" w:noVBand="1"/>
      </w:tblPr>
      <w:tblGrid>
        <w:gridCol w:w="1980"/>
        <w:gridCol w:w="760"/>
        <w:gridCol w:w="780"/>
        <w:gridCol w:w="780"/>
        <w:gridCol w:w="840"/>
        <w:gridCol w:w="780"/>
        <w:gridCol w:w="780"/>
        <w:gridCol w:w="680"/>
        <w:gridCol w:w="680"/>
        <w:gridCol w:w="880"/>
      </w:tblGrid>
      <w:tr w:rsidR="00647BDC" w:rsidRPr="002F211C" w:rsidTr="00D07581">
        <w:trPr>
          <w:trHeight w:val="379"/>
        </w:trPr>
        <w:tc>
          <w:tcPr>
            <w:tcW w:w="1980" w:type="dxa"/>
            <w:tcBorders>
              <w:top w:val="single" w:sz="4" w:space="0" w:color="auto"/>
              <w:left w:val="nil"/>
              <w:bottom w:val="single" w:sz="4" w:space="0" w:color="auto"/>
              <w:right w:val="nil"/>
            </w:tcBorders>
            <w:shd w:val="clear" w:color="auto" w:fill="auto"/>
            <w:noWrap/>
            <w:vAlign w:val="center"/>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 </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NSW</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Vic</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Qld</w:t>
            </w:r>
          </w:p>
        </w:tc>
        <w:tc>
          <w:tcPr>
            <w:tcW w:w="840" w:type="dxa"/>
            <w:tcBorders>
              <w:top w:val="single" w:sz="4" w:space="0" w:color="auto"/>
              <w:left w:val="nil"/>
              <w:bottom w:val="single" w:sz="4" w:space="0" w:color="auto"/>
              <w:right w:val="nil"/>
            </w:tcBorders>
            <w:shd w:val="clear" w:color="auto" w:fill="auto"/>
            <w:noWrap/>
            <w:vAlign w:val="center"/>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WA</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SA</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2F211C">
              <w:rPr>
                <w:rFonts w:ascii="Calibri" w:eastAsia="Times New Roman" w:hAnsi="Calibri" w:cs="Times New Roman"/>
                <w:sz w:val="20"/>
                <w:szCs w:val="20"/>
                <w:lang w:eastAsia="en-AU"/>
              </w:rPr>
              <w:t>Tas</w:t>
            </w:r>
            <w:proofErr w:type="spellEnd"/>
          </w:p>
        </w:tc>
        <w:tc>
          <w:tcPr>
            <w:tcW w:w="680" w:type="dxa"/>
            <w:tcBorders>
              <w:top w:val="single" w:sz="4" w:space="0" w:color="auto"/>
              <w:left w:val="nil"/>
              <w:bottom w:val="single" w:sz="4" w:space="0" w:color="auto"/>
              <w:right w:val="nil"/>
            </w:tcBorders>
            <w:shd w:val="clear" w:color="auto" w:fill="auto"/>
            <w:noWrap/>
            <w:vAlign w:val="center"/>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ACT</w:t>
            </w:r>
          </w:p>
        </w:tc>
        <w:tc>
          <w:tcPr>
            <w:tcW w:w="680" w:type="dxa"/>
            <w:tcBorders>
              <w:top w:val="single" w:sz="4" w:space="0" w:color="auto"/>
              <w:left w:val="nil"/>
              <w:bottom w:val="single" w:sz="4" w:space="0" w:color="auto"/>
              <w:right w:val="nil"/>
            </w:tcBorders>
            <w:shd w:val="clear" w:color="auto" w:fill="auto"/>
            <w:noWrap/>
            <w:vAlign w:val="center"/>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NT</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2F211C">
              <w:rPr>
                <w:rFonts w:ascii="Calibri" w:eastAsia="Times New Roman" w:hAnsi="Calibri" w:cs="Times New Roman"/>
                <w:sz w:val="20"/>
                <w:szCs w:val="20"/>
                <w:lang w:eastAsia="en-AU"/>
              </w:rPr>
              <w:t>Redist</w:t>
            </w:r>
            <w:proofErr w:type="spellEnd"/>
          </w:p>
        </w:tc>
      </w:tr>
      <w:tr w:rsidR="00647BDC" w:rsidRPr="002F211C" w:rsidTr="00D07581">
        <w:trPr>
          <w:trHeight w:val="315"/>
        </w:trPr>
        <w:tc>
          <w:tcPr>
            <w:tcW w:w="1980" w:type="dxa"/>
            <w:tcBorders>
              <w:top w:val="nil"/>
              <w:left w:val="nil"/>
              <w:bottom w:val="nil"/>
              <w:right w:val="nil"/>
            </w:tcBorders>
            <w:shd w:val="clear" w:color="auto" w:fill="auto"/>
            <w:noWrap/>
            <w:vAlign w:val="bottom"/>
            <w:hideMark/>
          </w:tcPr>
          <w:p w:rsidR="00647BDC" w:rsidRPr="002F211C"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Dollars million</w:t>
            </w:r>
          </w:p>
        </w:tc>
        <w:tc>
          <w:tcPr>
            <w:tcW w:w="760" w:type="dxa"/>
            <w:tcBorders>
              <w:top w:val="nil"/>
              <w:left w:val="nil"/>
              <w:bottom w:val="nil"/>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-48</w:t>
            </w:r>
          </w:p>
        </w:tc>
        <w:tc>
          <w:tcPr>
            <w:tcW w:w="780" w:type="dxa"/>
            <w:tcBorders>
              <w:top w:val="nil"/>
              <w:left w:val="nil"/>
              <w:bottom w:val="nil"/>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294</w:t>
            </w:r>
          </w:p>
        </w:tc>
        <w:tc>
          <w:tcPr>
            <w:tcW w:w="780" w:type="dxa"/>
            <w:tcBorders>
              <w:top w:val="nil"/>
              <w:left w:val="nil"/>
              <w:bottom w:val="nil"/>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165</w:t>
            </w:r>
          </w:p>
        </w:tc>
        <w:tc>
          <w:tcPr>
            <w:tcW w:w="840" w:type="dxa"/>
            <w:tcBorders>
              <w:top w:val="nil"/>
              <w:left w:val="nil"/>
              <w:bottom w:val="nil"/>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-963</w:t>
            </w:r>
          </w:p>
        </w:tc>
        <w:tc>
          <w:tcPr>
            <w:tcW w:w="780" w:type="dxa"/>
            <w:tcBorders>
              <w:top w:val="nil"/>
              <w:left w:val="nil"/>
              <w:bottom w:val="nil"/>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336</w:t>
            </w:r>
          </w:p>
        </w:tc>
        <w:tc>
          <w:tcPr>
            <w:tcW w:w="780" w:type="dxa"/>
            <w:tcBorders>
              <w:top w:val="nil"/>
              <w:left w:val="nil"/>
              <w:bottom w:val="nil"/>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185</w:t>
            </w:r>
          </w:p>
        </w:tc>
        <w:tc>
          <w:tcPr>
            <w:tcW w:w="680" w:type="dxa"/>
            <w:tcBorders>
              <w:top w:val="nil"/>
              <w:left w:val="nil"/>
              <w:bottom w:val="nil"/>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16</w:t>
            </w:r>
          </w:p>
        </w:tc>
        <w:tc>
          <w:tcPr>
            <w:tcW w:w="680" w:type="dxa"/>
            <w:tcBorders>
              <w:top w:val="nil"/>
              <w:left w:val="nil"/>
              <w:bottom w:val="nil"/>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15</w:t>
            </w:r>
          </w:p>
        </w:tc>
        <w:tc>
          <w:tcPr>
            <w:tcW w:w="880" w:type="dxa"/>
            <w:tcBorders>
              <w:top w:val="nil"/>
              <w:left w:val="nil"/>
              <w:bottom w:val="nil"/>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1 011</w:t>
            </w:r>
          </w:p>
        </w:tc>
      </w:tr>
      <w:tr w:rsidR="00647BDC" w:rsidRPr="002F211C" w:rsidTr="00D07581">
        <w:trPr>
          <w:trHeight w:val="315"/>
        </w:trPr>
        <w:tc>
          <w:tcPr>
            <w:tcW w:w="1980" w:type="dxa"/>
            <w:tcBorders>
              <w:top w:val="nil"/>
              <w:left w:val="nil"/>
              <w:bottom w:val="single" w:sz="4" w:space="0" w:color="auto"/>
              <w:right w:val="nil"/>
            </w:tcBorders>
            <w:shd w:val="clear" w:color="auto" w:fill="auto"/>
            <w:noWrap/>
            <w:vAlign w:val="bottom"/>
            <w:hideMark/>
          </w:tcPr>
          <w:p w:rsidR="00647BDC" w:rsidRPr="002F211C"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Dollars per capita</w:t>
            </w:r>
          </w:p>
        </w:tc>
        <w:tc>
          <w:tcPr>
            <w:tcW w:w="760" w:type="dxa"/>
            <w:tcBorders>
              <w:top w:val="nil"/>
              <w:left w:val="nil"/>
              <w:bottom w:val="single" w:sz="4" w:space="0" w:color="auto"/>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-7</w:t>
            </w:r>
          </w:p>
        </w:tc>
        <w:tc>
          <w:tcPr>
            <w:tcW w:w="780" w:type="dxa"/>
            <w:tcBorders>
              <w:top w:val="nil"/>
              <w:left w:val="nil"/>
              <w:bottom w:val="single" w:sz="4" w:space="0" w:color="auto"/>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52</w:t>
            </w:r>
          </w:p>
        </w:tc>
        <w:tc>
          <w:tcPr>
            <w:tcW w:w="780" w:type="dxa"/>
            <w:tcBorders>
              <w:top w:val="nil"/>
              <w:left w:val="nil"/>
              <w:bottom w:val="single" w:sz="4" w:space="0" w:color="auto"/>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36</w:t>
            </w:r>
          </w:p>
        </w:tc>
        <w:tc>
          <w:tcPr>
            <w:tcW w:w="840" w:type="dxa"/>
            <w:tcBorders>
              <w:top w:val="nil"/>
              <w:left w:val="nil"/>
              <w:bottom w:val="single" w:sz="4" w:space="0" w:color="auto"/>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-389</w:t>
            </w:r>
          </w:p>
        </w:tc>
        <w:tc>
          <w:tcPr>
            <w:tcW w:w="780" w:type="dxa"/>
            <w:tcBorders>
              <w:top w:val="nil"/>
              <w:left w:val="nil"/>
              <w:bottom w:val="single" w:sz="4" w:space="0" w:color="auto"/>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202</w:t>
            </w:r>
          </w:p>
        </w:tc>
        <w:tc>
          <w:tcPr>
            <w:tcW w:w="780" w:type="dxa"/>
            <w:tcBorders>
              <w:top w:val="nil"/>
              <w:left w:val="nil"/>
              <w:bottom w:val="single" w:sz="4" w:space="0" w:color="auto"/>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362</w:t>
            </w:r>
          </w:p>
        </w:tc>
        <w:tc>
          <w:tcPr>
            <w:tcW w:w="680" w:type="dxa"/>
            <w:tcBorders>
              <w:top w:val="nil"/>
              <w:left w:val="nil"/>
              <w:bottom w:val="single" w:sz="4" w:space="0" w:color="auto"/>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42</w:t>
            </w:r>
          </w:p>
        </w:tc>
        <w:tc>
          <w:tcPr>
            <w:tcW w:w="680" w:type="dxa"/>
            <w:tcBorders>
              <w:top w:val="nil"/>
              <w:left w:val="nil"/>
              <w:bottom w:val="single" w:sz="4" w:space="0" w:color="auto"/>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65</w:t>
            </w:r>
          </w:p>
        </w:tc>
        <w:tc>
          <w:tcPr>
            <w:tcW w:w="880" w:type="dxa"/>
            <w:tcBorders>
              <w:top w:val="nil"/>
              <w:left w:val="nil"/>
              <w:bottom w:val="single" w:sz="4" w:space="0" w:color="auto"/>
              <w:right w:val="nil"/>
            </w:tcBorders>
            <w:shd w:val="clear" w:color="auto" w:fill="auto"/>
            <w:noWrap/>
            <w:vAlign w:val="bottom"/>
            <w:hideMark/>
          </w:tcPr>
          <w:p w:rsidR="00647BDC" w:rsidRPr="002F211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2F211C">
              <w:rPr>
                <w:rFonts w:ascii="Calibri" w:eastAsia="Times New Roman" w:hAnsi="Calibri" w:cs="Times New Roman"/>
                <w:sz w:val="20"/>
                <w:szCs w:val="20"/>
                <w:lang w:eastAsia="en-AU"/>
              </w:rPr>
              <w:t>44</w:t>
            </w:r>
          </w:p>
        </w:tc>
      </w:tr>
    </w:tbl>
    <w:p w:rsidR="00647BDC" w:rsidRDefault="00647BDC" w:rsidP="00647BDC">
      <w:pPr>
        <w:pStyle w:val="CGCTableFootnote"/>
      </w:pPr>
      <w:r>
        <w:t>Source:</w:t>
      </w:r>
      <w:r>
        <w:tab/>
        <w:t>Commission calculation.</w:t>
      </w:r>
    </w:p>
    <w:p w:rsidR="00647BDC" w:rsidRPr="00755429" w:rsidRDefault="00647BDC" w:rsidP="00647BDC">
      <w:pPr>
        <w:pStyle w:val="Heading3"/>
      </w:pPr>
      <w:bookmarkStart w:id="30" w:name="_Toc390955803"/>
      <w:r>
        <w:t>Changes since the 2010 Review</w:t>
      </w:r>
      <w:bookmarkEnd w:id="30"/>
    </w:p>
    <w:p w:rsidR="00647BDC" w:rsidRPr="00755429" w:rsidRDefault="00647BDC" w:rsidP="00647BDC">
      <w:pPr>
        <w:pStyle w:val="CGCNumberedPara"/>
        <w:numPr>
          <w:ilvl w:val="1"/>
          <w:numId w:val="2"/>
        </w:numPr>
      </w:pPr>
      <w:r w:rsidRPr="00755429">
        <w:t>The 2015 Review assessment method is unchanged from the 2010 Review method. Most States supported retaining the 2010 Review method.</w:t>
      </w:r>
    </w:p>
    <w:p w:rsidR="00647BDC" w:rsidRPr="00755429" w:rsidRDefault="00647BDC" w:rsidP="00647BDC">
      <w:pPr>
        <w:sectPr w:rsidR="00647BDC" w:rsidRPr="00755429" w:rsidSect="0004123E">
          <w:footerReference w:type="default" r:id="rId11"/>
          <w:footerReference w:type="first" r:id="rId12"/>
          <w:footnotePr>
            <w:numRestart w:val="eachSect"/>
          </w:footnotePr>
          <w:pgSz w:w="11899" w:h="16838" w:code="9"/>
          <w:pgMar w:top="1701" w:right="1474" w:bottom="1701" w:left="1474" w:header="709" w:footer="709" w:gutter="0"/>
          <w:cols w:space="708"/>
          <w:titlePg/>
          <w:docGrid w:linePitch="299"/>
        </w:sectPr>
      </w:pPr>
    </w:p>
    <w:p w:rsidR="00647BDC" w:rsidRPr="00755429" w:rsidRDefault="00647BDC" w:rsidP="00647BDC">
      <w:pPr>
        <w:pStyle w:val="Heading1"/>
      </w:pPr>
      <w:bookmarkStart w:id="31" w:name="_Toc390955804"/>
      <w:r>
        <w:lastRenderedPageBreak/>
        <w:t>ATTACHMENT</w:t>
      </w:r>
      <w:r w:rsidRPr="00755429">
        <w:t xml:space="preserve"> 3</w:t>
      </w:r>
      <w:bookmarkEnd w:id="31"/>
    </w:p>
    <w:p w:rsidR="00647BDC" w:rsidRPr="00755429" w:rsidRDefault="00647BDC" w:rsidP="00647BDC">
      <w:pPr>
        <w:pStyle w:val="Heading2"/>
      </w:pPr>
      <w:bookmarkStart w:id="32" w:name="_Toc390955805"/>
      <w:bookmarkStart w:id="33" w:name="_Toc106707725"/>
      <w:bookmarkStart w:id="34" w:name="_Toc155675935"/>
      <w:bookmarkStart w:id="35" w:name="_Toc174415770"/>
      <w:bookmarkStart w:id="36" w:name="_Toc174415844"/>
      <w:bookmarkStart w:id="37" w:name="_Toc174415935"/>
      <w:bookmarkStart w:id="38" w:name="_Toc174416620"/>
      <w:bookmarkStart w:id="39" w:name="_Toc174416662"/>
      <w:bookmarkStart w:id="40" w:name="_Toc174416675"/>
      <w:r w:rsidRPr="00755429">
        <w:t>LAND TAX</w:t>
      </w:r>
      <w:bookmarkEnd w:id="32"/>
    </w:p>
    <w:tbl>
      <w:tblPr>
        <w:tblW w:w="0" w:type="auto"/>
        <w:shd w:val="clear" w:color="auto" w:fill="D9F3E6"/>
        <w:tblLayout w:type="fixed"/>
        <w:tblLook w:val="0000" w:firstRow="0" w:lastRow="0" w:firstColumn="0" w:lastColumn="0" w:noHBand="0" w:noVBand="0"/>
      </w:tblPr>
      <w:tblGrid>
        <w:gridCol w:w="9167"/>
      </w:tblGrid>
      <w:tr w:rsidR="00647BDC" w:rsidRPr="00755429" w:rsidTr="00D07581">
        <w:tc>
          <w:tcPr>
            <w:tcW w:w="9167" w:type="dxa"/>
            <w:shd w:val="clear" w:color="auto" w:fill="D9F3E6"/>
          </w:tcPr>
          <w:p w:rsidR="00647BDC" w:rsidRPr="00755429" w:rsidRDefault="00647BDC" w:rsidP="00D07581">
            <w:pPr>
              <w:rPr>
                <w:b/>
              </w:rPr>
            </w:pPr>
            <w:r w:rsidRPr="00755429">
              <w:rPr>
                <w:b/>
              </w:rPr>
              <w:t>Summary of changes since the 2010 Review</w:t>
            </w:r>
          </w:p>
        </w:tc>
      </w:tr>
      <w:tr w:rsidR="00647BDC" w:rsidRPr="00755429" w:rsidTr="00D07581">
        <w:tc>
          <w:tcPr>
            <w:tcW w:w="9167" w:type="dxa"/>
            <w:shd w:val="clear" w:color="auto" w:fill="D9F3E6"/>
          </w:tcPr>
          <w:p w:rsidR="00647BDC" w:rsidRPr="00755429" w:rsidRDefault="00647BDC" w:rsidP="00D07581">
            <w:pPr>
              <w:pStyle w:val="CGCBulletlist"/>
            </w:pPr>
            <w:r w:rsidRPr="00755429">
              <w:t>Metropolitan improvement levies are combined with the property part of fire and emergency levies and assessed using the value of properties.</w:t>
            </w:r>
          </w:p>
        </w:tc>
      </w:tr>
      <w:tr w:rsidR="00647BDC" w:rsidRPr="00755429" w:rsidTr="00D07581">
        <w:tc>
          <w:tcPr>
            <w:tcW w:w="9167" w:type="dxa"/>
            <w:shd w:val="clear" w:color="auto" w:fill="D9F3E6"/>
          </w:tcPr>
          <w:p w:rsidR="00647BDC" w:rsidRPr="00755429" w:rsidRDefault="00647BDC" w:rsidP="00D07581">
            <w:pPr>
              <w:pStyle w:val="CGCBulletlist"/>
            </w:pPr>
            <w:r w:rsidRPr="00755429">
              <w:t>The assessment method for land taxes levied on a landholder basis is unchanged.</w:t>
            </w:r>
          </w:p>
        </w:tc>
      </w:tr>
    </w:tbl>
    <w:p w:rsidR="00647BDC" w:rsidRPr="00755429" w:rsidRDefault="00647BDC" w:rsidP="00647BDC">
      <w:pPr>
        <w:pStyle w:val="Heading3"/>
      </w:pPr>
      <w:bookmarkStart w:id="41" w:name="_Toc390955806"/>
      <w:r>
        <w:t>What is included in the land tax category</w:t>
      </w:r>
      <w:bookmarkEnd w:id="33"/>
      <w:bookmarkEnd w:id="34"/>
      <w:bookmarkEnd w:id="35"/>
      <w:bookmarkEnd w:id="36"/>
      <w:bookmarkEnd w:id="37"/>
      <w:bookmarkEnd w:id="38"/>
      <w:bookmarkEnd w:id="39"/>
      <w:bookmarkEnd w:id="40"/>
      <w:r w:rsidRPr="00755429">
        <w:t>?</w:t>
      </w:r>
      <w:bookmarkEnd w:id="41"/>
    </w:p>
    <w:p w:rsidR="00647BDC" w:rsidRPr="00755429" w:rsidRDefault="00647BDC" w:rsidP="00647BDC">
      <w:pPr>
        <w:pStyle w:val="CGCNumberedPara"/>
        <w:numPr>
          <w:ilvl w:val="1"/>
          <w:numId w:val="12"/>
        </w:numPr>
      </w:pPr>
      <w:r w:rsidRPr="00755429">
        <w:t>The Land tax category comprises two related but separate tax streams.</w:t>
      </w:r>
    </w:p>
    <w:p w:rsidR="00647BDC" w:rsidRPr="00AA4CBB" w:rsidRDefault="00647BDC" w:rsidP="00D07581">
      <w:pPr>
        <w:pStyle w:val="CGCBulletlist"/>
      </w:pPr>
      <w:r w:rsidRPr="00AA4CBB">
        <w:t xml:space="preserve">An all property component. </w:t>
      </w:r>
    </w:p>
    <w:p w:rsidR="00647BDC" w:rsidRPr="00755429" w:rsidRDefault="00647BDC" w:rsidP="00647BDC">
      <w:pPr>
        <w:pStyle w:val="CGCSubbulletlist"/>
        <w:numPr>
          <w:ilvl w:val="0"/>
          <w:numId w:val="3"/>
        </w:numPr>
        <w:tabs>
          <w:tab w:val="clear" w:pos="927"/>
        </w:tabs>
        <w:ind w:left="1701" w:hanging="567"/>
      </w:pPr>
      <w:r w:rsidRPr="00755429">
        <w:t xml:space="preserve">These </w:t>
      </w:r>
      <w:r>
        <w:t xml:space="preserve">are </w:t>
      </w:r>
      <w:r w:rsidRPr="00755429">
        <w:t>land taxes levied on both income producing properties and princip</w:t>
      </w:r>
      <w:r>
        <w:t>al</w:t>
      </w:r>
      <w:r w:rsidRPr="00755429">
        <w:t xml:space="preserve"> residences. </w:t>
      </w:r>
    </w:p>
    <w:p w:rsidR="00647BDC" w:rsidRPr="00755429" w:rsidRDefault="00647BDC" w:rsidP="00647BDC">
      <w:pPr>
        <w:pStyle w:val="CGCSubbulletlist"/>
        <w:numPr>
          <w:ilvl w:val="0"/>
          <w:numId w:val="3"/>
        </w:numPr>
        <w:tabs>
          <w:tab w:val="clear" w:pos="927"/>
        </w:tabs>
        <w:ind w:left="1701" w:hanging="567"/>
      </w:pPr>
      <w:r w:rsidRPr="00755429">
        <w:t>The</w:t>
      </w:r>
      <w:r>
        <w:t>y</w:t>
      </w:r>
      <w:r w:rsidRPr="00755429">
        <w:t xml:space="preserve"> are imposed on a property basis, multiple land holdin</w:t>
      </w:r>
      <w:r>
        <w:t>gs are not taken into account.</w:t>
      </w:r>
    </w:p>
    <w:p w:rsidR="00647BDC" w:rsidRPr="00755429" w:rsidRDefault="00647BDC" w:rsidP="00647BDC">
      <w:pPr>
        <w:pStyle w:val="CGCSubbulletlist"/>
        <w:numPr>
          <w:ilvl w:val="0"/>
          <w:numId w:val="3"/>
        </w:numPr>
        <w:tabs>
          <w:tab w:val="clear" w:pos="927"/>
        </w:tabs>
        <w:ind w:left="1701" w:hanging="567"/>
      </w:pPr>
      <w:r w:rsidRPr="00755429">
        <w:t xml:space="preserve">Metropolitan improvement levies are only levied in certain geographic areas of the State. </w:t>
      </w:r>
    </w:p>
    <w:p w:rsidR="00647BDC" w:rsidRPr="00755429" w:rsidRDefault="00647BDC" w:rsidP="00647BDC">
      <w:pPr>
        <w:pStyle w:val="CGCSubbulletlist"/>
        <w:numPr>
          <w:ilvl w:val="0"/>
          <w:numId w:val="3"/>
        </w:numPr>
        <w:tabs>
          <w:tab w:val="clear" w:pos="927"/>
        </w:tabs>
        <w:ind w:left="1701" w:hanging="567"/>
      </w:pPr>
      <w:r w:rsidRPr="00755429" w:rsidDel="00551362">
        <w:t>The</w:t>
      </w:r>
      <w:r>
        <w:t>y</w:t>
      </w:r>
      <w:r w:rsidRPr="00755429" w:rsidDel="00551362">
        <w:t xml:space="preserve"> include </w:t>
      </w:r>
      <w:r>
        <w:t>m</w:t>
      </w:r>
      <w:r w:rsidRPr="00755429" w:rsidDel="00551362">
        <w:t>etropolitan improvements duty and fire and emergency levy (when imposed on properties).</w:t>
      </w:r>
    </w:p>
    <w:p w:rsidR="00647BDC" w:rsidRPr="00755429" w:rsidRDefault="00647BDC" w:rsidP="00D07581">
      <w:pPr>
        <w:pStyle w:val="CGCBulletlist"/>
      </w:pPr>
      <w:r w:rsidRPr="00755429">
        <w:t xml:space="preserve">An income producing property component. </w:t>
      </w:r>
    </w:p>
    <w:p w:rsidR="00647BDC" w:rsidRPr="00755429" w:rsidRDefault="00647BDC" w:rsidP="00647BDC">
      <w:pPr>
        <w:pStyle w:val="CGCSubbulletlist"/>
        <w:numPr>
          <w:ilvl w:val="0"/>
          <w:numId w:val="3"/>
        </w:numPr>
        <w:tabs>
          <w:tab w:val="clear" w:pos="927"/>
        </w:tabs>
        <w:ind w:left="1701" w:hanging="567"/>
      </w:pPr>
      <w:r w:rsidRPr="00755429">
        <w:t>States generally exempt a person’s principal place of residence and land used for primary production, general government and charitable purposes.</w:t>
      </w:r>
    </w:p>
    <w:p w:rsidR="00647BDC" w:rsidRPr="00755429" w:rsidRDefault="00647BDC" w:rsidP="00647BDC">
      <w:pPr>
        <w:pStyle w:val="CGCSubbulletlist"/>
        <w:numPr>
          <w:ilvl w:val="0"/>
          <w:numId w:val="3"/>
        </w:numPr>
        <w:tabs>
          <w:tab w:val="clear" w:pos="927"/>
        </w:tabs>
        <w:ind w:left="1701" w:hanging="567"/>
      </w:pPr>
      <w:r w:rsidRPr="00755429">
        <w:t xml:space="preserve">This comprises land taxes levied on an aggregated landholder basis. Landholders face tax rates reflecting their total value of all land holdings. </w:t>
      </w:r>
    </w:p>
    <w:p w:rsidR="00647BDC" w:rsidRPr="00755429" w:rsidRDefault="00647BDC" w:rsidP="00647BDC">
      <w:pPr>
        <w:pStyle w:val="CGCSubbulletlist"/>
        <w:numPr>
          <w:ilvl w:val="0"/>
          <w:numId w:val="3"/>
        </w:numPr>
        <w:tabs>
          <w:tab w:val="clear" w:pos="927"/>
        </w:tabs>
        <w:ind w:left="1701" w:hanging="567"/>
      </w:pPr>
      <w:r w:rsidRPr="00755429">
        <w:t>They are generally called land tax by the States.</w:t>
      </w:r>
    </w:p>
    <w:p w:rsidR="00647BDC" w:rsidRPr="00755429" w:rsidRDefault="00647BDC" w:rsidP="00647BDC">
      <w:pPr>
        <w:pStyle w:val="CGCNumberedPara"/>
        <w:numPr>
          <w:ilvl w:val="1"/>
          <w:numId w:val="2"/>
        </w:numPr>
      </w:pPr>
      <w:r w:rsidRPr="00755429">
        <w:fldChar w:fldCharType="begin"/>
      </w:r>
      <w:r w:rsidRPr="00755429">
        <w:instrText xml:space="preserve"> REF _Ref389636579 \h </w:instrText>
      </w:r>
      <w:r>
        <w:instrText xml:space="preserve"> \* MERGEFORMAT </w:instrText>
      </w:r>
      <w:r w:rsidRPr="00755429">
        <w:fldChar w:fldCharType="separate"/>
      </w:r>
      <w:r w:rsidR="005B69B1" w:rsidRPr="00755429">
        <w:t xml:space="preserve">Table </w:t>
      </w:r>
      <w:r w:rsidR="005B69B1">
        <w:rPr>
          <w:noProof/>
        </w:rPr>
        <w:t>1</w:t>
      </w:r>
      <w:r w:rsidRPr="00755429">
        <w:fldChar w:fldCharType="end"/>
      </w:r>
      <w:r w:rsidRPr="00755429">
        <w:t xml:space="preserve"> shows States raised $7.1 billion from land tax in 2012</w:t>
      </w:r>
      <w:r w:rsidRPr="00755429">
        <w:noBreakHyphen/>
        <w:t>13.</w:t>
      </w:r>
    </w:p>
    <w:p w:rsidR="00647BDC" w:rsidRPr="00755429" w:rsidRDefault="00647BDC" w:rsidP="00647BDC">
      <w:pPr>
        <w:pStyle w:val="CGCTableHeading"/>
      </w:pPr>
      <w:bookmarkStart w:id="42" w:name="_Ref386695918"/>
      <w:bookmarkStart w:id="43" w:name="_Ref389636579"/>
      <w:r w:rsidRPr="00755429">
        <w:lastRenderedPageBreak/>
        <w:t xml:space="preserve">Table </w:t>
      </w:r>
      <w:bookmarkEnd w:id="42"/>
      <w:r w:rsidRPr="00755429">
        <w:fldChar w:fldCharType="begin"/>
      </w:r>
      <w:r w:rsidRPr="00755429">
        <w:instrText xml:space="preserve"> SEQ Table \* ARABIC \r1 </w:instrText>
      </w:r>
      <w:r w:rsidRPr="00755429">
        <w:fldChar w:fldCharType="separate"/>
      </w:r>
      <w:r w:rsidR="005B69B1">
        <w:rPr>
          <w:noProof/>
        </w:rPr>
        <w:t>1</w:t>
      </w:r>
      <w:r w:rsidRPr="00755429">
        <w:fldChar w:fldCharType="end"/>
      </w:r>
      <w:bookmarkEnd w:id="43"/>
      <w:r w:rsidRPr="00755429">
        <w:tab/>
        <w:t>Category revenues, 2012</w:t>
      </w:r>
      <w:r w:rsidRPr="00755429">
        <w:noBreakHyphen/>
        <w:t>13</w:t>
      </w:r>
    </w:p>
    <w:tbl>
      <w:tblPr>
        <w:tblW w:w="8980" w:type="dxa"/>
        <w:tblLayout w:type="fixed"/>
        <w:tblCellMar>
          <w:left w:w="0" w:type="dxa"/>
          <w:right w:w="0" w:type="dxa"/>
        </w:tblCellMar>
        <w:tblLook w:val="04A0" w:firstRow="1" w:lastRow="0" w:firstColumn="1" w:lastColumn="0" w:noHBand="0" w:noVBand="1"/>
      </w:tblPr>
      <w:tblGrid>
        <w:gridCol w:w="1920"/>
        <w:gridCol w:w="880"/>
        <w:gridCol w:w="880"/>
        <w:gridCol w:w="880"/>
        <w:gridCol w:w="720"/>
        <w:gridCol w:w="720"/>
        <w:gridCol w:w="720"/>
        <w:gridCol w:w="720"/>
        <w:gridCol w:w="660"/>
        <w:gridCol w:w="880"/>
      </w:tblGrid>
      <w:tr w:rsidR="00647BDC" w:rsidRPr="00D55B8E" w:rsidTr="00D07581">
        <w:trPr>
          <w:trHeight w:val="379"/>
        </w:trPr>
        <w:tc>
          <w:tcPr>
            <w:tcW w:w="192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NSW</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Vic</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Qld</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WA</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SA</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D55B8E">
              <w:rPr>
                <w:rFonts w:ascii="Calibri" w:eastAsia="Times New Roman" w:hAnsi="Calibri" w:cs="Times New Roman"/>
                <w:sz w:val="20"/>
                <w:szCs w:val="20"/>
                <w:lang w:eastAsia="en-AU"/>
              </w:rPr>
              <w:t>Tas</w:t>
            </w:r>
            <w:proofErr w:type="spellEnd"/>
          </w:p>
        </w:tc>
        <w:tc>
          <w:tcPr>
            <w:tcW w:w="72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ACT</w:t>
            </w:r>
          </w:p>
        </w:tc>
        <w:tc>
          <w:tcPr>
            <w:tcW w:w="66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NT</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Total</w:t>
            </w:r>
          </w:p>
        </w:tc>
      </w:tr>
      <w:tr w:rsidR="00647BDC" w:rsidRPr="00D55B8E" w:rsidTr="00D07581">
        <w:trPr>
          <w:trHeight w:val="259"/>
        </w:trPr>
        <w:tc>
          <w:tcPr>
            <w:tcW w:w="192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88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$m</w:t>
            </w:r>
          </w:p>
        </w:tc>
        <w:tc>
          <w:tcPr>
            <w:tcW w:w="72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$m</w:t>
            </w:r>
          </w:p>
        </w:tc>
        <w:tc>
          <w:tcPr>
            <w:tcW w:w="72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$m</w:t>
            </w:r>
          </w:p>
        </w:tc>
        <w:tc>
          <w:tcPr>
            <w:tcW w:w="72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$m</w:t>
            </w:r>
          </w:p>
        </w:tc>
        <w:tc>
          <w:tcPr>
            <w:tcW w:w="72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$m</w:t>
            </w:r>
          </w:p>
        </w:tc>
        <w:tc>
          <w:tcPr>
            <w:tcW w:w="66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$m</w:t>
            </w:r>
          </w:p>
        </w:tc>
      </w:tr>
      <w:tr w:rsidR="00647BDC" w:rsidRPr="00D55B8E" w:rsidTr="00D07581">
        <w:trPr>
          <w:trHeight w:val="315"/>
        </w:trPr>
        <w:tc>
          <w:tcPr>
            <w:tcW w:w="192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All property</w:t>
            </w:r>
          </w:p>
        </w:tc>
        <w:tc>
          <w:tcPr>
            <w:tcW w:w="88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0</w:t>
            </w:r>
          </w:p>
        </w:tc>
        <w:tc>
          <w:tcPr>
            <w:tcW w:w="88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193</w:t>
            </w:r>
          </w:p>
        </w:tc>
        <w:tc>
          <w:tcPr>
            <w:tcW w:w="88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348</w:t>
            </w:r>
          </w:p>
        </w:tc>
        <w:tc>
          <w:tcPr>
            <w:tcW w:w="72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322</w:t>
            </w:r>
          </w:p>
        </w:tc>
        <w:tc>
          <w:tcPr>
            <w:tcW w:w="72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134</w:t>
            </w:r>
          </w:p>
        </w:tc>
        <w:tc>
          <w:tcPr>
            <w:tcW w:w="72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41</w:t>
            </w:r>
          </w:p>
        </w:tc>
        <w:tc>
          <w:tcPr>
            <w:tcW w:w="72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29</w:t>
            </w:r>
          </w:p>
        </w:tc>
        <w:tc>
          <w:tcPr>
            <w:tcW w:w="66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0</w:t>
            </w:r>
          </w:p>
        </w:tc>
        <w:tc>
          <w:tcPr>
            <w:tcW w:w="880" w:type="dxa"/>
            <w:tcBorders>
              <w:top w:val="nil"/>
              <w:left w:val="nil"/>
              <w:bottom w:val="nil"/>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1 067</w:t>
            </w:r>
          </w:p>
        </w:tc>
      </w:tr>
      <w:tr w:rsidR="00647BDC" w:rsidRPr="00D55B8E" w:rsidTr="00D07581">
        <w:trPr>
          <w:trHeight w:val="555"/>
        </w:trPr>
        <w:tc>
          <w:tcPr>
            <w:tcW w:w="1920" w:type="dxa"/>
            <w:tcBorders>
              <w:top w:val="nil"/>
              <w:left w:val="nil"/>
              <w:bottom w:val="nil"/>
              <w:right w:val="nil"/>
            </w:tcBorders>
            <w:shd w:val="clear" w:color="auto" w:fill="auto"/>
            <w:vAlign w:val="bottom"/>
            <w:hideMark/>
          </w:tcPr>
          <w:p w:rsidR="00647BDC" w:rsidRPr="00D55B8E"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Income producing property</w:t>
            </w:r>
          </w:p>
        </w:tc>
        <w:tc>
          <w:tcPr>
            <w:tcW w:w="880" w:type="dxa"/>
            <w:tcBorders>
              <w:top w:val="nil"/>
              <w:left w:val="nil"/>
              <w:bottom w:val="nil"/>
              <w:right w:val="nil"/>
            </w:tcBorders>
            <w:shd w:val="clear" w:color="auto" w:fill="auto"/>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2 333</w:t>
            </w:r>
          </w:p>
        </w:tc>
        <w:tc>
          <w:tcPr>
            <w:tcW w:w="880" w:type="dxa"/>
            <w:tcBorders>
              <w:top w:val="nil"/>
              <w:left w:val="nil"/>
              <w:bottom w:val="nil"/>
              <w:right w:val="nil"/>
            </w:tcBorders>
            <w:shd w:val="clear" w:color="auto" w:fill="auto"/>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1 589</w:t>
            </w:r>
          </w:p>
        </w:tc>
        <w:tc>
          <w:tcPr>
            <w:tcW w:w="880" w:type="dxa"/>
            <w:tcBorders>
              <w:top w:val="nil"/>
              <w:left w:val="nil"/>
              <w:bottom w:val="nil"/>
              <w:right w:val="nil"/>
            </w:tcBorders>
            <w:shd w:val="clear" w:color="auto" w:fill="auto"/>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990</w:t>
            </w:r>
          </w:p>
        </w:tc>
        <w:tc>
          <w:tcPr>
            <w:tcW w:w="720" w:type="dxa"/>
            <w:tcBorders>
              <w:top w:val="nil"/>
              <w:left w:val="nil"/>
              <w:bottom w:val="nil"/>
              <w:right w:val="nil"/>
            </w:tcBorders>
            <w:shd w:val="clear" w:color="auto" w:fill="auto"/>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559</w:t>
            </w:r>
          </w:p>
        </w:tc>
        <w:tc>
          <w:tcPr>
            <w:tcW w:w="720" w:type="dxa"/>
            <w:tcBorders>
              <w:top w:val="nil"/>
              <w:left w:val="nil"/>
              <w:bottom w:val="nil"/>
              <w:right w:val="nil"/>
            </w:tcBorders>
            <w:shd w:val="clear" w:color="auto" w:fill="auto"/>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381</w:t>
            </w:r>
          </w:p>
        </w:tc>
        <w:tc>
          <w:tcPr>
            <w:tcW w:w="720" w:type="dxa"/>
            <w:tcBorders>
              <w:top w:val="nil"/>
              <w:left w:val="nil"/>
              <w:bottom w:val="nil"/>
              <w:right w:val="nil"/>
            </w:tcBorders>
            <w:shd w:val="clear" w:color="auto" w:fill="auto"/>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89</w:t>
            </w:r>
          </w:p>
        </w:tc>
        <w:tc>
          <w:tcPr>
            <w:tcW w:w="720" w:type="dxa"/>
            <w:tcBorders>
              <w:top w:val="nil"/>
              <w:left w:val="nil"/>
              <w:bottom w:val="nil"/>
              <w:right w:val="nil"/>
            </w:tcBorders>
            <w:shd w:val="clear" w:color="auto" w:fill="auto"/>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71</w:t>
            </w:r>
          </w:p>
        </w:tc>
        <w:tc>
          <w:tcPr>
            <w:tcW w:w="660" w:type="dxa"/>
            <w:tcBorders>
              <w:top w:val="nil"/>
              <w:left w:val="nil"/>
              <w:bottom w:val="nil"/>
              <w:right w:val="nil"/>
            </w:tcBorders>
            <w:shd w:val="clear" w:color="auto" w:fill="auto"/>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0</w:t>
            </w:r>
          </w:p>
        </w:tc>
        <w:tc>
          <w:tcPr>
            <w:tcW w:w="880" w:type="dxa"/>
            <w:tcBorders>
              <w:top w:val="nil"/>
              <w:left w:val="nil"/>
              <w:bottom w:val="nil"/>
              <w:right w:val="nil"/>
            </w:tcBorders>
            <w:shd w:val="clear" w:color="auto" w:fill="auto"/>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6 011</w:t>
            </w:r>
          </w:p>
        </w:tc>
      </w:tr>
      <w:tr w:rsidR="00647BDC" w:rsidRPr="00D55B8E" w:rsidTr="00D07581">
        <w:trPr>
          <w:trHeight w:val="315"/>
        </w:trPr>
        <w:tc>
          <w:tcPr>
            <w:tcW w:w="1920" w:type="dxa"/>
            <w:tcBorders>
              <w:top w:val="nil"/>
              <w:left w:val="nil"/>
              <w:bottom w:val="single" w:sz="4" w:space="0" w:color="auto"/>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Category</w:t>
            </w:r>
          </w:p>
        </w:tc>
        <w:tc>
          <w:tcPr>
            <w:tcW w:w="880" w:type="dxa"/>
            <w:tcBorders>
              <w:top w:val="nil"/>
              <w:left w:val="nil"/>
              <w:bottom w:val="single" w:sz="4" w:space="0" w:color="auto"/>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2 333</w:t>
            </w:r>
          </w:p>
        </w:tc>
        <w:tc>
          <w:tcPr>
            <w:tcW w:w="880" w:type="dxa"/>
            <w:tcBorders>
              <w:top w:val="nil"/>
              <w:left w:val="nil"/>
              <w:bottom w:val="single" w:sz="4" w:space="0" w:color="auto"/>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1 782</w:t>
            </w:r>
          </w:p>
        </w:tc>
        <w:tc>
          <w:tcPr>
            <w:tcW w:w="880" w:type="dxa"/>
            <w:tcBorders>
              <w:top w:val="nil"/>
              <w:left w:val="nil"/>
              <w:bottom w:val="single" w:sz="4" w:space="0" w:color="auto"/>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1 338</w:t>
            </w:r>
          </w:p>
        </w:tc>
        <w:tc>
          <w:tcPr>
            <w:tcW w:w="720" w:type="dxa"/>
            <w:tcBorders>
              <w:top w:val="nil"/>
              <w:left w:val="nil"/>
              <w:bottom w:val="single" w:sz="4" w:space="0" w:color="auto"/>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881</w:t>
            </w:r>
          </w:p>
        </w:tc>
        <w:tc>
          <w:tcPr>
            <w:tcW w:w="720" w:type="dxa"/>
            <w:tcBorders>
              <w:top w:val="nil"/>
              <w:left w:val="nil"/>
              <w:bottom w:val="single" w:sz="4" w:space="0" w:color="auto"/>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515</w:t>
            </w:r>
          </w:p>
        </w:tc>
        <w:tc>
          <w:tcPr>
            <w:tcW w:w="720" w:type="dxa"/>
            <w:tcBorders>
              <w:top w:val="nil"/>
              <w:left w:val="nil"/>
              <w:bottom w:val="single" w:sz="4" w:space="0" w:color="auto"/>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130</w:t>
            </w:r>
          </w:p>
        </w:tc>
        <w:tc>
          <w:tcPr>
            <w:tcW w:w="720" w:type="dxa"/>
            <w:tcBorders>
              <w:top w:val="nil"/>
              <w:left w:val="nil"/>
              <w:bottom w:val="single" w:sz="4" w:space="0" w:color="auto"/>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100</w:t>
            </w:r>
          </w:p>
        </w:tc>
        <w:tc>
          <w:tcPr>
            <w:tcW w:w="660" w:type="dxa"/>
            <w:tcBorders>
              <w:top w:val="nil"/>
              <w:left w:val="nil"/>
              <w:bottom w:val="single" w:sz="4" w:space="0" w:color="auto"/>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0</w:t>
            </w:r>
          </w:p>
        </w:tc>
        <w:tc>
          <w:tcPr>
            <w:tcW w:w="880" w:type="dxa"/>
            <w:tcBorders>
              <w:top w:val="nil"/>
              <w:left w:val="nil"/>
              <w:bottom w:val="single" w:sz="4" w:space="0" w:color="auto"/>
              <w:right w:val="nil"/>
            </w:tcBorders>
            <w:shd w:val="clear" w:color="auto" w:fill="auto"/>
            <w:noWrap/>
            <w:vAlign w:val="bottom"/>
            <w:hideMark/>
          </w:tcPr>
          <w:p w:rsidR="00647BDC" w:rsidRPr="00D55B8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7 078</w:t>
            </w:r>
          </w:p>
        </w:tc>
      </w:tr>
    </w:tbl>
    <w:p w:rsidR="00647BDC" w:rsidRPr="00755429" w:rsidRDefault="00647BDC" w:rsidP="00647BDC">
      <w:pPr>
        <w:pStyle w:val="CGCTableFootnote"/>
      </w:pPr>
      <w:r w:rsidRPr="00755429">
        <w:t>Source:</w:t>
      </w:r>
      <w:r w:rsidRPr="00755429">
        <w:tab/>
        <w:t>ABS GFS data and State data.</w:t>
      </w:r>
    </w:p>
    <w:p w:rsidR="00647BDC" w:rsidRPr="00755429" w:rsidRDefault="00647BDC" w:rsidP="00647BDC">
      <w:pPr>
        <w:pStyle w:val="CGCNumberedPara"/>
        <w:numPr>
          <w:ilvl w:val="1"/>
          <w:numId w:val="2"/>
        </w:numPr>
      </w:pPr>
      <w:r w:rsidRPr="00755429">
        <w:fldChar w:fldCharType="begin"/>
      </w:r>
      <w:r w:rsidRPr="00755429">
        <w:instrText xml:space="preserve"> REF _Ref386695983 \h </w:instrText>
      </w:r>
      <w:r>
        <w:instrText xml:space="preserve"> \* MERGEFORMAT </w:instrText>
      </w:r>
      <w:r w:rsidRPr="00755429">
        <w:fldChar w:fldCharType="separate"/>
      </w:r>
      <w:r w:rsidR="005B69B1" w:rsidRPr="00755429">
        <w:t xml:space="preserve">Table </w:t>
      </w:r>
      <w:r w:rsidR="005B69B1">
        <w:rPr>
          <w:noProof/>
        </w:rPr>
        <w:t>2</w:t>
      </w:r>
      <w:r w:rsidRPr="00755429">
        <w:fldChar w:fldCharType="end"/>
      </w:r>
      <w:r w:rsidRPr="00755429">
        <w:t xml:space="preserve"> shows land tax contributed around 7% of State own-source revenue in 2012</w:t>
      </w:r>
      <w:r w:rsidRPr="00755429">
        <w:noBreakHyphen/>
        <w:t>13.</w:t>
      </w:r>
    </w:p>
    <w:p w:rsidR="00647BDC" w:rsidRPr="00755429" w:rsidRDefault="00647BDC" w:rsidP="00647BDC">
      <w:pPr>
        <w:pStyle w:val="CGCTableHeading"/>
      </w:pPr>
      <w:bookmarkStart w:id="44" w:name="_Ref386695983"/>
      <w:r w:rsidRPr="00755429">
        <w:t xml:space="preserve">Table </w:t>
      </w:r>
      <w:r w:rsidR="005B69B1">
        <w:fldChar w:fldCharType="begin"/>
      </w:r>
      <w:r w:rsidR="005B69B1">
        <w:instrText xml:space="preserve"> SEQ Table \* ARABIC </w:instrText>
      </w:r>
      <w:r w:rsidR="005B69B1">
        <w:fldChar w:fldCharType="separate"/>
      </w:r>
      <w:r w:rsidR="005B69B1">
        <w:rPr>
          <w:noProof/>
        </w:rPr>
        <w:t>2</w:t>
      </w:r>
      <w:r w:rsidR="005B69B1">
        <w:rPr>
          <w:noProof/>
        </w:rPr>
        <w:fldChar w:fldCharType="end"/>
      </w:r>
      <w:bookmarkEnd w:id="44"/>
      <w:r w:rsidRPr="00755429">
        <w:tab/>
        <w:t>Land tax as a proportion of State own-source revenue</w:t>
      </w:r>
    </w:p>
    <w:tbl>
      <w:tblPr>
        <w:tblW w:w="8960" w:type="dxa"/>
        <w:tblInd w:w="93" w:type="dxa"/>
        <w:tblLook w:val="04A0" w:firstRow="1" w:lastRow="0" w:firstColumn="1" w:lastColumn="0" w:noHBand="0" w:noVBand="1"/>
      </w:tblPr>
      <w:tblGrid>
        <w:gridCol w:w="4080"/>
        <w:gridCol w:w="1220"/>
        <w:gridCol w:w="1220"/>
        <w:gridCol w:w="1220"/>
        <w:gridCol w:w="1220"/>
      </w:tblGrid>
      <w:tr w:rsidR="00647BDC" w:rsidRPr="00125880" w:rsidTr="00D07581">
        <w:trPr>
          <w:trHeight w:val="375"/>
        </w:trPr>
        <w:tc>
          <w:tcPr>
            <w:tcW w:w="4080" w:type="dxa"/>
            <w:tcBorders>
              <w:top w:val="single" w:sz="4" w:space="0" w:color="auto"/>
              <w:left w:val="nil"/>
              <w:bottom w:val="single" w:sz="4" w:space="0" w:color="auto"/>
              <w:right w:val="nil"/>
            </w:tcBorders>
            <w:shd w:val="clear" w:color="auto" w:fill="auto"/>
            <w:noWrap/>
            <w:vAlign w:val="center"/>
            <w:hideMark/>
          </w:tcPr>
          <w:p w:rsidR="00647BDC" w:rsidRPr="00125880" w:rsidRDefault="00647BDC" w:rsidP="00D07581">
            <w:pPr>
              <w:tabs>
                <w:tab w:val="clear" w:pos="567"/>
              </w:tabs>
              <w:spacing w:after="0" w:line="240" w:lineRule="auto"/>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 </w:t>
            </w:r>
          </w:p>
        </w:tc>
        <w:tc>
          <w:tcPr>
            <w:tcW w:w="1220" w:type="dxa"/>
            <w:tcBorders>
              <w:top w:val="single" w:sz="4" w:space="0" w:color="auto"/>
              <w:left w:val="nil"/>
              <w:bottom w:val="single" w:sz="4" w:space="0" w:color="auto"/>
              <w:right w:val="nil"/>
            </w:tcBorders>
            <w:shd w:val="clear" w:color="auto" w:fill="auto"/>
            <w:noWrap/>
            <w:vAlign w:val="center"/>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2009-10</w:t>
            </w:r>
          </w:p>
        </w:tc>
        <w:tc>
          <w:tcPr>
            <w:tcW w:w="1220" w:type="dxa"/>
            <w:tcBorders>
              <w:top w:val="single" w:sz="4" w:space="0" w:color="auto"/>
              <w:left w:val="nil"/>
              <w:bottom w:val="single" w:sz="4" w:space="0" w:color="auto"/>
              <w:right w:val="nil"/>
            </w:tcBorders>
            <w:shd w:val="clear" w:color="auto" w:fill="auto"/>
            <w:noWrap/>
            <w:vAlign w:val="center"/>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2010-11</w:t>
            </w:r>
          </w:p>
        </w:tc>
        <w:tc>
          <w:tcPr>
            <w:tcW w:w="1220" w:type="dxa"/>
            <w:tcBorders>
              <w:top w:val="single" w:sz="4" w:space="0" w:color="auto"/>
              <w:left w:val="nil"/>
              <w:bottom w:val="single" w:sz="4" w:space="0" w:color="auto"/>
              <w:right w:val="nil"/>
            </w:tcBorders>
            <w:shd w:val="clear" w:color="auto" w:fill="auto"/>
            <w:noWrap/>
            <w:vAlign w:val="center"/>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2011-12</w:t>
            </w:r>
          </w:p>
        </w:tc>
        <w:tc>
          <w:tcPr>
            <w:tcW w:w="1220" w:type="dxa"/>
            <w:tcBorders>
              <w:top w:val="single" w:sz="4" w:space="0" w:color="auto"/>
              <w:left w:val="nil"/>
              <w:bottom w:val="single" w:sz="4" w:space="0" w:color="auto"/>
              <w:right w:val="nil"/>
            </w:tcBorders>
            <w:shd w:val="clear" w:color="auto" w:fill="auto"/>
            <w:noWrap/>
            <w:vAlign w:val="center"/>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2012-13</w:t>
            </w:r>
          </w:p>
        </w:tc>
      </w:tr>
      <w:tr w:rsidR="00647BDC" w:rsidRPr="00125880" w:rsidTr="00D07581">
        <w:trPr>
          <w:trHeight w:val="315"/>
        </w:trPr>
        <w:tc>
          <w:tcPr>
            <w:tcW w:w="4080" w:type="dxa"/>
            <w:tcBorders>
              <w:top w:val="nil"/>
              <w:left w:val="nil"/>
              <w:bottom w:val="nil"/>
              <w:right w:val="nil"/>
            </w:tcBorders>
            <w:shd w:val="clear" w:color="auto" w:fill="auto"/>
            <w:noWrap/>
            <w:vAlign w:val="bottom"/>
            <w:hideMark/>
          </w:tcPr>
          <w:p w:rsidR="00647BDC" w:rsidRPr="00125880" w:rsidRDefault="00647BDC" w:rsidP="00D07581">
            <w:pPr>
              <w:tabs>
                <w:tab w:val="clear" w:pos="567"/>
              </w:tabs>
              <w:spacing w:after="0" w:line="240" w:lineRule="auto"/>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Total for category ($m)</w:t>
            </w:r>
          </w:p>
        </w:tc>
        <w:tc>
          <w:tcPr>
            <w:tcW w:w="1220" w:type="dxa"/>
            <w:tcBorders>
              <w:top w:val="nil"/>
              <w:left w:val="nil"/>
              <w:bottom w:val="nil"/>
              <w:right w:val="nil"/>
            </w:tcBorders>
            <w:shd w:val="clear" w:color="auto" w:fill="auto"/>
            <w:noWrap/>
            <w:vAlign w:val="bottom"/>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6 455</w:t>
            </w:r>
          </w:p>
        </w:tc>
        <w:tc>
          <w:tcPr>
            <w:tcW w:w="1220" w:type="dxa"/>
            <w:tcBorders>
              <w:top w:val="nil"/>
              <w:left w:val="nil"/>
              <w:bottom w:val="nil"/>
              <w:right w:val="nil"/>
            </w:tcBorders>
            <w:shd w:val="clear" w:color="auto" w:fill="auto"/>
            <w:noWrap/>
            <w:vAlign w:val="bottom"/>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6 802</w:t>
            </w:r>
          </w:p>
        </w:tc>
        <w:tc>
          <w:tcPr>
            <w:tcW w:w="1220" w:type="dxa"/>
            <w:tcBorders>
              <w:top w:val="nil"/>
              <w:left w:val="nil"/>
              <w:bottom w:val="nil"/>
              <w:right w:val="nil"/>
            </w:tcBorders>
            <w:shd w:val="clear" w:color="auto" w:fill="auto"/>
            <w:noWrap/>
            <w:vAlign w:val="bottom"/>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6 946</w:t>
            </w:r>
          </w:p>
        </w:tc>
        <w:tc>
          <w:tcPr>
            <w:tcW w:w="1220" w:type="dxa"/>
            <w:tcBorders>
              <w:top w:val="nil"/>
              <w:left w:val="nil"/>
              <w:bottom w:val="nil"/>
              <w:right w:val="nil"/>
            </w:tcBorders>
            <w:shd w:val="clear" w:color="auto" w:fill="auto"/>
            <w:noWrap/>
            <w:vAlign w:val="bottom"/>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7 078</w:t>
            </w:r>
          </w:p>
        </w:tc>
      </w:tr>
      <w:tr w:rsidR="00647BDC" w:rsidRPr="00125880" w:rsidTr="00D07581">
        <w:trPr>
          <w:trHeight w:val="315"/>
        </w:trPr>
        <w:tc>
          <w:tcPr>
            <w:tcW w:w="4080" w:type="dxa"/>
            <w:tcBorders>
              <w:top w:val="nil"/>
              <w:left w:val="nil"/>
              <w:bottom w:val="nil"/>
              <w:right w:val="nil"/>
            </w:tcBorders>
            <w:shd w:val="clear" w:color="auto" w:fill="auto"/>
            <w:noWrap/>
            <w:vAlign w:val="bottom"/>
            <w:hideMark/>
          </w:tcPr>
          <w:p w:rsidR="00647BDC" w:rsidRPr="00125880" w:rsidRDefault="00647BDC" w:rsidP="00D07581">
            <w:pPr>
              <w:tabs>
                <w:tab w:val="clear" w:pos="567"/>
              </w:tabs>
              <w:spacing w:after="0" w:line="240" w:lineRule="auto"/>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Total own source revenue ($m)</w:t>
            </w:r>
          </w:p>
        </w:tc>
        <w:tc>
          <w:tcPr>
            <w:tcW w:w="1220" w:type="dxa"/>
            <w:tcBorders>
              <w:top w:val="nil"/>
              <w:left w:val="nil"/>
              <w:bottom w:val="nil"/>
              <w:right w:val="nil"/>
            </w:tcBorders>
            <w:shd w:val="clear" w:color="auto" w:fill="auto"/>
            <w:noWrap/>
            <w:vAlign w:val="bottom"/>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86 388</w:t>
            </w:r>
          </w:p>
        </w:tc>
        <w:tc>
          <w:tcPr>
            <w:tcW w:w="1220" w:type="dxa"/>
            <w:tcBorders>
              <w:top w:val="nil"/>
              <w:left w:val="nil"/>
              <w:bottom w:val="nil"/>
              <w:right w:val="nil"/>
            </w:tcBorders>
            <w:shd w:val="clear" w:color="auto" w:fill="auto"/>
            <w:noWrap/>
            <w:vAlign w:val="bottom"/>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94 809</w:t>
            </w:r>
          </w:p>
        </w:tc>
        <w:tc>
          <w:tcPr>
            <w:tcW w:w="1220" w:type="dxa"/>
            <w:tcBorders>
              <w:top w:val="nil"/>
              <w:left w:val="nil"/>
              <w:bottom w:val="nil"/>
              <w:right w:val="nil"/>
            </w:tcBorders>
            <w:shd w:val="clear" w:color="auto" w:fill="auto"/>
            <w:noWrap/>
            <w:vAlign w:val="bottom"/>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98 699</w:t>
            </w:r>
          </w:p>
        </w:tc>
        <w:tc>
          <w:tcPr>
            <w:tcW w:w="1220" w:type="dxa"/>
            <w:tcBorders>
              <w:top w:val="nil"/>
              <w:left w:val="nil"/>
              <w:bottom w:val="nil"/>
              <w:right w:val="nil"/>
            </w:tcBorders>
            <w:shd w:val="clear" w:color="auto" w:fill="auto"/>
            <w:noWrap/>
            <w:vAlign w:val="bottom"/>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107 061</w:t>
            </w:r>
          </w:p>
        </w:tc>
      </w:tr>
      <w:tr w:rsidR="00647BDC" w:rsidRPr="00125880" w:rsidTr="00D07581">
        <w:trPr>
          <w:trHeight w:val="315"/>
        </w:trPr>
        <w:tc>
          <w:tcPr>
            <w:tcW w:w="4080" w:type="dxa"/>
            <w:tcBorders>
              <w:top w:val="nil"/>
              <w:left w:val="nil"/>
              <w:bottom w:val="single" w:sz="4" w:space="0" w:color="auto"/>
              <w:right w:val="nil"/>
            </w:tcBorders>
            <w:shd w:val="clear" w:color="auto" w:fill="auto"/>
            <w:vAlign w:val="bottom"/>
            <w:hideMark/>
          </w:tcPr>
          <w:p w:rsidR="00647BDC" w:rsidRPr="00125880" w:rsidRDefault="00647BDC" w:rsidP="00D07581">
            <w:pPr>
              <w:tabs>
                <w:tab w:val="clear" w:pos="567"/>
              </w:tabs>
              <w:spacing w:after="0" w:line="240" w:lineRule="auto"/>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Proportion of total own source revenue (%)</w:t>
            </w:r>
          </w:p>
        </w:tc>
        <w:tc>
          <w:tcPr>
            <w:tcW w:w="1220" w:type="dxa"/>
            <w:tcBorders>
              <w:top w:val="nil"/>
              <w:left w:val="nil"/>
              <w:bottom w:val="single" w:sz="4" w:space="0" w:color="auto"/>
              <w:right w:val="nil"/>
            </w:tcBorders>
            <w:shd w:val="clear" w:color="auto" w:fill="auto"/>
            <w:vAlign w:val="bottom"/>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7.5</w:t>
            </w:r>
          </w:p>
        </w:tc>
        <w:tc>
          <w:tcPr>
            <w:tcW w:w="1220" w:type="dxa"/>
            <w:tcBorders>
              <w:top w:val="nil"/>
              <w:left w:val="nil"/>
              <w:bottom w:val="single" w:sz="4" w:space="0" w:color="auto"/>
              <w:right w:val="nil"/>
            </w:tcBorders>
            <w:shd w:val="clear" w:color="auto" w:fill="auto"/>
            <w:vAlign w:val="bottom"/>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7.2</w:t>
            </w:r>
          </w:p>
        </w:tc>
        <w:tc>
          <w:tcPr>
            <w:tcW w:w="1220" w:type="dxa"/>
            <w:tcBorders>
              <w:top w:val="nil"/>
              <w:left w:val="nil"/>
              <w:bottom w:val="single" w:sz="4" w:space="0" w:color="auto"/>
              <w:right w:val="nil"/>
            </w:tcBorders>
            <w:shd w:val="clear" w:color="auto" w:fill="auto"/>
            <w:vAlign w:val="bottom"/>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7.0</w:t>
            </w:r>
          </w:p>
        </w:tc>
        <w:tc>
          <w:tcPr>
            <w:tcW w:w="1220" w:type="dxa"/>
            <w:tcBorders>
              <w:top w:val="nil"/>
              <w:left w:val="nil"/>
              <w:bottom w:val="single" w:sz="4" w:space="0" w:color="auto"/>
              <w:right w:val="nil"/>
            </w:tcBorders>
            <w:shd w:val="clear" w:color="auto" w:fill="auto"/>
            <w:vAlign w:val="bottom"/>
            <w:hideMark/>
          </w:tcPr>
          <w:p w:rsidR="00647BDC" w:rsidRPr="00125880"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125880">
              <w:rPr>
                <w:rFonts w:ascii="Calibri" w:eastAsia="Times New Roman" w:hAnsi="Calibri" w:cs="Times New Roman"/>
                <w:sz w:val="20"/>
                <w:szCs w:val="20"/>
                <w:lang w:eastAsia="en-AU"/>
              </w:rPr>
              <w:t>6.6</w:t>
            </w:r>
          </w:p>
        </w:tc>
      </w:tr>
    </w:tbl>
    <w:p w:rsidR="00647BDC" w:rsidRPr="00755429" w:rsidRDefault="00647BDC" w:rsidP="00647BDC">
      <w:pPr>
        <w:pStyle w:val="CGCTableFootnote"/>
      </w:pPr>
      <w:r w:rsidRPr="00755429">
        <w:t>Source:</w:t>
      </w:r>
      <w:r w:rsidRPr="00755429">
        <w:tab/>
        <w:t xml:space="preserve">Commission calculation using ABS </w:t>
      </w:r>
      <w:r>
        <w:t>Government Finance Statistics (</w:t>
      </w:r>
      <w:r w:rsidRPr="00921958">
        <w:t>GFS</w:t>
      </w:r>
      <w:r>
        <w:t>)</w:t>
      </w:r>
      <w:r w:rsidRPr="00921958">
        <w:t xml:space="preserve"> </w:t>
      </w:r>
      <w:r w:rsidRPr="00755429">
        <w:t>data and State data.</w:t>
      </w:r>
    </w:p>
    <w:p w:rsidR="00647BDC" w:rsidRPr="00755429" w:rsidRDefault="00647BDC" w:rsidP="00647BDC">
      <w:pPr>
        <w:pStyle w:val="Heading4"/>
      </w:pPr>
      <w:r w:rsidRPr="00755429">
        <w:t>How are revenues raised?</w:t>
      </w:r>
    </w:p>
    <w:p w:rsidR="00647BDC" w:rsidRPr="00755429" w:rsidRDefault="00647BDC" w:rsidP="00647BDC">
      <w:pPr>
        <w:pStyle w:val="CGCNumberedPara"/>
        <w:numPr>
          <w:ilvl w:val="1"/>
          <w:numId w:val="2"/>
        </w:numPr>
      </w:pPr>
      <w:r w:rsidRPr="00755429">
        <w:rPr>
          <w:rStyle w:val="Heading6Char"/>
        </w:rPr>
        <w:t xml:space="preserve">All property </w:t>
      </w:r>
      <w:proofErr w:type="gramStart"/>
      <w:r w:rsidRPr="00755429">
        <w:rPr>
          <w:rStyle w:val="Heading6Char"/>
        </w:rPr>
        <w:t>component</w:t>
      </w:r>
      <w:proofErr w:type="gramEnd"/>
      <w:r w:rsidRPr="00755429">
        <w:rPr>
          <w:rStyle w:val="Heading6Char"/>
        </w:rPr>
        <w:t>.</w:t>
      </w:r>
      <w:r w:rsidRPr="00755429">
        <w:t xml:space="preserve"> Most States levy these land taxes using a property based levy that is collected by councils with rate notices. The levy can comprise a fixed charge and a charge based on the value of the property. </w:t>
      </w:r>
    </w:p>
    <w:p w:rsidR="00647BDC" w:rsidRPr="00755429" w:rsidRDefault="00647BDC" w:rsidP="00647BDC">
      <w:pPr>
        <w:pStyle w:val="CGCNumberedPara"/>
        <w:numPr>
          <w:ilvl w:val="1"/>
          <w:numId w:val="2"/>
        </w:numPr>
      </w:pPr>
      <w:r w:rsidRPr="00755429">
        <w:t>New South Wales and the Northern Territory do not have a property based fire and emergency levy. Victorian councils will commence collecting a property based levy in 2013</w:t>
      </w:r>
      <w:r w:rsidRPr="00755429">
        <w:noBreakHyphen/>
        <w:t>14.</w:t>
      </w:r>
    </w:p>
    <w:p w:rsidR="00647BDC" w:rsidRPr="00755429" w:rsidRDefault="00647BDC" w:rsidP="00647BDC">
      <w:pPr>
        <w:pStyle w:val="CGCNumberedPara"/>
        <w:numPr>
          <w:ilvl w:val="1"/>
          <w:numId w:val="2"/>
        </w:numPr>
      </w:pPr>
      <w:r w:rsidRPr="00755429">
        <w:rPr>
          <w:rStyle w:val="Heading6Char"/>
        </w:rPr>
        <w:t>Income producing property component.</w:t>
      </w:r>
      <w:r w:rsidRPr="00755429">
        <w:rPr>
          <w:szCs w:val="22"/>
        </w:rPr>
        <w:t xml:space="preserve"> Most States levy these land taxes on the aggregated value of taxable land holdings above a threshold. </w:t>
      </w:r>
      <w:r w:rsidRPr="00755429">
        <w:t>The tax payable is calculated on the combined value of the taxable land above the threshold according to the State’s tax rates.</w:t>
      </w:r>
    </w:p>
    <w:p w:rsidR="00647BDC" w:rsidRPr="00755429" w:rsidRDefault="00647BDC" w:rsidP="00647BDC">
      <w:pPr>
        <w:pStyle w:val="CGCNumberedPara"/>
        <w:numPr>
          <w:ilvl w:val="1"/>
          <w:numId w:val="2"/>
        </w:numPr>
      </w:pPr>
      <w:r w:rsidRPr="00755429">
        <w:rPr>
          <w:szCs w:val="22"/>
        </w:rPr>
        <w:t>The ACT taxes land on an individual taxable property basis and has no deduction threshold. The Northern Territory does not levy land tax.</w:t>
      </w:r>
    </w:p>
    <w:p w:rsidR="00647BDC" w:rsidRPr="00755429" w:rsidRDefault="00647BDC" w:rsidP="00647BDC">
      <w:pPr>
        <w:pStyle w:val="CGCNumberedPara"/>
        <w:numPr>
          <w:ilvl w:val="1"/>
          <w:numId w:val="2"/>
        </w:numPr>
      </w:pPr>
      <w:r w:rsidRPr="00755429">
        <w:rPr>
          <w:szCs w:val="22"/>
        </w:rPr>
        <w:fldChar w:fldCharType="begin"/>
      </w:r>
      <w:r w:rsidRPr="00755429">
        <w:rPr>
          <w:szCs w:val="22"/>
        </w:rPr>
        <w:instrText xml:space="preserve"> REF _Ref386707879 \h </w:instrText>
      </w:r>
      <w:r>
        <w:rPr>
          <w:szCs w:val="22"/>
        </w:rPr>
        <w:instrText xml:space="preserve"> \* MERGEFORMAT </w:instrText>
      </w:r>
      <w:r w:rsidRPr="00755429">
        <w:rPr>
          <w:szCs w:val="22"/>
        </w:rPr>
      </w:r>
      <w:r w:rsidRPr="00755429">
        <w:rPr>
          <w:szCs w:val="22"/>
        </w:rPr>
        <w:fldChar w:fldCharType="separate"/>
      </w:r>
      <w:r w:rsidR="005B69B1" w:rsidRPr="00755429">
        <w:t xml:space="preserve">Table </w:t>
      </w:r>
      <w:r w:rsidR="005B69B1">
        <w:rPr>
          <w:noProof/>
        </w:rPr>
        <w:t>3</w:t>
      </w:r>
      <w:r w:rsidRPr="00755429">
        <w:rPr>
          <w:szCs w:val="22"/>
        </w:rPr>
        <w:fldChar w:fldCharType="end"/>
      </w:r>
      <w:r w:rsidRPr="00755429">
        <w:rPr>
          <w:szCs w:val="22"/>
        </w:rPr>
        <w:t xml:space="preserve"> shows States impose land taxes at progressive rates – the marginal rate of duty increases with the value of land holdings.</w:t>
      </w:r>
    </w:p>
    <w:p w:rsidR="00647BDC" w:rsidRPr="00755429" w:rsidRDefault="00647BDC" w:rsidP="00647BDC">
      <w:pPr>
        <w:pStyle w:val="CGCTableHeading"/>
      </w:pPr>
      <w:bookmarkStart w:id="45" w:name="_Ref386707879"/>
      <w:r w:rsidRPr="00755429">
        <w:lastRenderedPageBreak/>
        <w:t xml:space="preserve">Table </w:t>
      </w:r>
      <w:r w:rsidR="005B69B1">
        <w:fldChar w:fldCharType="begin"/>
      </w:r>
      <w:r w:rsidR="005B69B1">
        <w:instrText xml:space="preserve"> SEQ Table \* ARABIC </w:instrText>
      </w:r>
      <w:r w:rsidR="005B69B1">
        <w:fldChar w:fldCharType="separate"/>
      </w:r>
      <w:r w:rsidR="005B69B1">
        <w:rPr>
          <w:noProof/>
        </w:rPr>
        <w:t>3</w:t>
      </w:r>
      <w:r w:rsidR="005B69B1">
        <w:rPr>
          <w:noProof/>
        </w:rPr>
        <w:fldChar w:fldCharType="end"/>
      </w:r>
      <w:bookmarkEnd w:id="45"/>
      <w:r w:rsidRPr="00755429">
        <w:tab/>
        <w:t>Marginal rates of land tax, 2013</w:t>
      </w:r>
    </w:p>
    <w:tbl>
      <w:tblPr>
        <w:tblW w:w="8920" w:type="dxa"/>
        <w:tblInd w:w="93" w:type="dxa"/>
        <w:tblLook w:val="04A0" w:firstRow="1" w:lastRow="0" w:firstColumn="1" w:lastColumn="0" w:noHBand="0" w:noVBand="1"/>
      </w:tblPr>
      <w:tblGrid>
        <w:gridCol w:w="3200"/>
        <w:gridCol w:w="700"/>
        <w:gridCol w:w="700"/>
        <w:gridCol w:w="780"/>
        <w:gridCol w:w="700"/>
        <w:gridCol w:w="700"/>
        <w:gridCol w:w="700"/>
        <w:gridCol w:w="700"/>
        <w:gridCol w:w="740"/>
      </w:tblGrid>
      <w:tr w:rsidR="00647BDC" w:rsidRPr="00551362" w:rsidTr="00D07581">
        <w:trPr>
          <w:trHeight w:val="379"/>
        </w:trPr>
        <w:tc>
          <w:tcPr>
            <w:tcW w:w="3200" w:type="dxa"/>
            <w:tcBorders>
              <w:top w:val="single" w:sz="4" w:space="0" w:color="auto"/>
              <w:left w:val="nil"/>
              <w:bottom w:val="single" w:sz="4" w:space="0" w:color="auto"/>
              <w:right w:val="nil"/>
            </w:tcBorders>
            <w:shd w:val="clear" w:color="auto" w:fill="auto"/>
            <w:noWrap/>
            <w:vAlign w:val="center"/>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bookmarkStart w:id="46" w:name="RANGE!A3:I10"/>
            <w:r w:rsidRPr="00551362">
              <w:rPr>
                <w:rFonts w:ascii="Calibri" w:eastAsia="Times New Roman" w:hAnsi="Calibri" w:cstheme="minorHAnsi"/>
                <w:color w:val="000000"/>
                <w:sz w:val="20"/>
                <w:szCs w:val="20"/>
                <w:lang w:eastAsia="en-AU"/>
              </w:rPr>
              <w:t> </w:t>
            </w:r>
            <w:bookmarkEnd w:id="46"/>
          </w:p>
        </w:tc>
        <w:tc>
          <w:tcPr>
            <w:tcW w:w="700" w:type="dxa"/>
            <w:tcBorders>
              <w:top w:val="single" w:sz="4" w:space="0" w:color="auto"/>
              <w:left w:val="nil"/>
              <w:bottom w:val="single" w:sz="4" w:space="0" w:color="auto"/>
              <w:right w:val="nil"/>
            </w:tcBorders>
            <w:shd w:val="clear" w:color="auto" w:fill="auto"/>
            <w:noWrap/>
            <w:vAlign w:val="center"/>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NSW</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Vic</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Qld (a)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WA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551362">
              <w:rPr>
                <w:rFonts w:ascii="Calibri" w:eastAsia="Times New Roman" w:hAnsi="Calibri" w:cstheme="minorHAnsi"/>
                <w:color w:val="000000"/>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ACT</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NT (b)</w:t>
            </w:r>
          </w:p>
        </w:tc>
      </w:tr>
      <w:tr w:rsidR="00647BDC" w:rsidRPr="00551362" w:rsidTr="00D07581">
        <w:trPr>
          <w:trHeight w:val="315"/>
        </w:trPr>
        <w:tc>
          <w:tcPr>
            <w:tcW w:w="32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General deduction threshold ($000)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406</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250</w:t>
            </w:r>
          </w:p>
        </w:tc>
        <w:tc>
          <w:tcPr>
            <w:tcW w:w="78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600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300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316</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25</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w:t>
            </w:r>
          </w:p>
        </w:tc>
        <w:tc>
          <w:tcPr>
            <w:tcW w:w="74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w:t>
            </w:r>
          </w:p>
        </w:tc>
      </w:tr>
      <w:tr w:rsidR="00647BDC" w:rsidRPr="00551362" w:rsidTr="00D07581">
        <w:trPr>
          <w:trHeight w:val="315"/>
        </w:trPr>
        <w:tc>
          <w:tcPr>
            <w:tcW w:w="32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Marginal tax rate (%) at:</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p>
        </w:tc>
        <w:tc>
          <w:tcPr>
            <w:tcW w:w="78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p>
        </w:tc>
        <w:tc>
          <w:tcPr>
            <w:tcW w:w="74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p>
        </w:tc>
      </w:tr>
      <w:tr w:rsidR="00647BDC" w:rsidRPr="00551362" w:rsidTr="00D07581">
        <w:trPr>
          <w:trHeight w:val="315"/>
        </w:trPr>
        <w:tc>
          <w:tcPr>
            <w:tcW w:w="32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 xml:space="preserve">   $0.5 m</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1.60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0.20</w:t>
            </w:r>
          </w:p>
        </w:tc>
        <w:tc>
          <w:tcPr>
            <w:tcW w:w="78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0.09</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0.50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1.50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1.80</w:t>
            </w:r>
          </w:p>
        </w:tc>
        <w:tc>
          <w:tcPr>
            <w:tcW w:w="74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w:t>
            </w:r>
          </w:p>
        </w:tc>
      </w:tr>
      <w:tr w:rsidR="00647BDC" w:rsidRPr="00551362" w:rsidTr="00D07581">
        <w:trPr>
          <w:trHeight w:val="315"/>
        </w:trPr>
        <w:tc>
          <w:tcPr>
            <w:tcW w:w="32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 xml:space="preserve">  $1.0 m</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1.60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0.80</w:t>
            </w:r>
          </w:p>
        </w:tc>
        <w:tc>
          <w:tcPr>
            <w:tcW w:w="78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1.65</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0.47</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2.40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1.50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1.80</w:t>
            </w:r>
          </w:p>
        </w:tc>
        <w:tc>
          <w:tcPr>
            <w:tcW w:w="74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w:t>
            </w:r>
          </w:p>
        </w:tc>
      </w:tr>
      <w:tr w:rsidR="00647BDC" w:rsidRPr="00551362" w:rsidTr="00D07581">
        <w:trPr>
          <w:trHeight w:val="315"/>
        </w:trPr>
        <w:tc>
          <w:tcPr>
            <w:tcW w:w="32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 xml:space="preserve">   $2.5 m</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2.00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2.25</w:t>
            </w:r>
          </w:p>
        </w:tc>
        <w:tc>
          <w:tcPr>
            <w:tcW w:w="78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1.65</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1.22</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3.70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1.50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1.80</w:t>
            </w:r>
          </w:p>
        </w:tc>
        <w:tc>
          <w:tcPr>
            <w:tcW w:w="74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w:t>
            </w:r>
          </w:p>
        </w:tc>
      </w:tr>
      <w:tr w:rsidR="00647BDC" w:rsidRPr="00551362" w:rsidTr="00D07581">
        <w:trPr>
          <w:trHeight w:val="315"/>
        </w:trPr>
        <w:tc>
          <w:tcPr>
            <w:tcW w:w="32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 xml:space="preserve">   $5.5 m</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2.00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2.25</w:t>
            </w:r>
          </w:p>
        </w:tc>
        <w:tc>
          <w:tcPr>
            <w:tcW w:w="78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1.75</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1.46</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3.70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1.50</w:t>
            </w:r>
          </w:p>
        </w:tc>
        <w:tc>
          <w:tcPr>
            <w:tcW w:w="70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1.80</w:t>
            </w:r>
          </w:p>
        </w:tc>
        <w:tc>
          <w:tcPr>
            <w:tcW w:w="740" w:type="dxa"/>
            <w:tcBorders>
              <w:top w:val="nil"/>
              <w:left w:val="nil"/>
              <w:bottom w:val="nil"/>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w:t>
            </w:r>
          </w:p>
        </w:tc>
      </w:tr>
      <w:tr w:rsidR="00647BDC" w:rsidRPr="00551362" w:rsidTr="00D07581">
        <w:trPr>
          <w:trHeight w:val="315"/>
        </w:trPr>
        <w:tc>
          <w:tcPr>
            <w:tcW w:w="3200" w:type="dxa"/>
            <w:tcBorders>
              <w:top w:val="nil"/>
              <w:left w:val="nil"/>
              <w:bottom w:val="single" w:sz="4" w:space="0" w:color="auto"/>
              <w:right w:val="nil"/>
            </w:tcBorders>
            <w:shd w:val="clear" w:color="auto" w:fill="auto"/>
            <w:vAlign w:val="bottom"/>
            <w:hideMark/>
          </w:tcPr>
          <w:p w:rsidR="00647BDC" w:rsidRPr="00551362" w:rsidRDefault="00647BDC" w:rsidP="00D07581">
            <w:pPr>
              <w:keepNext/>
              <w:tabs>
                <w:tab w:val="clear" w:pos="567"/>
              </w:tabs>
              <w:spacing w:after="0" w:line="240" w:lineRule="auto"/>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 xml:space="preserve">   Over $11 m</w:t>
            </w:r>
          </w:p>
        </w:tc>
        <w:tc>
          <w:tcPr>
            <w:tcW w:w="700" w:type="dxa"/>
            <w:tcBorders>
              <w:top w:val="nil"/>
              <w:left w:val="nil"/>
              <w:bottom w:val="single" w:sz="4" w:space="0" w:color="auto"/>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2.00</w:t>
            </w:r>
          </w:p>
        </w:tc>
        <w:tc>
          <w:tcPr>
            <w:tcW w:w="700" w:type="dxa"/>
            <w:tcBorders>
              <w:top w:val="nil"/>
              <w:left w:val="nil"/>
              <w:bottom w:val="single" w:sz="4" w:space="0" w:color="auto"/>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2.25</w:t>
            </w:r>
          </w:p>
        </w:tc>
        <w:tc>
          <w:tcPr>
            <w:tcW w:w="780" w:type="dxa"/>
            <w:tcBorders>
              <w:top w:val="nil"/>
              <w:left w:val="nil"/>
              <w:bottom w:val="single" w:sz="4" w:space="0" w:color="auto"/>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1.75</w:t>
            </w:r>
          </w:p>
        </w:tc>
        <w:tc>
          <w:tcPr>
            <w:tcW w:w="700" w:type="dxa"/>
            <w:tcBorders>
              <w:top w:val="nil"/>
              <w:left w:val="nil"/>
              <w:bottom w:val="single" w:sz="4" w:space="0" w:color="auto"/>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2.16</w:t>
            </w:r>
          </w:p>
        </w:tc>
        <w:tc>
          <w:tcPr>
            <w:tcW w:w="700" w:type="dxa"/>
            <w:tcBorders>
              <w:top w:val="nil"/>
              <w:left w:val="nil"/>
              <w:bottom w:val="single" w:sz="4" w:space="0" w:color="auto"/>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3.70</w:t>
            </w:r>
          </w:p>
        </w:tc>
        <w:tc>
          <w:tcPr>
            <w:tcW w:w="700" w:type="dxa"/>
            <w:tcBorders>
              <w:top w:val="nil"/>
              <w:left w:val="nil"/>
              <w:bottom w:val="single" w:sz="4" w:space="0" w:color="auto"/>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1.50</w:t>
            </w:r>
          </w:p>
        </w:tc>
        <w:tc>
          <w:tcPr>
            <w:tcW w:w="700" w:type="dxa"/>
            <w:tcBorders>
              <w:top w:val="nil"/>
              <w:left w:val="nil"/>
              <w:bottom w:val="single" w:sz="4" w:space="0" w:color="auto"/>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1.80</w:t>
            </w:r>
          </w:p>
        </w:tc>
        <w:tc>
          <w:tcPr>
            <w:tcW w:w="740" w:type="dxa"/>
            <w:tcBorders>
              <w:top w:val="nil"/>
              <w:left w:val="nil"/>
              <w:bottom w:val="single" w:sz="4" w:space="0" w:color="auto"/>
              <w:right w:val="nil"/>
            </w:tcBorders>
            <w:shd w:val="clear" w:color="auto" w:fill="auto"/>
            <w:vAlign w:val="bottom"/>
            <w:hideMark/>
          </w:tcPr>
          <w:p w:rsidR="00647BDC" w:rsidRPr="00551362"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551362">
              <w:rPr>
                <w:rFonts w:ascii="Calibri" w:eastAsia="Times New Roman" w:hAnsi="Calibri" w:cstheme="minorHAnsi"/>
                <w:color w:val="000000"/>
                <w:sz w:val="20"/>
                <w:szCs w:val="20"/>
                <w:lang w:eastAsia="en-AU"/>
              </w:rPr>
              <w:t>-</w:t>
            </w:r>
          </w:p>
        </w:tc>
      </w:tr>
    </w:tbl>
    <w:p w:rsidR="00647BDC" w:rsidRPr="00755429" w:rsidRDefault="00647BDC" w:rsidP="00647BDC">
      <w:pPr>
        <w:pStyle w:val="CGCTableFootnote"/>
      </w:pPr>
      <w:r w:rsidRPr="00755429">
        <w:t>(a)</w:t>
      </w:r>
      <w:r w:rsidRPr="00755429">
        <w:tab/>
        <w:t>Data applicable to residential properties. Queensland applies a lower threshold of $350 000 to land owned by companies, trustees and absentees.</w:t>
      </w:r>
    </w:p>
    <w:p w:rsidR="00647BDC" w:rsidRPr="00755429" w:rsidRDefault="00647BDC" w:rsidP="00647BDC">
      <w:pPr>
        <w:pStyle w:val="CGCTableFootnote"/>
      </w:pPr>
      <w:r w:rsidRPr="00755429">
        <w:t>(b)</w:t>
      </w:r>
      <w:r w:rsidRPr="00755429">
        <w:tab/>
        <w:t>The Northern Territory does not levy land tax.</w:t>
      </w:r>
    </w:p>
    <w:p w:rsidR="00647BDC" w:rsidRPr="00755429" w:rsidRDefault="00647BDC" w:rsidP="00647BDC">
      <w:pPr>
        <w:pStyle w:val="CGCTableFootnote"/>
      </w:pPr>
      <w:r w:rsidRPr="00755429">
        <w:t>Source:</w:t>
      </w:r>
      <w:r w:rsidRPr="00755429">
        <w:tab/>
        <w:t xml:space="preserve">Commission calculation, using State general duty rates published in New South Wales Treasury, </w:t>
      </w:r>
      <w:r w:rsidRPr="00755429">
        <w:rPr>
          <w:i/>
        </w:rPr>
        <w:t>Interstate Comparison of Taxes, 2012</w:t>
      </w:r>
      <w:r w:rsidRPr="00755429">
        <w:rPr>
          <w:i/>
        </w:rPr>
        <w:noBreakHyphen/>
        <w:t>13.</w:t>
      </w:r>
    </w:p>
    <w:p w:rsidR="00647BDC" w:rsidRPr="00755429" w:rsidRDefault="00647BDC" w:rsidP="00647BDC">
      <w:pPr>
        <w:pStyle w:val="CGCNumberedPara"/>
        <w:numPr>
          <w:ilvl w:val="1"/>
          <w:numId w:val="2"/>
        </w:numPr>
      </w:pPr>
      <w:r w:rsidRPr="00755429">
        <w:t>Most States value land for tax purposes on the basis of site values. Queensland values land on an unimproved value basis.</w:t>
      </w:r>
    </w:p>
    <w:p w:rsidR="00647BDC" w:rsidRPr="00755429" w:rsidRDefault="00647BDC" w:rsidP="00647BDC">
      <w:pPr>
        <w:pStyle w:val="CGCNumberedPara"/>
        <w:numPr>
          <w:ilvl w:val="1"/>
          <w:numId w:val="2"/>
        </w:numPr>
      </w:pPr>
      <w:r w:rsidRPr="00755429">
        <w:t>In all States, except the ACT, the liability for land tax is assessed using the aggregate value of land held by an owner or a group of owners, less the value of any exempt land such as a principal place of residence. However, they differ in their treatment of land held by two or more people.</w:t>
      </w:r>
    </w:p>
    <w:p w:rsidR="00647BDC" w:rsidRPr="00755429" w:rsidRDefault="00647BDC" w:rsidP="00D07581">
      <w:pPr>
        <w:pStyle w:val="CGCBulletlist"/>
      </w:pPr>
      <w:r w:rsidRPr="00755429">
        <w:t>In New South Wales and Victoria jointly owned land is assessed and taxed as if it was owned by a single owner. The land value is then allocated between the joint owners according to their interest in the land. Each person’s interest in the joint land is aggregated with their other land holdings and they are taxed on the basis of the total value of all taxable land holdings. To avoid double taxation, individuals are able to claim any land tax paid on the joint land as a credit towards their individual assessment.</w:t>
      </w:r>
    </w:p>
    <w:p w:rsidR="00647BDC" w:rsidRPr="00755429" w:rsidRDefault="00647BDC" w:rsidP="00D07581">
      <w:pPr>
        <w:pStyle w:val="CGCBulletlist"/>
      </w:pPr>
      <w:r w:rsidRPr="00755429">
        <w:t>In Queensland, the value of jointly owned land is allocated between each owner and aggregated with any other holdings. Each owner is taxed on the basis of their total value of taxable land.</w:t>
      </w:r>
    </w:p>
    <w:p w:rsidR="00647BDC" w:rsidRPr="00755429" w:rsidRDefault="00647BDC" w:rsidP="00D07581">
      <w:pPr>
        <w:pStyle w:val="CGCBulletlist"/>
      </w:pPr>
      <w:r w:rsidRPr="00755429">
        <w:t>In Western Australia, South Australia and Tasmania jointly owned land is assessed and taxed as if it was owned by a single owner. The assessment is kept separate from any other land owned individually or jointly by the joint owners. These States only aggregate the value of property when it is held by the same owner(s).</w:t>
      </w:r>
    </w:p>
    <w:p w:rsidR="00647BDC" w:rsidRPr="00755429" w:rsidRDefault="00647BDC" w:rsidP="00D07581">
      <w:pPr>
        <w:pStyle w:val="CGCBulletlist"/>
      </w:pPr>
      <w:r w:rsidRPr="00755429">
        <w:t>The ACT taxes land owned jointly as if it was owned by one person. The ACT does not have a land tax-free threshold and does not aggregate the value of land held by an owner — each property is taxed individually.</w:t>
      </w:r>
    </w:p>
    <w:p w:rsidR="00647BDC" w:rsidRPr="00755429" w:rsidRDefault="00647BDC" w:rsidP="00647BDC">
      <w:pPr>
        <w:pStyle w:val="Heading3"/>
      </w:pPr>
      <w:bookmarkStart w:id="47" w:name="_Toc390955807"/>
      <w:r>
        <w:lastRenderedPageBreak/>
        <w:t>Category structure</w:t>
      </w:r>
      <w:bookmarkEnd w:id="47"/>
    </w:p>
    <w:p w:rsidR="00647BDC" w:rsidRPr="00755429" w:rsidRDefault="00647BDC" w:rsidP="00647BDC">
      <w:pPr>
        <w:pStyle w:val="CGCNumberedPara"/>
        <w:numPr>
          <w:ilvl w:val="1"/>
          <w:numId w:val="2"/>
        </w:numPr>
      </w:pPr>
      <w:r w:rsidRPr="00755429">
        <w:t>The assessment of Land tax is in two components:</w:t>
      </w:r>
    </w:p>
    <w:p w:rsidR="00647BDC" w:rsidRPr="00755429" w:rsidRDefault="00647BDC" w:rsidP="00D07581">
      <w:pPr>
        <w:pStyle w:val="CGCBulletlist"/>
      </w:pPr>
      <w:r w:rsidRPr="00755429">
        <w:t>an all property component</w:t>
      </w:r>
    </w:p>
    <w:p w:rsidR="00647BDC" w:rsidRPr="00755429" w:rsidRDefault="00647BDC" w:rsidP="00D07581">
      <w:pPr>
        <w:pStyle w:val="CGCBulletlist"/>
      </w:pPr>
      <w:proofErr w:type="gramStart"/>
      <w:r w:rsidRPr="00755429">
        <w:t>an</w:t>
      </w:r>
      <w:proofErr w:type="gramEnd"/>
      <w:r w:rsidRPr="00755429">
        <w:t xml:space="preserve"> income producing property component.</w:t>
      </w:r>
    </w:p>
    <w:p w:rsidR="00647BDC" w:rsidRPr="00755429" w:rsidRDefault="00647BDC" w:rsidP="00647BDC">
      <w:pPr>
        <w:pStyle w:val="CGCNumberedPara"/>
        <w:numPr>
          <w:ilvl w:val="1"/>
          <w:numId w:val="2"/>
        </w:numPr>
        <w:tabs>
          <w:tab w:val="num" w:pos="5104"/>
        </w:tabs>
      </w:pPr>
      <w:r w:rsidRPr="00755429">
        <w:fldChar w:fldCharType="begin"/>
      </w:r>
      <w:r w:rsidRPr="00755429">
        <w:instrText xml:space="preserve"> REF _Ref383092244 \h </w:instrText>
      </w:r>
      <w:r>
        <w:instrText xml:space="preserve"> \* MERGEFORMAT </w:instrText>
      </w:r>
      <w:r w:rsidRPr="00755429">
        <w:fldChar w:fldCharType="separate"/>
      </w:r>
      <w:r w:rsidR="005B69B1" w:rsidRPr="00755429">
        <w:t xml:space="preserve">Table </w:t>
      </w:r>
      <w:r w:rsidR="005B69B1">
        <w:rPr>
          <w:noProof/>
        </w:rPr>
        <w:t>4</w:t>
      </w:r>
      <w:r w:rsidRPr="00755429">
        <w:fldChar w:fldCharType="end"/>
      </w:r>
      <w:r w:rsidRPr="00755429">
        <w:t xml:space="preserve"> shows the assessment structure for the category, the disabilities that are assessed and the size of each component, using 2012</w:t>
      </w:r>
      <w:r w:rsidRPr="00755429">
        <w:noBreakHyphen/>
        <w:t>13 data.</w:t>
      </w:r>
    </w:p>
    <w:p w:rsidR="00647BDC" w:rsidRPr="00755429" w:rsidRDefault="00647BDC" w:rsidP="00647BDC">
      <w:pPr>
        <w:pStyle w:val="CGCTableHeading"/>
      </w:pPr>
      <w:bookmarkStart w:id="48" w:name="_Ref383092244"/>
      <w:r w:rsidRPr="00755429">
        <w:t xml:space="preserve">Table </w:t>
      </w:r>
      <w:r w:rsidR="005B69B1">
        <w:fldChar w:fldCharType="begin"/>
      </w:r>
      <w:r w:rsidR="005B69B1">
        <w:instrText xml:space="preserve"> SEQ Table \* ARABIC </w:instrText>
      </w:r>
      <w:r w:rsidR="005B69B1">
        <w:fldChar w:fldCharType="separate"/>
      </w:r>
      <w:r w:rsidR="005B69B1">
        <w:rPr>
          <w:noProof/>
        </w:rPr>
        <w:t>4</w:t>
      </w:r>
      <w:r w:rsidR="005B69B1">
        <w:rPr>
          <w:noProof/>
        </w:rPr>
        <w:fldChar w:fldCharType="end"/>
      </w:r>
      <w:bookmarkEnd w:id="48"/>
      <w:r w:rsidRPr="00755429">
        <w:tab/>
        <w:t xml:space="preserve">Category structure, Land tax, </w:t>
      </w:r>
      <w:proofErr w:type="gramStart"/>
      <w:r w:rsidRPr="00755429">
        <w:t>2012</w:t>
      </w:r>
      <w:proofErr w:type="gramEnd"/>
      <w:r w:rsidRPr="00755429">
        <w:noBreakHyphen/>
        <w:t>13</w:t>
      </w:r>
    </w:p>
    <w:tbl>
      <w:tblPr>
        <w:tblW w:w="5000" w:type="pct"/>
        <w:tblCellMar>
          <w:left w:w="85" w:type="dxa"/>
          <w:right w:w="85" w:type="dxa"/>
        </w:tblCellMar>
        <w:tblLook w:val="0000" w:firstRow="0" w:lastRow="0" w:firstColumn="0" w:lastColumn="0" w:noHBand="0" w:noVBand="0"/>
      </w:tblPr>
      <w:tblGrid>
        <w:gridCol w:w="1644"/>
        <w:gridCol w:w="983"/>
        <w:gridCol w:w="1773"/>
        <w:gridCol w:w="4721"/>
      </w:tblGrid>
      <w:tr w:rsidR="00647BDC" w:rsidRPr="00755429" w:rsidTr="00D07581">
        <w:tc>
          <w:tcPr>
            <w:tcW w:w="901" w:type="pct"/>
            <w:tcBorders>
              <w:top w:val="single" w:sz="6" w:space="0" w:color="auto"/>
              <w:bottom w:val="single" w:sz="6" w:space="0" w:color="auto"/>
            </w:tcBorders>
          </w:tcPr>
          <w:p w:rsidR="00647BDC" w:rsidRPr="00755429" w:rsidRDefault="00647BDC" w:rsidP="00D07581">
            <w:pPr>
              <w:pStyle w:val="TableColHeadings"/>
              <w:jc w:val="left"/>
            </w:pPr>
            <w:r w:rsidRPr="00755429">
              <w:t>Component</w:t>
            </w:r>
          </w:p>
        </w:tc>
        <w:tc>
          <w:tcPr>
            <w:tcW w:w="539" w:type="pct"/>
            <w:tcBorders>
              <w:top w:val="single" w:sz="6" w:space="0" w:color="auto"/>
              <w:bottom w:val="single" w:sz="6" w:space="0" w:color="auto"/>
            </w:tcBorders>
          </w:tcPr>
          <w:p w:rsidR="00647BDC" w:rsidRPr="00755429" w:rsidRDefault="00647BDC" w:rsidP="00D07581">
            <w:pPr>
              <w:pStyle w:val="TableColHeadings"/>
            </w:pPr>
            <w:r w:rsidRPr="00755429">
              <w:t>$m</w:t>
            </w:r>
          </w:p>
        </w:tc>
        <w:tc>
          <w:tcPr>
            <w:tcW w:w="972" w:type="pct"/>
            <w:tcBorders>
              <w:top w:val="single" w:sz="6" w:space="0" w:color="auto"/>
              <w:bottom w:val="single" w:sz="6" w:space="0" w:color="auto"/>
            </w:tcBorders>
          </w:tcPr>
          <w:p w:rsidR="00647BDC" w:rsidRPr="00755429" w:rsidRDefault="00647BDC" w:rsidP="00D07581">
            <w:pPr>
              <w:pStyle w:val="TableColHeadings"/>
              <w:jc w:val="left"/>
            </w:pPr>
            <w:r w:rsidRPr="00755429">
              <w:t>Disability</w:t>
            </w:r>
          </w:p>
        </w:tc>
        <w:tc>
          <w:tcPr>
            <w:tcW w:w="2588" w:type="pct"/>
            <w:tcBorders>
              <w:top w:val="single" w:sz="6" w:space="0" w:color="auto"/>
              <w:bottom w:val="single" w:sz="6" w:space="0" w:color="auto"/>
            </w:tcBorders>
          </w:tcPr>
          <w:p w:rsidR="00647BDC" w:rsidRPr="00755429" w:rsidRDefault="00647BDC" w:rsidP="00D07581">
            <w:pPr>
              <w:pStyle w:val="TableColHeadings"/>
              <w:jc w:val="left"/>
            </w:pPr>
            <w:r w:rsidRPr="00755429">
              <w:t>Influences measured by disability</w:t>
            </w:r>
          </w:p>
        </w:tc>
      </w:tr>
      <w:tr w:rsidR="00647BDC" w:rsidRPr="00755429" w:rsidTr="00D07581">
        <w:tc>
          <w:tcPr>
            <w:tcW w:w="901" w:type="pct"/>
          </w:tcPr>
          <w:p w:rsidR="00647BDC" w:rsidRPr="00755429" w:rsidRDefault="00647BDC" w:rsidP="00D07581">
            <w:pPr>
              <w:pStyle w:val="CGCTableStub"/>
              <w:tabs>
                <w:tab w:val="center" w:pos="142"/>
                <w:tab w:val="center" w:pos="284"/>
                <w:tab w:val="center" w:pos="425"/>
                <w:tab w:val="center" w:pos="567"/>
                <w:tab w:val="center" w:pos="709"/>
                <w:tab w:val="left" w:pos="851"/>
              </w:tabs>
              <w:ind w:left="142" w:hanging="142"/>
            </w:pPr>
            <w:r w:rsidRPr="00755429">
              <w:t>All property</w:t>
            </w:r>
          </w:p>
        </w:tc>
        <w:tc>
          <w:tcPr>
            <w:tcW w:w="539" w:type="pct"/>
          </w:tcPr>
          <w:p w:rsidR="00647BDC" w:rsidRPr="00755429" w:rsidRDefault="00647BDC" w:rsidP="00D07581">
            <w:pPr>
              <w:jc w:val="right"/>
              <w:rPr>
                <w:color w:val="000000"/>
                <w:sz w:val="20"/>
                <w:szCs w:val="20"/>
              </w:rPr>
            </w:pPr>
            <w:r w:rsidRPr="00755429">
              <w:rPr>
                <w:color w:val="000000"/>
                <w:sz w:val="20"/>
                <w:szCs w:val="20"/>
              </w:rPr>
              <w:t>1 067</w:t>
            </w:r>
          </w:p>
          <w:p w:rsidR="00647BDC" w:rsidRPr="00755429" w:rsidRDefault="00647BDC" w:rsidP="00D07581">
            <w:pPr>
              <w:pStyle w:val="TableRowNormal"/>
              <w:ind w:left="0" w:firstLine="0"/>
              <w:jc w:val="left"/>
            </w:pPr>
          </w:p>
        </w:tc>
        <w:tc>
          <w:tcPr>
            <w:tcW w:w="972" w:type="pct"/>
          </w:tcPr>
          <w:p w:rsidR="00647BDC" w:rsidRPr="00755429" w:rsidRDefault="00647BDC" w:rsidP="00D07581">
            <w:pPr>
              <w:pStyle w:val="TableRowNormal"/>
              <w:ind w:left="0" w:firstLine="0"/>
              <w:jc w:val="left"/>
            </w:pPr>
            <w:r w:rsidRPr="00755429">
              <w:t>Value of property</w:t>
            </w:r>
          </w:p>
        </w:tc>
        <w:tc>
          <w:tcPr>
            <w:tcW w:w="2588" w:type="pct"/>
          </w:tcPr>
          <w:p w:rsidR="00647BDC" w:rsidRPr="00755429" w:rsidRDefault="00647BDC" w:rsidP="00D07581">
            <w:pPr>
              <w:pStyle w:val="TableRowNormal"/>
              <w:ind w:left="0" w:firstLine="0"/>
              <w:jc w:val="left"/>
            </w:pPr>
            <w:r w:rsidRPr="00755429">
              <w:t>Recognises the additional revenue capacity of States with a greater total value of property.</w:t>
            </w:r>
          </w:p>
        </w:tc>
      </w:tr>
      <w:tr w:rsidR="00647BDC" w:rsidRPr="00755429" w:rsidTr="00D07581">
        <w:tc>
          <w:tcPr>
            <w:tcW w:w="901" w:type="pct"/>
          </w:tcPr>
          <w:p w:rsidR="00647BDC" w:rsidRPr="00755429" w:rsidRDefault="00647BDC" w:rsidP="00D07581">
            <w:pPr>
              <w:pStyle w:val="CGCTableStub"/>
              <w:tabs>
                <w:tab w:val="center" w:pos="142"/>
                <w:tab w:val="center" w:pos="284"/>
                <w:tab w:val="center" w:pos="425"/>
                <w:tab w:val="center" w:pos="567"/>
                <w:tab w:val="center" w:pos="709"/>
                <w:tab w:val="left" w:pos="851"/>
              </w:tabs>
              <w:ind w:left="142" w:hanging="142"/>
            </w:pPr>
            <w:r w:rsidRPr="00755429">
              <w:t>Income producing property</w:t>
            </w:r>
          </w:p>
        </w:tc>
        <w:tc>
          <w:tcPr>
            <w:tcW w:w="539" w:type="pct"/>
          </w:tcPr>
          <w:p w:rsidR="00647BDC" w:rsidRPr="00755429" w:rsidRDefault="00647BDC" w:rsidP="00D07581">
            <w:pPr>
              <w:jc w:val="right"/>
              <w:rPr>
                <w:sz w:val="20"/>
                <w:szCs w:val="20"/>
              </w:rPr>
            </w:pPr>
            <w:r w:rsidRPr="00755429">
              <w:rPr>
                <w:sz w:val="20"/>
                <w:szCs w:val="20"/>
              </w:rPr>
              <w:t>6 011</w:t>
            </w:r>
          </w:p>
        </w:tc>
        <w:tc>
          <w:tcPr>
            <w:tcW w:w="972" w:type="pct"/>
          </w:tcPr>
          <w:p w:rsidR="00647BDC" w:rsidRPr="00755429" w:rsidRDefault="00647BDC" w:rsidP="00D07581">
            <w:pPr>
              <w:pStyle w:val="TableRowNormal"/>
              <w:ind w:left="0" w:firstLine="0"/>
              <w:jc w:val="left"/>
            </w:pPr>
            <w:r w:rsidRPr="00755429">
              <w:t>Value of taxable property</w:t>
            </w:r>
          </w:p>
        </w:tc>
        <w:tc>
          <w:tcPr>
            <w:tcW w:w="2588" w:type="pct"/>
          </w:tcPr>
          <w:p w:rsidR="00647BDC" w:rsidRPr="00755429" w:rsidRDefault="00647BDC" w:rsidP="00D07581">
            <w:pPr>
              <w:pStyle w:val="TableRowNormal"/>
              <w:ind w:left="0" w:firstLine="0"/>
              <w:jc w:val="left"/>
            </w:pPr>
            <w:r w:rsidRPr="00755429">
              <w:t>Recognises the additional revenue capacity of States with a greater total taxable value of property aggregated by landholder.</w:t>
            </w:r>
          </w:p>
        </w:tc>
      </w:tr>
      <w:tr w:rsidR="00647BDC" w:rsidRPr="00755429" w:rsidTr="00D07581">
        <w:tc>
          <w:tcPr>
            <w:tcW w:w="901" w:type="pct"/>
            <w:tcBorders>
              <w:bottom w:val="single" w:sz="4" w:space="0" w:color="auto"/>
            </w:tcBorders>
          </w:tcPr>
          <w:p w:rsidR="00647BDC" w:rsidRPr="00755429" w:rsidRDefault="00647BDC" w:rsidP="00D07581">
            <w:pPr>
              <w:pStyle w:val="CGCTableStub"/>
              <w:tabs>
                <w:tab w:val="center" w:pos="142"/>
                <w:tab w:val="center" w:pos="284"/>
                <w:tab w:val="center" w:pos="425"/>
                <w:tab w:val="center" w:pos="567"/>
                <w:tab w:val="center" w:pos="709"/>
                <w:tab w:val="left" w:pos="851"/>
              </w:tabs>
              <w:ind w:left="142" w:hanging="142"/>
            </w:pPr>
          </w:p>
        </w:tc>
        <w:tc>
          <w:tcPr>
            <w:tcW w:w="539" w:type="pct"/>
            <w:tcBorders>
              <w:bottom w:val="single" w:sz="4" w:space="0" w:color="auto"/>
            </w:tcBorders>
          </w:tcPr>
          <w:p w:rsidR="00647BDC" w:rsidRPr="00755429" w:rsidRDefault="00647BDC" w:rsidP="00D07581">
            <w:pPr>
              <w:jc w:val="right"/>
              <w:rPr>
                <w:sz w:val="20"/>
                <w:szCs w:val="20"/>
              </w:rPr>
            </w:pPr>
          </w:p>
        </w:tc>
        <w:tc>
          <w:tcPr>
            <w:tcW w:w="972" w:type="pct"/>
            <w:tcBorders>
              <w:bottom w:val="single" w:sz="4" w:space="0" w:color="auto"/>
            </w:tcBorders>
          </w:tcPr>
          <w:p w:rsidR="00647BDC" w:rsidRPr="00755429" w:rsidRDefault="00647BDC" w:rsidP="00D07581">
            <w:pPr>
              <w:pStyle w:val="TableRowNormal"/>
              <w:ind w:left="0" w:firstLine="0"/>
              <w:jc w:val="left"/>
            </w:pPr>
            <w:r w:rsidRPr="00755429">
              <w:t>Progressive rates of tax</w:t>
            </w:r>
          </w:p>
        </w:tc>
        <w:tc>
          <w:tcPr>
            <w:tcW w:w="2588" w:type="pct"/>
            <w:tcBorders>
              <w:bottom w:val="single" w:sz="4" w:space="0" w:color="auto"/>
            </w:tcBorders>
          </w:tcPr>
          <w:p w:rsidR="00647BDC" w:rsidRPr="00755429" w:rsidRDefault="00647BDC" w:rsidP="00D07581">
            <w:pPr>
              <w:pStyle w:val="TableRowNormal"/>
              <w:ind w:left="0" w:firstLine="0"/>
              <w:jc w:val="left"/>
            </w:pPr>
            <w:r w:rsidRPr="00755429">
              <w:t>Recognises the additional revenue capacity of States with proportionally more properties in higher value ranges.</w:t>
            </w:r>
          </w:p>
        </w:tc>
      </w:tr>
    </w:tbl>
    <w:p w:rsidR="00647BDC" w:rsidRDefault="00647BDC" w:rsidP="00647BDC">
      <w:pPr>
        <w:pStyle w:val="CGCTableFootnote"/>
      </w:pPr>
      <w:r w:rsidRPr="00755429">
        <w:t>Source:</w:t>
      </w:r>
      <w:r w:rsidRPr="00755429">
        <w:tab/>
        <w:t>Commission calculation.</w:t>
      </w:r>
    </w:p>
    <w:p w:rsidR="00647BDC" w:rsidRPr="00755429" w:rsidRDefault="00647BDC" w:rsidP="00647BDC">
      <w:pPr>
        <w:pStyle w:val="Heading3"/>
      </w:pPr>
      <w:bookmarkStart w:id="49" w:name="_Toc390955808"/>
      <w:r>
        <w:t>All property component</w:t>
      </w:r>
      <w:bookmarkEnd w:id="49"/>
    </w:p>
    <w:p w:rsidR="00647BDC" w:rsidRPr="00755429" w:rsidRDefault="00647BDC" w:rsidP="00647BDC">
      <w:pPr>
        <w:pStyle w:val="CGCNumberedPara"/>
        <w:numPr>
          <w:ilvl w:val="1"/>
          <w:numId w:val="2"/>
        </w:numPr>
      </w:pPr>
      <w:r w:rsidRPr="00755429">
        <w:t>This component comprises revenue from:</w:t>
      </w:r>
    </w:p>
    <w:p w:rsidR="00647BDC" w:rsidRPr="00755429" w:rsidRDefault="00647BDC" w:rsidP="00D07581">
      <w:pPr>
        <w:pStyle w:val="CGCBulletlist"/>
      </w:pPr>
      <w:r w:rsidRPr="00755429">
        <w:t>Metropolitan improvement levies. Victoria ($193 million in 2012</w:t>
      </w:r>
      <w:r w:rsidRPr="00755429">
        <w:noBreakHyphen/>
        <w:t>13) and Western Australia ($85 million in 2012</w:t>
      </w:r>
      <w:r w:rsidRPr="00755429">
        <w:noBreakHyphen/>
        <w:t>13) are the only States to impose metropolitan improvement levies. In the 2010 Review, the Commission treated these levies as above average effort and assessed them so that they had no impact on the GST distribution.</w:t>
      </w:r>
    </w:p>
    <w:p w:rsidR="00647BDC" w:rsidRPr="00755429" w:rsidRDefault="00647BDC" w:rsidP="00D07581">
      <w:pPr>
        <w:pStyle w:val="CGCBulletlist"/>
      </w:pPr>
      <w:r w:rsidRPr="00755429">
        <w:t>The property part of fire and emergency levies. States impose these levies on insurance products, properties and motor vehicles. Those levies raised on a property basis are included in this component. Levies raised on an insurance basis are included in the Insurance tax category and levies raised on motor vehicles are included in the Motor taxes category.</w:t>
      </w:r>
    </w:p>
    <w:p w:rsidR="00647BDC" w:rsidRPr="00755429" w:rsidRDefault="00647BDC" w:rsidP="00647BDC">
      <w:pPr>
        <w:pStyle w:val="CGCNumberedPara"/>
        <w:numPr>
          <w:ilvl w:val="1"/>
          <w:numId w:val="2"/>
        </w:numPr>
      </w:pPr>
      <w:r w:rsidRPr="00755429">
        <w:t xml:space="preserve">We assess these revenues using </w:t>
      </w:r>
      <w:proofErr w:type="spellStart"/>
      <w:r w:rsidRPr="00755429">
        <w:t>Valuer</w:t>
      </w:r>
      <w:proofErr w:type="spellEnd"/>
      <w:r w:rsidRPr="00755429">
        <w:t xml:space="preserve"> General (VG) data on the value of properties. This revenue base reflects that the levies are imposed on a per property basis (not an aggregated landholder basis) and on all residential properties. We discontinued collecting VG data in 2010. We will need to collect them again. For the draft report, we have used the value of properties in 2007</w:t>
      </w:r>
      <w:r w:rsidRPr="00755429">
        <w:noBreakHyphen/>
        <w:t>08, the last VG data we have.</w:t>
      </w:r>
    </w:p>
    <w:p w:rsidR="00647BDC" w:rsidRPr="00755429" w:rsidRDefault="00647BDC" w:rsidP="00647BDC">
      <w:pPr>
        <w:pStyle w:val="CGCNumberedPara"/>
        <w:numPr>
          <w:ilvl w:val="1"/>
          <w:numId w:val="2"/>
        </w:numPr>
      </w:pPr>
      <w:r>
        <w:fldChar w:fldCharType="begin"/>
      </w:r>
      <w:r>
        <w:instrText xml:space="preserve"> REF _Ref388537474 \h </w:instrText>
      </w:r>
      <w:r>
        <w:fldChar w:fldCharType="separate"/>
      </w:r>
      <w:r w:rsidR="005B69B1" w:rsidRPr="00755429">
        <w:t xml:space="preserve">Table </w:t>
      </w:r>
      <w:r w:rsidR="005B69B1">
        <w:rPr>
          <w:noProof/>
        </w:rPr>
        <w:t>5</w:t>
      </w:r>
      <w:r>
        <w:fldChar w:fldCharType="end"/>
      </w:r>
      <w:r w:rsidRPr="00755429">
        <w:t xml:space="preserve"> shows the derivation of a national average effective rate of tax for 2012</w:t>
      </w:r>
      <w:r w:rsidRPr="00755429">
        <w:noBreakHyphen/>
        <w:t xml:space="preserve">13. It was obtained by dividing total tax collections by the total value of land. It also shows </w:t>
      </w:r>
      <w:r w:rsidRPr="00755429">
        <w:lastRenderedPageBreak/>
        <w:t>each State’s assessed revenue was derived by applying the national average effective rate of tax to its revenue base.</w:t>
      </w:r>
    </w:p>
    <w:p w:rsidR="00647BDC" w:rsidRPr="00755429" w:rsidRDefault="00647BDC" w:rsidP="00647BDC">
      <w:pPr>
        <w:pStyle w:val="CGCTableHeading"/>
      </w:pPr>
      <w:r w:rsidRPr="00755429">
        <w:t xml:space="preserve">Table </w:t>
      </w:r>
      <w:r w:rsidR="005B69B1">
        <w:fldChar w:fldCharType="begin"/>
      </w:r>
      <w:r w:rsidR="005B69B1">
        <w:instrText xml:space="preserve"> SEQ Table \* ARABIC </w:instrText>
      </w:r>
      <w:r w:rsidR="005B69B1">
        <w:fldChar w:fldCharType="separate"/>
      </w:r>
      <w:r w:rsidR="005B69B1">
        <w:rPr>
          <w:noProof/>
        </w:rPr>
        <w:t>5</w:t>
      </w:r>
      <w:r w:rsidR="005B69B1">
        <w:rPr>
          <w:noProof/>
        </w:rPr>
        <w:fldChar w:fldCharType="end"/>
      </w:r>
      <w:r w:rsidRPr="00755429">
        <w:tab/>
        <w:t xml:space="preserve">Illustrative assessed revenue, all property </w:t>
      </w:r>
      <w:proofErr w:type="gramStart"/>
      <w:r w:rsidRPr="00755429">
        <w:t>component</w:t>
      </w:r>
      <w:proofErr w:type="gramEnd"/>
      <w:r w:rsidRPr="00755429">
        <w:t>, 2012</w:t>
      </w:r>
      <w:r w:rsidRPr="00755429">
        <w:noBreakHyphen/>
        <w:t>13</w:t>
      </w:r>
    </w:p>
    <w:tbl>
      <w:tblPr>
        <w:tblW w:w="8980" w:type="dxa"/>
        <w:tblInd w:w="93" w:type="dxa"/>
        <w:tblLook w:val="04A0" w:firstRow="1" w:lastRow="0" w:firstColumn="1" w:lastColumn="0" w:noHBand="0" w:noVBand="1"/>
      </w:tblPr>
      <w:tblGrid>
        <w:gridCol w:w="2260"/>
        <w:gridCol w:w="820"/>
        <w:gridCol w:w="740"/>
        <w:gridCol w:w="740"/>
        <w:gridCol w:w="740"/>
        <w:gridCol w:w="740"/>
        <w:gridCol w:w="700"/>
        <w:gridCol w:w="720"/>
        <w:gridCol w:w="640"/>
        <w:gridCol w:w="880"/>
      </w:tblGrid>
      <w:tr w:rsidR="00647BDC" w:rsidRPr="00D55B8E" w:rsidTr="00D07581">
        <w:trPr>
          <w:trHeight w:val="379"/>
        </w:trPr>
        <w:tc>
          <w:tcPr>
            <w:tcW w:w="226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bookmarkStart w:id="50" w:name="RANGE!A3:J7"/>
            <w:r w:rsidRPr="00D55B8E">
              <w:rPr>
                <w:rFonts w:ascii="Calibri" w:eastAsia="Times New Roman" w:hAnsi="Calibri" w:cs="Times New Roman"/>
                <w:sz w:val="20"/>
                <w:szCs w:val="20"/>
                <w:lang w:eastAsia="en-AU"/>
              </w:rPr>
              <w:t> </w:t>
            </w:r>
            <w:bookmarkEnd w:id="50"/>
          </w:p>
        </w:tc>
        <w:tc>
          <w:tcPr>
            <w:tcW w:w="82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NSW</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Vic</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Qld</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WA</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D55B8E">
              <w:rPr>
                <w:rFonts w:ascii="Calibri" w:eastAsia="Times New Roman" w:hAnsi="Calibri" w:cs="Times New Roman"/>
                <w:sz w:val="20"/>
                <w:szCs w:val="20"/>
                <w:lang w:eastAsia="en-AU"/>
              </w:rPr>
              <w:t>Tas</w:t>
            </w:r>
            <w:proofErr w:type="spellEnd"/>
          </w:p>
        </w:tc>
        <w:tc>
          <w:tcPr>
            <w:tcW w:w="72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NT</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Total</w:t>
            </w:r>
          </w:p>
        </w:tc>
      </w:tr>
      <w:tr w:rsidR="00647BDC" w:rsidRPr="00D55B8E" w:rsidTr="00D07581">
        <w:trPr>
          <w:trHeight w:val="315"/>
        </w:trPr>
        <w:tc>
          <w:tcPr>
            <w:tcW w:w="226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Actual revenue ($m)</w:t>
            </w:r>
          </w:p>
        </w:tc>
        <w:tc>
          <w:tcPr>
            <w:tcW w:w="82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0</w:t>
            </w:r>
          </w:p>
        </w:tc>
        <w:tc>
          <w:tcPr>
            <w:tcW w:w="7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193</w:t>
            </w:r>
          </w:p>
        </w:tc>
        <w:tc>
          <w:tcPr>
            <w:tcW w:w="7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348</w:t>
            </w:r>
          </w:p>
        </w:tc>
        <w:tc>
          <w:tcPr>
            <w:tcW w:w="7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322</w:t>
            </w:r>
          </w:p>
        </w:tc>
        <w:tc>
          <w:tcPr>
            <w:tcW w:w="7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134</w:t>
            </w:r>
          </w:p>
        </w:tc>
        <w:tc>
          <w:tcPr>
            <w:tcW w:w="70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41</w:t>
            </w:r>
          </w:p>
        </w:tc>
        <w:tc>
          <w:tcPr>
            <w:tcW w:w="72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29</w:t>
            </w:r>
          </w:p>
        </w:tc>
        <w:tc>
          <w:tcPr>
            <w:tcW w:w="6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0</w:t>
            </w:r>
          </w:p>
        </w:tc>
        <w:tc>
          <w:tcPr>
            <w:tcW w:w="88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1 067</w:t>
            </w:r>
          </w:p>
        </w:tc>
      </w:tr>
      <w:tr w:rsidR="00647BDC" w:rsidRPr="00D55B8E" w:rsidTr="00D07581">
        <w:trPr>
          <w:trHeight w:val="315"/>
        </w:trPr>
        <w:tc>
          <w:tcPr>
            <w:tcW w:w="226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Revenue base ($b)</w:t>
            </w:r>
          </w:p>
        </w:tc>
        <w:tc>
          <w:tcPr>
            <w:tcW w:w="82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766</w:t>
            </w:r>
          </w:p>
        </w:tc>
        <w:tc>
          <w:tcPr>
            <w:tcW w:w="7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531</w:t>
            </w:r>
          </w:p>
        </w:tc>
        <w:tc>
          <w:tcPr>
            <w:tcW w:w="7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380</w:t>
            </w:r>
          </w:p>
        </w:tc>
        <w:tc>
          <w:tcPr>
            <w:tcW w:w="7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315</w:t>
            </w:r>
          </w:p>
        </w:tc>
        <w:tc>
          <w:tcPr>
            <w:tcW w:w="7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117</w:t>
            </w:r>
          </w:p>
        </w:tc>
        <w:tc>
          <w:tcPr>
            <w:tcW w:w="70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22</w:t>
            </w:r>
          </w:p>
        </w:tc>
        <w:tc>
          <w:tcPr>
            <w:tcW w:w="72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34</w:t>
            </w:r>
          </w:p>
        </w:tc>
        <w:tc>
          <w:tcPr>
            <w:tcW w:w="6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7</w:t>
            </w:r>
          </w:p>
        </w:tc>
        <w:tc>
          <w:tcPr>
            <w:tcW w:w="88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2 172</w:t>
            </w:r>
          </w:p>
        </w:tc>
      </w:tr>
      <w:tr w:rsidR="00647BDC" w:rsidRPr="00D55B8E" w:rsidTr="00D07581">
        <w:trPr>
          <w:trHeight w:val="315"/>
        </w:trPr>
        <w:tc>
          <w:tcPr>
            <w:tcW w:w="226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Average tax rate (%)</w:t>
            </w:r>
          </w:p>
        </w:tc>
        <w:tc>
          <w:tcPr>
            <w:tcW w:w="82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64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880" w:type="dxa"/>
            <w:tcBorders>
              <w:top w:val="nil"/>
              <w:left w:val="nil"/>
              <w:bottom w:val="nil"/>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0.0</w:t>
            </w:r>
          </w:p>
        </w:tc>
      </w:tr>
      <w:tr w:rsidR="00647BDC" w:rsidRPr="00D55B8E" w:rsidTr="00D07581">
        <w:trPr>
          <w:trHeight w:val="315"/>
        </w:trPr>
        <w:tc>
          <w:tcPr>
            <w:tcW w:w="2260" w:type="dxa"/>
            <w:tcBorders>
              <w:top w:val="nil"/>
              <w:left w:val="nil"/>
              <w:bottom w:val="single" w:sz="4" w:space="0" w:color="auto"/>
              <w:right w:val="nil"/>
            </w:tcBorders>
            <w:shd w:val="clear" w:color="auto" w:fill="auto"/>
            <w:noWrap/>
            <w:vAlign w:val="bottom"/>
            <w:hideMark/>
          </w:tcPr>
          <w:p w:rsidR="00647BDC" w:rsidRPr="00D55B8E" w:rsidRDefault="00647BDC" w:rsidP="00D07581">
            <w:pPr>
              <w:tabs>
                <w:tab w:val="clear" w:pos="567"/>
              </w:tabs>
              <w:spacing w:after="0" w:line="240" w:lineRule="auto"/>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Assessed revenue ($m)</w:t>
            </w:r>
          </w:p>
        </w:tc>
        <w:tc>
          <w:tcPr>
            <w:tcW w:w="820" w:type="dxa"/>
            <w:tcBorders>
              <w:top w:val="nil"/>
              <w:left w:val="nil"/>
              <w:bottom w:val="single" w:sz="4" w:space="0" w:color="auto"/>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376</w:t>
            </w:r>
          </w:p>
        </w:tc>
        <w:tc>
          <w:tcPr>
            <w:tcW w:w="740" w:type="dxa"/>
            <w:tcBorders>
              <w:top w:val="nil"/>
              <w:left w:val="nil"/>
              <w:bottom w:val="single" w:sz="4" w:space="0" w:color="auto"/>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261</w:t>
            </w:r>
          </w:p>
        </w:tc>
        <w:tc>
          <w:tcPr>
            <w:tcW w:w="740" w:type="dxa"/>
            <w:tcBorders>
              <w:top w:val="nil"/>
              <w:left w:val="nil"/>
              <w:bottom w:val="single" w:sz="4" w:space="0" w:color="auto"/>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187</w:t>
            </w:r>
          </w:p>
        </w:tc>
        <w:tc>
          <w:tcPr>
            <w:tcW w:w="740" w:type="dxa"/>
            <w:tcBorders>
              <w:top w:val="nil"/>
              <w:left w:val="nil"/>
              <w:bottom w:val="single" w:sz="4" w:space="0" w:color="auto"/>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155</w:t>
            </w:r>
          </w:p>
        </w:tc>
        <w:tc>
          <w:tcPr>
            <w:tcW w:w="740" w:type="dxa"/>
            <w:tcBorders>
              <w:top w:val="nil"/>
              <w:left w:val="nil"/>
              <w:bottom w:val="single" w:sz="4" w:space="0" w:color="auto"/>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57</w:t>
            </w:r>
          </w:p>
        </w:tc>
        <w:tc>
          <w:tcPr>
            <w:tcW w:w="700" w:type="dxa"/>
            <w:tcBorders>
              <w:top w:val="nil"/>
              <w:left w:val="nil"/>
              <w:bottom w:val="single" w:sz="4" w:space="0" w:color="auto"/>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11</w:t>
            </w:r>
          </w:p>
        </w:tc>
        <w:tc>
          <w:tcPr>
            <w:tcW w:w="720" w:type="dxa"/>
            <w:tcBorders>
              <w:top w:val="nil"/>
              <w:left w:val="nil"/>
              <w:bottom w:val="single" w:sz="4" w:space="0" w:color="auto"/>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17</w:t>
            </w:r>
          </w:p>
        </w:tc>
        <w:tc>
          <w:tcPr>
            <w:tcW w:w="640" w:type="dxa"/>
            <w:tcBorders>
              <w:top w:val="nil"/>
              <w:left w:val="nil"/>
              <w:bottom w:val="single" w:sz="4" w:space="0" w:color="auto"/>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4</w:t>
            </w:r>
          </w:p>
        </w:tc>
        <w:tc>
          <w:tcPr>
            <w:tcW w:w="880" w:type="dxa"/>
            <w:tcBorders>
              <w:top w:val="nil"/>
              <w:left w:val="nil"/>
              <w:bottom w:val="single" w:sz="4" w:space="0" w:color="auto"/>
              <w:right w:val="nil"/>
            </w:tcBorders>
            <w:shd w:val="clear" w:color="auto" w:fill="auto"/>
            <w:noWrap/>
            <w:vAlign w:val="bottom"/>
            <w:hideMark/>
          </w:tcPr>
          <w:p w:rsidR="00647BDC" w:rsidRPr="00D55B8E"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55B8E">
              <w:rPr>
                <w:rFonts w:ascii="Calibri" w:eastAsia="Times New Roman" w:hAnsi="Calibri" w:cs="Times New Roman"/>
                <w:sz w:val="20"/>
                <w:szCs w:val="20"/>
                <w:lang w:eastAsia="en-AU"/>
              </w:rPr>
              <w:t>1 067</w:t>
            </w:r>
          </w:p>
        </w:tc>
      </w:tr>
    </w:tbl>
    <w:p w:rsidR="00647BDC" w:rsidRPr="009D1394" w:rsidRDefault="00647BDC" w:rsidP="00647BDC">
      <w:pPr>
        <w:pStyle w:val="CGCTableFootnote"/>
      </w:pPr>
      <w:r w:rsidRPr="009D1394">
        <w:t>Note:</w:t>
      </w:r>
      <w:r w:rsidRPr="009D1394">
        <w:tab/>
        <w:t>Assessed revenue calculated as the product of a State’s revenue base and the average rate of tax.</w:t>
      </w:r>
    </w:p>
    <w:p w:rsidR="00647BDC" w:rsidRDefault="00647BDC" w:rsidP="00647BDC">
      <w:pPr>
        <w:pStyle w:val="CGCTableFootnote"/>
      </w:pPr>
      <w:r w:rsidRPr="009D1394">
        <w:t>Source:</w:t>
      </w:r>
      <w:r w:rsidRPr="009D1394">
        <w:tab/>
        <w:t>Commission calculation.</w:t>
      </w:r>
    </w:p>
    <w:p w:rsidR="00647BDC" w:rsidRDefault="00647BDC" w:rsidP="00647BDC">
      <w:pPr>
        <w:pStyle w:val="Heading3"/>
      </w:pPr>
      <w:bookmarkStart w:id="51" w:name="_Toc390955809"/>
      <w:r>
        <w:t>Income producing property component</w:t>
      </w:r>
      <w:bookmarkEnd w:id="51"/>
    </w:p>
    <w:p w:rsidR="00647BDC" w:rsidRPr="00755429" w:rsidRDefault="00647BDC" w:rsidP="00647BDC">
      <w:pPr>
        <w:pStyle w:val="Heading4"/>
      </w:pPr>
      <w:r w:rsidRPr="00755429">
        <w:t>Data source</w:t>
      </w:r>
    </w:p>
    <w:p w:rsidR="00647BDC" w:rsidRPr="00755429" w:rsidRDefault="00647BDC" w:rsidP="00647BDC">
      <w:pPr>
        <w:pStyle w:val="CGCNumberedPara"/>
        <w:numPr>
          <w:ilvl w:val="1"/>
          <w:numId w:val="2"/>
        </w:numPr>
      </w:pPr>
      <w:r w:rsidRPr="00755429">
        <w:t>There are two main sources of land data — taxable land values from State Revenue Offices (SRO data) and VG data. Neither SRO data nor VG data are perfect. There are advantages and disadvantages in using each source:</w:t>
      </w:r>
    </w:p>
    <w:p w:rsidR="00647BDC" w:rsidRPr="00755429" w:rsidRDefault="00647BDC" w:rsidP="00D07581">
      <w:pPr>
        <w:pStyle w:val="CGCBulletlist"/>
      </w:pPr>
      <w:r w:rsidRPr="00755429">
        <w:t>VG data are more comparable between the States, but less accurately reflect how States levy land tax. The VG data is on a property basis. Because they value each parcel of land, the VGs are not able to provide information on the aggregated land holdings of individual owners and they cannot separate taxable residential land from non-taxable residential land (such as principal places of residence)</w:t>
      </w:r>
    </w:p>
    <w:p w:rsidR="00647BDC" w:rsidRPr="00755429" w:rsidRDefault="00647BDC" w:rsidP="00D07581">
      <w:pPr>
        <w:pStyle w:val="CGCBulletlist"/>
      </w:pPr>
      <w:proofErr w:type="gramStart"/>
      <w:r w:rsidRPr="00755429">
        <w:t>the</w:t>
      </w:r>
      <w:proofErr w:type="gramEnd"/>
      <w:r w:rsidRPr="00755429">
        <w:t xml:space="preserve"> SRO land holdings data more closely reflect how States levy land tax. They exclude non-taxable land and they are based on the aggregated land holdings of individual owners. However, each State’s data reflects the way it levies land tax — its scope and exemptions, its treatment of jointly owned property and its valuation approach. Consequently, SRO data are affected by individual State policies and are less comparable across States.</w:t>
      </w:r>
    </w:p>
    <w:p w:rsidR="00647BDC" w:rsidRPr="00755429" w:rsidRDefault="00647BDC" w:rsidP="00647BDC">
      <w:pPr>
        <w:pStyle w:val="CGCNumberedPara"/>
        <w:numPr>
          <w:ilvl w:val="1"/>
          <w:numId w:val="2"/>
        </w:numPr>
      </w:pPr>
      <w:r w:rsidRPr="00755429">
        <w:t>Most States support using SRO data. We think the SRO holdings data are preferable on conceptual grounds. All States, except the ACT and the Northern Territory, levy land tax on the aggregated land holdings of individual owners. The SRO holdings data are on this basis, the VG data are not. We believe States can continue to improve the comparability of their SRO data. While we have some concerns about comparability between States, we have decided to source our land data from State Revenue Offices.</w:t>
      </w:r>
    </w:p>
    <w:p w:rsidR="00647BDC" w:rsidRPr="00755429" w:rsidRDefault="00647BDC" w:rsidP="00647BDC">
      <w:pPr>
        <w:pStyle w:val="CGCNumberedPara"/>
        <w:numPr>
          <w:ilvl w:val="1"/>
          <w:numId w:val="2"/>
        </w:numPr>
      </w:pPr>
      <w:r w:rsidRPr="00755429">
        <w:t>The scope of land that is dutiable differs across States. We have attempted to capture the revenue base that best reflects what States collectively do. There are a number of adjustments required to achieve this and they are all material.</w:t>
      </w:r>
    </w:p>
    <w:p w:rsidR="00647BDC" w:rsidRPr="00755429" w:rsidRDefault="00647BDC" w:rsidP="00647BDC">
      <w:pPr>
        <w:pStyle w:val="Heading4"/>
        <w:rPr>
          <w:rStyle w:val="Heading6Char"/>
          <w:b/>
          <w:i w:val="0"/>
          <w:iCs/>
          <w:sz w:val="32"/>
        </w:rPr>
      </w:pPr>
      <w:r w:rsidRPr="00755429">
        <w:rPr>
          <w:rStyle w:val="Heading6Char"/>
          <w:b/>
          <w:i w:val="0"/>
          <w:iCs/>
          <w:sz w:val="32"/>
        </w:rPr>
        <w:lastRenderedPageBreak/>
        <w:t>Adjustments to State data</w:t>
      </w:r>
    </w:p>
    <w:p w:rsidR="00647BDC" w:rsidRPr="00755429" w:rsidRDefault="00647BDC" w:rsidP="00647BDC">
      <w:pPr>
        <w:pStyle w:val="CGCNumberedPara"/>
        <w:numPr>
          <w:ilvl w:val="1"/>
          <w:numId w:val="2"/>
        </w:numPr>
      </w:pPr>
      <w:r w:rsidRPr="00755429">
        <w:t xml:space="preserve">SRO </w:t>
      </w:r>
      <w:r w:rsidRPr="00755429">
        <w:rPr>
          <w:rStyle w:val="CGCBulletlistCharChar"/>
        </w:rPr>
        <w:t>data are affected by State policies, including differences in tax rates and thresholds, land tax</w:t>
      </w:r>
      <w:r w:rsidRPr="00755429">
        <w:t xml:space="preserve"> policies and methods of aggregation.</w:t>
      </w:r>
    </w:p>
    <w:p w:rsidR="00647BDC" w:rsidRPr="00755429" w:rsidRDefault="00647BDC" w:rsidP="00647BDC">
      <w:pPr>
        <w:pStyle w:val="CGCNumberedPara"/>
        <w:numPr>
          <w:ilvl w:val="1"/>
          <w:numId w:val="2"/>
        </w:numPr>
      </w:pPr>
      <w:r w:rsidRPr="00755429">
        <w:t>The Commission asked New South Wales, Victoria and Queensland to adjust their holdings data to make them more consistent with the treatment of jointly owned land in Western Australia, South Australia and Tasmania.</w:t>
      </w:r>
    </w:p>
    <w:p w:rsidR="00647BDC" w:rsidRPr="00755429" w:rsidRDefault="00647BDC" w:rsidP="00647BDC">
      <w:pPr>
        <w:pStyle w:val="CGCNumberedPara"/>
        <w:numPr>
          <w:ilvl w:val="1"/>
          <w:numId w:val="2"/>
        </w:numPr>
      </w:pPr>
      <w:r w:rsidRPr="00755429">
        <w:t>We increased the ACT’s land values data by 2% because it imposes land tax on an individual property basis rather than the aggregated holdings of land owners. We estimated land values for the Northern Territory by setting them to 0.6% of the total land holdings data for other States in each value range. All States supported making these adjustments for the ACT and the Northern Territory.</w:t>
      </w:r>
    </w:p>
    <w:p w:rsidR="00647BDC" w:rsidRPr="00755429" w:rsidRDefault="00647BDC" w:rsidP="00647BDC">
      <w:pPr>
        <w:pStyle w:val="CGCNumberedPara"/>
        <w:numPr>
          <w:ilvl w:val="1"/>
          <w:numId w:val="2"/>
        </w:numPr>
      </w:pPr>
      <w:r w:rsidRPr="00755429">
        <w:t>For all States, we assess the revenue raised from properties of $0.3 million or less equal per capita because of concerns about States’ ability to accurately record and report on the value of taxable land below their general deduction thresholds.</w:t>
      </w:r>
    </w:p>
    <w:p w:rsidR="00647BDC" w:rsidRPr="00755429" w:rsidRDefault="00647BDC" w:rsidP="00647BDC">
      <w:pPr>
        <w:pStyle w:val="CGCNumberedPara"/>
        <w:numPr>
          <w:ilvl w:val="1"/>
          <w:numId w:val="2"/>
        </w:numPr>
      </w:pPr>
      <w:r w:rsidRPr="00755429">
        <w:rPr>
          <w:rStyle w:val="Heading6Char"/>
        </w:rPr>
        <w:t>Scaling.</w:t>
      </w:r>
      <w:r w:rsidRPr="00755429">
        <w:t xml:space="preserve"> It is usually the case that the total revenue derived from SRO data does not equal the total revenue provided to the ABS by State Treasuries and which we use to derive the State average revenue. Therefore, we scale SRO data to match the revenue reported by the ABS in each State. States’ land values are scaled by the same ratio. This is a relatively minor adjustment, increasing New South Wales’s base by 5%.</w:t>
      </w:r>
    </w:p>
    <w:p w:rsidR="00647BDC" w:rsidRPr="00755429" w:rsidRDefault="00647BDC" w:rsidP="00647BDC">
      <w:pPr>
        <w:pStyle w:val="CGCNumberedPara"/>
        <w:numPr>
          <w:ilvl w:val="1"/>
          <w:numId w:val="2"/>
        </w:numPr>
      </w:pPr>
      <w:r w:rsidRPr="00755429">
        <w:rPr>
          <w:rStyle w:val="Heading6Char"/>
        </w:rPr>
        <w:t>Progressive rates of tax.</w:t>
      </w:r>
      <w:r w:rsidRPr="00755429">
        <w:t xml:space="preserve"> States impose land taxes using progressive rates. Land tax data indicate there are substantial differences between States in the value distribution of land and allowing for these differences has a material effect on assessed revenue raising capacities.</w:t>
      </w:r>
    </w:p>
    <w:p w:rsidR="00647BDC" w:rsidRPr="00755429" w:rsidRDefault="00647BDC" w:rsidP="00647BDC">
      <w:pPr>
        <w:pStyle w:val="CGCNumberedPara"/>
        <w:numPr>
          <w:ilvl w:val="1"/>
          <w:numId w:val="2"/>
        </w:numPr>
      </w:pPr>
      <w:r w:rsidRPr="00755429">
        <w:t>We estimated the impact of progressive rates of tax by calculating average effective rates of tax for each of 15 value ranges, applying those effective rates of tax to each State’s value of land in that range and aggregating across the 15 value ranges. If this assessment is compared to one using a single rate of tax, it shows that the assessment of progressive rates increases the revenue bases of Queensland, Western Australia and the Northern Territory, and reduces the revenue bases of the other States. The State provided land data show these three States have proportionally more of their land values located in the value ranges above $1 million.</w:t>
      </w:r>
    </w:p>
    <w:p w:rsidR="00647BDC" w:rsidRPr="00755429" w:rsidRDefault="00647BDC" w:rsidP="00647BDC">
      <w:pPr>
        <w:pStyle w:val="CGCNumberedPara"/>
        <w:numPr>
          <w:ilvl w:val="1"/>
          <w:numId w:val="2"/>
        </w:numPr>
      </w:pPr>
      <w:r w:rsidRPr="00755429">
        <w:fldChar w:fldCharType="begin"/>
      </w:r>
      <w:r w:rsidRPr="00755429">
        <w:instrText xml:space="preserve"> REF _Ref386115761 \h </w:instrText>
      </w:r>
      <w:r>
        <w:instrText xml:space="preserve"> \* MERGEFORMAT </w:instrText>
      </w:r>
      <w:r w:rsidRPr="00755429">
        <w:fldChar w:fldCharType="separate"/>
      </w:r>
      <w:r w:rsidR="005B69B1" w:rsidRPr="00755429">
        <w:t xml:space="preserve">Table </w:t>
      </w:r>
      <w:r w:rsidR="005B69B1">
        <w:rPr>
          <w:noProof/>
        </w:rPr>
        <w:t>6</w:t>
      </w:r>
      <w:r w:rsidRPr="00755429">
        <w:fldChar w:fldCharType="end"/>
      </w:r>
      <w:r w:rsidRPr="00755429">
        <w:t xml:space="preserve"> shows the impact of this adjustment on the data provided by States.</w:t>
      </w:r>
    </w:p>
    <w:p w:rsidR="00647BDC" w:rsidRPr="00755429" w:rsidRDefault="00647BDC" w:rsidP="00647BDC">
      <w:pPr>
        <w:pStyle w:val="CGCTableHeading"/>
      </w:pPr>
      <w:bookmarkStart w:id="52" w:name="_Ref386115761"/>
      <w:r w:rsidRPr="00755429">
        <w:lastRenderedPageBreak/>
        <w:t xml:space="preserve">Table </w:t>
      </w:r>
      <w:r w:rsidR="005B69B1">
        <w:fldChar w:fldCharType="begin"/>
      </w:r>
      <w:r w:rsidR="005B69B1">
        <w:instrText xml:space="preserve"> SEQ Table \* ARABIC </w:instrText>
      </w:r>
      <w:r w:rsidR="005B69B1">
        <w:fldChar w:fldCharType="separate"/>
      </w:r>
      <w:r w:rsidR="005B69B1">
        <w:rPr>
          <w:noProof/>
        </w:rPr>
        <w:t>6</w:t>
      </w:r>
      <w:r w:rsidR="005B69B1">
        <w:rPr>
          <w:noProof/>
        </w:rPr>
        <w:fldChar w:fldCharType="end"/>
      </w:r>
      <w:bookmarkEnd w:id="52"/>
      <w:r w:rsidRPr="00755429">
        <w:tab/>
        <w:t>Revenue base, income producing property component, 2012</w:t>
      </w:r>
      <w:r w:rsidRPr="00755429">
        <w:noBreakHyphen/>
        <w:t>13</w:t>
      </w:r>
    </w:p>
    <w:tbl>
      <w:tblPr>
        <w:tblW w:w="8940" w:type="dxa"/>
        <w:tblLayout w:type="fixed"/>
        <w:tblCellMar>
          <w:left w:w="0" w:type="dxa"/>
          <w:right w:w="0" w:type="dxa"/>
        </w:tblCellMar>
        <w:tblLook w:val="04A0" w:firstRow="1" w:lastRow="0" w:firstColumn="1" w:lastColumn="0" w:noHBand="0" w:noVBand="1"/>
      </w:tblPr>
      <w:tblGrid>
        <w:gridCol w:w="2361"/>
        <w:gridCol w:w="691"/>
        <w:gridCol w:w="736"/>
        <w:gridCol w:w="736"/>
        <w:gridCol w:w="736"/>
        <w:gridCol w:w="736"/>
        <w:gridCol w:w="736"/>
        <w:gridCol w:w="736"/>
        <w:gridCol w:w="736"/>
        <w:gridCol w:w="736"/>
      </w:tblGrid>
      <w:tr w:rsidR="00647BDC" w:rsidRPr="006F244D" w:rsidTr="00D07581">
        <w:trPr>
          <w:trHeight w:val="379"/>
        </w:trPr>
        <w:tc>
          <w:tcPr>
            <w:tcW w:w="2361" w:type="dxa"/>
            <w:tcBorders>
              <w:top w:val="single" w:sz="4" w:space="0" w:color="auto"/>
              <w:left w:val="nil"/>
              <w:bottom w:val="single" w:sz="4" w:space="0" w:color="auto"/>
              <w:right w:val="nil"/>
            </w:tcBorders>
            <w:shd w:val="clear" w:color="auto" w:fill="auto"/>
            <w:noWrap/>
            <w:vAlign w:val="center"/>
            <w:hideMark/>
          </w:tcPr>
          <w:p w:rsidR="00647BDC" w:rsidRPr="006F244D"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53" w:name="RANGE!A6:J10"/>
            <w:r w:rsidRPr="006F244D">
              <w:rPr>
                <w:rFonts w:ascii="Calibri" w:eastAsia="Times New Roman" w:hAnsi="Calibri" w:cs="Times New Roman"/>
                <w:sz w:val="20"/>
                <w:szCs w:val="20"/>
                <w:lang w:eastAsia="en-AU"/>
              </w:rPr>
              <w:t> </w:t>
            </w:r>
            <w:bookmarkEnd w:id="53"/>
          </w:p>
        </w:tc>
        <w:tc>
          <w:tcPr>
            <w:tcW w:w="691" w:type="dxa"/>
            <w:tcBorders>
              <w:top w:val="single" w:sz="4" w:space="0" w:color="auto"/>
              <w:left w:val="nil"/>
              <w:bottom w:val="single" w:sz="4" w:space="0" w:color="auto"/>
              <w:right w:val="nil"/>
            </w:tcBorders>
            <w:shd w:val="clear" w:color="auto" w:fill="auto"/>
            <w:noWrap/>
            <w:vAlign w:val="center"/>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NSW</w:t>
            </w:r>
          </w:p>
        </w:tc>
        <w:tc>
          <w:tcPr>
            <w:tcW w:w="736" w:type="dxa"/>
            <w:tcBorders>
              <w:top w:val="single" w:sz="4" w:space="0" w:color="auto"/>
              <w:left w:val="nil"/>
              <w:bottom w:val="single" w:sz="4" w:space="0" w:color="auto"/>
              <w:right w:val="nil"/>
            </w:tcBorders>
            <w:shd w:val="clear" w:color="auto" w:fill="auto"/>
            <w:noWrap/>
            <w:vAlign w:val="center"/>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Vic</w:t>
            </w:r>
          </w:p>
        </w:tc>
        <w:tc>
          <w:tcPr>
            <w:tcW w:w="736" w:type="dxa"/>
            <w:tcBorders>
              <w:top w:val="single" w:sz="4" w:space="0" w:color="auto"/>
              <w:left w:val="nil"/>
              <w:bottom w:val="single" w:sz="4" w:space="0" w:color="auto"/>
              <w:right w:val="nil"/>
            </w:tcBorders>
            <w:shd w:val="clear" w:color="auto" w:fill="auto"/>
            <w:noWrap/>
            <w:vAlign w:val="center"/>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Qld</w:t>
            </w:r>
          </w:p>
        </w:tc>
        <w:tc>
          <w:tcPr>
            <w:tcW w:w="736" w:type="dxa"/>
            <w:tcBorders>
              <w:top w:val="single" w:sz="4" w:space="0" w:color="auto"/>
              <w:left w:val="nil"/>
              <w:bottom w:val="single" w:sz="4" w:space="0" w:color="auto"/>
              <w:right w:val="nil"/>
            </w:tcBorders>
            <w:shd w:val="clear" w:color="auto" w:fill="auto"/>
            <w:noWrap/>
            <w:vAlign w:val="center"/>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WA</w:t>
            </w:r>
          </w:p>
        </w:tc>
        <w:tc>
          <w:tcPr>
            <w:tcW w:w="736" w:type="dxa"/>
            <w:tcBorders>
              <w:top w:val="single" w:sz="4" w:space="0" w:color="auto"/>
              <w:left w:val="nil"/>
              <w:bottom w:val="single" w:sz="4" w:space="0" w:color="auto"/>
              <w:right w:val="nil"/>
            </w:tcBorders>
            <w:shd w:val="clear" w:color="auto" w:fill="auto"/>
            <w:noWrap/>
            <w:vAlign w:val="center"/>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SA</w:t>
            </w:r>
          </w:p>
        </w:tc>
        <w:tc>
          <w:tcPr>
            <w:tcW w:w="736" w:type="dxa"/>
            <w:tcBorders>
              <w:top w:val="single" w:sz="4" w:space="0" w:color="auto"/>
              <w:left w:val="nil"/>
              <w:bottom w:val="single" w:sz="4" w:space="0" w:color="auto"/>
              <w:right w:val="nil"/>
            </w:tcBorders>
            <w:shd w:val="clear" w:color="auto" w:fill="auto"/>
            <w:noWrap/>
            <w:vAlign w:val="center"/>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6F244D">
              <w:rPr>
                <w:rFonts w:ascii="Calibri" w:eastAsia="Times New Roman" w:hAnsi="Calibri" w:cs="Times New Roman"/>
                <w:sz w:val="20"/>
                <w:szCs w:val="20"/>
                <w:lang w:eastAsia="en-AU"/>
              </w:rPr>
              <w:t>Tas</w:t>
            </w:r>
            <w:proofErr w:type="spellEnd"/>
          </w:p>
        </w:tc>
        <w:tc>
          <w:tcPr>
            <w:tcW w:w="736" w:type="dxa"/>
            <w:tcBorders>
              <w:top w:val="single" w:sz="4" w:space="0" w:color="auto"/>
              <w:left w:val="nil"/>
              <w:bottom w:val="single" w:sz="4" w:space="0" w:color="auto"/>
              <w:right w:val="nil"/>
            </w:tcBorders>
            <w:shd w:val="clear" w:color="auto" w:fill="auto"/>
            <w:noWrap/>
            <w:vAlign w:val="center"/>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ACT</w:t>
            </w:r>
          </w:p>
        </w:tc>
        <w:tc>
          <w:tcPr>
            <w:tcW w:w="736" w:type="dxa"/>
            <w:tcBorders>
              <w:top w:val="single" w:sz="4" w:space="0" w:color="auto"/>
              <w:left w:val="nil"/>
              <w:bottom w:val="single" w:sz="4" w:space="0" w:color="auto"/>
              <w:right w:val="nil"/>
            </w:tcBorders>
            <w:shd w:val="clear" w:color="auto" w:fill="auto"/>
            <w:noWrap/>
            <w:vAlign w:val="center"/>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NT</w:t>
            </w:r>
          </w:p>
        </w:tc>
        <w:tc>
          <w:tcPr>
            <w:tcW w:w="736" w:type="dxa"/>
            <w:tcBorders>
              <w:top w:val="single" w:sz="4" w:space="0" w:color="auto"/>
              <w:left w:val="nil"/>
              <w:bottom w:val="single" w:sz="4" w:space="0" w:color="auto"/>
              <w:right w:val="nil"/>
            </w:tcBorders>
            <w:shd w:val="clear" w:color="auto" w:fill="auto"/>
            <w:noWrap/>
            <w:vAlign w:val="center"/>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Total</w:t>
            </w:r>
          </w:p>
        </w:tc>
      </w:tr>
      <w:tr w:rsidR="00647BDC" w:rsidRPr="006F244D" w:rsidTr="00D07581">
        <w:trPr>
          <w:trHeight w:val="315"/>
        </w:trPr>
        <w:tc>
          <w:tcPr>
            <w:tcW w:w="2361" w:type="dxa"/>
            <w:tcBorders>
              <w:top w:val="nil"/>
              <w:left w:val="nil"/>
              <w:bottom w:val="nil"/>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p>
        </w:tc>
        <w:tc>
          <w:tcPr>
            <w:tcW w:w="691" w:type="dxa"/>
            <w:tcBorders>
              <w:top w:val="nil"/>
              <w:left w:val="nil"/>
              <w:bottom w:val="nil"/>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$b</w:t>
            </w:r>
          </w:p>
        </w:tc>
        <w:tc>
          <w:tcPr>
            <w:tcW w:w="736" w:type="dxa"/>
            <w:tcBorders>
              <w:top w:val="nil"/>
              <w:left w:val="nil"/>
              <w:bottom w:val="nil"/>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$b</w:t>
            </w:r>
          </w:p>
        </w:tc>
        <w:tc>
          <w:tcPr>
            <w:tcW w:w="736" w:type="dxa"/>
            <w:tcBorders>
              <w:top w:val="nil"/>
              <w:left w:val="nil"/>
              <w:bottom w:val="nil"/>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$b</w:t>
            </w:r>
          </w:p>
        </w:tc>
        <w:tc>
          <w:tcPr>
            <w:tcW w:w="736" w:type="dxa"/>
            <w:tcBorders>
              <w:top w:val="nil"/>
              <w:left w:val="nil"/>
              <w:bottom w:val="nil"/>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$b</w:t>
            </w:r>
          </w:p>
        </w:tc>
        <w:tc>
          <w:tcPr>
            <w:tcW w:w="736" w:type="dxa"/>
            <w:tcBorders>
              <w:top w:val="nil"/>
              <w:left w:val="nil"/>
              <w:bottom w:val="nil"/>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$b</w:t>
            </w:r>
          </w:p>
        </w:tc>
        <w:tc>
          <w:tcPr>
            <w:tcW w:w="736" w:type="dxa"/>
            <w:tcBorders>
              <w:top w:val="nil"/>
              <w:left w:val="nil"/>
              <w:bottom w:val="nil"/>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$b</w:t>
            </w:r>
          </w:p>
        </w:tc>
        <w:tc>
          <w:tcPr>
            <w:tcW w:w="736" w:type="dxa"/>
            <w:tcBorders>
              <w:top w:val="nil"/>
              <w:left w:val="nil"/>
              <w:bottom w:val="nil"/>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$b</w:t>
            </w:r>
          </w:p>
        </w:tc>
        <w:tc>
          <w:tcPr>
            <w:tcW w:w="736" w:type="dxa"/>
            <w:tcBorders>
              <w:top w:val="nil"/>
              <w:left w:val="nil"/>
              <w:bottom w:val="nil"/>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$b</w:t>
            </w:r>
          </w:p>
        </w:tc>
        <w:tc>
          <w:tcPr>
            <w:tcW w:w="736" w:type="dxa"/>
            <w:tcBorders>
              <w:top w:val="nil"/>
              <w:left w:val="nil"/>
              <w:bottom w:val="nil"/>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$b</w:t>
            </w:r>
          </w:p>
        </w:tc>
      </w:tr>
      <w:tr w:rsidR="00647BDC" w:rsidRPr="006F244D" w:rsidTr="00D07581">
        <w:trPr>
          <w:trHeight w:val="555"/>
        </w:trPr>
        <w:tc>
          <w:tcPr>
            <w:tcW w:w="2361"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Estimated value of taxable land (a)</w:t>
            </w:r>
          </w:p>
        </w:tc>
        <w:tc>
          <w:tcPr>
            <w:tcW w:w="691"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312</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284</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135</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146</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60</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12</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11</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6</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965</w:t>
            </w:r>
          </w:p>
        </w:tc>
      </w:tr>
      <w:tr w:rsidR="00647BDC" w:rsidRPr="006F244D" w:rsidTr="00D07581">
        <w:trPr>
          <w:trHeight w:val="315"/>
        </w:trPr>
        <w:tc>
          <w:tcPr>
            <w:tcW w:w="2361"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Progressive rates of tax</w:t>
            </w:r>
          </w:p>
        </w:tc>
        <w:tc>
          <w:tcPr>
            <w:tcW w:w="691"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0.989</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0.940</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1.388</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1.022</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0.584</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0.496</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0.604</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1.013</w:t>
            </w:r>
          </w:p>
        </w:tc>
        <w:tc>
          <w:tcPr>
            <w:tcW w:w="736" w:type="dxa"/>
            <w:tcBorders>
              <w:top w:val="nil"/>
              <w:left w:val="nil"/>
              <w:bottom w:val="nil"/>
              <w:right w:val="nil"/>
            </w:tcBorders>
            <w:shd w:val="clear" w:color="auto" w:fill="auto"/>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1.000</w:t>
            </w:r>
          </w:p>
        </w:tc>
      </w:tr>
      <w:tr w:rsidR="00647BDC" w:rsidRPr="006F244D" w:rsidTr="00D07581">
        <w:trPr>
          <w:trHeight w:val="315"/>
        </w:trPr>
        <w:tc>
          <w:tcPr>
            <w:tcW w:w="2361" w:type="dxa"/>
            <w:tcBorders>
              <w:top w:val="nil"/>
              <w:left w:val="nil"/>
              <w:bottom w:val="single" w:sz="4" w:space="0" w:color="auto"/>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Revenue base</w:t>
            </w:r>
          </w:p>
        </w:tc>
        <w:tc>
          <w:tcPr>
            <w:tcW w:w="691" w:type="dxa"/>
            <w:tcBorders>
              <w:top w:val="nil"/>
              <w:left w:val="nil"/>
              <w:bottom w:val="single" w:sz="4" w:space="0" w:color="auto"/>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309</w:t>
            </w:r>
          </w:p>
        </w:tc>
        <w:tc>
          <w:tcPr>
            <w:tcW w:w="736" w:type="dxa"/>
            <w:tcBorders>
              <w:top w:val="nil"/>
              <w:left w:val="nil"/>
              <w:bottom w:val="single" w:sz="4" w:space="0" w:color="auto"/>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267</w:t>
            </w:r>
          </w:p>
        </w:tc>
        <w:tc>
          <w:tcPr>
            <w:tcW w:w="736" w:type="dxa"/>
            <w:tcBorders>
              <w:top w:val="nil"/>
              <w:left w:val="nil"/>
              <w:bottom w:val="single" w:sz="4" w:space="0" w:color="auto"/>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187</w:t>
            </w:r>
          </w:p>
        </w:tc>
        <w:tc>
          <w:tcPr>
            <w:tcW w:w="736" w:type="dxa"/>
            <w:tcBorders>
              <w:top w:val="nil"/>
              <w:left w:val="nil"/>
              <w:bottom w:val="single" w:sz="4" w:space="0" w:color="auto"/>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150</w:t>
            </w:r>
          </w:p>
        </w:tc>
        <w:tc>
          <w:tcPr>
            <w:tcW w:w="736" w:type="dxa"/>
            <w:tcBorders>
              <w:top w:val="nil"/>
              <w:left w:val="nil"/>
              <w:bottom w:val="single" w:sz="4" w:space="0" w:color="auto"/>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35</w:t>
            </w:r>
          </w:p>
        </w:tc>
        <w:tc>
          <w:tcPr>
            <w:tcW w:w="736" w:type="dxa"/>
            <w:tcBorders>
              <w:top w:val="nil"/>
              <w:left w:val="nil"/>
              <w:bottom w:val="single" w:sz="4" w:space="0" w:color="auto"/>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6</w:t>
            </w:r>
          </w:p>
        </w:tc>
        <w:tc>
          <w:tcPr>
            <w:tcW w:w="736" w:type="dxa"/>
            <w:tcBorders>
              <w:top w:val="nil"/>
              <w:left w:val="nil"/>
              <w:bottom w:val="single" w:sz="4" w:space="0" w:color="auto"/>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7</w:t>
            </w:r>
          </w:p>
        </w:tc>
        <w:tc>
          <w:tcPr>
            <w:tcW w:w="736" w:type="dxa"/>
            <w:tcBorders>
              <w:top w:val="nil"/>
              <w:left w:val="nil"/>
              <w:bottom w:val="single" w:sz="4" w:space="0" w:color="auto"/>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6</w:t>
            </w:r>
          </w:p>
        </w:tc>
        <w:tc>
          <w:tcPr>
            <w:tcW w:w="736" w:type="dxa"/>
            <w:tcBorders>
              <w:top w:val="nil"/>
              <w:left w:val="nil"/>
              <w:bottom w:val="single" w:sz="4" w:space="0" w:color="auto"/>
              <w:right w:val="nil"/>
            </w:tcBorders>
            <w:shd w:val="clear" w:color="auto" w:fill="auto"/>
            <w:noWrap/>
            <w:vAlign w:val="bottom"/>
            <w:hideMark/>
          </w:tcPr>
          <w:p w:rsidR="00647BDC" w:rsidRPr="006F244D"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F244D">
              <w:rPr>
                <w:rFonts w:ascii="Calibri" w:eastAsia="Times New Roman" w:hAnsi="Calibri" w:cs="Times New Roman"/>
                <w:sz w:val="20"/>
                <w:szCs w:val="20"/>
                <w:lang w:eastAsia="en-AU"/>
              </w:rPr>
              <w:t>965</w:t>
            </w:r>
          </w:p>
        </w:tc>
      </w:tr>
    </w:tbl>
    <w:p w:rsidR="00647BDC" w:rsidRPr="00755429" w:rsidRDefault="00647BDC" w:rsidP="00647BDC">
      <w:pPr>
        <w:pStyle w:val="CGCTableFootnote"/>
      </w:pPr>
      <w:r w:rsidRPr="00755429">
        <w:t>(a)</w:t>
      </w:r>
      <w:r w:rsidRPr="00755429">
        <w:tab/>
        <w:t>Includes adjustments for scaling and differences in the scope of transactions subject to duty.</w:t>
      </w:r>
    </w:p>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CGCNumberedPara"/>
        <w:numPr>
          <w:ilvl w:val="1"/>
          <w:numId w:val="2"/>
        </w:numPr>
      </w:pPr>
      <w:r w:rsidRPr="00755429">
        <w:fldChar w:fldCharType="begin"/>
      </w:r>
      <w:r w:rsidRPr="00755429">
        <w:instrText xml:space="preserve"> REF _Ref385399181 \h </w:instrText>
      </w:r>
      <w:r>
        <w:instrText xml:space="preserve"> \* MERGEFORMAT </w:instrText>
      </w:r>
      <w:r w:rsidRPr="00755429">
        <w:fldChar w:fldCharType="separate"/>
      </w:r>
      <w:r w:rsidR="005B69B1" w:rsidRPr="00755429">
        <w:t xml:space="preserve">Table </w:t>
      </w:r>
      <w:r w:rsidR="005B69B1">
        <w:rPr>
          <w:noProof/>
        </w:rPr>
        <w:t>7</w:t>
      </w:r>
      <w:r w:rsidRPr="00755429">
        <w:fldChar w:fldCharType="end"/>
      </w:r>
      <w:r w:rsidRPr="00755429">
        <w:t xml:space="preserve"> shows the derivation of a national average effective rate of tax for 2012</w:t>
      </w:r>
      <w:r w:rsidRPr="00755429">
        <w:noBreakHyphen/>
        <w:t>13. It was obtained by dividing total tax collections by the total value of land aggregated by landholder. It also shows each State’s assessed revenue was derived by applying the national average effective rate of tax to its revenue base.</w:t>
      </w:r>
    </w:p>
    <w:p w:rsidR="00647BDC" w:rsidRPr="00755429" w:rsidRDefault="00647BDC" w:rsidP="00647BDC">
      <w:pPr>
        <w:pStyle w:val="CGCTableHeading"/>
      </w:pPr>
      <w:bookmarkStart w:id="54" w:name="_Ref385399181"/>
      <w:r w:rsidRPr="00755429">
        <w:t xml:space="preserve">Table </w:t>
      </w:r>
      <w:r w:rsidR="005B69B1">
        <w:fldChar w:fldCharType="begin"/>
      </w:r>
      <w:r w:rsidR="005B69B1">
        <w:instrText xml:space="preserve"> SEQ Table \* ARABIC </w:instrText>
      </w:r>
      <w:r w:rsidR="005B69B1">
        <w:fldChar w:fldCharType="separate"/>
      </w:r>
      <w:r w:rsidR="005B69B1">
        <w:rPr>
          <w:noProof/>
        </w:rPr>
        <w:t>7</w:t>
      </w:r>
      <w:r w:rsidR="005B69B1">
        <w:rPr>
          <w:noProof/>
        </w:rPr>
        <w:fldChar w:fldCharType="end"/>
      </w:r>
      <w:bookmarkEnd w:id="54"/>
      <w:r w:rsidRPr="00755429">
        <w:tab/>
        <w:t>Illustrative assessed revenue, income producing property component, 2012</w:t>
      </w:r>
      <w:r w:rsidRPr="00755429">
        <w:noBreakHyphen/>
        <w:t>13</w:t>
      </w:r>
    </w:p>
    <w:tbl>
      <w:tblPr>
        <w:tblW w:w="9000" w:type="dxa"/>
        <w:tblInd w:w="93" w:type="dxa"/>
        <w:tblLook w:val="04A0" w:firstRow="1" w:lastRow="0" w:firstColumn="1" w:lastColumn="0" w:noHBand="0" w:noVBand="1"/>
      </w:tblPr>
      <w:tblGrid>
        <w:gridCol w:w="2440"/>
        <w:gridCol w:w="800"/>
        <w:gridCol w:w="800"/>
        <w:gridCol w:w="800"/>
        <w:gridCol w:w="800"/>
        <w:gridCol w:w="640"/>
        <w:gridCol w:w="640"/>
        <w:gridCol w:w="640"/>
        <w:gridCol w:w="640"/>
        <w:gridCol w:w="800"/>
      </w:tblGrid>
      <w:tr w:rsidR="00647BDC" w:rsidRPr="00D9397F" w:rsidTr="00D07581">
        <w:trPr>
          <w:trHeight w:val="379"/>
        </w:trPr>
        <w:tc>
          <w:tcPr>
            <w:tcW w:w="244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bookmarkStart w:id="55" w:name="RANGE!A12:J16"/>
            <w:r w:rsidRPr="00D9397F">
              <w:rPr>
                <w:rFonts w:ascii="Calibri" w:eastAsia="Times New Roman" w:hAnsi="Calibri" w:cs="Times New Roman"/>
                <w:sz w:val="20"/>
                <w:szCs w:val="20"/>
                <w:lang w:eastAsia="en-AU"/>
              </w:rPr>
              <w:t> </w:t>
            </w:r>
            <w:bookmarkEnd w:id="55"/>
          </w:p>
        </w:tc>
        <w:tc>
          <w:tcPr>
            <w:tcW w:w="80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NSW</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Vic</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Qld</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WA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D9397F">
              <w:rPr>
                <w:rFonts w:ascii="Calibri" w:eastAsia="Times New Roman" w:hAnsi="Calibri" w:cs="Times New Roman"/>
                <w:sz w:val="20"/>
                <w:szCs w:val="20"/>
                <w:lang w:eastAsia="en-AU"/>
              </w:rPr>
              <w:t>Tas</w:t>
            </w:r>
            <w:proofErr w:type="spellEnd"/>
          </w:p>
        </w:tc>
        <w:tc>
          <w:tcPr>
            <w:tcW w:w="64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NT</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Total</w:t>
            </w:r>
          </w:p>
        </w:tc>
      </w:tr>
      <w:tr w:rsidR="00647BDC" w:rsidRPr="00D9397F" w:rsidTr="00D07581">
        <w:trPr>
          <w:trHeight w:val="315"/>
        </w:trPr>
        <w:tc>
          <w:tcPr>
            <w:tcW w:w="24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Actual revenue ($m)</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2 333</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1 589</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990</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559</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381</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89</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71</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0</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6 011</w:t>
            </w:r>
          </w:p>
        </w:tc>
      </w:tr>
      <w:tr w:rsidR="00647BDC" w:rsidRPr="00D9397F" w:rsidTr="00D07581">
        <w:trPr>
          <w:trHeight w:val="315"/>
        </w:trPr>
        <w:tc>
          <w:tcPr>
            <w:tcW w:w="24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Revenue base ($b)</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309</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267</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187</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150</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35</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6</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7</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6</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965</w:t>
            </w:r>
          </w:p>
        </w:tc>
      </w:tr>
      <w:tr w:rsidR="00647BDC" w:rsidRPr="00D9397F" w:rsidTr="00D07581">
        <w:trPr>
          <w:trHeight w:val="315"/>
        </w:trPr>
        <w:tc>
          <w:tcPr>
            <w:tcW w:w="24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Average tax rate (%)</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0.6</w:t>
            </w:r>
          </w:p>
        </w:tc>
      </w:tr>
      <w:tr w:rsidR="00647BDC" w:rsidRPr="00D9397F" w:rsidTr="00D07581">
        <w:trPr>
          <w:trHeight w:val="315"/>
        </w:trPr>
        <w:tc>
          <w:tcPr>
            <w:tcW w:w="244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Assessed revenue ($m)</w:t>
            </w:r>
          </w:p>
        </w:tc>
        <w:tc>
          <w:tcPr>
            <w:tcW w:w="80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1 922</w:t>
            </w:r>
          </w:p>
        </w:tc>
        <w:tc>
          <w:tcPr>
            <w:tcW w:w="80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1 660</w:t>
            </w:r>
          </w:p>
        </w:tc>
        <w:tc>
          <w:tcPr>
            <w:tcW w:w="80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1 166</w:t>
            </w:r>
          </w:p>
        </w:tc>
        <w:tc>
          <w:tcPr>
            <w:tcW w:w="80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931</w:t>
            </w:r>
          </w:p>
        </w:tc>
        <w:tc>
          <w:tcPr>
            <w:tcW w:w="64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217</w:t>
            </w:r>
          </w:p>
        </w:tc>
        <w:tc>
          <w:tcPr>
            <w:tcW w:w="64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37</w:t>
            </w:r>
          </w:p>
        </w:tc>
        <w:tc>
          <w:tcPr>
            <w:tcW w:w="64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41</w:t>
            </w:r>
          </w:p>
        </w:tc>
        <w:tc>
          <w:tcPr>
            <w:tcW w:w="64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36</w:t>
            </w:r>
          </w:p>
        </w:tc>
        <w:tc>
          <w:tcPr>
            <w:tcW w:w="80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6 011</w:t>
            </w:r>
          </w:p>
        </w:tc>
      </w:tr>
    </w:tbl>
    <w:p w:rsidR="00647BDC" w:rsidRDefault="00647BDC" w:rsidP="00647BDC">
      <w:pPr>
        <w:pStyle w:val="CGCTableFootnote"/>
      </w:pPr>
      <w:r>
        <w:t>Note:</w:t>
      </w:r>
      <w:r>
        <w:tab/>
        <w:t>Assessed revenue calculated as the product of a State’s revenue base and the average rate of tax.</w:t>
      </w:r>
    </w:p>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Heading4"/>
      </w:pPr>
      <w:r w:rsidRPr="00755429">
        <w:t>Discounting</w:t>
      </w:r>
    </w:p>
    <w:p w:rsidR="00647BDC" w:rsidRPr="00755429" w:rsidRDefault="00647BDC" w:rsidP="00647BDC">
      <w:pPr>
        <w:pStyle w:val="CGCNumberedPara"/>
        <w:numPr>
          <w:ilvl w:val="1"/>
          <w:numId w:val="2"/>
        </w:numPr>
      </w:pPr>
      <w:r w:rsidRPr="00755429">
        <w:t>We have some concerns about the reliability and comparability of the SRO data. We note that there are inconsistencies between the total value of land holdings and the distribution of those holdings across values.</w:t>
      </w:r>
      <w:r w:rsidRPr="00755429">
        <w:rPr>
          <w:rStyle w:val="Heading6Char"/>
          <w:b w:val="0"/>
          <w:i w:val="0"/>
          <w:iCs w:val="0"/>
          <w:sz w:val="24"/>
        </w:rPr>
        <w:t xml:space="preserve"> </w:t>
      </w:r>
    </w:p>
    <w:p w:rsidR="00647BDC" w:rsidRPr="00755429" w:rsidRDefault="00647BDC" w:rsidP="00D07581">
      <w:pPr>
        <w:pStyle w:val="CGCBulletlist"/>
      </w:pPr>
      <w:r w:rsidRPr="00755429">
        <w:rPr>
          <w:rStyle w:val="Heading6Char"/>
          <w:b w:val="0"/>
          <w:i w:val="0"/>
          <w:iCs w:val="0"/>
          <w:color w:val="auto"/>
          <w:sz w:val="24"/>
        </w:rPr>
        <w:t>44% of taxable land is in holdings of over $2 million in Queensland compared with a national average of only 29%, yet the State has the 3rd lowest value of land per capita.</w:t>
      </w:r>
      <w:r w:rsidRPr="00755429">
        <w:t xml:space="preserve"> </w:t>
      </w:r>
    </w:p>
    <w:p w:rsidR="00647BDC" w:rsidRPr="00755429" w:rsidRDefault="00647BDC" w:rsidP="00D07581">
      <w:pPr>
        <w:pStyle w:val="CGCBulletlist"/>
      </w:pPr>
      <w:r w:rsidRPr="00755429">
        <w:rPr>
          <w:rStyle w:val="Heading6Char"/>
          <w:b w:val="0"/>
          <w:i w:val="0"/>
          <w:iCs w:val="0"/>
          <w:color w:val="auto"/>
          <w:sz w:val="24"/>
        </w:rPr>
        <w:t>29% of taxable land is in high value parcels in both New South Wales and Western Australia, yet Western Australia's total value per capita is 90% above that of New South Wales.</w:t>
      </w:r>
      <w:r w:rsidRPr="00755429">
        <w:t xml:space="preserve"> </w:t>
      </w:r>
    </w:p>
    <w:p w:rsidR="00647BDC" w:rsidRPr="00755429" w:rsidRDefault="00647BDC" w:rsidP="00647BDC">
      <w:pPr>
        <w:pStyle w:val="CGCNumberedPara"/>
        <w:numPr>
          <w:ilvl w:val="1"/>
          <w:numId w:val="2"/>
        </w:numPr>
      </w:pPr>
      <w:r w:rsidRPr="00755429">
        <w:t>Inconsistencies are further evidenced by the need to make adjustments to New South Wales, Victoria and Queensland data because of their different treatment of jointly owned properties; and to the ACT because it does not aggregate land holdings.</w:t>
      </w:r>
    </w:p>
    <w:p w:rsidR="00647BDC" w:rsidRPr="00755429" w:rsidRDefault="00647BDC" w:rsidP="00647BDC">
      <w:pPr>
        <w:pStyle w:val="CGCNumberedPara"/>
        <w:numPr>
          <w:ilvl w:val="1"/>
          <w:numId w:val="2"/>
        </w:numPr>
      </w:pPr>
      <w:r w:rsidRPr="00755429">
        <w:t>Western Australia asked us to apply a 50% discount as, in addition to our concerns with data reliability, it considers the impact of State policies on the value of land to be significant. We consider a 25% discount to</w:t>
      </w:r>
      <w:r>
        <w:t xml:space="preserve"> the income producing component </w:t>
      </w:r>
      <w:r w:rsidRPr="00755429">
        <w:t>reflect</w:t>
      </w:r>
      <w:r>
        <w:t>s</w:t>
      </w:r>
      <w:r w:rsidRPr="00755429">
        <w:t xml:space="preserve"> </w:t>
      </w:r>
      <w:r w:rsidRPr="00755429">
        <w:lastRenderedPageBreak/>
        <w:t xml:space="preserve">our level of confidence in the </w:t>
      </w:r>
      <w:r>
        <w:t>suitability of the SRO data as a proxy for what we are trying to measure</w:t>
      </w:r>
      <w:r w:rsidRPr="00755429">
        <w:t>.</w:t>
      </w:r>
    </w:p>
    <w:p w:rsidR="00647BDC" w:rsidRPr="00755429" w:rsidRDefault="00647BDC" w:rsidP="00647BDC">
      <w:pPr>
        <w:pStyle w:val="CGCNumberedPara"/>
        <w:numPr>
          <w:ilvl w:val="1"/>
          <w:numId w:val="2"/>
        </w:numPr>
      </w:pPr>
      <w:r w:rsidRPr="00755429">
        <w:fldChar w:fldCharType="begin"/>
      </w:r>
      <w:r w:rsidRPr="00755429">
        <w:instrText xml:space="preserve"> REF _Ref386116198 \h </w:instrText>
      </w:r>
      <w:r>
        <w:instrText xml:space="preserve"> \* MERGEFORMAT </w:instrText>
      </w:r>
      <w:r w:rsidRPr="00755429">
        <w:fldChar w:fldCharType="separate"/>
      </w:r>
      <w:r w:rsidR="005B69B1" w:rsidRPr="00755429">
        <w:t xml:space="preserve">Table </w:t>
      </w:r>
      <w:r w:rsidR="005B69B1">
        <w:rPr>
          <w:noProof/>
        </w:rPr>
        <w:t>8</w:t>
      </w:r>
      <w:r w:rsidRPr="00755429">
        <w:fldChar w:fldCharType="end"/>
      </w:r>
      <w:r w:rsidRPr="00755429">
        <w:t xml:space="preserve"> shows how applying the discount changes the category assessed revenues. </w:t>
      </w:r>
    </w:p>
    <w:p w:rsidR="00647BDC" w:rsidRPr="00755429" w:rsidRDefault="00647BDC" w:rsidP="00647BDC">
      <w:pPr>
        <w:pStyle w:val="CGCTableHeading"/>
      </w:pPr>
      <w:bookmarkStart w:id="56" w:name="_Ref386116198"/>
      <w:r w:rsidRPr="00755429">
        <w:t xml:space="preserve">Table </w:t>
      </w:r>
      <w:r w:rsidR="005B69B1">
        <w:fldChar w:fldCharType="begin"/>
      </w:r>
      <w:r w:rsidR="005B69B1">
        <w:instrText xml:space="preserve"> SEQ Table \* ARABIC </w:instrText>
      </w:r>
      <w:r w:rsidR="005B69B1">
        <w:fldChar w:fldCharType="separate"/>
      </w:r>
      <w:r w:rsidR="005B69B1">
        <w:rPr>
          <w:noProof/>
        </w:rPr>
        <w:t>8</w:t>
      </w:r>
      <w:r w:rsidR="005B69B1">
        <w:rPr>
          <w:noProof/>
        </w:rPr>
        <w:fldChar w:fldCharType="end"/>
      </w:r>
      <w:bookmarkEnd w:id="56"/>
      <w:r w:rsidRPr="00755429">
        <w:tab/>
        <w:t xml:space="preserve">Illustrative assessed revenue after discounting, income producing property component, </w:t>
      </w:r>
      <w:proofErr w:type="gramStart"/>
      <w:r w:rsidRPr="00755429">
        <w:t>2012</w:t>
      </w:r>
      <w:proofErr w:type="gramEnd"/>
      <w:r w:rsidRPr="00755429">
        <w:noBreakHyphen/>
        <w:t>13</w:t>
      </w:r>
    </w:p>
    <w:tbl>
      <w:tblPr>
        <w:tblW w:w="9000" w:type="dxa"/>
        <w:tblInd w:w="93" w:type="dxa"/>
        <w:tblLook w:val="04A0" w:firstRow="1" w:lastRow="0" w:firstColumn="1" w:lastColumn="0" w:noHBand="0" w:noVBand="1"/>
      </w:tblPr>
      <w:tblGrid>
        <w:gridCol w:w="2440"/>
        <w:gridCol w:w="800"/>
        <w:gridCol w:w="800"/>
        <w:gridCol w:w="800"/>
        <w:gridCol w:w="800"/>
        <w:gridCol w:w="640"/>
        <w:gridCol w:w="640"/>
        <w:gridCol w:w="640"/>
        <w:gridCol w:w="640"/>
        <w:gridCol w:w="800"/>
      </w:tblGrid>
      <w:tr w:rsidR="00647BDC" w:rsidRPr="00D9397F" w:rsidTr="00D07581">
        <w:trPr>
          <w:trHeight w:val="379"/>
        </w:trPr>
        <w:tc>
          <w:tcPr>
            <w:tcW w:w="244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 </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NSW</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Vic</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Qld</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WA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D9397F">
              <w:rPr>
                <w:rFonts w:ascii="Calibri" w:eastAsia="Times New Roman" w:hAnsi="Calibri" w:cs="Times New Roman"/>
                <w:sz w:val="20"/>
                <w:szCs w:val="20"/>
                <w:lang w:eastAsia="en-AU"/>
              </w:rPr>
              <w:t>Tas</w:t>
            </w:r>
            <w:proofErr w:type="spellEnd"/>
          </w:p>
        </w:tc>
        <w:tc>
          <w:tcPr>
            <w:tcW w:w="64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NT</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Total</w:t>
            </w:r>
          </w:p>
        </w:tc>
      </w:tr>
      <w:tr w:rsidR="00647BDC" w:rsidRPr="00D9397F" w:rsidTr="00D07581">
        <w:trPr>
          <w:trHeight w:val="259"/>
        </w:trPr>
        <w:tc>
          <w:tcPr>
            <w:tcW w:w="2440" w:type="dxa"/>
            <w:tcBorders>
              <w:top w:val="nil"/>
              <w:left w:val="nil"/>
              <w:bottom w:val="nil"/>
              <w:right w:val="nil"/>
            </w:tcBorders>
            <w:shd w:val="clear" w:color="auto" w:fill="auto"/>
            <w:vAlign w:val="bottom"/>
            <w:hideMark/>
          </w:tcPr>
          <w:p w:rsidR="00647BDC" w:rsidRPr="00D9397F" w:rsidRDefault="00647BDC" w:rsidP="00D07581">
            <w:pPr>
              <w:tabs>
                <w:tab w:val="clear" w:pos="567"/>
              </w:tabs>
              <w:spacing w:after="0" w:line="240" w:lineRule="auto"/>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Assessed revenue</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$m</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$m</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$m</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$m</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$m</w:t>
            </w:r>
          </w:p>
        </w:tc>
      </w:tr>
      <w:tr w:rsidR="00647BDC" w:rsidRPr="00D9397F" w:rsidTr="00D07581">
        <w:trPr>
          <w:trHeight w:val="315"/>
        </w:trPr>
        <w:tc>
          <w:tcPr>
            <w:tcW w:w="2440" w:type="dxa"/>
            <w:tcBorders>
              <w:top w:val="nil"/>
              <w:left w:val="nil"/>
              <w:bottom w:val="nil"/>
              <w:right w:val="nil"/>
            </w:tcBorders>
            <w:shd w:val="clear" w:color="auto" w:fill="auto"/>
            <w:vAlign w:val="bottom"/>
            <w:hideMark/>
          </w:tcPr>
          <w:p w:rsidR="00647BDC" w:rsidRPr="00D9397F" w:rsidRDefault="00647BDC" w:rsidP="00D07581">
            <w:pPr>
              <w:tabs>
                <w:tab w:val="clear" w:pos="567"/>
              </w:tabs>
              <w:spacing w:after="0" w:line="240" w:lineRule="auto"/>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Before discounting</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1 922</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1 660</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1 166</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931</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217</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37</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41</w:t>
            </w:r>
          </w:p>
        </w:tc>
        <w:tc>
          <w:tcPr>
            <w:tcW w:w="64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36</w:t>
            </w:r>
          </w:p>
        </w:tc>
        <w:tc>
          <w:tcPr>
            <w:tcW w:w="800" w:type="dxa"/>
            <w:tcBorders>
              <w:top w:val="nil"/>
              <w:left w:val="nil"/>
              <w:bottom w:val="nil"/>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6 011</w:t>
            </w:r>
          </w:p>
        </w:tc>
      </w:tr>
      <w:tr w:rsidR="00647BDC" w:rsidRPr="00D9397F" w:rsidTr="00D07581">
        <w:trPr>
          <w:trHeight w:val="315"/>
        </w:trPr>
        <w:tc>
          <w:tcPr>
            <w:tcW w:w="244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After discounting</w:t>
            </w:r>
          </w:p>
        </w:tc>
        <w:tc>
          <w:tcPr>
            <w:tcW w:w="80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1 924</w:t>
            </w:r>
          </w:p>
        </w:tc>
        <w:tc>
          <w:tcPr>
            <w:tcW w:w="80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1 618</w:t>
            </w:r>
          </w:p>
        </w:tc>
        <w:tc>
          <w:tcPr>
            <w:tcW w:w="80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1 177</w:t>
            </w:r>
          </w:p>
        </w:tc>
        <w:tc>
          <w:tcPr>
            <w:tcW w:w="80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861</w:t>
            </w:r>
          </w:p>
        </w:tc>
        <w:tc>
          <w:tcPr>
            <w:tcW w:w="64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272</w:t>
            </w:r>
          </w:p>
        </w:tc>
        <w:tc>
          <w:tcPr>
            <w:tcW w:w="64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61</w:t>
            </w:r>
          </w:p>
        </w:tc>
        <w:tc>
          <w:tcPr>
            <w:tcW w:w="64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56</w:t>
            </w:r>
          </w:p>
        </w:tc>
        <w:tc>
          <w:tcPr>
            <w:tcW w:w="64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43</w:t>
            </w:r>
          </w:p>
        </w:tc>
        <w:tc>
          <w:tcPr>
            <w:tcW w:w="800" w:type="dxa"/>
            <w:tcBorders>
              <w:top w:val="nil"/>
              <w:left w:val="nil"/>
              <w:bottom w:val="single" w:sz="4" w:space="0" w:color="auto"/>
              <w:right w:val="nil"/>
            </w:tcBorders>
            <w:shd w:val="clear" w:color="auto" w:fill="auto"/>
            <w:noWrap/>
            <w:vAlign w:val="bottom"/>
            <w:hideMark/>
          </w:tcPr>
          <w:p w:rsidR="00647BDC" w:rsidRPr="00D9397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9397F">
              <w:rPr>
                <w:rFonts w:ascii="Calibri" w:eastAsia="Times New Roman" w:hAnsi="Calibri" w:cs="Times New Roman"/>
                <w:sz w:val="20"/>
                <w:szCs w:val="20"/>
                <w:lang w:eastAsia="en-AU"/>
              </w:rPr>
              <w:t>6 011</w:t>
            </w:r>
          </w:p>
        </w:tc>
      </w:tr>
    </w:tbl>
    <w:p w:rsidR="00647BDC" w:rsidRPr="00755429" w:rsidRDefault="00647BDC" w:rsidP="00647BDC">
      <w:pPr>
        <w:pStyle w:val="CGCTableFootnote"/>
      </w:pPr>
      <w:r w:rsidRPr="00755429">
        <w:t>Source:</w:t>
      </w:r>
      <w:r w:rsidRPr="00755429">
        <w:tab/>
        <w:t>Commission calculation</w:t>
      </w:r>
    </w:p>
    <w:p w:rsidR="00647BDC" w:rsidRDefault="00647BDC" w:rsidP="00647BDC">
      <w:pPr>
        <w:pStyle w:val="Heading3"/>
      </w:pPr>
      <w:bookmarkStart w:id="57" w:name="_Toc390955810"/>
      <w:r>
        <w:t>Bringing the assessment together</w:t>
      </w:r>
      <w:bookmarkEnd w:id="57"/>
    </w:p>
    <w:p w:rsidR="00647BDC" w:rsidRPr="00755429" w:rsidRDefault="00647BDC" w:rsidP="00647BDC">
      <w:pPr>
        <w:pStyle w:val="CGCNumberedPara"/>
        <w:numPr>
          <w:ilvl w:val="1"/>
          <w:numId w:val="2"/>
        </w:numPr>
      </w:pPr>
      <w:r w:rsidRPr="00755429">
        <w:fldChar w:fldCharType="begin"/>
      </w:r>
      <w:r w:rsidRPr="00755429">
        <w:instrText xml:space="preserve"> REF _Ref390241541 \h </w:instrText>
      </w:r>
      <w:r>
        <w:instrText xml:space="preserve"> \* MERGEFORMAT </w:instrText>
      </w:r>
      <w:r w:rsidRPr="00755429">
        <w:fldChar w:fldCharType="separate"/>
      </w:r>
      <w:r w:rsidR="005B69B1" w:rsidRPr="00755429">
        <w:t xml:space="preserve">Table </w:t>
      </w:r>
      <w:r w:rsidR="005B69B1">
        <w:rPr>
          <w:noProof/>
        </w:rPr>
        <w:t>9</w:t>
      </w:r>
      <w:r w:rsidRPr="00755429">
        <w:fldChar w:fldCharType="end"/>
      </w:r>
      <w:r w:rsidRPr="00755429">
        <w:t xml:space="preserve"> shows the derivation of category assessed revenue. The revenue raising capacities of New South Wales, Victoria and Western Australia are assessed to be above average. </w:t>
      </w:r>
    </w:p>
    <w:p w:rsidR="00647BDC" w:rsidRPr="00755429" w:rsidRDefault="00647BDC" w:rsidP="00647BDC">
      <w:pPr>
        <w:pStyle w:val="CGCTableHeading"/>
      </w:pPr>
      <w:bookmarkStart w:id="58" w:name="_Ref390241541"/>
      <w:r w:rsidRPr="00755429">
        <w:t xml:space="preserve">Table </w:t>
      </w:r>
      <w:r w:rsidR="005B69B1">
        <w:fldChar w:fldCharType="begin"/>
      </w:r>
      <w:r w:rsidR="005B69B1">
        <w:instrText xml:space="preserve"> SEQ Table \* A</w:instrText>
      </w:r>
      <w:r w:rsidR="005B69B1">
        <w:instrText xml:space="preserve">RABIC </w:instrText>
      </w:r>
      <w:r w:rsidR="005B69B1">
        <w:fldChar w:fldCharType="separate"/>
      </w:r>
      <w:r w:rsidR="005B69B1">
        <w:rPr>
          <w:noProof/>
        </w:rPr>
        <w:t>9</w:t>
      </w:r>
      <w:r w:rsidR="005B69B1">
        <w:rPr>
          <w:noProof/>
        </w:rPr>
        <w:fldChar w:fldCharType="end"/>
      </w:r>
      <w:bookmarkEnd w:id="58"/>
      <w:r w:rsidRPr="00755429">
        <w:tab/>
        <w:t>Illustrative assessed revenue and revenue raising capacity, 2012</w:t>
      </w:r>
      <w:r w:rsidRPr="00755429">
        <w:noBreakHyphen/>
        <w:t>13</w:t>
      </w:r>
    </w:p>
    <w:tbl>
      <w:tblPr>
        <w:tblW w:w="9040" w:type="dxa"/>
        <w:tblLayout w:type="fixed"/>
        <w:tblCellMar>
          <w:left w:w="0" w:type="dxa"/>
          <w:right w:w="0" w:type="dxa"/>
        </w:tblCellMar>
        <w:tblLook w:val="04A0" w:firstRow="1" w:lastRow="0" w:firstColumn="1" w:lastColumn="0" w:noHBand="0" w:noVBand="1"/>
      </w:tblPr>
      <w:tblGrid>
        <w:gridCol w:w="2200"/>
        <w:gridCol w:w="760"/>
        <w:gridCol w:w="760"/>
        <w:gridCol w:w="760"/>
        <w:gridCol w:w="760"/>
        <w:gridCol w:w="760"/>
        <w:gridCol w:w="760"/>
        <w:gridCol w:w="760"/>
        <w:gridCol w:w="760"/>
        <w:gridCol w:w="760"/>
      </w:tblGrid>
      <w:tr w:rsidR="00647BDC" w:rsidRPr="00CF24CE" w:rsidTr="00D07581">
        <w:trPr>
          <w:trHeight w:val="379"/>
        </w:trPr>
        <w:tc>
          <w:tcPr>
            <w:tcW w:w="2200" w:type="dxa"/>
            <w:tcBorders>
              <w:top w:val="single" w:sz="4" w:space="0" w:color="auto"/>
              <w:left w:val="nil"/>
              <w:bottom w:val="single" w:sz="4" w:space="0" w:color="auto"/>
              <w:right w:val="nil"/>
            </w:tcBorders>
            <w:shd w:val="clear" w:color="auto" w:fill="auto"/>
            <w:noWrap/>
            <w:vAlign w:val="center"/>
            <w:hideMark/>
          </w:tcPr>
          <w:p w:rsidR="00647BDC" w:rsidRPr="00CF24CE"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 </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WA</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SA</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CF24CE">
              <w:rPr>
                <w:rFonts w:ascii="Calibri" w:eastAsia="Times New Roman" w:hAnsi="Calibri" w:cs="Times New Roman"/>
                <w:sz w:val="20"/>
                <w:szCs w:val="20"/>
                <w:lang w:eastAsia="en-AU"/>
              </w:rPr>
              <w:t>Tas</w:t>
            </w:r>
            <w:proofErr w:type="spellEnd"/>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ACT</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NT</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Total</w:t>
            </w:r>
          </w:p>
        </w:tc>
      </w:tr>
      <w:tr w:rsidR="00647BDC" w:rsidRPr="00CF24CE" w:rsidTr="00D07581">
        <w:trPr>
          <w:trHeight w:val="315"/>
        </w:trPr>
        <w:tc>
          <w:tcPr>
            <w:tcW w:w="2200" w:type="dxa"/>
            <w:tcBorders>
              <w:top w:val="nil"/>
              <w:left w:val="nil"/>
              <w:bottom w:val="nil"/>
              <w:right w:val="nil"/>
            </w:tcBorders>
            <w:shd w:val="clear" w:color="auto" w:fill="auto"/>
            <w:vAlign w:val="bottom"/>
            <w:hideMark/>
          </w:tcPr>
          <w:p w:rsidR="00647BDC" w:rsidRPr="00CF24CE"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All property ($m)</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376</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261</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187</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155</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57</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11</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17</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4</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1 067</w:t>
            </w:r>
          </w:p>
        </w:tc>
      </w:tr>
      <w:tr w:rsidR="00647BDC" w:rsidRPr="00CF24CE" w:rsidTr="00D07581">
        <w:trPr>
          <w:trHeight w:val="555"/>
        </w:trPr>
        <w:tc>
          <w:tcPr>
            <w:tcW w:w="2200" w:type="dxa"/>
            <w:tcBorders>
              <w:top w:val="nil"/>
              <w:left w:val="nil"/>
              <w:bottom w:val="nil"/>
              <w:right w:val="nil"/>
            </w:tcBorders>
            <w:shd w:val="clear" w:color="auto" w:fill="auto"/>
            <w:vAlign w:val="bottom"/>
            <w:hideMark/>
          </w:tcPr>
          <w:p w:rsidR="00647BDC" w:rsidRPr="00CF24CE"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Income producing property ($m)</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1 924</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1 618</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1 177</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861</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272</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61</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56</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43</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6 011</w:t>
            </w:r>
          </w:p>
        </w:tc>
      </w:tr>
      <w:tr w:rsidR="00647BDC" w:rsidRPr="00CF24CE" w:rsidTr="00D07581">
        <w:trPr>
          <w:trHeight w:val="315"/>
        </w:trPr>
        <w:tc>
          <w:tcPr>
            <w:tcW w:w="220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Assessed revenue ($m)</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2 300</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1 879</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1 363</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1 016</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329</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72</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72</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46</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7 078</w:t>
            </w:r>
          </w:p>
        </w:tc>
      </w:tr>
      <w:tr w:rsidR="00647BDC" w:rsidRPr="00CF24CE" w:rsidTr="00D07581">
        <w:trPr>
          <w:trHeight w:val="315"/>
        </w:trPr>
        <w:tc>
          <w:tcPr>
            <w:tcW w:w="220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Assessed revenue ($pc)</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313</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331</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296</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410</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198</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141</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191</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195</w:t>
            </w:r>
          </w:p>
        </w:tc>
        <w:tc>
          <w:tcPr>
            <w:tcW w:w="760" w:type="dxa"/>
            <w:tcBorders>
              <w:top w:val="nil"/>
              <w:left w:val="nil"/>
              <w:bottom w:val="nil"/>
              <w:right w:val="nil"/>
            </w:tcBorders>
            <w:shd w:val="clear" w:color="auto" w:fill="auto"/>
            <w:noWrap/>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309</w:t>
            </w:r>
          </w:p>
        </w:tc>
      </w:tr>
      <w:tr w:rsidR="00647BDC" w:rsidRPr="00CF24CE" w:rsidTr="00D07581">
        <w:trPr>
          <w:trHeight w:val="315"/>
        </w:trPr>
        <w:tc>
          <w:tcPr>
            <w:tcW w:w="220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Revenue raising capacity</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1.013</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1.071</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0.957</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1.327</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0.641</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0.456</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0.620</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0.630</w:t>
            </w:r>
          </w:p>
        </w:tc>
        <w:tc>
          <w:tcPr>
            <w:tcW w:w="760" w:type="dxa"/>
            <w:tcBorders>
              <w:top w:val="nil"/>
              <w:left w:val="nil"/>
              <w:bottom w:val="single" w:sz="4" w:space="0" w:color="auto"/>
              <w:right w:val="nil"/>
            </w:tcBorders>
            <w:shd w:val="clear" w:color="auto" w:fill="auto"/>
            <w:vAlign w:val="bottom"/>
            <w:hideMark/>
          </w:tcPr>
          <w:p w:rsidR="00647BDC" w:rsidRPr="00CF24C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F24CE">
              <w:rPr>
                <w:rFonts w:ascii="Calibri" w:eastAsia="Times New Roman" w:hAnsi="Calibri" w:cs="Times New Roman"/>
                <w:sz w:val="20"/>
                <w:szCs w:val="20"/>
                <w:lang w:eastAsia="en-AU"/>
              </w:rPr>
              <w:t>1.000</w:t>
            </w:r>
          </w:p>
        </w:tc>
      </w:tr>
    </w:tbl>
    <w:p w:rsidR="00647BDC" w:rsidRPr="00755429" w:rsidRDefault="00647BDC" w:rsidP="00647BDC">
      <w:pPr>
        <w:pStyle w:val="CGCTableFootnote"/>
      </w:pPr>
      <w:r>
        <w:t>Note:</w:t>
      </w:r>
      <w:r w:rsidRPr="00755429">
        <w:tab/>
        <w:t>Revenue raising capacity ratio is calculated as assessed revenue per capita divided by average revenue.</w:t>
      </w:r>
    </w:p>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CGCNumberedPara"/>
        <w:numPr>
          <w:ilvl w:val="1"/>
          <w:numId w:val="2"/>
        </w:numPr>
      </w:pPr>
      <w:r w:rsidRPr="00755429">
        <w:fldChar w:fldCharType="begin"/>
      </w:r>
      <w:r w:rsidRPr="00755429">
        <w:instrText xml:space="preserve"> REF _Ref390249362 \h  \* MERGEFORMAT </w:instrText>
      </w:r>
      <w:r w:rsidRPr="00755429">
        <w:fldChar w:fldCharType="separate"/>
      </w:r>
      <w:r w:rsidR="005B69B1" w:rsidRPr="00755429">
        <w:t xml:space="preserve">Table </w:t>
      </w:r>
      <w:r w:rsidR="005B69B1">
        <w:rPr>
          <w:noProof/>
        </w:rPr>
        <w:t>10</w:t>
      </w:r>
      <w:r w:rsidRPr="00755429">
        <w:fldChar w:fldCharType="end"/>
      </w:r>
      <w:r w:rsidRPr="00755429">
        <w:t xml:space="preserve"> shows that Western Australia has significantly higher average property values per capita, while South Australia, Tasmania and the Northern Territory have significantly lower average property values per capita. </w:t>
      </w:r>
    </w:p>
    <w:p w:rsidR="00647BDC" w:rsidRPr="00755429" w:rsidRDefault="00647BDC" w:rsidP="00647BDC">
      <w:pPr>
        <w:pStyle w:val="CGCNumberedPara"/>
        <w:numPr>
          <w:ilvl w:val="1"/>
          <w:numId w:val="2"/>
        </w:numPr>
      </w:pPr>
      <w:r w:rsidRPr="00755429">
        <w:t xml:space="preserve">While Queensland has lower than average property values per capita, those properties tend to be in high value parcels, which attract higher tax rates. Therefore Queensland has the capacity to </w:t>
      </w:r>
      <w:proofErr w:type="gramStart"/>
      <w:r w:rsidRPr="00755429">
        <w:t>raise</w:t>
      </w:r>
      <w:proofErr w:type="gramEnd"/>
      <w:r w:rsidRPr="00755429">
        <w:t xml:space="preserve"> close to average land tax. </w:t>
      </w:r>
    </w:p>
    <w:p w:rsidR="00647BDC" w:rsidRPr="00755429" w:rsidRDefault="00647BDC" w:rsidP="00647BDC">
      <w:pPr>
        <w:pStyle w:val="CGCNumberedPara"/>
        <w:numPr>
          <w:ilvl w:val="1"/>
          <w:numId w:val="2"/>
        </w:numPr>
      </w:pPr>
      <w:r w:rsidRPr="00755429">
        <w:t xml:space="preserve">Because of our concerns with the quality of data in this assessment, we have discounted it by 25%. We therefore assess the four smaller States as having a greater capacity than the raw data would imply. </w:t>
      </w:r>
    </w:p>
    <w:p w:rsidR="00647BDC" w:rsidRPr="00755429" w:rsidRDefault="00647BDC" w:rsidP="00647BDC">
      <w:pPr>
        <w:pStyle w:val="CGCTableHeading"/>
      </w:pPr>
      <w:bookmarkStart w:id="59" w:name="_Ref390249362"/>
      <w:r w:rsidRPr="00755429">
        <w:lastRenderedPageBreak/>
        <w:t xml:space="preserve">Table </w:t>
      </w:r>
      <w:r w:rsidR="005B69B1">
        <w:fldChar w:fldCharType="begin"/>
      </w:r>
      <w:r w:rsidR="005B69B1">
        <w:instrText xml:space="preserve"> SEQ Table \* ARABIC </w:instrText>
      </w:r>
      <w:r w:rsidR="005B69B1">
        <w:fldChar w:fldCharType="separate"/>
      </w:r>
      <w:r w:rsidR="005B69B1">
        <w:rPr>
          <w:noProof/>
        </w:rPr>
        <w:t>10</w:t>
      </w:r>
      <w:r w:rsidR="005B69B1">
        <w:rPr>
          <w:noProof/>
        </w:rPr>
        <w:fldChar w:fldCharType="end"/>
      </w:r>
      <w:bookmarkEnd w:id="59"/>
      <w:r w:rsidRPr="00755429">
        <w:tab/>
        <w:t>Illustrative assessed revenue per capita, 2012</w:t>
      </w:r>
      <w:r w:rsidRPr="00755429">
        <w:noBreakHyphen/>
        <w:t>13</w:t>
      </w:r>
    </w:p>
    <w:tbl>
      <w:tblPr>
        <w:tblW w:w="9074" w:type="dxa"/>
        <w:tblInd w:w="93" w:type="dxa"/>
        <w:tblLook w:val="04A0" w:firstRow="1" w:lastRow="0" w:firstColumn="1" w:lastColumn="0" w:noHBand="0" w:noVBand="1"/>
      </w:tblPr>
      <w:tblGrid>
        <w:gridCol w:w="2610"/>
        <w:gridCol w:w="697"/>
        <w:gridCol w:w="698"/>
        <w:gridCol w:w="698"/>
        <w:gridCol w:w="698"/>
        <w:gridCol w:w="698"/>
        <w:gridCol w:w="698"/>
        <w:gridCol w:w="698"/>
        <w:gridCol w:w="698"/>
        <w:gridCol w:w="881"/>
      </w:tblGrid>
      <w:tr w:rsidR="00647BDC" w:rsidRPr="001E6F5C" w:rsidTr="00D07581">
        <w:trPr>
          <w:trHeight w:val="379"/>
        </w:trPr>
        <w:tc>
          <w:tcPr>
            <w:tcW w:w="2612" w:type="dxa"/>
            <w:tcBorders>
              <w:top w:val="single" w:sz="4" w:space="0" w:color="auto"/>
              <w:left w:val="nil"/>
              <w:bottom w:val="single" w:sz="4" w:space="0" w:color="auto"/>
              <w:right w:val="nil"/>
            </w:tcBorders>
            <w:shd w:val="clear" w:color="auto" w:fill="auto"/>
            <w:noWrap/>
            <w:vAlign w:val="center"/>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 </w:t>
            </w:r>
          </w:p>
        </w:tc>
        <w:tc>
          <w:tcPr>
            <w:tcW w:w="698" w:type="dxa"/>
            <w:tcBorders>
              <w:top w:val="single" w:sz="4" w:space="0" w:color="auto"/>
              <w:left w:val="nil"/>
              <w:bottom w:val="single" w:sz="4" w:space="0" w:color="auto"/>
              <w:right w:val="nil"/>
            </w:tcBorders>
            <w:shd w:val="clear" w:color="auto" w:fill="auto"/>
            <w:noWrap/>
            <w:vAlign w:val="center"/>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NSW</w:t>
            </w:r>
          </w:p>
        </w:tc>
        <w:tc>
          <w:tcPr>
            <w:tcW w:w="698" w:type="dxa"/>
            <w:tcBorders>
              <w:top w:val="single" w:sz="4" w:space="0" w:color="auto"/>
              <w:left w:val="nil"/>
              <w:bottom w:val="single" w:sz="4" w:space="0" w:color="auto"/>
              <w:right w:val="nil"/>
            </w:tcBorders>
            <w:shd w:val="clear" w:color="auto" w:fill="auto"/>
            <w:noWrap/>
            <w:vAlign w:val="center"/>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Vic</w:t>
            </w:r>
          </w:p>
        </w:tc>
        <w:tc>
          <w:tcPr>
            <w:tcW w:w="698" w:type="dxa"/>
            <w:tcBorders>
              <w:top w:val="single" w:sz="4" w:space="0" w:color="auto"/>
              <w:left w:val="nil"/>
              <w:bottom w:val="single" w:sz="4" w:space="0" w:color="auto"/>
              <w:right w:val="nil"/>
            </w:tcBorders>
            <w:shd w:val="clear" w:color="auto" w:fill="auto"/>
            <w:noWrap/>
            <w:vAlign w:val="center"/>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Qld</w:t>
            </w:r>
          </w:p>
        </w:tc>
        <w:tc>
          <w:tcPr>
            <w:tcW w:w="698" w:type="dxa"/>
            <w:tcBorders>
              <w:top w:val="single" w:sz="4" w:space="0" w:color="auto"/>
              <w:left w:val="nil"/>
              <w:bottom w:val="single" w:sz="4" w:space="0" w:color="auto"/>
              <w:right w:val="nil"/>
            </w:tcBorders>
            <w:shd w:val="clear" w:color="auto" w:fill="auto"/>
            <w:noWrap/>
            <w:vAlign w:val="center"/>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WA</w:t>
            </w:r>
          </w:p>
        </w:tc>
        <w:tc>
          <w:tcPr>
            <w:tcW w:w="698" w:type="dxa"/>
            <w:tcBorders>
              <w:top w:val="single" w:sz="4" w:space="0" w:color="auto"/>
              <w:left w:val="nil"/>
              <w:bottom w:val="single" w:sz="4" w:space="0" w:color="auto"/>
              <w:right w:val="nil"/>
            </w:tcBorders>
            <w:shd w:val="clear" w:color="auto" w:fill="auto"/>
            <w:noWrap/>
            <w:vAlign w:val="center"/>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SA</w:t>
            </w:r>
          </w:p>
        </w:tc>
        <w:tc>
          <w:tcPr>
            <w:tcW w:w="698" w:type="dxa"/>
            <w:tcBorders>
              <w:top w:val="single" w:sz="4" w:space="0" w:color="auto"/>
              <w:left w:val="nil"/>
              <w:bottom w:val="single" w:sz="4" w:space="0" w:color="auto"/>
              <w:right w:val="nil"/>
            </w:tcBorders>
            <w:shd w:val="clear" w:color="auto" w:fill="auto"/>
            <w:noWrap/>
            <w:vAlign w:val="center"/>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1E6F5C">
              <w:rPr>
                <w:rFonts w:ascii="Calibri" w:eastAsia="Times New Roman" w:hAnsi="Calibri" w:cs="Times New Roman"/>
                <w:sz w:val="20"/>
                <w:szCs w:val="20"/>
                <w:lang w:eastAsia="en-AU"/>
              </w:rPr>
              <w:t>Tas</w:t>
            </w:r>
            <w:proofErr w:type="spellEnd"/>
          </w:p>
        </w:tc>
        <w:tc>
          <w:tcPr>
            <w:tcW w:w="698" w:type="dxa"/>
            <w:tcBorders>
              <w:top w:val="single" w:sz="4" w:space="0" w:color="auto"/>
              <w:left w:val="nil"/>
              <w:bottom w:val="single" w:sz="4" w:space="0" w:color="auto"/>
              <w:right w:val="nil"/>
            </w:tcBorders>
            <w:shd w:val="clear" w:color="auto" w:fill="auto"/>
            <w:noWrap/>
            <w:vAlign w:val="center"/>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ACT</w:t>
            </w:r>
          </w:p>
        </w:tc>
        <w:tc>
          <w:tcPr>
            <w:tcW w:w="698" w:type="dxa"/>
            <w:tcBorders>
              <w:top w:val="single" w:sz="4" w:space="0" w:color="auto"/>
              <w:left w:val="nil"/>
              <w:bottom w:val="single" w:sz="4" w:space="0" w:color="auto"/>
              <w:right w:val="nil"/>
            </w:tcBorders>
            <w:shd w:val="clear" w:color="auto" w:fill="auto"/>
            <w:noWrap/>
            <w:vAlign w:val="center"/>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NT</w:t>
            </w:r>
          </w:p>
        </w:tc>
        <w:tc>
          <w:tcPr>
            <w:tcW w:w="878" w:type="dxa"/>
            <w:tcBorders>
              <w:top w:val="single" w:sz="4" w:space="0" w:color="auto"/>
              <w:left w:val="nil"/>
              <w:bottom w:val="single" w:sz="4" w:space="0" w:color="auto"/>
              <w:right w:val="nil"/>
            </w:tcBorders>
            <w:shd w:val="clear" w:color="auto" w:fill="auto"/>
            <w:noWrap/>
            <w:vAlign w:val="center"/>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Average</w:t>
            </w:r>
          </w:p>
        </w:tc>
      </w:tr>
      <w:tr w:rsidR="00647BDC" w:rsidRPr="001E6F5C" w:rsidTr="00D07581">
        <w:trPr>
          <w:trHeight w:val="259"/>
        </w:trPr>
        <w:tc>
          <w:tcPr>
            <w:tcW w:w="2612"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$pc</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$pc</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$pc</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$pc</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$pc</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$pc</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$pc</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$pc</w:t>
            </w:r>
          </w:p>
        </w:tc>
        <w:tc>
          <w:tcPr>
            <w:tcW w:w="87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$pc</w:t>
            </w:r>
          </w:p>
        </w:tc>
      </w:tr>
      <w:tr w:rsidR="00647BDC" w:rsidRPr="001E6F5C" w:rsidTr="00D07581">
        <w:trPr>
          <w:trHeight w:val="315"/>
        </w:trPr>
        <w:tc>
          <w:tcPr>
            <w:tcW w:w="2612"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All property component</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87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r>
      <w:tr w:rsidR="00647BDC" w:rsidRPr="001E6F5C" w:rsidTr="00D07581">
        <w:trPr>
          <w:trHeight w:val="315"/>
        </w:trPr>
        <w:tc>
          <w:tcPr>
            <w:tcW w:w="2612"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EPC distribution</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47</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47</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47</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47</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47</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47</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47</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47</w:t>
            </w:r>
          </w:p>
        </w:tc>
        <w:tc>
          <w:tcPr>
            <w:tcW w:w="87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47</w:t>
            </w:r>
          </w:p>
        </w:tc>
      </w:tr>
      <w:tr w:rsidR="00647BDC" w:rsidRPr="001E6F5C" w:rsidTr="00D07581">
        <w:trPr>
          <w:trHeight w:val="315"/>
        </w:trPr>
        <w:tc>
          <w:tcPr>
            <w:tcW w:w="2612"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Property values</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5</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-6</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16</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-12</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-25</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-3</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-31</w:t>
            </w:r>
          </w:p>
        </w:tc>
        <w:tc>
          <w:tcPr>
            <w:tcW w:w="87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0</w:t>
            </w:r>
          </w:p>
        </w:tc>
      </w:tr>
      <w:tr w:rsidR="00647BDC" w:rsidRPr="001E6F5C" w:rsidTr="00D07581">
        <w:trPr>
          <w:trHeight w:val="315"/>
        </w:trPr>
        <w:tc>
          <w:tcPr>
            <w:tcW w:w="2612"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Total component</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51</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46</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40</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62</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35</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21</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44</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15</w:t>
            </w:r>
          </w:p>
        </w:tc>
        <w:tc>
          <w:tcPr>
            <w:tcW w:w="87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47</w:t>
            </w:r>
          </w:p>
        </w:tc>
      </w:tr>
      <w:tr w:rsidR="00647BDC" w:rsidRPr="001E6F5C" w:rsidTr="00D07581">
        <w:trPr>
          <w:trHeight w:val="555"/>
        </w:trPr>
        <w:tc>
          <w:tcPr>
            <w:tcW w:w="2612"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Income producing property component</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87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r>
      <w:tr w:rsidR="00647BDC" w:rsidRPr="001E6F5C" w:rsidTr="00D07581">
        <w:trPr>
          <w:trHeight w:val="315"/>
        </w:trPr>
        <w:tc>
          <w:tcPr>
            <w:tcW w:w="2612"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EPC distribution</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262</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262</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262</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262</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262</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262</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262</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262</w:t>
            </w:r>
          </w:p>
        </w:tc>
        <w:tc>
          <w:tcPr>
            <w:tcW w:w="87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262</w:t>
            </w:r>
          </w:p>
        </w:tc>
      </w:tr>
      <w:tr w:rsidR="00647BDC" w:rsidRPr="001E6F5C" w:rsidTr="00D07581">
        <w:trPr>
          <w:trHeight w:val="315"/>
        </w:trPr>
        <w:tc>
          <w:tcPr>
            <w:tcW w:w="2612"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Taxable property values</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49</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-80</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106</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-39</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-118</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-81</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-113</w:t>
            </w:r>
          </w:p>
        </w:tc>
        <w:tc>
          <w:tcPr>
            <w:tcW w:w="87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0</w:t>
            </w:r>
          </w:p>
        </w:tc>
      </w:tr>
      <w:tr w:rsidR="00647BDC" w:rsidRPr="001E6F5C" w:rsidTr="00D07581">
        <w:trPr>
          <w:trHeight w:val="315"/>
        </w:trPr>
        <w:tc>
          <w:tcPr>
            <w:tcW w:w="2612"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Progressive tax rates</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-3</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-19</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71</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8</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-93</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-73</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-72</w:t>
            </w:r>
          </w:p>
        </w:tc>
        <w:tc>
          <w:tcPr>
            <w:tcW w:w="69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w:t>
            </w:r>
          </w:p>
        </w:tc>
        <w:tc>
          <w:tcPr>
            <w:tcW w:w="878" w:type="dxa"/>
            <w:tcBorders>
              <w:top w:val="nil"/>
              <w:left w:val="nil"/>
              <w:bottom w:val="nil"/>
              <w:right w:val="nil"/>
            </w:tcBorders>
            <w:shd w:val="clear" w:color="auto" w:fill="auto"/>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0</w:t>
            </w:r>
          </w:p>
        </w:tc>
      </w:tr>
      <w:tr w:rsidR="00647BDC" w:rsidRPr="001E6F5C" w:rsidTr="00D07581">
        <w:trPr>
          <w:trHeight w:val="315"/>
        </w:trPr>
        <w:tc>
          <w:tcPr>
            <w:tcW w:w="2612"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Discount</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0</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-7</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-28</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33</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48</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38</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28</w:t>
            </w:r>
          </w:p>
        </w:tc>
        <w:tc>
          <w:tcPr>
            <w:tcW w:w="87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0</w:t>
            </w:r>
          </w:p>
        </w:tc>
      </w:tr>
      <w:tr w:rsidR="00647BDC" w:rsidRPr="001E6F5C" w:rsidTr="00D07581">
        <w:trPr>
          <w:trHeight w:val="315"/>
        </w:trPr>
        <w:tc>
          <w:tcPr>
            <w:tcW w:w="2612"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Total component</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262</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285</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255</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347</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163</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119</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148</w:t>
            </w:r>
          </w:p>
        </w:tc>
        <w:tc>
          <w:tcPr>
            <w:tcW w:w="69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179</w:t>
            </w:r>
          </w:p>
        </w:tc>
        <w:tc>
          <w:tcPr>
            <w:tcW w:w="878" w:type="dxa"/>
            <w:tcBorders>
              <w:top w:val="nil"/>
              <w:left w:val="nil"/>
              <w:bottom w:val="nil"/>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262</w:t>
            </w:r>
          </w:p>
        </w:tc>
      </w:tr>
      <w:tr w:rsidR="00647BDC" w:rsidRPr="001E6F5C" w:rsidTr="00D07581">
        <w:trPr>
          <w:trHeight w:val="315"/>
        </w:trPr>
        <w:tc>
          <w:tcPr>
            <w:tcW w:w="2612" w:type="dxa"/>
            <w:tcBorders>
              <w:top w:val="nil"/>
              <w:left w:val="nil"/>
              <w:bottom w:val="single" w:sz="4" w:space="0" w:color="auto"/>
              <w:right w:val="nil"/>
            </w:tcBorders>
            <w:shd w:val="clear" w:color="auto" w:fill="auto"/>
            <w:noWrap/>
            <w:vAlign w:val="bottom"/>
            <w:hideMark/>
          </w:tcPr>
          <w:p w:rsidR="00647BDC" w:rsidRPr="001E6F5C"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Total category</w:t>
            </w:r>
          </w:p>
        </w:tc>
        <w:tc>
          <w:tcPr>
            <w:tcW w:w="698" w:type="dxa"/>
            <w:tcBorders>
              <w:top w:val="nil"/>
              <w:left w:val="nil"/>
              <w:bottom w:val="single" w:sz="4" w:space="0" w:color="auto"/>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313</w:t>
            </w:r>
          </w:p>
        </w:tc>
        <w:tc>
          <w:tcPr>
            <w:tcW w:w="698" w:type="dxa"/>
            <w:tcBorders>
              <w:top w:val="nil"/>
              <w:left w:val="nil"/>
              <w:bottom w:val="single" w:sz="4" w:space="0" w:color="auto"/>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331</w:t>
            </w:r>
          </w:p>
        </w:tc>
        <w:tc>
          <w:tcPr>
            <w:tcW w:w="698" w:type="dxa"/>
            <w:tcBorders>
              <w:top w:val="nil"/>
              <w:left w:val="nil"/>
              <w:bottom w:val="single" w:sz="4" w:space="0" w:color="auto"/>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296</w:t>
            </w:r>
          </w:p>
        </w:tc>
        <w:tc>
          <w:tcPr>
            <w:tcW w:w="698" w:type="dxa"/>
            <w:tcBorders>
              <w:top w:val="nil"/>
              <w:left w:val="nil"/>
              <w:bottom w:val="single" w:sz="4" w:space="0" w:color="auto"/>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410</w:t>
            </w:r>
          </w:p>
        </w:tc>
        <w:tc>
          <w:tcPr>
            <w:tcW w:w="698" w:type="dxa"/>
            <w:tcBorders>
              <w:top w:val="nil"/>
              <w:left w:val="nil"/>
              <w:bottom w:val="single" w:sz="4" w:space="0" w:color="auto"/>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198</w:t>
            </w:r>
          </w:p>
        </w:tc>
        <w:tc>
          <w:tcPr>
            <w:tcW w:w="698" w:type="dxa"/>
            <w:tcBorders>
              <w:top w:val="nil"/>
              <w:left w:val="nil"/>
              <w:bottom w:val="single" w:sz="4" w:space="0" w:color="auto"/>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141</w:t>
            </w:r>
          </w:p>
        </w:tc>
        <w:tc>
          <w:tcPr>
            <w:tcW w:w="698" w:type="dxa"/>
            <w:tcBorders>
              <w:top w:val="nil"/>
              <w:left w:val="nil"/>
              <w:bottom w:val="single" w:sz="4" w:space="0" w:color="auto"/>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191</w:t>
            </w:r>
          </w:p>
        </w:tc>
        <w:tc>
          <w:tcPr>
            <w:tcW w:w="698" w:type="dxa"/>
            <w:tcBorders>
              <w:top w:val="nil"/>
              <w:left w:val="nil"/>
              <w:bottom w:val="single" w:sz="4" w:space="0" w:color="auto"/>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195</w:t>
            </w:r>
          </w:p>
        </w:tc>
        <w:tc>
          <w:tcPr>
            <w:tcW w:w="878" w:type="dxa"/>
            <w:tcBorders>
              <w:top w:val="nil"/>
              <w:left w:val="nil"/>
              <w:bottom w:val="single" w:sz="4" w:space="0" w:color="auto"/>
              <w:right w:val="nil"/>
            </w:tcBorders>
            <w:shd w:val="clear" w:color="auto" w:fill="auto"/>
            <w:noWrap/>
            <w:vAlign w:val="bottom"/>
            <w:hideMark/>
          </w:tcPr>
          <w:p w:rsidR="00647BDC" w:rsidRPr="001E6F5C"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E6F5C">
              <w:rPr>
                <w:rFonts w:ascii="Calibri" w:eastAsia="Times New Roman" w:hAnsi="Calibri" w:cs="Times New Roman"/>
                <w:sz w:val="20"/>
                <w:szCs w:val="20"/>
                <w:lang w:eastAsia="en-AU"/>
              </w:rPr>
              <w:t>309</w:t>
            </w:r>
          </w:p>
        </w:tc>
      </w:tr>
    </w:tbl>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Heading3"/>
      </w:pPr>
      <w:bookmarkStart w:id="60" w:name="_Toc390955811"/>
      <w:r>
        <w:t>What is the impact on the GST distribution?</w:t>
      </w:r>
      <w:bookmarkEnd w:id="60"/>
    </w:p>
    <w:p w:rsidR="00647BDC" w:rsidRPr="00755429" w:rsidRDefault="00647BDC" w:rsidP="00647BDC">
      <w:pPr>
        <w:pStyle w:val="CGCNumberedPara"/>
        <w:numPr>
          <w:ilvl w:val="1"/>
          <w:numId w:val="2"/>
        </w:numPr>
      </w:pPr>
      <w:r w:rsidRPr="00755429">
        <w:fldChar w:fldCharType="begin"/>
      </w:r>
      <w:r w:rsidRPr="00755429">
        <w:instrText xml:space="preserve"> REF _Ref386708237 \h </w:instrText>
      </w:r>
      <w:r>
        <w:instrText xml:space="preserve"> \* MERGEFORMAT </w:instrText>
      </w:r>
      <w:r w:rsidRPr="00755429">
        <w:fldChar w:fldCharType="separate"/>
      </w:r>
      <w:r w:rsidR="005B69B1" w:rsidRPr="00755429">
        <w:t xml:space="preserve">Table </w:t>
      </w:r>
      <w:r w:rsidR="005B69B1">
        <w:rPr>
          <w:noProof/>
        </w:rPr>
        <w:t>11</w:t>
      </w:r>
      <w:r w:rsidRPr="00755429">
        <w:fldChar w:fldCharType="end"/>
      </w:r>
      <w:r w:rsidRPr="00755429">
        <w:t xml:space="preserve"> shows the extent to which the assessment for this category moves the distribution of the GST away from an equal per capita distribution in 2012</w:t>
      </w:r>
      <w:r w:rsidRPr="00755429">
        <w:noBreakHyphen/>
        <w:t>13. It shows GST revenue is redistributed from States assessed to have above average revenue raising capacities (New South Wales, Victoria and Western Australia) to States with below average revenue capacity (Queensland, South Australia, Tasmania, the ACT and the Northern Territory).</w:t>
      </w:r>
    </w:p>
    <w:p w:rsidR="00647BDC" w:rsidRPr="00755429" w:rsidRDefault="00647BDC" w:rsidP="00647BDC">
      <w:pPr>
        <w:pStyle w:val="CGCTableHeading"/>
      </w:pPr>
      <w:bookmarkStart w:id="61" w:name="_Ref386708237"/>
      <w:r w:rsidRPr="00755429">
        <w:t xml:space="preserve">Table </w:t>
      </w:r>
      <w:r w:rsidR="005B69B1">
        <w:fldChar w:fldCharType="begin"/>
      </w:r>
      <w:r w:rsidR="005B69B1">
        <w:instrText xml:space="preserve"> SEQ Table \* ARABIC </w:instrText>
      </w:r>
      <w:r w:rsidR="005B69B1">
        <w:fldChar w:fldCharType="separate"/>
      </w:r>
      <w:r w:rsidR="005B69B1">
        <w:rPr>
          <w:noProof/>
        </w:rPr>
        <w:t>11</w:t>
      </w:r>
      <w:r w:rsidR="005B69B1">
        <w:rPr>
          <w:noProof/>
        </w:rPr>
        <w:fldChar w:fldCharType="end"/>
      </w:r>
      <w:bookmarkEnd w:id="61"/>
      <w:r w:rsidRPr="00755429">
        <w:tab/>
        <w:t>Illustrative GST impact of the Land tax assessment</w:t>
      </w:r>
      <w:r>
        <w:t>, 2012-13</w:t>
      </w:r>
    </w:p>
    <w:tbl>
      <w:tblPr>
        <w:tblW w:w="8980" w:type="dxa"/>
        <w:tblLayout w:type="fixed"/>
        <w:tblCellMar>
          <w:left w:w="0" w:type="dxa"/>
          <w:right w:w="0" w:type="dxa"/>
        </w:tblCellMar>
        <w:tblLook w:val="04A0" w:firstRow="1" w:lastRow="0" w:firstColumn="1" w:lastColumn="0" w:noHBand="0" w:noVBand="1"/>
      </w:tblPr>
      <w:tblGrid>
        <w:gridCol w:w="2360"/>
        <w:gridCol w:w="780"/>
        <w:gridCol w:w="760"/>
        <w:gridCol w:w="700"/>
        <w:gridCol w:w="760"/>
        <w:gridCol w:w="700"/>
        <w:gridCol w:w="700"/>
        <w:gridCol w:w="700"/>
        <w:gridCol w:w="700"/>
        <w:gridCol w:w="820"/>
      </w:tblGrid>
      <w:tr w:rsidR="00647BDC" w:rsidRPr="00C03702" w:rsidTr="00D07581">
        <w:trPr>
          <w:trHeight w:val="379"/>
        </w:trPr>
        <w:tc>
          <w:tcPr>
            <w:tcW w:w="2360" w:type="dxa"/>
            <w:tcBorders>
              <w:top w:val="single" w:sz="4" w:space="0" w:color="auto"/>
              <w:left w:val="nil"/>
              <w:bottom w:val="single" w:sz="4" w:space="0" w:color="auto"/>
              <w:right w:val="nil"/>
            </w:tcBorders>
            <w:shd w:val="clear" w:color="auto" w:fill="auto"/>
            <w:noWrap/>
            <w:vAlign w:val="center"/>
            <w:hideMark/>
          </w:tcPr>
          <w:p w:rsidR="00647BDC" w:rsidRPr="00C03702"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62" w:name="RANGE!A5:J10"/>
            <w:r w:rsidRPr="00C03702">
              <w:rPr>
                <w:rFonts w:ascii="Calibri" w:eastAsia="Times New Roman" w:hAnsi="Calibri" w:cs="Times New Roman"/>
                <w:sz w:val="20"/>
                <w:szCs w:val="20"/>
                <w:lang w:eastAsia="en-AU"/>
              </w:rPr>
              <w:t> </w:t>
            </w:r>
            <w:bookmarkEnd w:id="62"/>
          </w:p>
        </w:tc>
        <w:tc>
          <w:tcPr>
            <w:tcW w:w="780" w:type="dxa"/>
            <w:tcBorders>
              <w:top w:val="single" w:sz="4" w:space="0" w:color="auto"/>
              <w:left w:val="nil"/>
              <w:bottom w:val="single" w:sz="4" w:space="0" w:color="auto"/>
              <w:right w:val="nil"/>
            </w:tcBorders>
            <w:shd w:val="clear" w:color="auto" w:fill="auto"/>
            <w:noWrap/>
            <w:vAlign w:val="center"/>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WA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C03702">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ACT</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Pr>
                <w:rFonts w:ascii="Calibri" w:eastAsia="Times New Roman" w:hAnsi="Calibri" w:cs="Times New Roman"/>
                <w:sz w:val="20"/>
                <w:szCs w:val="20"/>
                <w:lang w:eastAsia="en-AU"/>
              </w:rPr>
              <w:t>Redist</w:t>
            </w:r>
            <w:proofErr w:type="spellEnd"/>
          </w:p>
        </w:tc>
      </w:tr>
      <w:tr w:rsidR="00647BDC" w:rsidRPr="00C03702" w:rsidTr="00D07581">
        <w:trPr>
          <w:trHeight w:val="259"/>
        </w:trPr>
        <w:tc>
          <w:tcPr>
            <w:tcW w:w="2360" w:type="dxa"/>
            <w:tcBorders>
              <w:top w:val="nil"/>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780" w:type="dxa"/>
            <w:tcBorders>
              <w:top w:val="nil"/>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$m</w:t>
            </w:r>
          </w:p>
        </w:tc>
        <w:tc>
          <w:tcPr>
            <w:tcW w:w="700" w:type="dxa"/>
            <w:tcBorders>
              <w:top w:val="nil"/>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$m</w:t>
            </w:r>
          </w:p>
        </w:tc>
        <w:tc>
          <w:tcPr>
            <w:tcW w:w="700" w:type="dxa"/>
            <w:tcBorders>
              <w:top w:val="nil"/>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$m</w:t>
            </w:r>
          </w:p>
        </w:tc>
        <w:tc>
          <w:tcPr>
            <w:tcW w:w="700" w:type="dxa"/>
            <w:tcBorders>
              <w:top w:val="nil"/>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$m</w:t>
            </w:r>
          </w:p>
        </w:tc>
        <w:tc>
          <w:tcPr>
            <w:tcW w:w="700" w:type="dxa"/>
            <w:tcBorders>
              <w:top w:val="nil"/>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$m</w:t>
            </w:r>
          </w:p>
        </w:tc>
        <w:tc>
          <w:tcPr>
            <w:tcW w:w="700" w:type="dxa"/>
            <w:tcBorders>
              <w:top w:val="nil"/>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$m</w:t>
            </w:r>
          </w:p>
        </w:tc>
        <w:tc>
          <w:tcPr>
            <w:tcW w:w="820" w:type="dxa"/>
            <w:tcBorders>
              <w:top w:val="nil"/>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$m</w:t>
            </w:r>
          </w:p>
        </w:tc>
      </w:tr>
      <w:tr w:rsidR="00647BDC" w:rsidRPr="00C03702" w:rsidTr="00D07581">
        <w:trPr>
          <w:trHeight w:val="315"/>
        </w:trPr>
        <w:tc>
          <w:tcPr>
            <w:tcW w:w="2360" w:type="dxa"/>
            <w:tcBorders>
              <w:top w:val="nil"/>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All property component</w:t>
            </w:r>
          </w:p>
        </w:tc>
        <w:tc>
          <w:tcPr>
            <w:tcW w:w="780" w:type="dxa"/>
            <w:tcBorders>
              <w:top w:val="nil"/>
              <w:left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-34</w:t>
            </w:r>
          </w:p>
        </w:tc>
        <w:tc>
          <w:tcPr>
            <w:tcW w:w="760" w:type="dxa"/>
            <w:tcBorders>
              <w:top w:val="nil"/>
              <w:left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4</w:t>
            </w:r>
          </w:p>
        </w:tc>
        <w:tc>
          <w:tcPr>
            <w:tcW w:w="700" w:type="dxa"/>
            <w:tcBorders>
              <w:top w:val="nil"/>
              <w:left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28</w:t>
            </w:r>
          </w:p>
        </w:tc>
        <w:tc>
          <w:tcPr>
            <w:tcW w:w="760" w:type="dxa"/>
            <w:tcBorders>
              <w:top w:val="nil"/>
              <w:left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-39</w:t>
            </w:r>
          </w:p>
        </w:tc>
        <w:tc>
          <w:tcPr>
            <w:tcW w:w="700" w:type="dxa"/>
            <w:tcBorders>
              <w:top w:val="nil"/>
              <w:left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20</w:t>
            </w:r>
          </w:p>
        </w:tc>
        <w:tc>
          <w:tcPr>
            <w:tcW w:w="700" w:type="dxa"/>
            <w:tcBorders>
              <w:top w:val="nil"/>
              <w:left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13</w:t>
            </w:r>
          </w:p>
        </w:tc>
        <w:tc>
          <w:tcPr>
            <w:tcW w:w="700" w:type="dxa"/>
            <w:tcBorders>
              <w:top w:val="nil"/>
              <w:left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1</w:t>
            </w:r>
          </w:p>
        </w:tc>
        <w:tc>
          <w:tcPr>
            <w:tcW w:w="700" w:type="dxa"/>
            <w:tcBorders>
              <w:top w:val="nil"/>
              <w:left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7</w:t>
            </w:r>
          </w:p>
        </w:tc>
        <w:tc>
          <w:tcPr>
            <w:tcW w:w="820" w:type="dxa"/>
            <w:tcBorders>
              <w:top w:val="nil"/>
              <w:left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73</w:t>
            </w:r>
          </w:p>
        </w:tc>
      </w:tr>
      <w:tr w:rsidR="00647BDC" w:rsidRPr="00C03702" w:rsidTr="00D07581">
        <w:trPr>
          <w:trHeight w:val="555"/>
        </w:trPr>
        <w:tc>
          <w:tcPr>
            <w:tcW w:w="2360" w:type="dxa"/>
            <w:tcBorders>
              <w:top w:val="nil"/>
              <w:left w:val="nil"/>
              <w:bottom w:val="nil"/>
              <w:right w:val="nil"/>
            </w:tcBorders>
            <w:shd w:val="clear" w:color="auto" w:fill="auto"/>
            <w:vAlign w:val="bottom"/>
            <w:hideMark/>
          </w:tcPr>
          <w:p w:rsidR="00647BDC" w:rsidRPr="00C03702"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Income producing property component</w:t>
            </w:r>
          </w:p>
        </w:tc>
        <w:tc>
          <w:tcPr>
            <w:tcW w:w="780" w:type="dxa"/>
            <w:tcBorders>
              <w:top w:val="nil"/>
              <w:left w:val="nil"/>
              <w:bottom w:val="single" w:sz="4" w:space="0" w:color="auto"/>
              <w:right w:val="nil"/>
            </w:tcBorders>
            <w:shd w:val="clear" w:color="auto" w:fill="auto"/>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5</w:t>
            </w:r>
          </w:p>
        </w:tc>
        <w:tc>
          <w:tcPr>
            <w:tcW w:w="760" w:type="dxa"/>
            <w:tcBorders>
              <w:top w:val="nil"/>
              <w:left w:val="nil"/>
              <w:bottom w:val="single" w:sz="4" w:space="0" w:color="auto"/>
              <w:right w:val="nil"/>
            </w:tcBorders>
            <w:shd w:val="clear" w:color="auto" w:fill="auto"/>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-127</w:t>
            </w:r>
          </w:p>
        </w:tc>
        <w:tc>
          <w:tcPr>
            <w:tcW w:w="700" w:type="dxa"/>
            <w:tcBorders>
              <w:top w:val="nil"/>
              <w:left w:val="nil"/>
              <w:bottom w:val="single" w:sz="4" w:space="0" w:color="auto"/>
              <w:right w:val="nil"/>
            </w:tcBorders>
            <w:shd w:val="clear" w:color="auto" w:fill="auto"/>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33</w:t>
            </w:r>
          </w:p>
        </w:tc>
        <w:tc>
          <w:tcPr>
            <w:tcW w:w="760" w:type="dxa"/>
            <w:tcBorders>
              <w:top w:val="nil"/>
              <w:left w:val="nil"/>
              <w:bottom w:val="single" w:sz="4" w:space="0" w:color="auto"/>
              <w:right w:val="nil"/>
            </w:tcBorders>
            <w:shd w:val="clear" w:color="auto" w:fill="auto"/>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-211</w:t>
            </w:r>
          </w:p>
        </w:tc>
        <w:tc>
          <w:tcPr>
            <w:tcW w:w="700" w:type="dxa"/>
            <w:tcBorders>
              <w:top w:val="nil"/>
              <w:left w:val="nil"/>
              <w:bottom w:val="single" w:sz="4" w:space="0" w:color="auto"/>
              <w:right w:val="nil"/>
            </w:tcBorders>
            <w:shd w:val="clear" w:color="auto" w:fill="auto"/>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164</w:t>
            </w:r>
          </w:p>
        </w:tc>
        <w:tc>
          <w:tcPr>
            <w:tcW w:w="700" w:type="dxa"/>
            <w:tcBorders>
              <w:top w:val="nil"/>
              <w:left w:val="nil"/>
              <w:bottom w:val="single" w:sz="4" w:space="0" w:color="auto"/>
              <w:right w:val="nil"/>
            </w:tcBorders>
            <w:shd w:val="clear" w:color="auto" w:fill="auto"/>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73</w:t>
            </w:r>
          </w:p>
        </w:tc>
        <w:tc>
          <w:tcPr>
            <w:tcW w:w="700" w:type="dxa"/>
            <w:tcBorders>
              <w:top w:val="nil"/>
              <w:left w:val="nil"/>
              <w:bottom w:val="single" w:sz="4" w:space="0" w:color="auto"/>
              <w:right w:val="nil"/>
            </w:tcBorders>
            <w:shd w:val="clear" w:color="auto" w:fill="auto"/>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43</w:t>
            </w:r>
          </w:p>
        </w:tc>
        <w:tc>
          <w:tcPr>
            <w:tcW w:w="700" w:type="dxa"/>
            <w:tcBorders>
              <w:top w:val="nil"/>
              <w:left w:val="nil"/>
              <w:bottom w:val="single" w:sz="4" w:space="0" w:color="auto"/>
              <w:right w:val="nil"/>
            </w:tcBorders>
            <w:shd w:val="clear" w:color="auto" w:fill="auto"/>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20</w:t>
            </w:r>
          </w:p>
        </w:tc>
        <w:tc>
          <w:tcPr>
            <w:tcW w:w="820" w:type="dxa"/>
            <w:tcBorders>
              <w:top w:val="nil"/>
              <w:left w:val="nil"/>
              <w:bottom w:val="single" w:sz="4" w:space="0" w:color="auto"/>
              <w:right w:val="nil"/>
            </w:tcBorders>
            <w:shd w:val="clear" w:color="auto" w:fill="auto"/>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339</w:t>
            </w:r>
          </w:p>
        </w:tc>
      </w:tr>
      <w:tr w:rsidR="00647BDC" w:rsidRPr="00C03702" w:rsidTr="00D07581">
        <w:trPr>
          <w:trHeight w:val="315"/>
        </w:trPr>
        <w:tc>
          <w:tcPr>
            <w:tcW w:w="2360" w:type="dxa"/>
            <w:tcBorders>
              <w:top w:val="nil"/>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Dollars million</w:t>
            </w:r>
          </w:p>
        </w:tc>
        <w:tc>
          <w:tcPr>
            <w:tcW w:w="780" w:type="dxa"/>
            <w:tcBorders>
              <w:top w:val="single" w:sz="4" w:space="0" w:color="auto"/>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-29</w:t>
            </w:r>
          </w:p>
        </w:tc>
        <w:tc>
          <w:tcPr>
            <w:tcW w:w="760" w:type="dxa"/>
            <w:tcBorders>
              <w:top w:val="single" w:sz="4" w:space="0" w:color="auto"/>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-124</w:t>
            </w:r>
          </w:p>
        </w:tc>
        <w:tc>
          <w:tcPr>
            <w:tcW w:w="700" w:type="dxa"/>
            <w:tcBorders>
              <w:top w:val="single" w:sz="4" w:space="0" w:color="auto"/>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61</w:t>
            </w:r>
          </w:p>
        </w:tc>
        <w:tc>
          <w:tcPr>
            <w:tcW w:w="760" w:type="dxa"/>
            <w:tcBorders>
              <w:top w:val="single" w:sz="4" w:space="0" w:color="auto"/>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-250</w:t>
            </w:r>
          </w:p>
        </w:tc>
        <w:tc>
          <w:tcPr>
            <w:tcW w:w="700" w:type="dxa"/>
            <w:tcBorders>
              <w:top w:val="single" w:sz="4" w:space="0" w:color="auto"/>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184</w:t>
            </w:r>
          </w:p>
        </w:tc>
        <w:tc>
          <w:tcPr>
            <w:tcW w:w="700" w:type="dxa"/>
            <w:tcBorders>
              <w:top w:val="single" w:sz="4" w:space="0" w:color="auto"/>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86</w:t>
            </w:r>
          </w:p>
        </w:tc>
        <w:tc>
          <w:tcPr>
            <w:tcW w:w="700" w:type="dxa"/>
            <w:tcBorders>
              <w:top w:val="single" w:sz="4" w:space="0" w:color="auto"/>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44</w:t>
            </w:r>
          </w:p>
        </w:tc>
        <w:tc>
          <w:tcPr>
            <w:tcW w:w="700" w:type="dxa"/>
            <w:tcBorders>
              <w:top w:val="single" w:sz="4" w:space="0" w:color="auto"/>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27</w:t>
            </w:r>
          </w:p>
        </w:tc>
        <w:tc>
          <w:tcPr>
            <w:tcW w:w="820" w:type="dxa"/>
            <w:tcBorders>
              <w:top w:val="single" w:sz="4" w:space="0" w:color="auto"/>
              <w:left w:val="nil"/>
              <w:bottom w:val="nil"/>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403</w:t>
            </w:r>
          </w:p>
        </w:tc>
      </w:tr>
      <w:tr w:rsidR="00647BDC" w:rsidRPr="00C03702" w:rsidTr="00D07581">
        <w:trPr>
          <w:trHeight w:val="315"/>
        </w:trPr>
        <w:tc>
          <w:tcPr>
            <w:tcW w:w="2360" w:type="dxa"/>
            <w:tcBorders>
              <w:top w:val="nil"/>
              <w:left w:val="nil"/>
              <w:bottom w:val="single" w:sz="4" w:space="0" w:color="auto"/>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Dollars per capita</w:t>
            </w:r>
          </w:p>
        </w:tc>
        <w:tc>
          <w:tcPr>
            <w:tcW w:w="780" w:type="dxa"/>
            <w:tcBorders>
              <w:top w:val="nil"/>
              <w:left w:val="nil"/>
              <w:bottom w:val="single" w:sz="4" w:space="0" w:color="auto"/>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-4</w:t>
            </w:r>
          </w:p>
        </w:tc>
        <w:tc>
          <w:tcPr>
            <w:tcW w:w="760" w:type="dxa"/>
            <w:tcBorders>
              <w:top w:val="nil"/>
              <w:left w:val="nil"/>
              <w:bottom w:val="single" w:sz="4" w:space="0" w:color="auto"/>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-22</w:t>
            </w:r>
          </w:p>
        </w:tc>
        <w:tc>
          <w:tcPr>
            <w:tcW w:w="700" w:type="dxa"/>
            <w:tcBorders>
              <w:top w:val="nil"/>
              <w:left w:val="nil"/>
              <w:bottom w:val="single" w:sz="4" w:space="0" w:color="auto"/>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13</w:t>
            </w:r>
          </w:p>
        </w:tc>
        <w:tc>
          <w:tcPr>
            <w:tcW w:w="760" w:type="dxa"/>
            <w:tcBorders>
              <w:top w:val="nil"/>
              <w:left w:val="nil"/>
              <w:bottom w:val="single" w:sz="4" w:space="0" w:color="auto"/>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-101</w:t>
            </w:r>
          </w:p>
        </w:tc>
        <w:tc>
          <w:tcPr>
            <w:tcW w:w="700" w:type="dxa"/>
            <w:tcBorders>
              <w:top w:val="nil"/>
              <w:left w:val="nil"/>
              <w:bottom w:val="single" w:sz="4" w:space="0" w:color="auto"/>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111</w:t>
            </w:r>
          </w:p>
        </w:tc>
        <w:tc>
          <w:tcPr>
            <w:tcW w:w="700" w:type="dxa"/>
            <w:tcBorders>
              <w:top w:val="nil"/>
              <w:left w:val="nil"/>
              <w:bottom w:val="single" w:sz="4" w:space="0" w:color="auto"/>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168</w:t>
            </w:r>
          </w:p>
        </w:tc>
        <w:tc>
          <w:tcPr>
            <w:tcW w:w="700" w:type="dxa"/>
            <w:tcBorders>
              <w:top w:val="nil"/>
              <w:left w:val="nil"/>
              <w:bottom w:val="single" w:sz="4" w:space="0" w:color="auto"/>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117</w:t>
            </w:r>
          </w:p>
        </w:tc>
        <w:tc>
          <w:tcPr>
            <w:tcW w:w="700" w:type="dxa"/>
            <w:tcBorders>
              <w:top w:val="nil"/>
              <w:left w:val="nil"/>
              <w:bottom w:val="single" w:sz="4" w:space="0" w:color="auto"/>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114</w:t>
            </w:r>
          </w:p>
        </w:tc>
        <w:tc>
          <w:tcPr>
            <w:tcW w:w="820" w:type="dxa"/>
            <w:tcBorders>
              <w:top w:val="nil"/>
              <w:left w:val="nil"/>
              <w:bottom w:val="single" w:sz="4" w:space="0" w:color="auto"/>
              <w:right w:val="nil"/>
            </w:tcBorders>
            <w:shd w:val="clear" w:color="auto" w:fill="auto"/>
            <w:noWrap/>
            <w:vAlign w:val="bottom"/>
            <w:hideMark/>
          </w:tcPr>
          <w:p w:rsidR="00647BDC" w:rsidRPr="00C03702"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C03702">
              <w:rPr>
                <w:rFonts w:ascii="Calibri" w:eastAsia="Times New Roman" w:hAnsi="Calibri" w:cs="Times New Roman"/>
                <w:sz w:val="20"/>
                <w:szCs w:val="20"/>
                <w:lang w:eastAsia="en-AU"/>
              </w:rPr>
              <w:t>18</w:t>
            </w:r>
          </w:p>
        </w:tc>
      </w:tr>
    </w:tbl>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Heading3"/>
      </w:pPr>
      <w:bookmarkStart w:id="63" w:name="_Toc390955812"/>
      <w:r>
        <w:t>Changes since the 2010 Review</w:t>
      </w:r>
      <w:bookmarkEnd w:id="63"/>
    </w:p>
    <w:p w:rsidR="00647BDC" w:rsidRPr="00755429" w:rsidRDefault="00647BDC" w:rsidP="00647BDC">
      <w:pPr>
        <w:pStyle w:val="CGCNumberedPara"/>
        <w:numPr>
          <w:ilvl w:val="1"/>
          <w:numId w:val="2"/>
        </w:numPr>
      </w:pPr>
      <w:r w:rsidRPr="00755429">
        <w:t xml:space="preserve">The 2015 Review assessment method has one change from the method adopted in the 2010 Review. </w:t>
      </w:r>
      <w:r>
        <w:t>T</w:t>
      </w:r>
      <w:r w:rsidRPr="00755429">
        <w:t xml:space="preserve">he property part of fire and emergency levies </w:t>
      </w:r>
      <w:r>
        <w:t xml:space="preserve">has been added to </w:t>
      </w:r>
      <w:r>
        <w:lastRenderedPageBreak/>
        <w:t>m</w:t>
      </w:r>
      <w:r w:rsidRPr="00755429">
        <w:t>etropolitan improvement levies. This component is assessed using the value of properties.</w:t>
      </w:r>
    </w:p>
    <w:p w:rsidR="00647BDC" w:rsidRPr="00755429" w:rsidRDefault="00647BDC" w:rsidP="00647BDC">
      <w:pPr>
        <w:pStyle w:val="CGCNumberedPara"/>
        <w:numPr>
          <w:ilvl w:val="1"/>
          <w:numId w:val="2"/>
        </w:numPr>
      </w:pPr>
      <w:r w:rsidRPr="00755429">
        <w:t>Most States supported retaining the 2010 Review method. Three States proposed changes to the level of discounting.</w:t>
      </w:r>
    </w:p>
    <w:p w:rsidR="00647BDC" w:rsidRPr="00755429" w:rsidRDefault="00647BDC" w:rsidP="00647BDC">
      <w:pPr>
        <w:sectPr w:rsidR="00647BDC" w:rsidRPr="00755429" w:rsidSect="0004123E">
          <w:footerReference w:type="default" r:id="rId13"/>
          <w:footerReference w:type="first" r:id="rId14"/>
          <w:footnotePr>
            <w:numRestart w:val="eachSect"/>
          </w:footnotePr>
          <w:pgSz w:w="11899" w:h="16838" w:code="9"/>
          <w:pgMar w:top="1701" w:right="1474" w:bottom="1701" w:left="1474" w:header="709" w:footer="709" w:gutter="0"/>
          <w:cols w:space="708"/>
          <w:titlePg/>
          <w:docGrid w:linePitch="299"/>
        </w:sectPr>
      </w:pPr>
    </w:p>
    <w:p w:rsidR="00647BDC" w:rsidRPr="00755429" w:rsidRDefault="00647BDC" w:rsidP="00647BDC">
      <w:pPr>
        <w:pStyle w:val="Heading1"/>
      </w:pPr>
      <w:bookmarkStart w:id="64" w:name="_Toc390955813"/>
      <w:r>
        <w:lastRenderedPageBreak/>
        <w:t>ATTACHMENT</w:t>
      </w:r>
      <w:r w:rsidRPr="00755429">
        <w:t xml:space="preserve"> 4</w:t>
      </w:r>
      <w:bookmarkEnd w:id="64"/>
    </w:p>
    <w:p w:rsidR="00647BDC" w:rsidRPr="00755429" w:rsidRDefault="00647BDC" w:rsidP="00647BDC">
      <w:pPr>
        <w:pStyle w:val="Heading2"/>
      </w:pPr>
      <w:bookmarkStart w:id="65" w:name="_Toc390955814"/>
      <w:r w:rsidRPr="00755429">
        <w:t>STAMP DUTY ON CONVEYANCES</w:t>
      </w:r>
      <w:bookmarkEnd w:id="65"/>
    </w:p>
    <w:tbl>
      <w:tblPr>
        <w:tblStyle w:val="TableGrid"/>
        <w:tblW w:w="0" w:type="auto"/>
        <w:tblLook w:val="04A0" w:firstRow="1" w:lastRow="0" w:firstColumn="1" w:lastColumn="0" w:noHBand="0" w:noVBand="1"/>
      </w:tblPr>
      <w:tblGrid>
        <w:gridCol w:w="9167"/>
      </w:tblGrid>
      <w:tr w:rsidR="00647BDC" w:rsidRPr="00755429" w:rsidTr="00D07581">
        <w:tc>
          <w:tcPr>
            <w:tcW w:w="9174" w:type="dxa"/>
            <w:tcBorders>
              <w:top w:val="nil"/>
              <w:left w:val="nil"/>
              <w:bottom w:val="nil"/>
              <w:right w:val="nil"/>
            </w:tcBorders>
            <w:shd w:val="clear" w:color="auto" w:fill="D9F3E6"/>
          </w:tcPr>
          <w:p w:rsidR="00647BDC" w:rsidRPr="00755429" w:rsidRDefault="00647BDC" w:rsidP="00D07581">
            <w:pPr>
              <w:rPr>
                <w:b/>
              </w:rPr>
            </w:pPr>
            <w:r w:rsidRPr="00755429">
              <w:rPr>
                <w:b/>
              </w:rPr>
              <w:t>Summary of changes since the 2010 Review</w:t>
            </w:r>
          </w:p>
          <w:p w:rsidR="00647BDC" w:rsidRPr="00755429" w:rsidRDefault="00647BDC" w:rsidP="00D07581">
            <w:pPr>
              <w:pStyle w:val="CGCBulletlist"/>
            </w:pPr>
            <w:r w:rsidRPr="00755429">
              <w:t>Stamp duty on the transfer of motor vehicles has been included in this category.</w:t>
            </w:r>
          </w:p>
          <w:p w:rsidR="00647BDC" w:rsidRPr="00755429" w:rsidRDefault="00647BDC" w:rsidP="00D07581">
            <w:pPr>
              <w:pStyle w:val="CGCBulletlist"/>
            </w:pPr>
            <w:r w:rsidRPr="00755429">
              <w:t>Expenses and duty concessions relating to first home owners (such as First Home Owners Bonus Payments) ha</w:t>
            </w:r>
            <w:r>
              <w:t>ve</w:t>
            </w:r>
            <w:r w:rsidRPr="00755429">
              <w:t xml:space="preserve"> been moved from this category to Housing.</w:t>
            </w:r>
          </w:p>
          <w:p w:rsidR="00647BDC" w:rsidRPr="00755429" w:rsidRDefault="00647BDC" w:rsidP="00D07581">
            <w:pPr>
              <w:pStyle w:val="CGCBulletlist"/>
            </w:pPr>
            <w:r w:rsidRPr="00755429">
              <w:t>The land rich adjustment for Tasmania has been discontinued because it is not material.</w:t>
            </w:r>
          </w:p>
        </w:tc>
      </w:tr>
    </w:tbl>
    <w:p w:rsidR="00647BDC" w:rsidRDefault="00647BDC" w:rsidP="00647BDC">
      <w:pPr>
        <w:pStyle w:val="Heading3"/>
      </w:pPr>
      <w:bookmarkStart w:id="66" w:name="_Toc390955815"/>
      <w:r>
        <w:t>What is included in the stamp duties category?</w:t>
      </w:r>
      <w:bookmarkEnd w:id="66"/>
    </w:p>
    <w:p w:rsidR="00647BDC" w:rsidRPr="00755429" w:rsidRDefault="00647BDC" w:rsidP="00647BDC">
      <w:pPr>
        <w:pStyle w:val="CGCNumberedPara"/>
        <w:numPr>
          <w:ilvl w:val="1"/>
          <w:numId w:val="13"/>
        </w:numPr>
      </w:pPr>
      <w:r w:rsidRPr="00755429">
        <w:t>The Stamp duty on conveyances category comprises:</w:t>
      </w:r>
    </w:p>
    <w:p w:rsidR="00647BDC" w:rsidRPr="00755429" w:rsidRDefault="00647BDC" w:rsidP="00D07581">
      <w:pPr>
        <w:pStyle w:val="CGCBulletlist"/>
      </w:pPr>
      <w:r w:rsidRPr="00755429">
        <w:t>stamp duty on property</w:t>
      </w:r>
    </w:p>
    <w:p w:rsidR="00647BDC" w:rsidRPr="00755429" w:rsidRDefault="00647BDC" w:rsidP="00D07581">
      <w:pPr>
        <w:pStyle w:val="CGCBulletlist"/>
      </w:pPr>
      <w:proofErr w:type="gramStart"/>
      <w:r w:rsidRPr="00755429">
        <w:t>stamp</w:t>
      </w:r>
      <w:proofErr w:type="gramEnd"/>
      <w:r w:rsidRPr="00755429">
        <w:t xml:space="preserve"> duty on vehicle sales.</w:t>
      </w:r>
    </w:p>
    <w:p w:rsidR="00647BDC" w:rsidRPr="00755429" w:rsidRDefault="00647BDC" w:rsidP="00647BDC">
      <w:pPr>
        <w:pStyle w:val="CGCNumberedPara"/>
        <w:numPr>
          <w:ilvl w:val="1"/>
          <w:numId w:val="2"/>
        </w:numPr>
      </w:pPr>
      <w:r w:rsidRPr="00755429">
        <w:t>Property duties are a tax on the transfer of ownership of property. The tax is based on the value of property transferred and is paid by the purchaser.</w:t>
      </w:r>
    </w:p>
    <w:p w:rsidR="00647BDC" w:rsidRPr="00755429" w:rsidRDefault="00647BDC" w:rsidP="00647BDC">
      <w:pPr>
        <w:pStyle w:val="CGCNumberedPara"/>
        <w:numPr>
          <w:ilvl w:val="1"/>
          <w:numId w:val="2"/>
        </w:numPr>
      </w:pPr>
      <w:r w:rsidRPr="00755429">
        <w:t xml:space="preserve">The concept of taxable property is very broad. It comprises both real property (such as land, houses, apartments, shops, factories, offices </w:t>
      </w:r>
      <w:proofErr w:type="spellStart"/>
      <w:r w:rsidRPr="00755429">
        <w:t>etc</w:t>
      </w:r>
      <w:proofErr w:type="spellEnd"/>
      <w:r w:rsidRPr="00755429">
        <w:t>) and non-real property (such as copyrights, goodwill, patents, partnership interests and options to purchase). The category includes duty raised from the sale of major State government owned assets, but excludes duty raised on the transfer of marketable securities.</w:t>
      </w:r>
      <w:r w:rsidRPr="00755429">
        <w:rPr>
          <w:rStyle w:val="FootnoteReference"/>
        </w:rPr>
        <w:footnoteReference w:id="7"/>
      </w:r>
      <w:r w:rsidRPr="00755429">
        <w:t xml:space="preserve"> The category excludes State expenses and concessions for first home owners (such as the First Home Owners’ Scheme, First Home Owners’ Bonus Payments and duty concessions for first home buyers) as these are assessed in the Housing category.</w:t>
      </w:r>
    </w:p>
    <w:p w:rsidR="00647BDC" w:rsidRPr="00755429" w:rsidRDefault="00647BDC" w:rsidP="00647BDC">
      <w:pPr>
        <w:pStyle w:val="CGCNumberedPara"/>
        <w:numPr>
          <w:ilvl w:val="1"/>
          <w:numId w:val="2"/>
        </w:numPr>
      </w:pPr>
      <w:r w:rsidRPr="00755429">
        <w:t>Vehicle duties are a tax on the transfer of ownership of vehicles. The tax is based on the value of the vehicle transferred and is paid by the purchaser.</w:t>
      </w:r>
    </w:p>
    <w:p w:rsidR="00647BDC" w:rsidRPr="00755429" w:rsidRDefault="00647BDC" w:rsidP="00647BDC">
      <w:pPr>
        <w:pStyle w:val="CGCNumberedPara"/>
        <w:numPr>
          <w:ilvl w:val="1"/>
          <w:numId w:val="2"/>
        </w:numPr>
      </w:pPr>
      <w:r w:rsidRPr="00755429">
        <w:fldChar w:fldCharType="begin"/>
      </w:r>
      <w:r w:rsidRPr="00755429">
        <w:instrText xml:space="preserve"> REF _Ref385326241 \h </w:instrText>
      </w:r>
      <w:r>
        <w:instrText xml:space="preserve"> \* MERGEFORMAT </w:instrText>
      </w:r>
      <w:r w:rsidRPr="00755429">
        <w:fldChar w:fldCharType="separate"/>
      </w:r>
      <w:r w:rsidR="005B69B1" w:rsidRPr="00755429">
        <w:t xml:space="preserve">Table </w:t>
      </w:r>
      <w:r w:rsidR="005B69B1">
        <w:rPr>
          <w:noProof/>
        </w:rPr>
        <w:t>1</w:t>
      </w:r>
      <w:r w:rsidRPr="00755429">
        <w:fldChar w:fldCharType="end"/>
      </w:r>
      <w:r w:rsidRPr="00755429">
        <w:t xml:space="preserve"> shows States raised $15.2 billion from conveyances in 2012</w:t>
      </w:r>
      <w:r w:rsidRPr="00755429">
        <w:noBreakHyphen/>
        <w:t>13.</w:t>
      </w:r>
    </w:p>
    <w:p w:rsidR="00647BDC" w:rsidRPr="00755429" w:rsidRDefault="00647BDC" w:rsidP="00647BDC">
      <w:pPr>
        <w:pStyle w:val="CGCTableHeading"/>
      </w:pPr>
      <w:bookmarkStart w:id="67" w:name="_Ref385326241"/>
      <w:r w:rsidRPr="00755429">
        <w:lastRenderedPageBreak/>
        <w:t xml:space="preserve">Table </w:t>
      </w:r>
      <w:r w:rsidR="005B69B1">
        <w:fldChar w:fldCharType="begin"/>
      </w:r>
      <w:r w:rsidR="005B69B1">
        <w:instrText xml:space="preserve"> SEQ Table \* ARABIC \r1 </w:instrText>
      </w:r>
      <w:r w:rsidR="005B69B1">
        <w:fldChar w:fldCharType="separate"/>
      </w:r>
      <w:r w:rsidR="005B69B1">
        <w:rPr>
          <w:noProof/>
        </w:rPr>
        <w:t>1</w:t>
      </w:r>
      <w:r w:rsidR="005B69B1">
        <w:rPr>
          <w:noProof/>
        </w:rPr>
        <w:fldChar w:fldCharType="end"/>
      </w:r>
      <w:bookmarkEnd w:id="67"/>
      <w:r w:rsidRPr="00755429">
        <w:tab/>
        <w:t>Revenue from Stamp duties on conveyances, 2012</w:t>
      </w:r>
      <w:r w:rsidRPr="00755429">
        <w:noBreakHyphen/>
        <w:t>13</w:t>
      </w:r>
    </w:p>
    <w:tbl>
      <w:tblPr>
        <w:tblW w:w="8980" w:type="dxa"/>
        <w:tblInd w:w="93" w:type="dxa"/>
        <w:tblLook w:val="04A0" w:firstRow="1" w:lastRow="0" w:firstColumn="1" w:lastColumn="0" w:noHBand="0" w:noVBand="1"/>
      </w:tblPr>
      <w:tblGrid>
        <w:gridCol w:w="1060"/>
        <w:gridCol w:w="940"/>
        <w:gridCol w:w="940"/>
        <w:gridCol w:w="940"/>
        <w:gridCol w:w="940"/>
        <w:gridCol w:w="780"/>
        <w:gridCol w:w="780"/>
        <w:gridCol w:w="780"/>
        <w:gridCol w:w="780"/>
        <w:gridCol w:w="1040"/>
      </w:tblGrid>
      <w:tr w:rsidR="00647BDC" w:rsidRPr="008E5D14" w:rsidTr="00D07581">
        <w:trPr>
          <w:trHeight w:val="379"/>
        </w:trPr>
        <w:tc>
          <w:tcPr>
            <w:tcW w:w="106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rPr>
                <w:rFonts w:ascii="Calibri" w:eastAsia="Times New Roman" w:hAnsi="Calibri" w:cs="Times New Roman"/>
                <w:sz w:val="20"/>
                <w:szCs w:val="20"/>
                <w:lang w:eastAsia="en-AU"/>
              </w:rPr>
            </w:pPr>
            <w:bookmarkStart w:id="68" w:name="RANGE!A4:J8"/>
            <w:r w:rsidRPr="008E5D14">
              <w:rPr>
                <w:rFonts w:ascii="Calibri" w:eastAsia="Times New Roman" w:hAnsi="Calibri" w:cs="Times New Roman"/>
                <w:sz w:val="20"/>
                <w:szCs w:val="20"/>
                <w:lang w:eastAsia="en-AU"/>
              </w:rPr>
              <w:t>Duty on:</w:t>
            </w:r>
            <w:bookmarkEnd w:id="68"/>
          </w:p>
        </w:tc>
        <w:tc>
          <w:tcPr>
            <w:tcW w:w="94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NSW</w:t>
            </w:r>
          </w:p>
        </w:tc>
        <w:tc>
          <w:tcPr>
            <w:tcW w:w="94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Vic</w:t>
            </w:r>
          </w:p>
        </w:tc>
        <w:tc>
          <w:tcPr>
            <w:tcW w:w="94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Qld</w:t>
            </w:r>
          </w:p>
        </w:tc>
        <w:tc>
          <w:tcPr>
            <w:tcW w:w="94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WA</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SA</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8E5D14">
              <w:rPr>
                <w:rFonts w:ascii="Calibri" w:eastAsia="Times New Roman" w:hAnsi="Calibri" w:cs="Times New Roman"/>
                <w:sz w:val="20"/>
                <w:szCs w:val="20"/>
                <w:lang w:eastAsia="en-AU"/>
              </w:rPr>
              <w:t>Tas</w:t>
            </w:r>
            <w:proofErr w:type="spellEnd"/>
          </w:p>
        </w:tc>
        <w:tc>
          <w:tcPr>
            <w:tcW w:w="78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ACT</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NT</w:t>
            </w:r>
          </w:p>
        </w:tc>
        <w:tc>
          <w:tcPr>
            <w:tcW w:w="104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Total</w:t>
            </w:r>
          </w:p>
        </w:tc>
      </w:tr>
      <w:tr w:rsidR="00647BDC" w:rsidRPr="008E5D14" w:rsidTr="00D07581">
        <w:trPr>
          <w:trHeight w:val="259"/>
        </w:trPr>
        <w:tc>
          <w:tcPr>
            <w:tcW w:w="106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9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$m</w:t>
            </w:r>
          </w:p>
        </w:tc>
        <w:tc>
          <w:tcPr>
            <w:tcW w:w="9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$m</w:t>
            </w:r>
          </w:p>
        </w:tc>
        <w:tc>
          <w:tcPr>
            <w:tcW w:w="9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$m</w:t>
            </w:r>
          </w:p>
        </w:tc>
        <w:tc>
          <w:tcPr>
            <w:tcW w:w="9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$m</w:t>
            </w:r>
          </w:p>
        </w:tc>
        <w:tc>
          <w:tcPr>
            <w:tcW w:w="78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$m</w:t>
            </w:r>
          </w:p>
        </w:tc>
        <w:tc>
          <w:tcPr>
            <w:tcW w:w="78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$m</w:t>
            </w:r>
          </w:p>
        </w:tc>
        <w:tc>
          <w:tcPr>
            <w:tcW w:w="78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$m</w:t>
            </w:r>
          </w:p>
        </w:tc>
        <w:tc>
          <w:tcPr>
            <w:tcW w:w="78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$m</w:t>
            </w:r>
          </w:p>
        </w:tc>
        <w:tc>
          <w:tcPr>
            <w:tcW w:w="10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$m</w:t>
            </w:r>
          </w:p>
        </w:tc>
      </w:tr>
      <w:tr w:rsidR="00647BDC" w:rsidRPr="008E5D14" w:rsidTr="00D07581">
        <w:trPr>
          <w:trHeight w:val="315"/>
        </w:trPr>
        <w:tc>
          <w:tcPr>
            <w:tcW w:w="106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Property</w:t>
            </w:r>
          </w:p>
        </w:tc>
        <w:tc>
          <w:tcPr>
            <w:tcW w:w="9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4 568</w:t>
            </w:r>
          </w:p>
        </w:tc>
        <w:tc>
          <w:tcPr>
            <w:tcW w:w="9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3 276</w:t>
            </w:r>
          </w:p>
        </w:tc>
        <w:tc>
          <w:tcPr>
            <w:tcW w:w="9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1 887</w:t>
            </w:r>
          </w:p>
        </w:tc>
        <w:tc>
          <w:tcPr>
            <w:tcW w:w="9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1 785</w:t>
            </w:r>
          </w:p>
        </w:tc>
        <w:tc>
          <w:tcPr>
            <w:tcW w:w="78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773</w:t>
            </w:r>
          </w:p>
        </w:tc>
        <w:tc>
          <w:tcPr>
            <w:tcW w:w="78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139</w:t>
            </w:r>
          </w:p>
        </w:tc>
        <w:tc>
          <w:tcPr>
            <w:tcW w:w="78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229</w:t>
            </w:r>
          </w:p>
        </w:tc>
        <w:tc>
          <w:tcPr>
            <w:tcW w:w="78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126</w:t>
            </w:r>
          </w:p>
        </w:tc>
        <w:tc>
          <w:tcPr>
            <w:tcW w:w="10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12 782</w:t>
            </w:r>
          </w:p>
        </w:tc>
      </w:tr>
      <w:tr w:rsidR="00647BDC" w:rsidRPr="008E5D14" w:rsidTr="00D07581">
        <w:trPr>
          <w:trHeight w:val="315"/>
        </w:trPr>
        <w:tc>
          <w:tcPr>
            <w:tcW w:w="106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Vehicles</w:t>
            </w:r>
          </w:p>
        </w:tc>
        <w:tc>
          <w:tcPr>
            <w:tcW w:w="9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636</w:t>
            </w:r>
          </w:p>
        </w:tc>
        <w:tc>
          <w:tcPr>
            <w:tcW w:w="9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636</w:t>
            </w:r>
          </w:p>
        </w:tc>
        <w:tc>
          <w:tcPr>
            <w:tcW w:w="9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509</w:t>
            </w:r>
          </w:p>
        </w:tc>
        <w:tc>
          <w:tcPr>
            <w:tcW w:w="9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404</w:t>
            </w:r>
          </w:p>
        </w:tc>
        <w:tc>
          <w:tcPr>
            <w:tcW w:w="78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149</w:t>
            </w:r>
          </w:p>
        </w:tc>
        <w:tc>
          <w:tcPr>
            <w:tcW w:w="78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38</w:t>
            </w:r>
          </w:p>
        </w:tc>
        <w:tc>
          <w:tcPr>
            <w:tcW w:w="78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30</w:t>
            </w:r>
          </w:p>
        </w:tc>
        <w:tc>
          <w:tcPr>
            <w:tcW w:w="78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26</w:t>
            </w:r>
          </w:p>
        </w:tc>
        <w:tc>
          <w:tcPr>
            <w:tcW w:w="104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2 427</w:t>
            </w:r>
          </w:p>
        </w:tc>
      </w:tr>
      <w:tr w:rsidR="00647BDC" w:rsidRPr="008E5D14" w:rsidTr="00D07581">
        <w:trPr>
          <w:trHeight w:val="315"/>
        </w:trPr>
        <w:tc>
          <w:tcPr>
            <w:tcW w:w="1060" w:type="dxa"/>
            <w:tcBorders>
              <w:top w:val="nil"/>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Total</w:t>
            </w:r>
          </w:p>
        </w:tc>
        <w:tc>
          <w:tcPr>
            <w:tcW w:w="940" w:type="dxa"/>
            <w:tcBorders>
              <w:top w:val="single" w:sz="4" w:space="0" w:color="auto"/>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5 203</w:t>
            </w:r>
          </w:p>
        </w:tc>
        <w:tc>
          <w:tcPr>
            <w:tcW w:w="940" w:type="dxa"/>
            <w:tcBorders>
              <w:top w:val="single" w:sz="4" w:space="0" w:color="auto"/>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3 912</w:t>
            </w:r>
          </w:p>
        </w:tc>
        <w:tc>
          <w:tcPr>
            <w:tcW w:w="940" w:type="dxa"/>
            <w:tcBorders>
              <w:top w:val="single" w:sz="4" w:space="0" w:color="auto"/>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2 396</w:t>
            </w:r>
          </w:p>
        </w:tc>
        <w:tc>
          <w:tcPr>
            <w:tcW w:w="940" w:type="dxa"/>
            <w:tcBorders>
              <w:top w:val="single" w:sz="4" w:space="0" w:color="auto"/>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2 189</w:t>
            </w:r>
          </w:p>
        </w:tc>
        <w:tc>
          <w:tcPr>
            <w:tcW w:w="780" w:type="dxa"/>
            <w:tcBorders>
              <w:top w:val="single" w:sz="4" w:space="0" w:color="auto"/>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922</w:t>
            </w:r>
          </w:p>
        </w:tc>
        <w:tc>
          <w:tcPr>
            <w:tcW w:w="780" w:type="dxa"/>
            <w:tcBorders>
              <w:top w:val="single" w:sz="4" w:space="0" w:color="auto"/>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177</w:t>
            </w:r>
          </w:p>
        </w:tc>
        <w:tc>
          <w:tcPr>
            <w:tcW w:w="780" w:type="dxa"/>
            <w:tcBorders>
              <w:top w:val="single" w:sz="4" w:space="0" w:color="auto"/>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258</w:t>
            </w:r>
          </w:p>
        </w:tc>
        <w:tc>
          <w:tcPr>
            <w:tcW w:w="780" w:type="dxa"/>
            <w:tcBorders>
              <w:top w:val="single" w:sz="4" w:space="0" w:color="auto"/>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152</w:t>
            </w:r>
          </w:p>
        </w:tc>
        <w:tc>
          <w:tcPr>
            <w:tcW w:w="1040" w:type="dxa"/>
            <w:tcBorders>
              <w:top w:val="single" w:sz="4" w:space="0" w:color="auto"/>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15 209</w:t>
            </w:r>
          </w:p>
        </w:tc>
      </w:tr>
    </w:tbl>
    <w:p w:rsidR="00647BDC" w:rsidRPr="00755429" w:rsidRDefault="00647BDC" w:rsidP="00647BDC">
      <w:pPr>
        <w:pStyle w:val="CGCTableFootnote"/>
      </w:pPr>
      <w:r w:rsidRPr="00755429">
        <w:t>Source:</w:t>
      </w:r>
      <w:r w:rsidRPr="00755429">
        <w:tab/>
        <w:t>ABS GFS data.</w:t>
      </w:r>
    </w:p>
    <w:p w:rsidR="00647BDC" w:rsidRPr="00755429" w:rsidRDefault="00647BDC" w:rsidP="00647BDC">
      <w:pPr>
        <w:pStyle w:val="CGCNumberedPara"/>
        <w:numPr>
          <w:ilvl w:val="1"/>
          <w:numId w:val="2"/>
        </w:numPr>
      </w:pPr>
      <w:r w:rsidRPr="00755429">
        <w:fldChar w:fldCharType="begin"/>
      </w:r>
      <w:r w:rsidRPr="00755429">
        <w:instrText xml:space="preserve"> REF _Ref384652518 \h </w:instrText>
      </w:r>
      <w:r>
        <w:instrText xml:space="preserve"> \* MERGEFORMAT </w:instrText>
      </w:r>
      <w:r w:rsidRPr="00755429">
        <w:fldChar w:fldCharType="separate"/>
      </w:r>
      <w:r w:rsidR="005B69B1" w:rsidRPr="00755429">
        <w:t xml:space="preserve">Table </w:t>
      </w:r>
      <w:r w:rsidR="005B69B1">
        <w:rPr>
          <w:noProof/>
        </w:rPr>
        <w:t>2</w:t>
      </w:r>
      <w:r w:rsidRPr="00755429">
        <w:fldChar w:fldCharType="end"/>
      </w:r>
      <w:r w:rsidRPr="00755429">
        <w:t xml:space="preserve"> shows conveyances contributed around 1</w:t>
      </w:r>
      <w:r>
        <w:t>4</w:t>
      </w:r>
      <w:r w:rsidRPr="00755429">
        <w:t>% of State own-source revenue in 2012</w:t>
      </w:r>
      <w:r w:rsidRPr="00755429">
        <w:noBreakHyphen/>
        <w:t>13.</w:t>
      </w:r>
    </w:p>
    <w:p w:rsidR="00647BDC" w:rsidRPr="00755429" w:rsidRDefault="00647BDC" w:rsidP="00647BDC">
      <w:pPr>
        <w:pStyle w:val="CGCTableHeading"/>
      </w:pPr>
      <w:bookmarkStart w:id="69" w:name="_Ref384652518"/>
      <w:r w:rsidRPr="00755429">
        <w:t xml:space="preserve">Table </w:t>
      </w:r>
      <w:r w:rsidR="005B69B1">
        <w:fldChar w:fldCharType="begin"/>
      </w:r>
      <w:r w:rsidR="005B69B1">
        <w:instrText xml:space="preserve"> SEQ Table \* ARABIC </w:instrText>
      </w:r>
      <w:r w:rsidR="005B69B1">
        <w:fldChar w:fldCharType="separate"/>
      </w:r>
      <w:r w:rsidR="005B69B1">
        <w:rPr>
          <w:noProof/>
        </w:rPr>
        <w:t>2</w:t>
      </w:r>
      <w:r w:rsidR="005B69B1">
        <w:rPr>
          <w:noProof/>
        </w:rPr>
        <w:fldChar w:fldCharType="end"/>
      </w:r>
      <w:bookmarkEnd w:id="69"/>
      <w:r w:rsidRPr="00755429">
        <w:tab/>
        <w:t>Stamp duties on conveyances as a proportion of State own-source revenue</w:t>
      </w:r>
    </w:p>
    <w:tbl>
      <w:tblPr>
        <w:tblW w:w="8920" w:type="dxa"/>
        <w:tblInd w:w="93" w:type="dxa"/>
        <w:tblLook w:val="04A0" w:firstRow="1" w:lastRow="0" w:firstColumn="1" w:lastColumn="0" w:noHBand="0" w:noVBand="1"/>
      </w:tblPr>
      <w:tblGrid>
        <w:gridCol w:w="3720"/>
        <w:gridCol w:w="1300"/>
        <w:gridCol w:w="1300"/>
        <w:gridCol w:w="1300"/>
        <w:gridCol w:w="1300"/>
      </w:tblGrid>
      <w:tr w:rsidR="00647BDC" w:rsidRPr="008E5D14" w:rsidTr="00D07581">
        <w:trPr>
          <w:trHeight w:val="375"/>
        </w:trPr>
        <w:tc>
          <w:tcPr>
            <w:tcW w:w="372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rPr>
                <w:rFonts w:ascii="Calibri" w:eastAsia="Times New Roman" w:hAnsi="Calibri" w:cs="Times New Roman"/>
                <w:sz w:val="20"/>
                <w:szCs w:val="20"/>
                <w:lang w:eastAsia="en-AU"/>
              </w:rPr>
            </w:pPr>
          </w:p>
        </w:tc>
        <w:tc>
          <w:tcPr>
            <w:tcW w:w="130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2009-10</w:t>
            </w:r>
          </w:p>
        </w:tc>
        <w:tc>
          <w:tcPr>
            <w:tcW w:w="130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2010-11</w:t>
            </w:r>
          </w:p>
        </w:tc>
        <w:tc>
          <w:tcPr>
            <w:tcW w:w="130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2011-12</w:t>
            </w:r>
          </w:p>
        </w:tc>
        <w:tc>
          <w:tcPr>
            <w:tcW w:w="1300" w:type="dxa"/>
            <w:tcBorders>
              <w:top w:val="single" w:sz="4" w:space="0" w:color="auto"/>
              <w:left w:val="nil"/>
              <w:bottom w:val="single" w:sz="4" w:space="0" w:color="auto"/>
              <w:right w:val="nil"/>
            </w:tcBorders>
            <w:shd w:val="clear" w:color="auto" w:fill="auto"/>
            <w:noWrap/>
            <w:vAlign w:val="center"/>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2012-13</w:t>
            </w:r>
          </w:p>
        </w:tc>
      </w:tr>
      <w:tr w:rsidR="00647BDC" w:rsidRPr="008E5D14" w:rsidTr="00D07581">
        <w:trPr>
          <w:trHeight w:val="315"/>
        </w:trPr>
        <w:tc>
          <w:tcPr>
            <w:tcW w:w="372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Total for category ($m)</w:t>
            </w:r>
          </w:p>
        </w:tc>
        <w:tc>
          <w:tcPr>
            <w:tcW w:w="130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14 417</w:t>
            </w:r>
          </w:p>
        </w:tc>
        <w:tc>
          <w:tcPr>
            <w:tcW w:w="130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14 603</w:t>
            </w:r>
          </w:p>
        </w:tc>
        <w:tc>
          <w:tcPr>
            <w:tcW w:w="130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13 820</w:t>
            </w:r>
          </w:p>
        </w:tc>
        <w:tc>
          <w:tcPr>
            <w:tcW w:w="130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15 209</w:t>
            </w:r>
          </w:p>
        </w:tc>
      </w:tr>
      <w:tr w:rsidR="00647BDC" w:rsidRPr="008E5D14" w:rsidTr="00D07581">
        <w:trPr>
          <w:trHeight w:val="315"/>
        </w:trPr>
        <w:tc>
          <w:tcPr>
            <w:tcW w:w="372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Total own source revenue ($m)</w:t>
            </w:r>
          </w:p>
        </w:tc>
        <w:tc>
          <w:tcPr>
            <w:tcW w:w="130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86 388</w:t>
            </w:r>
          </w:p>
        </w:tc>
        <w:tc>
          <w:tcPr>
            <w:tcW w:w="130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94 809</w:t>
            </w:r>
          </w:p>
        </w:tc>
        <w:tc>
          <w:tcPr>
            <w:tcW w:w="130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98 699</w:t>
            </w:r>
          </w:p>
        </w:tc>
        <w:tc>
          <w:tcPr>
            <w:tcW w:w="1300" w:type="dxa"/>
            <w:tcBorders>
              <w:top w:val="nil"/>
              <w:left w:val="nil"/>
              <w:bottom w:val="nil"/>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107 061</w:t>
            </w:r>
          </w:p>
        </w:tc>
      </w:tr>
      <w:tr w:rsidR="00647BDC" w:rsidRPr="008E5D14" w:rsidTr="00D07581">
        <w:trPr>
          <w:trHeight w:val="315"/>
        </w:trPr>
        <w:tc>
          <w:tcPr>
            <w:tcW w:w="3720" w:type="dxa"/>
            <w:tcBorders>
              <w:top w:val="nil"/>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Proportion of own source revenue (</w:t>
            </w:r>
            <w:r>
              <w:rPr>
                <w:rFonts w:ascii="Calibri" w:eastAsia="Times New Roman" w:hAnsi="Calibri" w:cs="Times New Roman"/>
                <w:sz w:val="20"/>
                <w:szCs w:val="20"/>
                <w:lang w:eastAsia="en-AU"/>
              </w:rPr>
              <w:t>%</w:t>
            </w:r>
            <w:r w:rsidRPr="008E5D14">
              <w:rPr>
                <w:rFonts w:ascii="Calibri" w:eastAsia="Times New Roman" w:hAnsi="Calibri" w:cs="Times New Roman"/>
                <w:sz w:val="20"/>
                <w:szCs w:val="20"/>
                <w:lang w:eastAsia="en-AU"/>
              </w:rPr>
              <w:t>)</w:t>
            </w:r>
          </w:p>
        </w:tc>
        <w:tc>
          <w:tcPr>
            <w:tcW w:w="1300" w:type="dxa"/>
            <w:tcBorders>
              <w:top w:val="nil"/>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16.7</w:t>
            </w:r>
          </w:p>
        </w:tc>
        <w:tc>
          <w:tcPr>
            <w:tcW w:w="1300" w:type="dxa"/>
            <w:tcBorders>
              <w:top w:val="nil"/>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15.4</w:t>
            </w:r>
          </w:p>
        </w:tc>
        <w:tc>
          <w:tcPr>
            <w:tcW w:w="1300" w:type="dxa"/>
            <w:tcBorders>
              <w:top w:val="nil"/>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14.0</w:t>
            </w:r>
          </w:p>
        </w:tc>
        <w:tc>
          <w:tcPr>
            <w:tcW w:w="1300" w:type="dxa"/>
            <w:tcBorders>
              <w:top w:val="nil"/>
              <w:left w:val="nil"/>
              <w:bottom w:val="single" w:sz="4" w:space="0" w:color="auto"/>
              <w:right w:val="nil"/>
            </w:tcBorders>
            <w:shd w:val="clear" w:color="auto" w:fill="auto"/>
            <w:noWrap/>
            <w:vAlign w:val="bottom"/>
            <w:hideMark/>
          </w:tcPr>
          <w:p w:rsidR="00647BDC" w:rsidRPr="008E5D1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8E5D14">
              <w:rPr>
                <w:rFonts w:ascii="Calibri" w:eastAsia="Times New Roman" w:hAnsi="Calibri" w:cs="Times New Roman"/>
                <w:sz w:val="20"/>
                <w:szCs w:val="20"/>
                <w:lang w:eastAsia="en-AU"/>
              </w:rPr>
              <w:t>14.2</w:t>
            </w:r>
          </w:p>
        </w:tc>
      </w:tr>
    </w:tbl>
    <w:p w:rsidR="00647BDC" w:rsidRPr="00755429" w:rsidRDefault="00647BDC" w:rsidP="00647BDC">
      <w:pPr>
        <w:pStyle w:val="CGCTableFootnote"/>
      </w:pPr>
      <w:r w:rsidRPr="00755429">
        <w:t>Source:</w:t>
      </w:r>
      <w:r w:rsidRPr="00755429">
        <w:tab/>
        <w:t xml:space="preserve">Commission calculation using ABS </w:t>
      </w:r>
      <w:r>
        <w:t>Government Finance Statistics (</w:t>
      </w:r>
      <w:r w:rsidRPr="00921958">
        <w:t>GFS</w:t>
      </w:r>
      <w:r>
        <w:t>)</w:t>
      </w:r>
      <w:r w:rsidRPr="00921958">
        <w:t xml:space="preserve"> </w:t>
      </w:r>
      <w:r w:rsidRPr="00755429">
        <w:t>data and State data.</w:t>
      </w:r>
    </w:p>
    <w:p w:rsidR="00647BDC" w:rsidRPr="00755429" w:rsidRDefault="00647BDC" w:rsidP="00647BDC">
      <w:pPr>
        <w:pStyle w:val="Heading4"/>
      </w:pPr>
      <w:r w:rsidRPr="00755429">
        <w:t>How are revenues raised?</w:t>
      </w:r>
    </w:p>
    <w:p w:rsidR="00647BDC" w:rsidRPr="00755429" w:rsidRDefault="00647BDC" w:rsidP="00647BDC">
      <w:pPr>
        <w:pStyle w:val="CGCNumberedPara"/>
        <w:numPr>
          <w:ilvl w:val="1"/>
          <w:numId w:val="2"/>
        </w:numPr>
      </w:pPr>
      <w:r w:rsidRPr="00755429">
        <w:rPr>
          <w:rStyle w:val="Heading6Char"/>
        </w:rPr>
        <w:t>Duties on property.</w:t>
      </w:r>
      <w:r w:rsidRPr="00755429">
        <w:t xml:space="preserve"> States impose property duties at progressive rates. Adjusting for progressive rates of tax has a material impact on States’ assessed revenue capacities.</w:t>
      </w:r>
    </w:p>
    <w:p w:rsidR="00647BDC" w:rsidRPr="00755429" w:rsidRDefault="00647BDC" w:rsidP="00647BDC">
      <w:pPr>
        <w:pStyle w:val="CGCNumberedPara"/>
        <w:numPr>
          <w:ilvl w:val="1"/>
          <w:numId w:val="2"/>
        </w:numPr>
        <w:tabs>
          <w:tab w:val="num" w:pos="5104"/>
        </w:tabs>
      </w:pPr>
      <w:r w:rsidRPr="00755429">
        <w:t>States also have differences in the range of properties that are subject to duty. For example, Victoria has a concession for ‘off the plan’ transactions, but those transactions are fully dutiable in most other States. Allowing for differences in the range of property subject to duty has a material impact on States’ assessed revenue raising capacities.</w:t>
      </w:r>
    </w:p>
    <w:p w:rsidR="00647BDC" w:rsidRPr="00755429" w:rsidRDefault="00647BDC" w:rsidP="00647BDC">
      <w:pPr>
        <w:pStyle w:val="CGCNumberedPara"/>
        <w:numPr>
          <w:ilvl w:val="1"/>
          <w:numId w:val="2"/>
        </w:numPr>
      </w:pPr>
      <w:r w:rsidRPr="00755429">
        <w:rPr>
          <w:rStyle w:val="Heading6Char"/>
        </w:rPr>
        <w:t>Duties on vehicles.</w:t>
      </w:r>
      <w:r w:rsidRPr="00755429">
        <w:t xml:space="preserve"> Most States impose the stamp duty on the value of the vehicle, but one State varies the rate according to number of cylinders. Rates can also vary according to the use of the vehicle and whether the vehicle is a new registration or a used vehicle transfer. A broadly common range of vehicles (such as vehicles acquired for resale by used car dealers, transfers arising from settling estates and family law arrangements and vehicles acquired by benevolent institutions) are exempted from duty across the States.</w:t>
      </w:r>
    </w:p>
    <w:p w:rsidR="00647BDC" w:rsidRPr="00755429" w:rsidRDefault="00647BDC" w:rsidP="00647BDC">
      <w:pPr>
        <w:pStyle w:val="Heading3"/>
      </w:pPr>
      <w:bookmarkStart w:id="70" w:name="_Toc390955816"/>
      <w:r>
        <w:t>Category structure</w:t>
      </w:r>
      <w:bookmarkEnd w:id="70"/>
    </w:p>
    <w:p w:rsidR="00647BDC" w:rsidRPr="00755429" w:rsidRDefault="00647BDC" w:rsidP="00647BDC">
      <w:pPr>
        <w:pStyle w:val="CGCNumberedPara"/>
        <w:numPr>
          <w:ilvl w:val="1"/>
          <w:numId w:val="2"/>
        </w:numPr>
        <w:tabs>
          <w:tab w:val="num" w:pos="5104"/>
        </w:tabs>
      </w:pPr>
      <w:r w:rsidRPr="00755429">
        <w:t>The assessment of Stamp duties on conveyances is in three components:</w:t>
      </w:r>
    </w:p>
    <w:p w:rsidR="00647BDC" w:rsidRPr="00755429" w:rsidRDefault="00647BDC" w:rsidP="00D07581">
      <w:pPr>
        <w:pStyle w:val="CGCBulletlist"/>
      </w:pPr>
      <w:r w:rsidRPr="00755429">
        <w:t xml:space="preserve">an </w:t>
      </w:r>
      <w:r>
        <w:t>equal per capita (</w:t>
      </w:r>
      <w:r w:rsidRPr="00755429">
        <w:t>EPC</w:t>
      </w:r>
      <w:r>
        <w:t>)</w:t>
      </w:r>
      <w:r w:rsidRPr="00755429">
        <w:t xml:space="preserve"> component</w:t>
      </w:r>
    </w:p>
    <w:p w:rsidR="00647BDC" w:rsidRPr="00755429" w:rsidRDefault="00647BDC" w:rsidP="00D07581">
      <w:pPr>
        <w:pStyle w:val="CGCBulletlist"/>
      </w:pPr>
      <w:r w:rsidRPr="00755429">
        <w:lastRenderedPageBreak/>
        <w:t>a property component</w:t>
      </w:r>
    </w:p>
    <w:p w:rsidR="00647BDC" w:rsidRPr="00755429" w:rsidRDefault="00647BDC" w:rsidP="00D07581">
      <w:pPr>
        <w:pStyle w:val="CGCBulletlist"/>
      </w:pPr>
      <w:proofErr w:type="gramStart"/>
      <w:r w:rsidRPr="00755429">
        <w:t>a</w:t>
      </w:r>
      <w:proofErr w:type="gramEnd"/>
      <w:r w:rsidRPr="00755429">
        <w:t xml:space="preserve"> vehicles component.</w:t>
      </w:r>
    </w:p>
    <w:p w:rsidR="00647BDC" w:rsidRPr="00755429" w:rsidRDefault="00647BDC" w:rsidP="00647BDC">
      <w:pPr>
        <w:pStyle w:val="CGCNumberedPara"/>
        <w:numPr>
          <w:ilvl w:val="1"/>
          <w:numId w:val="2"/>
        </w:numPr>
        <w:tabs>
          <w:tab w:val="num" w:pos="5104"/>
        </w:tabs>
      </w:pPr>
      <w:r w:rsidRPr="00755429">
        <w:fldChar w:fldCharType="begin"/>
      </w:r>
      <w:r w:rsidRPr="00755429">
        <w:instrText xml:space="preserve"> REF _Ref390241604 \h </w:instrText>
      </w:r>
      <w:r>
        <w:instrText xml:space="preserve"> \* MERGEFORMAT </w:instrText>
      </w:r>
      <w:r w:rsidRPr="00755429">
        <w:fldChar w:fldCharType="separate"/>
      </w:r>
      <w:r w:rsidR="005B69B1" w:rsidRPr="00755429">
        <w:t xml:space="preserve">Table </w:t>
      </w:r>
      <w:r w:rsidR="005B69B1">
        <w:rPr>
          <w:noProof/>
        </w:rPr>
        <w:t>3</w:t>
      </w:r>
      <w:r w:rsidRPr="00755429">
        <w:fldChar w:fldCharType="end"/>
      </w:r>
      <w:r w:rsidRPr="00755429">
        <w:t xml:space="preserve"> shows the assessment structure for the category, the disabilities that are assessed and the size of each component, using 2012</w:t>
      </w:r>
      <w:r w:rsidRPr="00755429">
        <w:noBreakHyphen/>
        <w:t>13 data.</w:t>
      </w:r>
    </w:p>
    <w:p w:rsidR="00647BDC" w:rsidRPr="00755429" w:rsidRDefault="00647BDC" w:rsidP="00647BDC">
      <w:pPr>
        <w:pStyle w:val="CGCTableHeading"/>
      </w:pPr>
      <w:bookmarkStart w:id="71" w:name="_Ref390241604"/>
      <w:r w:rsidRPr="00755429">
        <w:t xml:space="preserve">Table </w:t>
      </w:r>
      <w:r w:rsidR="005B69B1">
        <w:fldChar w:fldCharType="begin"/>
      </w:r>
      <w:r w:rsidR="005B69B1">
        <w:instrText xml:space="preserve"> SEQ Table \* ARABIC </w:instrText>
      </w:r>
      <w:r w:rsidR="005B69B1">
        <w:fldChar w:fldCharType="separate"/>
      </w:r>
      <w:r w:rsidR="005B69B1">
        <w:rPr>
          <w:noProof/>
        </w:rPr>
        <w:t>3</w:t>
      </w:r>
      <w:r w:rsidR="005B69B1">
        <w:rPr>
          <w:noProof/>
        </w:rPr>
        <w:fldChar w:fldCharType="end"/>
      </w:r>
      <w:bookmarkEnd w:id="71"/>
      <w:r w:rsidRPr="00755429">
        <w:tab/>
        <w:t>Category structure, Stamp duty on conveyances, 2012</w:t>
      </w:r>
      <w:r w:rsidRPr="00755429">
        <w:noBreakHyphen/>
        <w:t>13</w:t>
      </w:r>
    </w:p>
    <w:tbl>
      <w:tblPr>
        <w:tblW w:w="9074" w:type="dxa"/>
        <w:tblLayout w:type="fixed"/>
        <w:tblCellMar>
          <w:left w:w="0" w:type="dxa"/>
          <w:right w:w="0" w:type="dxa"/>
        </w:tblCellMar>
        <w:tblLook w:val="04A0" w:firstRow="1" w:lastRow="0" w:firstColumn="1" w:lastColumn="0" w:noHBand="0" w:noVBand="1"/>
      </w:tblPr>
      <w:tblGrid>
        <w:gridCol w:w="1710"/>
        <w:gridCol w:w="894"/>
        <w:gridCol w:w="262"/>
        <w:gridCol w:w="1647"/>
        <w:gridCol w:w="4561"/>
      </w:tblGrid>
      <w:tr w:rsidR="00647BDC" w:rsidRPr="000F436A" w:rsidTr="00D07581">
        <w:trPr>
          <w:trHeight w:val="360"/>
        </w:trPr>
        <w:tc>
          <w:tcPr>
            <w:tcW w:w="1710" w:type="dxa"/>
            <w:tcBorders>
              <w:top w:val="single" w:sz="4" w:space="0" w:color="auto"/>
              <w:left w:val="nil"/>
              <w:bottom w:val="single" w:sz="4" w:space="0" w:color="auto"/>
              <w:right w:val="nil"/>
            </w:tcBorders>
            <w:shd w:val="clear" w:color="auto" w:fill="auto"/>
            <w:noWrap/>
            <w:vAlign w:val="center"/>
            <w:hideMark/>
          </w:tcPr>
          <w:p w:rsidR="00647BDC" w:rsidRPr="000F436A"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Component</w:t>
            </w:r>
          </w:p>
        </w:tc>
        <w:tc>
          <w:tcPr>
            <w:tcW w:w="894" w:type="dxa"/>
            <w:tcBorders>
              <w:top w:val="single" w:sz="4" w:space="0" w:color="auto"/>
              <w:left w:val="nil"/>
              <w:bottom w:val="single" w:sz="4" w:space="0" w:color="auto"/>
              <w:right w:val="nil"/>
            </w:tcBorders>
            <w:shd w:val="clear" w:color="auto" w:fill="auto"/>
            <w:noWrap/>
            <w:vAlign w:val="center"/>
            <w:hideMark/>
          </w:tcPr>
          <w:p w:rsidR="00647BDC" w:rsidRPr="000F436A"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Size</w:t>
            </w:r>
          </w:p>
        </w:tc>
        <w:tc>
          <w:tcPr>
            <w:tcW w:w="262" w:type="dxa"/>
            <w:tcBorders>
              <w:top w:val="single" w:sz="4" w:space="0" w:color="auto"/>
              <w:left w:val="nil"/>
              <w:bottom w:val="single" w:sz="4" w:space="0" w:color="auto"/>
              <w:right w:val="nil"/>
            </w:tcBorders>
            <w:shd w:val="clear" w:color="auto" w:fill="auto"/>
            <w:noWrap/>
            <w:vAlign w:val="center"/>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 </w:t>
            </w:r>
          </w:p>
        </w:tc>
        <w:tc>
          <w:tcPr>
            <w:tcW w:w="1647" w:type="dxa"/>
            <w:tcBorders>
              <w:top w:val="single" w:sz="4" w:space="0" w:color="auto"/>
              <w:left w:val="nil"/>
              <w:bottom w:val="single" w:sz="4" w:space="0" w:color="auto"/>
              <w:right w:val="nil"/>
            </w:tcBorders>
            <w:shd w:val="clear" w:color="auto" w:fill="auto"/>
            <w:noWrap/>
            <w:vAlign w:val="center"/>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Disability</w:t>
            </w:r>
          </w:p>
        </w:tc>
        <w:tc>
          <w:tcPr>
            <w:tcW w:w="4561" w:type="dxa"/>
            <w:tcBorders>
              <w:top w:val="single" w:sz="4" w:space="0" w:color="auto"/>
              <w:left w:val="nil"/>
              <w:bottom w:val="single" w:sz="4" w:space="0" w:color="auto"/>
              <w:right w:val="nil"/>
            </w:tcBorders>
            <w:shd w:val="clear" w:color="auto" w:fill="auto"/>
            <w:noWrap/>
            <w:vAlign w:val="center"/>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Influences measured by disability</w:t>
            </w:r>
          </w:p>
        </w:tc>
      </w:tr>
      <w:tr w:rsidR="00647BDC" w:rsidRPr="000F436A" w:rsidTr="00D07581">
        <w:trPr>
          <w:trHeight w:val="259"/>
        </w:trPr>
        <w:tc>
          <w:tcPr>
            <w:tcW w:w="1710" w:type="dxa"/>
            <w:tcBorders>
              <w:top w:val="nil"/>
              <w:left w:val="nil"/>
              <w:bottom w:val="nil"/>
              <w:right w:val="nil"/>
            </w:tcBorders>
            <w:shd w:val="clear" w:color="auto" w:fill="auto"/>
            <w:noWrap/>
            <w:vAlign w:val="bottom"/>
            <w:hideMark/>
          </w:tcPr>
          <w:p w:rsidR="00647BDC" w:rsidRPr="000F436A"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p>
        </w:tc>
        <w:tc>
          <w:tcPr>
            <w:tcW w:w="894" w:type="dxa"/>
            <w:tcBorders>
              <w:top w:val="nil"/>
              <w:left w:val="nil"/>
              <w:bottom w:val="nil"/>
              <w:right w:val="nil"/>
            </w:tcBorders>
            <w:shd w:val="clear" w:color="auto" w:fill="auto"/>
            <w:noWrap/>
            <w:vAlign w:val="bottom"/>
            <w:hideMark/>
          </w:tcPr>
          <w:p w:rsidR="00647BDC" w:rsidRPr="000F436A"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$m</w:t>
            </w:r>
          </w:p>
        </w:tc>
        <w:tc>
          <w:tcPr>
            <w:tcW w:w="262" w:type="dxa"/>
            <w:tcBorders>
              <w:top w:val="nil"/>
              <w:left w:val="nil"/>
              <w:bottom w:val="nil"/>
              <w:right w:val="nil"/>
            </w:tcBorders>
            <w:shd w:val="clear" w:color="auto" w:fill="auto"/>
            <w:noWrap/>
            <w:vAlign w:val="bottom"/>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c>
          <w:tcPr>
            <w:tcW w:w="1647" w:type="dxa"/>
            <w:tcBorders>
              <w:top w:val="nil"/>
              <w:left w:val="nil"/>
              <w:bottom w:val="nil"/>
              <w:right w:val="nil"/>
            </w:tcBorders>
            <w:shd w:val="clear" w:color="auto" w:fill="auto"/>
            <w:noWrap/>
            <w:vAlign w:val="bottom"/>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c>
          <w:tcPr>
            <w:tcW w:w="4561" w:type="dxa"/>
            <w:tcBorders>
              <w:top w:val="nil"/>
              <w:left w:val="nil"/>
              <w:bottom w:val="nil"/>
              <w:right w:val="nil"/>
            </w:tcBorders>
            <w:shd w:val="clear" w:color="auto" w:fill="auto"/>
            <w:noWrap/>
            <w:vAlign w:val="bottom"/>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r>
      <w:tr w:rsidR="00647BDC" w:rsidRPr="000F436A" w:rsidTr="00D07581">
        <w:trPr>
          <w:trHeight w:val="795"/>
        </w:trPr>
        <w:tc>
          <w:tcPr>
            <w:tcW w:w="1710" w:type="dxa"/>
            <w:tcBorders>
              <w:top w:val="nil"/>
              <w:left w:val="nil"/>
              <w:bottom w:val="nil"/>
              <w:right w:val="nil"/>
            </w:tcBorders>
            <w:shd w:val="clear" w:color="auto" w:fill="auto"/>
            <w:noWrap/>
            <w:hideMark/>
          </w:tcPr>
          <w:p w:rsidR="00647BDC" w:rsidRPr="000F436A"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EPC component</w:t>
            </w:r>
          </w:p>
        </w:tc>
        <w:tc>
          <w:tcPr>
            <w:tcW w:w="894" w:type="dxa"/>
            <w:tcBorders>
              <w:top w:val="nil"/>
              <w:left w:val="nil"/>
              <w:bottom w:val="nil"/>
              <w:right w:val="nil"/>
            </w:tcBorders>
            <w:shd w:val="clear" w:color="auto" w:fill="auto"/>
            <w:noWrap/>
            <w:hideMark/>
          </w:tcPr>
          <w:p w:rsidR="00647BDC" w:rsidRPr="000F436A"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 xml:space="preserve"> 437</w:t>
            </w:r>
          </w:p>
        </w:tc>
        <w:tc>
          <w:tcPr>
            <w:tcW w:w="262" w:type="dxa"/>
            <w:tcBorders>
              <w:top w:val="nil"/>
              <w:left w:val="nil"/>
              <w:bottom w:val="nil"/>
              <w:right w:val="nil"/>
            </w:tcBorders>
            <w:shd w:val="clear" w:color="auto" w:fill="auto"/>
            <w:noWrap/>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c>
          <w:tcPr>
            <w:tcW w:w="1647" w:type="dxa"/>
            <w:tcBorders>
              <w:top w:val="nil"/>
              <w:left w:val="nil"/>
              <w:bottom w:val="nil"/>
              <w:right w:val="nil"/>
            </w:tcBorders>
            <w:shd w:val="clear" w:color="auto" w:fill="auto"/>
            <w:noWrap/>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Population</w:t>
            </w:r>
          </w:p>
        </w:tc>
        <w:tc>
          <w:tcPr>
            <w:tcW w:w="4561" w:type="dxa"/>
            <w:tcBorders>
              <w:top w:val="nil"/>
              <w:left w:val="nil"/>
              <w:bottom w:val="nil"/>
              <w:right w:val="nil"/>
            </w:tcBorders>
            <w:shd w:val="clear" w:color="auto" w:fill="auto"/>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Revenue from corporate reconstructions, sales of major State assets and land rich transactions of listed corporations are assessed equal per capita.</w:t>
            </w:r>
          </w:p>
        </w:tc>
      </w:tr>
      <w:tr w:rsidR="00647BDC" w:rsidRPr="000F436A" w:rsidTr="00D07581">
        <w:trPr>
          <w:trHeight w:val="555"/>
        </w:trPr>
        <w:tc>
          <w:tcPr>
            <w:tcW w:w="1710" w:type="dxa"/>
            <w:tcBorders>
              <w:top w:val="nil"/>
              <w:left w:val="nil"/>
              <w:bottom w:val="nil"/>
              <w:right w:val="nil"/>
            </w:tcBorders>
            <w:shd w:val="clear" w:color="auto" w:fill="auto"/>
            <w:noWrap/>
            <w:hideMark/>
          </w:tcPr>
          <w:p w:rsidR="00647BDC" w:rsidRPr="000F436A"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Property component</w:t>
            </w:r>
          </w:p>
        </w:tc>
        <w:tc>
          <w:tcPr>
            <w:tcW w:w="894" w:type="dxa"/>
            <w:tcBorders>
              <w:top w:val="nil"/>
              <w:left w:val="nil"/>
              <w:bottom w:val="nil"/>
              <w:right w:val="nil"/>
            </w:tcBorders>
            <w:shd w:val="clear" w:color="auto" w:fill="auto"/>
            <w:noWrap/>
            <w:hideMark/>
          </w:tcPr>
          <w:p w:rsidR="00647BDC" w:rsidRPr="000F436A"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12 345</w:t>
            </w:r>
          </w:p>
        </w:tc>
        <w:tc>
          <w:tcPr>
            <w:tcW w:w="262" w:type="dxa"/>
            <w:tcBorders>
              <w:top w:val="nil"/>
              <w:left w:val="nil"/>
              <w:bottom w:val="nil"/>
              <w:right w:val="nil"/>
            </w:tcBorders>
            <w:shd w:val="clear" w:color="auto" w:fill="auto"/>
            <w:noWrap/>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c>
          <w:tcPr>
            <w:tcW w:w="1647" w:type="dxa"/>
            <w:tcBorders>
              <w:top w:val="nil"/>
              <w:left w:val="nil"/>
              <w:bottom w:val="nil"/>
              <w:right w:val="nil"/>
            </w:tcBorders>
            <w:shd w:val="clear" w:color="auto" w:fill="auto"/>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Value of property transferred</w:t>
            </w:r>
          </w:p>
        </w:tc>
        <w:tc>
          <w:tcPr>
            <w:tcW w:w="4561" w:type="dxa"/>
            <w:tcBorders>
              <w:top w:val="nil"/>
              <w:left w:val="nil"/>
              <w:bottom w:val="nil"/>
              <w:right w:val="nil"/>
            </w:tcBorders>
            <w:shd w:val="clear" w:color="auto" w:fill="auto"/>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Recognises the additional revenue capacity of States with a greater total value of property transferred.</w:t>
            </w:r>
          </w:p>
        </w:tc>
      </w:tr>
      <w:tr w:rsidR="00647BDC" w:rsidRPr="000F436A" w:rsidTr="00D07581">
        <w:trPr>
          <w:trHeight w:val="795"/>
        </w:trPr>
        <w:tc>
          <w:tcPr>
            <w:tcW w:w="1710" w:type="dxa"/>
            <w:tcBorders>
              <w:top w:val="nil"/>
              <w:left w:val="nil"/>
              <w:bottom w:val="nil"/>
              <w:right w:val="nil"/>
            </w:tcBorders>
            <w:shd w:val="clear" w:color="auto" w:fill="auto"/>
            <w:noWrap/>
            <w:hideMark/>
          </w:tcPr>
          <w:p w:rsidR="00647BDC" w:rsidRPr="000F436A"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p>
        </w:tc>
        <w:tc>
          <w:tcPr>
            <w:tcW w:w="894" w:type="dxa"/>
            <w:tcBorders>
              <w:top w:val="nil"/>
              <w:left w:val="nil"/>
              <w:bottom w:val="nil"/>
              <w:right w:val="nil"/>
            </w:tcBorders>
            <w:shd w:val="clear" w:color="auto" w:fill="auto"/>
            <w:noWrap/>
            <w:hideMark/>
          </w:tcPr>
          <w:p w:rsidR="00647BDC" w:rsidRPr="000F436A"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262" w:type="dxa"/>
            <w:tcBorders>
              <w:top w:val="nil"/>
              <w:left w:val="nil"/>
              <w:bottom w:val="nil"/>
              <w:right w:val="nil"/>
            </w:tcBorders>
            <w:shd w:val="clear" w:color="auto" w:fill="auto"/>
            <w:noWrap/>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c>
          <w:tcPr>
            <w:tcW w:w="1647" w:type="dxa"/>
            <w:tcBorders>
              <w:top w:val="nil"/>
              <w:left w:val="nil"/>
              <w:bottom w:val="nil"/>
              <w:right w:val="nil"/>
            </w:tcBorders>
            <w:shd w:val="clear" w:color="auto" w:fill="auto"/>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Progressive rates of tax</w:t>
            </w:r>
          </w:p>
        </w:tc>
        <w:tc>
          <w:tcPr>
            <w:tcW w:w="4561" w:type="dxa"/>
            <w:tcBorders>
              <w:top w:val="nil"/>
              <w:left w:val="nil"/>
              <w:bottom w:val="nil"/>
              <w:right w:val="nil"/>
            </w:tcBorders>
            <w:shd w:val="clear" w:color="auto" w:fill="auto"/>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Recognises the additional revenue capacity of States with proportionally more transactions in higher value ranges.</w:t>
            </w:r>
          </w:p>
        </w:tc>
      </w:tr>
      <w:tr w:rsidR="00647BDC" w:rsidRPr="000F436A" w:rsidTr="00D07581">
        <w:trPr>
          <w:trHeight w:val="555"/>
        </w:trPr>
        <w:tc>
          <w:tcPr>
            <w:tcW w:w="1710" w:type="dxa"/>
            <w:tcBorders>
              <w:top w:val="nil"/>
              <w:left w:val="nil"/>
              <w:bottom w:val="single" w:sz="4" w:space="0" w:color="auto"/>
              <w:right w:val="nil"/>
            </w:tcBorders>
            <w:shd w:val="clear" w:color="auto" w:fill="auto"/>
            <w:noWrap/>
            <w:hideMark/>
          </w:tcPr>
          <w:p w:rsidR="00647BDC" w:rsidRPr="000F436A"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Vehicles component</w:t>
            </w:r>
          </w:p>
        </w:tc>
        <w:tc>
          <w:tcPr>
            <w:tcW w:w="894" w:type="dxa"/>
            <w:tcBorders>
              <w:top w:val="nil"/>
              <w:left w:val="nil"/>
              <w:bottom w:val="single" w:sz="4" w:space="0" w:color="auto"/>
              <w:right w:val="nil"/>
            </w:tcBorders>
            <w:shd w:val="clear" w:color="auto" w:fill="auto"/>
            <w:noWrap/>
            <w:hideMark/>
          </w:tcPr>
          <w:p w:rsidR="00647BDC" w:rsidRPr="000F436A"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2 427</w:t>
            </w:r>
          </w:p>
        </w:tc>
        <w:tc>
          <w:tcPr>
            <w:tcW w:w="262" w:type="dxa"/>
            <w:tcBorders>
              <w:top w:val="nil"/>
              <w:left w:val="nil"/>
              <w:bottom w:val="single" w:sz="4" w:space="0" w:color="auto"/>
              <w:right w:val="nil"/>
            </w:tcBorders>
            <w:shd w:val="clear" w:color="auto" w:fill="auto"/>
            <w:noWrap/>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 </w:t>
            </w:r>
          </w:p>
        </w:tc>
        <w:tc>
          <w:tcPr>
            <w:tcW w:w="1647" w:type="dxa"/>
            <w:tcBorders>
              <w:top w:val="nil"/>
              <w:left w:val="nil"/>
              <w:bottom w:val="single" w:sz="4" w:space="0" w:color="auto"/>
              <w:right w:val="nil"/>
            </w:tcBorders>
            <w:shd w:val="clear" w:color="auto" w:fill="auto"/>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Value of vehicles transferred</w:t>
            </w:r>
          </w:p>
        </w:tc>
        <w:tc>
          <w:tcPr>
            <w:tcW w:w="4561" w:type="dxa"/>
            <w:tcBorders>
              <w:top w:val="nil"/>
              <w:left w:val="nil"/>
              <w:bottom w:val="single" w:sz="4" w:space="0" w:color="auto"/>
              <w:right w:val="nil"/>
            </w:tcBorders>
            <w:shd w:val="clear" w:color="auto" w:fill="auto"/>
            <w:hideMark/>
          </w:tcPr>
          <w:p w:rsidR="00647BDC" w:rsidRPr="000F436A"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0F436A">
              <w:rPr>
                <w:rFonts w:ascii="Calibri" w:eastAsia="Times New Roman" w:hAnsi="Calibri" w:cs="Times New Roman"/>
                <w:sz w:val="20"/>
                <w:szCs w:val="20"/>
                <w:lang w:eastAsia="en-AU"/>
              </w:rPr>
              <w:t>Recognises the additional revenue capacity of States with a greater total value of vehicles transferred.</w:t>
            </w:r>
          </w:p>
        </w:tc>
      </w:tr>
    </w:tbl>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Heading3"/>
      </w:pPr>
      <w:bookmarkStart w:id="72" w:name="_Toc390955817"/>
      <w:r w:rsidRPr="00755429">
        <w:t xml:space="preserve">EPC </w:t>
      </w:r>
      <w:r>
        <w:t>component</w:t>
      </w:r>
      <w:bookmarkEnd w:id="72"/>
    </w:p>
    <w:p w:rsidR="00647BDC" w:rsidRPr="00755429" w:rsidRDefault="00647BDC" w:rsidP="00647BDC">
      <w:pPr>
        <w:pStyle w:val="CGCNumberedPara"/>
        <w:numPr>
          <w:ilvl w:val="1"/>
          <w:numId w:val="2"/>
        </w:numPr>
      </w:pPr>
      <w:r w:rsidRPr="00755429">
        <w:t>This component comprises revenue from:</w:t>
      </w:r>
    </w:p>
    <w:p w:rsidR="00647BDC" w:rsidRPr="00755429" w:rsidRDefault="00647BDC" w:rsidP="00D07581">
      <w:pPr>
        <w:pStyle w:val="CGCBulletlist"/>
      </w:pPr>
      <w:r w:rsidRPr="00755429">
        <w:t>Duty on corporate reconstructions. Most States refund the duty collected or exempt the transactions to encourage economic reform. Previous terms of reference directed that these revenues not affect State GST requirements.</w:t>
      </w:r>
    </w:p>
    <w:p w:rsidR="00647BDC" w:rsidRPr="00755429" w:rsidRDefault="00647BDC" w:rsidP="00D07581">
      <w:pPr>
        <w:pStyle w:val="CGCBulletlist"/>
      </w:pPr>
      <w:r w:rsidRPr="00755429">
        <w:t>The sale of major State assets. These revenues arise because of differences in State policies on the ownership of assets.</w:t>
      </w:r>
    </w:p>
    <w:p w:rsidR="00647BDC" w:rsidRPr="00755429" w:rsidRDefault="00647BDC" w:rsidP="00D07581">
      <w:pPr>
        <w:pStyle w:val="CGCBulletlist"/>
      </w:pPr>
      <w:r w:rsidRPr="00755429">
        <w:t>Revenue from duty on the land rich transactions of listed companies. Land rich transactions involving listed corporations are not common, but they can be large. To date, such transactions have been a minor source of revenue for States. The ad hoc nature and volatility of these transactions makes it difficult for us to construct a reliable estimate for States that do not levy duty.</w:t>
      </w:r>
    </w:p>
    <w:p w:rsidR="00647BDC" w:rsidRPr="00755429" w:rsidRDefault="00647BDC" w:rsidP="00647BDC">
      <w:pPr>
        <w:pStyle w:val="CGCNumberedPara"/>
        <w:numPr>
          <w:ilvl w:val="1"/>
          <w:numId w:val="2"/>
        </w:numPr>
      </w:pPr>
      <w:r w:rsidRPr="00755429">
        <w:t xml:space="preserve">A differential assessment is not made of these revenues — each State is assessed to have the same per capita capacity. </w:t>
      </w:r>
      <w:r w:rsidRPr="00755429">
        <w:fldChar w:fldCharType="begin"/>
      </w:r>
      <w:r w:rsidRPr="00755429">
        <w:instrText xml:space="preserve"> REF _Ref386097757 \h </w:instrText>
      </w:r>
      <w:r>
        <w:instrText xml:space="preserve"> \* MERGEFORMAT </w:instrText>
      </w:r>
      <w:r w:rsidRPr="00755429">
        <w:fldChar w:fldCharType="separate"/>
      </w:r>
      <w:r w:rsidR="005B69B1" w:rsidRPr="00755429">
        <w:t xml:space="preserve">Table </w:t>
      </w:r>
      <w:r w:rsidR="005B69B1">
        <w:rPr>
          <w:noProof/>
        </w:rPr>
        <w:t>4</w:t>
      </w:r>
      <w:r w:rsidRPr="00755429">
        <w:fldChar w:fldCharType="end"/>
      </w:r>
      <w:r w:rsidRPr="00755429">
        <w:t xml:space="preserve"> shows the assessed revenue for this component.</w:t>
      </w:r>
    </w:p>
    <w:p w:rsidR="00647BDC" w:rsidRPr="00755429" w:rsidRDefault="00647BDC" w:rsidP="00647BDC">
      <w:pPr>
        <w:pStyle w:val="CGCNumberedPara"/>
        <w:numPr>
          <w:ilvl w:val="1"/>
          <w:numId w:val="2"/>
        </w:numPr>
      </w:pPr>
      <w:r w:rsidRPr="00755429">
        <w:t xml:space="preserve">Data on revenue from these sources are collected from State Revenue Offices (SROs). </w:t>
      </w:r>
    </w:p>
    <w:p w:rsidR="00647BDC" w:rsidRPr="00755429" w:rsidRDefault="00647BDC" w:rsidP="00647BDC">
      <w:pPr>
        <w:pStyle w:val="CGCTableHeading"/>
      </w:pPr>
      <w:bookmarkStart w:id="73" w:name="_Ref386097757"/>
      <w:r w:rsidRPr="00755429">
        <w:lastRenderedPageBreak/>
        <w:t xml:space="preserve">Table </w:t>
      </w:r>
      <w:r w:rsidR="005B69B1">
        <w:fldChar w:fldCharType="begin"/>
      </w:r>
      <w:r w:rsidR="005B69B1">
        <w:instrText xml:space="preserve"> SEQ Table \* ARABIC </w:instrText>
      </w:r>
      <w:r w:rsidR="005B69B1">
        <w:fldChar w:fldCharType="separate"/>
      </w:r>
      <w:r w:rsidR="005B69B1">
        <w:rPr>
          <w:noProof/>
        </w:rPr>
        <w:t>4</w:t>
      </w:r>
      <w:r w:rsidR="005B69B1">
        <w:rPr>
          <w:noProof/>
        </w:rPr>
        <w:fldChar w:fldCharType="end"/>
      </w:r>
      <w:bookmarkEnd w:id="73"/>
      <w:r w:rsidRPr="00755429">
        <w:tab/>
        <w:t>Illustrative assessed revenue, EPC component, 2012</w:t>
      </w:r>
      <w:r w:rsidRPr="00755429">
        <w:noBreakHyphen/>
        <w:t>13</w:t>
      </w:r>
    </w:p>
    <w:tbl>
      <w:tblPr>
        <w:tblW w:w="8940" w:type="dxa"/>
        <w:tblInd w:w="93" w:type="dxa"/>
        <w:tblLook w:val="04A0" w:firstRow="1" w:lastRow="0" w:firstColumn="1" w:lastColumn="0" w:noHBand="0" w:noVBand="1"/>
      </w:tblPr>
      <w:tblGrid>
        <w:gridCol w:w="2280"/>
        <w:gridCol w:w="800"/>
        <w:gridCol w:w="800"/>
        <w:gridCol w:w="800"/>
        <w:gridCol w:w="800"/>
        <w:gridCol w:w="640"/>
        <w:gridCol w:w="640"/>
        <w:gridCol w:w="640"/>
        <w:gridCol w:w="640"/>
        <w:gridCol w:w="900"/>
      </w:tblGrid>
      <w:tr w:rsidR="00647BDC" w:rsidRPr="00907184" w:rsidTr="00D07581">
        <w:trPr>
          <w:trHeight w:val="360"/>
        </w:trPr>
        <w:tc>
          <w:tcPr>
            <w:tcW w:w="228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NSW</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Vic</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Qld</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WA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907184">
              <w:rPr>
                <w:rFonts w:ascii="Calibri" w:eastAsia="Times New Roman" w:hAnsi="Calibri" w:cs="Times New Roman"/>
                <w:sz w:val="20"/>
                <w:szCs w:val="20"/>
                <w:lang w:eastAsia="en-AU"/>
              </w:rPr>
              <w:t>Tas</w:t>
            </w:r>
            <w:proofErr w:type="spellEnd"/>
          </w:p>
        </w:tc>
        <w:tc>
          <w:tcPr>
            <w:tcW w:w="64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NT</w:t>
            </w:r>
          </w:p>
        </w:tc>
        <w:tc>
          <w:tcPr>
            <w:tcW w:w="9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Total</w:t>
            </w:r>
          </w:p>
        </w:tc>
      </w:tr>
      <w:tr w:rsidR="00647BDC" w:rsidRPr="00907184" w:rsidTr="00D07581">
        <w:trPr>
          <w:trHeight w:val="255"/>
        </w:trPr>
        <w:tc>
          <w:tcPr>
            <w:tcW w:w="2280" w:type="dxa"/>
            <w:tcBorders>
              <w:top w:val="nil"/>
              <w:left w:val="nil"/>
              <w:bottom w:val="nil"/>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$m</w:t>
            </w:r>
          </w:p>
        </w:tc>
        <w:tc>
          <w:tcPr>
            <w:tcW w:w="800" w:type="dxa"/>
            <w:tcBorders>
              <w:top w:val="nil"/>
              <w:left w:val="nil"/>
              <w:bottom w:val="nil"/>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$m</w:t>
            </w:r>
          </w:p>
        </w:tc>
        <w:tc>
          <w:tcPr>
            <w:tcW w:w="800" w:type="dxa"/>
            <w:tcBorders>
              <w:top w:val="nil"/>
              <w:left w:val="nil"/>
              <w:bottom w:val="nil"/>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$m</w:t>
            </w:r>
          </w:p>
        </w:tc>
        <w:tc>
          <w:tcPr>
            <w:tcW w:w="800" w:type="dxa"/>
            <w:tcBorders>
              <w:top w:val="nil"/>
              <w:left w:val="nil"/>
              <w:bottom w:val="nil"/>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$m</w:t>
            </w:r>
          </w:p>
        </w:tc>
        <w:tc>
          <w:tcPr>
            <w:tcW w:w="900" w:type="dxa"/>
            <w:tcBorders>
              <w:top w:val="nil"/>
              <w:left w:val="nil"/>
              <w:bottom w:val="nil"/>
              <w:right w:val="nil"/>
            </w:tcBorders>
            <w:shd w:val="clear" w:color="auto" w:fill="auto"/>
            <w:noWrap/>
            <w:vAlign w:val="center"/>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$m</w:t>
            </w:r>
          </w:p>
        </w:tc>
      </w:tr>
      <w:tr w:rsidR="00647BDC" w:rsidRPr="00907184" w:rsidTr="00D07581">
        <w:trPr>
          <w:trHeight w:val="315"/>
        </w:trPr>
        <w:tc>
          <w:tcPr>
            <w:tcW w:w="2280" w:type="dxa"/>
            <w:tcBorders>
              <w:top w:val="nil"/>
              <w:left w:val="nil"/>
              <w:bottom w:val="nil"/>
              <w:right w:val="nil"/>
            </w:tcBorders>
            <w:shd w:val="clear" w:color="auto" w:fill="auto"/>
            <w:noWrap/>
            <w:vAlign w:val="bottom"/>
            <w:hideMark/>
          </w:tcPr>
          <w:p w:rsidR="00647BDC" w:rsidRPr="00907184"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Actual revenue</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223</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2</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6</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131</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65</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0</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5</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5</w:t>
            </w:r>
          </w:p>
        </w:tc>
        <w:tc>
          <w:tcPr>
            <w:tcW w:w="900" w:type="dxa"/>
            <w:tcBorders>
              <w:top w:val="nil"/>
              <w:left w:val="nil"/>
              <w:bottom w:val="nil"/>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437</w:t>
            </w:r>
          </w:p>
        </w:tc>
      </w:tr>
      <w:tr w:rsidR="00647BDC" w:rsidRPr="00907184" w:rsidTr="00D07581">
        <w:trPr>
          <w:trHeight w:val="315"/>
        </w:trPr>
        <w:tc>
          <w:tcPr>
            <w:tcW w:w="228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 xml:space="preserve">Assessed revenue </w:t>
            </w:r>
          </w:p>
        </w:tc>
        <w:tc>
          <w:tcPr>
            <w:tcW w:w="80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140</w:t>
            </w:r>
          </w:p>
        </w:tc>
        <w:tc>
          <w:tcPr>
            <w:tcW w:w="80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108</w:t>
            </w:r>
          </w:p>
        </w:tc>
        <w:tc>
          <w:tcPr>
            <w:tcW w:w="80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88</w:t>
            </w:r>
          </w:p>
        </w:tc>
        <w:tc>
          <w:tcPr>
            <w:tcW w:w="80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47</w:t>
            </w:r>
          </w:p>
        </w:tc>
        <w:tc>
          <w:tcPr>
            <w:tcW w:w="64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32</w:t>
            </w:r>
          </w:p>
        </w:tc>
        <w:tc>
          <w:tcPr>
            <w:tcW w:w="64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10</w:t>
            </w:r>
          </w:p>
        </w:tc>
        <w:tc>
          <w:tcPr>
            <w:tcW w:w="64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7</w:t>
            </w:r>
          </w:p>
        </w:tc>
        <w:tc>
          <w:tcPr>
            <w:tcW w:w="64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5</w:t>
            </w:r>
          </w:p>
        </w:tc>
        <w:tc>
          <w:tcPr>
            <w:tcW w:w="90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437</w:t>
            </w:r>
          </w:p>
        </w:tc>
      </w:tr>
    </w:tbl>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Heading3"/>
      </w:pPr>
      <w:bookmarkStart w:id="74" w:name="_Toc390955818"/>
      <w:r>
        <w:t>Property component</w:t>
      </w:r>
      <w:bookmarkEnd w:id="74"/>
    </w:p>
    <w:p w:rsidR="00647BDC" w:rsidRPr="00755429" w:rsidRDefault="00647BDC" w:rsidP="00647BDC">
      <w:pPr>
        <w:pStyle w:val="CGCNumberedPara"/>
        <w:numPr>
          <w:ilvl w:val="1"/>
          <w:numId w:val="2"/>
        </w:numPr>
      </w:pPr>
      <w:r w:rsidRPr="00755429">
        <w:t>This component comprises revenue from duty on the transfer of ownership of property.</w:t>
      </w:r>
    </w:p>
    <w:p w:rsidR="00647BDC" w:rsidRPr="00755429" w:rsidRDefault="00647BDC" w:rsidP="00647BDC">
      <w:pPr>
        <w:pStyle w:val="CGCNumberedPara"/>
        <w:numPr>
          <w:ilvl w:val="1"/>
          <w:numId w:val="2"/>
        </w:numPr>
      </w:pPr>
      <w:r w:rsidRPr="00755429">
        <w:t xml:space="preserve">The Commission sources the value of properties and the duty </w:t>
      </w:r>
      <w:proofErr w:type="gramStart"/>
      <w:r w:rsidRPr="00755429">
        <w:t>raised</w:t>
      </w:r>
      <w:proofErr w:type="gramEnd"/>
      <w:r w:rsidRPr="00755429">
        <w:t xml:space="preserve"> from them from SROs. The scope of transactions that are dutiable differs across States. We have attempted to capture the revenue base that best reflects what States collectively do. There are a number of adjustments required to achieve this and they are all material.</w:t>
      </w:r>
    </w:p>
    <w:p w:rsidR="00647BDC" w:rsidRPr="00755429" w:rsidRDefault="00647BDC" w:rsidP="00647BDC">
      <w:pPr>
        <w:pStyle w:val="CGCNumberedPara"/>
        <w:numPr>
          <w:ilvl w:val="1"/>
          <w:numId w:val="2"/>
        </w:numPr>
      </w:pPr>
      <w:r w:rsidRPr="00755429">
        <w:rPr>
          <w:rStyle w:val="Heading5Char"/>
        </w:rPr>
        <w:t>Non-real property.</w:t>
      </w:r>
      <w:r w:rsidRPr="00755429">
        <w:t xml:space="preserve"> As part of the Intergovernmental Agreement on Federal Financial Relations (the IGA), States have agreed to abolish duty on non-real transactions, but they have different timetables for its abolition. Most States still apply duty. We handle these transactions by treating them like other dutiable transactions. Any revenue raised is added to component revenue and we make an adjustment to increase the revenue bases of States that do not levy the duty. We increase their revenue bases by </w:t>
      </w:r>
      <w:bookmarkStart w:id="75" w:name="_Ref387044873"/>
      <w:r w:rsidRPr="00755429">
        <w:t>6% (1% in the case of the ACT</w:t>
      </w:r>
      <w:r w:rsidRPr="00755429">
        <w:rPr>
          <w:rStyle w:val="FootnoteReference"/>
        </w:rPr>
        <w:footnoteReference w:id="8"/>
      </w:r>
      <w:r w:rsidRPr="00755429">
        <w:t>). This is the treatment we applied when we last included non-real property transactions.</w:t>
      </w:r>
    </w:p>
    <w:p w:rsidR="00647BDC" w:rsidRPr="00755429" w:rsidRDefault="00647BDC" w:rsidP="00647BDC">
      <w:pPr>
        <w:pStyle w:val="CGCNumberedPara"/>
        <w:numPr>
          <w:ilvl w:val="1"/>
          <w:numId w:val="2"/>
        </w:numPr>
      </w:pPr>
      <w:r w:rsidRPr="00755429">
        <w:t>Some States argued for a different treatment. Under the IGA, States that abolish duty on non-real property agree not to reintroduce it.</w:t>
      </w:r>
      <w:r w:rsidRPr="00755429">
        <w:rPr>
          <w:rStyle w:val="FootnoteReference"/>
        </w:rPr>
        <w:footnoteReference w:id="9"/>
      </w:r>
      <w:r w:rsidRPr="00755429">
        <w:t xml:space="preserve"> Tasmania said this means these States (Victoria, Tasmania and the ACT) no longer have revenue capacity in this area. Victoria agreed. They argue the IGA can be viewed as a binding agreement between the Commonwealth and States. Under the IGA, States agreed to abolish duty on non</w:t>
      </w:r>
      <w:r w:rsidRPr="00755429">
        <w:noBreakHyphen/>
        <w:t xml:space="preserve">real property before 1 July 2013 and not reintroduce it. </w:t>
      </w:r>
    </w:p>
    <w:p w:rsidR="00647BDC" w:rsidRDefault="00647BDC" w:rsidP="00647BDC">
      <w:pPr>
        <w:pStyle w:val="CGCNumberedPara"/>
        <w:numPr>
          <w:ilvl w:val="1"/>
          <w:numId w:val="2"/>
        </w:numPr>
      </w:pPr>
      <w:r w:rsidRPr="00755429">
        <w:t xml:space="preserve">The appropriate interpretation of the IGA in this context depends on how binding it is on State policy choice. </w:t>
      </w:r>
      <w:r>
        <w:t xml:space="preserve">As a placeholder, in </w:t>
      </w:r>
      <w:r w:rsidRPr="00755429">
        <w:t>the draft report, we have continued the treatment we applied when we last included non-real property transactions.</w:t>
      </w:r>
    </w:p>
    <w:p w:rsidR="00647BDC" w:rsidRPr="00755429" w:rsidRDefault="00647BDC" w:rsidP="00647BDC">
      <w:pPr>
        <w:pStyle w:val="CGCNumberedPara"/>
        <w:numPr>
          <w:ilvl w:val="1"/>
          <w:numId w:val="2"/>
        </w:numPr>
      </w:pPr>
      <w:r>
        <w:t>We seek State views on the appropriate treatment of this issue.</w:t>
      </w:r>
    </w:p>
    <w:bookmarkEnd w:id="75"/>
    <w:p w:rsidR="00647BDC" w:rsidRPr="00755429" w:rsidRDefault="00647BDC" w:rsidP="00647BDC">
      <w:pPr>
        <w:pStyle w:val="CGCNumberedPara"/>
        <w:numPr>
          <w:ilvl w:val="1"/>
          <w:numId w:val="2"/>
        </w:numPr>
      </w:pPr>
      <w:r w:rsidRPr="00755429">
        <w:rPr>
          <w:rStyle w:val="Heading6Char"/>
        </w:rPr>
        <w:lastRenderedPageBreak/>
        <w:t>Off the plan concessions.</w:t>
      </w:r>
      <w:r w:rsidRPr="00755429">
        <w:t xml:space="preserve"> Victoria does not levy duty on off the plan purchases. The Commission makes an adjustment to increase its revenue base by 2.75%.</w:t>
      </w:r>
      <w:r w:rsidRPr="00755429">
        <w:rPr>
          <w:rStyle w:val="FootnoteReference"/>
        </w:rPr>
        <w:footnoteReference w:id="10"/>
      </w:r>
    </w:p>
    <w:p w:rsidR="00647BDC" w:rsidRPr="00755429" w:rsidRDefault="00647BDC" w:rsidP="00647BDC">
      <w:pPr>
        <w:pStyle w:val="CGCNumberedPara"/>
        <w:numPr>
          <w:ilvl w:val="1"/>
          <w:numId w:val="2"/>
        </w:numPr>
      </w:pPr>
      <w:r w:rsidRPr="00755429">
        <w:rPr>
          <w:rStyle w:val="Heading6Char"/>
        </w:rPr>
        <w:t>Unit trusts.</w:t>
      </w:r>
      <w:r w:rsidRPr="00755429">
        <w:t xml:space="preserve"> Queensland, Western Australia and South Australia tax a wider range of unit trusts than other States. The Commission makes an adjustment to decrease their revenue bases by 3%.</w:t>
      </w:r>
    </w:p>
    <w:p w:rsidR="00647BDC" w:rsidRPr="00755429" w:rsidRDefault="00647BDC" w:rsidP="00647BDC">
      <w:pPr>
        <w:pStyle w:val="CGCNumberedPara"/>
        <w:numPr>
          <w:ilvl w:val="1"/>
          <w:numId w:val="2"/>
        </w:numPr>
      </w:pPr>
      <w:r w:rsidRPr="00755429">
        <w:rPr>
          <w:rStyle w:val="Heading6Char"/>
        </w:rPr>
        <w:t xml:space="preserve">Refunds. </w:t>
      </w:r>
      <w:r w:rsidRPr="00755429">
        <w:t>The Commission also asks States to account for refunded transactions in the data they provide. If a transaction is refunded, the Commission asks States to report the refund in the year the refund is provided, not the year in which the original transaction occurred. This ensures that we appropriately assess a State’s revenue in the year it is received. This is consistent with the Commission’s approach of assessing the original transaction in the year it occurs.</w:t>
      </w:r>
    </w:p>
    <w:p w:rsidR="00647BDC" w:rsidRPr="00755429" w:rsidRDefault="00647BDC" w:rsidP="00647BDC">
      <w:pPr>
        <w:pStyle w:val="CGCNumberedPara"/>
        <w:numPr>
          <w:ilvl w:val="1"/>
          <w:numId w:val="2"/>
        </w:numPr>
      </w:pPr>
      <w:r w:rsidRPr="00755429">
        <w:rPr>
          <w:rStyle w:val="Heading6Char"/>
        </w:rPr>
        <w:t>Scaling.</w:t>
      </w:r>
      <w:r w:rsidRPr="00755429">
        <w:t xml:space="preserve"> The data States supply on the value of transfers and revenue raised are obtained from their State revenue offices (SRO). It is usually the case that the total revenue derived from SRO data does not equal the total revenue provided to the ABS by State Treasuries and which we use to derive the State average revenue. Therefore, we scale SRO data to match the revenue reported by the ABS in each State. States’ value of transactions data are scaled by the same ratio.</w:t>
      </w:r>
    </w:p>
    <w:p w:rsidR="00647BDC" w:rsidRPr="00755429" w:rsidRDefault="00647BDC" w:rsidP="00647BDC">
      <w:pPr>
        <w:pStyle w:val="CGCNumberedPara"/>
        <w:numPr>
          <w:ilvl w:val="1"/>
          <w:numId w:val="2"/>
        </w:numPr>
      </w:pPr>
      <w:r w:rsidRPr="00755429">
        <w:rPr>
          <w:rStyle w:val="Heading6Char"/>
        </w:rPr>
        <w:t>Progressive rates of tax.</w:t>
      </w:r>
      <w:r w:rsidRPr="00755429">
        <w:t xml:space="preserve"> States impose conveyance duty using progressive rates. </w:t>
      </w:r>
      <w:r w:rsidRPr="00755429">
        <w:fldChar w:fldCharType="begin"/>
      </w:r>
      <w:r w:rsidRPr="00755429">
        <w:instrText xml:space="preserve"> REF _Ref385921834 \h </w:instrText>
      </w:r>
      <w:r>
        <w:instrText xml:space="preserve"> \* MERGEFORMAT </w:instrText>
      </w:r>
      <w:r w:rsidRPr="00755429">
        <w:fldChar w:fldCharType="separate"/>
      </w:r>
      <w:r w:rsidR="005B69B1" w:rsidRPr="00755429">
        <w:t xml:space="preserve">Table </w:t>
      </w:r>
      <w:r w:rsidR="005B69B1">
        <w:rPr>
          <w:noProof/>
        </w:rPr>
        <w:t>5</w:t>
      </w:r>
      <w:r w:rsidRPr="00755429">
        <w:fldChar w:fldCharType="end"/>
      </w:r>
      <w:r w:rsidRPr="00755429">
        <w:t xml:space="preserve"> shows all States have progressive rates –– the marginal rate of duty increases with the value of the property transferred.</w:t>
      </w:r>
    </w:p>
    <w:p w:rsidR="00647BDC" w:rsidRPr="00755429" w:rsidRDefault="00647BDC" w:rsidP="00647BDC">
      <w:pPr>
        <w:pStyle w:val="CGCTableHeading"/>
      </w:pPr>
      <w:bookmarkStart w:id="76" w:name="_Ref385921834"/>
      <w:r w:rsidRPr="00755429">
        <w:t xml:space="preserve">Table </w:t>
      </w:r>
      <w:r w:rsidR="005B69B1">
        <w:fldChar w:fldCharType="begin"/>
      </w:r>
      <w:r w:rsidR="005B69B1">
        <w:instrText xml:space="preserve"> SEQ Table \* ARABIC </w:instrText>
      </w:r>
      <w:r w:rsidR="005B69B1">
        <w:fldChar w:fldCharType="separate"/>
      </w:r>
      <w:r w:rsidR="005B69B1">
        <w:rPr>
          <w:noProof/>
        </w:rPr>
        <w:t>5</w:t>
      </w:r>
      <w:r w:rsidR="005B69B1">
        <w:rPr>
          <w:noProof/>
        </w:rPr>
        <w:fldChar w:fldCharType="end"/>
      </w:r>
      <w:bookmarkEnd w:id="76"/>
      <w:r w:rsidRPr="00755429">
        <w:tab/>
        <w:t>Effective tax rates on transfer of property, selected values, 2012</w:t>
      </w:r>
      <w:r w:rsidRPr="00755429">
        <w:noBreakHyphen/>
        <w:t>13</w:t>
      </w:r>
    </w:p>
    <w:tbl>
      <w:tblPr>
        <w:tblW w:w="8960" w:type="dxa"/>
        <w:tblInd w:w="93" w:type="dxa"/>
        <w:tblLayout w:type="fixed"/>
        <w:tblLook w:val="04A0" w:firstRow="1" w:lastRow="0" w:firstColumn="1" w:lastColumn="0" w:noHBand="0" w:noVBand="1"/>
      </w:tblPr>
      <w:tblGrid>
        <w:gridCol w:w="1940"/>
        <w:gridCol w:w="980"/>
        <w:gridCol w:w="840"/>
        <w:gridCol w:w="880"/>
        <w:gridCol w:w="880"/>
        <w:gridCol w:w="840"/>
        <w:gridCol w:w="880"/>
        <w:gridCol w:w="880"/>
        <w:gridCol w:w="840"/>
      </w:tblGrid>
      <w:tr w:rsidR="00647BDC" w:rsidRPr="006F6FE9" w:rsidTr="00D07581">
        <w:trPr>
          <w:trHeight w:val="379"/>
        </w:trPr>
        <w:tc>
          <w:tcPr>
            <w:tcW w:w="1940" w:type="dxa"/>
            <w:tcBorders>
              <w:top w:val="single" w:sz="4" w:space="0" w:color="auto"/>
              <w:left w:val="nil"/>
              <w:bottom w:val="single" w:sz="4" w:space="0" w:color="auto"/>
              <w:right w:val="nil"/>
            </w:tcBorders>
            <w:shd w:val="clear" w:color="auto" w:fill="auto"/>
            <w:vAlign w:val="center"/>
            <w:hideMark/>
          </w:tcPr>
          <w:p w:rsidR="00647BDC" w:rsidRPr="006F6FE9" w:rsidRDefault="00647BDC" w:rsidP="00D07581">
            <w:pPr>
              <w:tabs>
                <w:tab w:val="clear" w:pos="567"/>
              </w:tabs>
              <w:spacing w:after="0" w:line="240" w:lineRule="auto"/>
              <w:rPr>
                <w:rFonts w:ascii="Calibri" w:eastAsia="Times New Roman" w:hAnsi="Calibri" w:cs="Times New Roman"/>
                <w:color w:val="000000"/>
                <w:sz w:val="20"/>
                <w:szCs w:val="20"/>
                <w:lang w:eastAsia="en-AU"/>
              </w:rPr>
            </w:pPr>
            <w:bookmarkStart w:id="77" w:name="RANGE!A4:I11"/>
            <w:r w:rsidRPr="006F6FE9">
              <w:rPr>
                <w:rFonts w:ascii="Calibri" w:eastAsia="Times New Roman" w:hAnsi="Calibri" w:cstheme="minorHAnsi"/>
                <w:color w:val="000000"/>
                <w:sz w:val="20"/>
                <w:szCs w:val="20"/>
                <w:lang w:eastAsia="en-AU"/>
              </w:rPr>
              <w:t>Value of transfer</w:t>
            </w:r>
            <w:bookmarkEnd w:id="77"/>
          </w:p>
        </w:tc>
        <w:tc>
          <w:tcPr>
            <w:tcW w:w="980" w:type="dxa"/>
            <w:tcBorders>
              <w:top w:val="single" w:sz="4" w:space="0" w:color="auto"/>
              <w:left w:val="nil"/>
              <w:bottom w:val="single" w:sz="4" w:space="0" w:color="auto"/>
              <w:right w:val="nil"/>
            </w:tcBorders>
            <w:shd w:val="clear" w:color="auto" w:fill="auto"/>
            <w:vAlign w:val="center"/>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NSW</w:t>
            </w:r>
          </w:p>
        </w:tc>
        <w:tc>
          <w:tcPr>
            <w:tcW w:w="840" w:type="dxa"/>
            <w:tcBorders>
              <w:top w:val="single" w:sz="4" w:space="0" w:color="auto"/>
              <w:left w:val="nil"/>
              <w:bottom w:val="single" w:sz="4" w:space="0" w:color="auto"/>
              <w:right w:val="nil"/>
            </w:tcBorders>
            <w:shd w:val="clear" w:color="auto" w:fill="auto"/>
            <w:vAlign w:val="center"/>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Vic</w:t>
            </w:r>
          </w:p>
        </w:tc>
        <w:tc>
          <w:tcPr>
            <w:tcW w:w="880" w:type="dxa"/>
            <w:tcBorders>
              <w:top w:val="single" w:sz="4" w:space="0" w:color="auto"/>
              <w:left w:val="nil"/>
              <w:bottom w:val="single" w:sz="4" w:space="0" w:color="auto"/>
              <w:right w:val="nil"/>
            </w:tcBorders>
            <w:shd w:val="clear" w:color="auto" w:fill="auto"/>
            <w:vAlign w:val="center"/>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Qld</w:t>
            </w:r>
          </w:p>
        </w:tc>
        <w:tc>
          <w:tcPr>
            <w:tcW w:w="880" w:type="dxa"/>
            <w:tcBorders>
              <w:top w:val="single" w:sz="4" w:space="0" w:color="auto"/>
              <w:left w:val="nil"/>
              <w:bottom w:val="single" w:sz="4" w:space="0" w:color="auto"/>
              <w:right w:val="nil"/>
            </w:tcBorders>
            <w:shd w:val="clear" w:color="auto" w:fill="auto"/>
            <w:vAlign w:val="center"/>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WA</w:t>
            </w:r>
          </w:p>
        </w:tc>
        <w:tc>
          <w:tcPr>
            <w:tcW w:w="840" w:type="dxa"/>
            <w:tcBorders>
              <w:top w:val="single" w:sz="4" w:space="0" w:color="auto"/>
              <w:left w:val="nil"/>
              <w:bottom w:val="single" w:sz="4" w:space="0" w:color="auto"/>
              <w:right w:val="nil"/>
            </w:tcBorders>
            <w:shd w:val="clear" w:color="auto" w:fill="auto"/>
            <w:vAlign w:val="center"/>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SA</w:t>
            </w:r>
          </w:p>
        </w:tc>
        <w:tc>
          <w:tcPr>
            <w:tcW w:w="880" w:type="dxa"/>
            <w:tcBorders>
              <w:top w:val="single" w:sz="4" w:space="0" w:color="auto"/>
              <w:left w:val="nil"/>
              <w:bottom w:val="single" w:sz="4" w:space="0" w:color="auto"/>
              <w:right w:val="nil"/>
            </w:tcBorders>
            <w:shd w:val="clear" w:color="auto" w:fill="auto"/>
            <w:vAlign w:val="center"/>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6F6FE9">
              <w:rPr>
                <w:rFonts w:ascii="Calibri" w:eastAsia="Times New Roman" w:hAnsi="Calibri" w:cstheme="minorHAnsi"/>
                <w:color w:val="000000"/>
                <w:sz w:val="20"/>
                <w:szCs w:val="20"/>
                <w:lang w:eastAsia="en-AU"/>
              </w:rPr>
              <w:t>Tas</w:t>
            </w:r>
            <w:proofErr w:type="spellEnd"/>
          </w:p>
        </w:tc>
        <w:tc>
          <w:tcPr>
            <w:tcW w:w="880" w:type="dxa"/>
            <w:tcBorders>
              <w:top w:val="single" w:sz="4" w:space="0" w:color="auto"/>
              <w:left w:val="nil"/>
              <w:bottom w:val="single" w:sz="4" w:space="0" w:color="auto"/>
              <w:right w:val="nil"/>
            </w:tcBorders>
            <w:shd w:val="clear" w:color="auto" w:fill="auto"/>
            <w:vAlign w:val="center"/>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ACT</w:t>
            </w:r>
          </w:p>
        </w:tc>
        <w:tc>
          <w:tcPr>
            <w:tcW w:w="840" w:type="dxa"/>
            <w:tcBorders>
              <w:top w:val="single" w:sz="4" w:space="0" w:color="auto"/>
              <w:left w:val="nil"/>
              <w:bottom w:val="single" w:sz="4" w:space="0" w:color="auto"/>
              <w:right w:val="nil"/>
            </w:tcBorders>
            <w:shd w:val="clear" w:color="auto" w:fill="auto"/>
            <w:vAlign w:val="center"/>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NT</w:t>
            </w:r>
          </w:p>
        </w:tc>
      </w:tr>
      <w:tr w:rsidR="00647BDC" w:rsidRPr="006F6FE9" w:rsidTr="00D07581">
        <w:trPr>
          <w:trHeight w:val="259"/>
        </w:trPr>
        <w:tc>
          <w:tcPr>
            <w:tcW w:w="1940" w:type="dxa"/>
            <w:tcBorders>
              <w:top w:val="nil"/>
              <w:left w:val="nil"/>
              <w:bottom w:val="nil"/>
              <w:right w:val="nil"/>
            </w:tcBorders>
            <w:shd w:val="clear" w:color="auto" w:fill="auto"/>
            <w:noWrap/>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p>
        </w:tc>
        <w:tc>
          <w:tcPr>
            <w:tcW w:w="980" w:type="dxa"/>
            <w:tcBorders>
              <w:top w:val="nil"/>
              <w:left w:val="nil"/>
              <w:bottom w:val="nil"/>
              <w:right w:val="nil"/>
            </w:tcBorders>
            <w:shd w:val="clear" w:color="auto" w:fill="auto"/>
            <w:noWrap/>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w:t>
            </w:r>
          </w:p>
        </w:tc>
        <w:tc>
          <w:tcPr>
            <w:tcW w:w="840" w:type="dxa"/>
            <w:tcBorders>
              <w:top w:val="nil"/>
              <w:left w:val="nil"/>
              <w:bottom w:val="nil"/>
              <w:right w:val="nil"/>
            </w:tcBorders>
            <w:shd w:val="clear" w:color="auto" w:fill="auto"/>
            <w:noWrap/>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w:t>
            </w:r>
          </w:p>
        </w:tc>
        <w:tc>
          <w:tcPr>
            <w:tcW w:w="880" w:type="dxa"/>
            <w:tcBorders>
              <w:top w:val="nil"/>
              <w:left w:val="nil"/>
              <w:bottom w:val="nil"/>
              <w:right w:val="nil"/>
            </w:tcBorders>
            <w:shd w:val="clear" w:color="auto" w:fill="auto"/>
            <w:noWrap/>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w:t>
            </w:r>
          </w:p>
        </w:tc>
        <w:tc>
          <w:tcPr>
            <w:tcW w:w="880" w:type="dxa"/>
            <w:tcBorders>
              <w:top w:val="nil"/>
              <w:left w:val="nil"/>
              <w:bottom w:val="nil"/>
              <w:right w:val="nil"/>
            </w:tcBorders>
            <w:shd w:val="clear" w:color="auto" w:fill="auto"/>
            <w:noWrap/>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w:t>
            </w:r>
          </w:p>
        </w:tc>
        <w:tc>
          <w:tcPr>
            <w:tcW w:w="840" w:type="dxa"/>
            <w:tcBorders>
              <w:top w:val="nil"/>
              <w:left w:val="nil"/>
              <w:bottom w:val="nil"/>
              <w:right w:val="nil"/>
            </w:tcBorders>
            <w:shd w:val="clear" w:color="auto" w:fill="auto"/>
            <w:noWrap/>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w:t>
            </w:r>
          </w:p>
        </w:tc>
        <w:tc>
          <w:tcPr>
            <w:tcW w:w="880" w:type="dxa"/>
            <w:tcBorders>
              <w:top w:val="nil"/>
              <w:left w:val="nil"/>
              <w:bottom w:val="nil"/>
              <w:right w:val="nil"/>
            </w:tcBorders>
            <w:shd w:val="clear" w:color="auto" w:fill="auto"/>
            <w:noWrap/>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w:t>
            </w:r>
          </w:p>
        </w:tc>
        <w:tc>
          <w:tcPr>
            <w:tcW w:w="880" w:type="dxa"/>
            <w:tcBorders>
              <w:top w:val="nil"/>
              <w:left w:val="nil"/>
              <w:bottom w:val="nil"/>
              <w:right w:val="nil"/>
            </w:tcBorders>
            <w:shd w:val="clear" w:color="auto" w:fill="auto"/>
            <w:noWrap/>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w:t>
            </w:r>
          </w:p>
        </w:tc>
        <w:tc>
          <w:tcPr>
            <w:tcW w:w="840" w:type="dxa"/>
            <w:tcBorders>
              <w:top w:val="nil"/>
              <w:left w:val="nil"/>
              <w:bottom w:val="nil"/>
              <w:right w:val="nil"/>
            </w:tcBorders>
            <w:shd w:val="clear" w:color="auto" w:fill="auto"/>
            <w:noWrap/>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w:t>
            </w:r>
          </w:p>
        </w:tc>
      </w:tr>
      <w:tr w:rsidR="00647BDC" w:rsidRPr="006F6FE9" w:rsidTr="00D07581">
        <w:trPr>
          <w:trHeight w:val="315"/>
        </w:trPr>
        <w:tc>
          <w:tcPr>
            <w:tcW w:w="19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$150 000</w:t>
            </w:r>
          </w:p>
        </w:tc>
        <w:tc>
          <w:tcPr>
            <w:tcW w:w="9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2.5</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2.7</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2.4</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2.7</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3.2</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2.8</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2.5</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2.4</w:t>
            </w:r>
          </w:p>
        </w:tc>
      </w:tr>
      <w:tr w:rsidR="00647BDC" w:rsidRPr="006F6FE9" w:rsidTr="00D07581">
        <w:trPr>
          <w:trHeight w:val="315"/>
        </w:trPr>
        <w:tc>
          <w:tcPr>
            <w:tcW w:w="19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$300 000</w:t>
            </w:r>
          </w:p>
        </w:tc>
        <w:tc>
          <w:tcPr>
            <w:tcW w:w="9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3.0</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4.4</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3.0</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3.4</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3.8</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3.3</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3.5</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2.8</w:t>
            </w:r>
          </w:p>
        </w:tc>
      </w:tr>
      <w:tr w:rsidR="00647BDC" w:rsidRPr="006F6FE9" w:rsidTr="00D07581">
        <w:trPr>
          <w:trHeight w:val="315"/>
        </w:trPr>
        <w:tc>
          <w:tcPr>
            <w:tcW w:w="19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$450 000</w:t>
            </w:r>
          </w:p>
        </w:tc>
        <w:tc>
          <w:tcPr>
            <w:tcW w:w="9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3.5</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4.9</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3.1</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3.8</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4.2</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3.6</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4.5</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3.5</w:t>
            </w:r>
          </w:p>
        </w:tc>
      </w:tr>
      <w:tr w:rsidR="00647BDC" w:rsidRPr="006F6FE9" w:rsidTr="00D07581">
        <w:trPr>
          <w:trHeight w:val="315"/>
        </w:trPr>
        <w:tc>
          <w:tcPr>
            <w:tcW w:w="19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$600 000</w:t>
            </w:r>
          </w:p>
        </w:tc>
        <w:tc>
          <w:tcPr>
            <w:tcW w:w="9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3.7</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5.2</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3.3</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4.1</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4.5</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3.7</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5.0</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3.9</w:t>
            </w:r>
          </w:p>
        </w:tc>
      </w:tr>
      <w:tr w:rsidR="00647BDC" w:rsidRPr="006F6FE9" w:rsidTr="00D07581">
        <w:trPr>
          <w:trHeight w:val="315"/>
        </w:trPr>
        <w:tc>
          <w:tcPr>
            <w:tcW w:w="19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$750 000</w:t>
            </w:r>
          </w:p>
        </w:tc>
        <w:tc>
          <w:tcPr>
            <w:tcW w:w="9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3.9</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5.3</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3.6</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4.3</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4.7</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3.9</w:t>
            </w:r>
          </w:p>
        </w:tc>
        <w:tc>
          <w:tcPr>
            <w:tcW w:w="88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5.0</w:t>
            </w:r>
          </w:p>
        </w:tc>
        <w:tc>
          <w:tcPr>
            <w:tcW w:w="840" w:type="dxa"/>
            <w:tcBorders>
              <w:top w:val="nil"/>
              <w:left w:val="nil"/>
              <w:bottom w:val="nil"/>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4.2</w:t>
            </w:r>
          </w:p>
        </w:tc>
      </w:tr>
      <w:tr w:rsidR="00647BDC" w:rsidRPr="006F6FE9" w:rsidTr="00D07581">
        <w:trPr>
          <w:trHeight w:val="315"/>
        </w:trPr>
        <w:tc>
          <w:tcPr>
            <w:tcW w:w="1940" w:type="dxa"/>
            <w:tcBorders>
              <w:top w:val="nil"/>
              <w:left w:val="nil"/>
              <w:bottom w:val="single" w:sz="4" w:space="0" w:color="auto"/>
              <w:right w:val="nil"/>
            </w:tcBorders>
            <w:shd w:val="clear" w:color="auto" w:fill="auto"/>
            <w:vAlign w:val="bottom"/>
            <w:hideMark/>
          </w:tcPr>
          <w:p w:rsidR="00647BDC" w:rsidRPr="006F6FE9" w:rsidRDefault="00647BDC" w:rsidP="00D07581">
            <w:pPr>
              <w:tabs>
                <w:tab w:val="clear" w:pos="567"/>
              </w:tabs>
              <w:spacing w:after="0" w:line="240" w:lineRule="auto"/>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$1 000 000</w:t>
            </w:r>
          </w:p>
        </w:tc>
        <w:tc>
          <w:tcPr>
            <w:tcW w:w="980" w:type="dxa"/>
            <w:tcBorders>
              <w:top w:val="nil"/>
              <w:left w:val="nil"/>
              <w:bottom w:val="single" w:sz="4" w:space="0" w:color="auto"/>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4.0</w:t>
            </w:r>
          </w:p>
        </w:tc>
        <w:tc>
          <w:tcPr>
            <w:tcW w:w="840" w:type="dxa"/>
            <w:tcBorders>
              <w:top w:val="nil"/>
              <w:left w:val="nil"/>
              <w:bottom w:val="single" w:sz="4" w:space="0" w:color="auto"/>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5.5</w:t>
            </w:r>
          </w:p>
        </w:tc>
        <w:tc>
          <w:tcPr>
            <w:tcW w:w="880" w:type="dxa"/>
            <w:tcBorders>
              <w:top w:val="nil"/>
              <w:left w:val="nil"/>
              <w:bottom w:val="single" w:sz="4" w:space="0" w:color="auto"/>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3.8</w:t>
            </w:r>
          </w:p>
        </w:tc>
        <w:tc>
          <w:tcPr>
            <w:tcW w:w="880" w:type="dxa"/>
            <w:tcBorders>
              <w:top w:val="nil"/>
              <w:left w:val="nil"/>
              <w:bottom w:val="single" w:sz="4" w:space="0" w:color="auto"/>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4.5</w:t>
            </w:r>
          </w:p>
        </w:tc>
        <w:tc>
          <w:tcPr>
            <w:tcW w:w="840" w:type="dxa"/>
            <w:tcBorders>
              <w:top w:val="nil"/>
              <w:left w:val="nil"/>
              <w:bottom w:val="single" w:sz="4" w:space="0" w:color="auto"/>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4.9</w:t>
            </w:r>
          </w:p>
        </w:tc>
        <w:tc>
          <w:tcPr>
            <w:tcW w:w="880" w:type="dxa"/>
            <w:tcBorders>
              <w:top w:val="nil"/>
              <w:left w:val="nil"/>
              <w:bottom w:val="single" w:sz="4" w:space="0" w:color="auto"/>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4.0</w:t>
            </w:r>
          </w:p>
        </w:tc>
        <w:tc>
          <w:tcPr>
            <w:tcW w:w="880" w:type="dxa"/>
            <w:tcBorders>
              <w:top w:val="nil"/>
              <w:left w:val="nil"/>
              <w:bottom w:val="single" w:sz="4" w:space="0" w:color="auto"/>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5.0</w:t>
            </w:r>
          </w:p>
        </w:tc>
        <w:tc>
          <w:tcPr>
            <w:tcW w:w="840" w:type="dxa"/>
            <w:tcBorders>
              <w:top w:val="nil"/>
              <w:left w:val="nil"/>
              <w:bottom w:val="single" w:sz="4" w:space="0" w:color="auto"/>
              <w:right w:val="nil"/>
            </w:tcBorders>
            <w:shd w:val="clear" w:color="auto" w:fill="auto"/>
            <w:vAlign w:val="bottom"/>
            <w:hideMark/>
          </w:tcPr>
          <w:p w:rsidR="00647BDC" w:rsidRPr="006F6FE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6F6FE9">
              <w:rPr>
                <w:rFonts w:ascii="Calibri" w:eastAsia="Times New Roman" w:hAnsi="Calibri" w:cstheme="minorHAnsi"/>
                <w:color w:val="000000"/>
                <w:sz w:val="20"/>
                <w:szCs w:val="20"/>
                <w:lang w:eastAsia="en-AU"/>
              </w:rPr>
              <w:t>4.8</w:t>
            </w:r>
          </w:p>
        </w:tc>
      </w:tr>
    </w:tbl>
    <w:p w:rsidR="00647BDC" w:rsidRPr="00755429" w:rsidRDefault="00647BDC" w:rsidP="00647BDC">
      <w:pPr>
        <w:pStyle w:val="CGCTableFootnote"/>
        <w:keepNext/>
      </w:pPr>
      <w:r w:rsidRPr="00755429">
        <w:t>Note:</w:t>
      </w:r>
      <w:r w:rsidRPr="00755429">
        <w:tab/>
        <w:t>The effective rates of tax are calculated as the duty payable on the transaction (derived using each State’s legislated rates) divided by the value of the transaction.</w:t>
      </w:r>
    </w:p>
    <w:p w:rsidR="00647BDC" w:rsidRPr="00755429" w:rsidRDefault="00647BDC" w:rsidP="00647BDC">
      <w:pPr>
        <w:pStyle w:val="CGCTableFootnote"/>
      </w:pPr>
      <w:r w:rsidRPr="00755429">
        <w:t>Source:</w:t>
      </w:r>
      <w:r w:rsidRPr="00755429">
        <w:tab/>
        <w:t xml:space="preserve">Commission calculation, using State general duty rates published in New South Wales Treasury, </w:t>
      </w:r>
      <w:r w:rsidRPr="00755429">
        <w:rPr>
          <w:i/>
        </w:rPr>
        <w:t>Interstate Comparison of Taxes, 2012</w:t>
      </w:r>
      <w:r w:rsidRPr="00755429">
        <w:rPr>
          <w:i/>
        </w:rPr>
        <w:noBreakHyphen/>
        <w:t>13.</w:t>
      </w:r>
    </w:p>
    <w:p w:rsidR="00647BDC" w:rsidRPr="00755429" w:rsidRDefault="00647BDC" w:rsidP="00647BDC">
      <w:pPr>
        <w:pStyle w:val="CGCNumberedPara"/>
        <w:numPr>
          <w:ilvl w:val="1"/>
          <w:numId w:val="2"/>
        </w:numPr>
      </w:pPr>
      <w:r w:rsidRPr="00755429">
        <w:t>Data on the value of transfers indicate there are substantial differences between States in the value distribution of transfers and allowing for these differences has a material effect on assessed revenue raising capacities.</w:t>
      </w:r>
    </w:p>
    <w:p w:rsidR="00647BDC" w:rsidRPr="00755429" w:rsidRDefault="00647BDC" w:rsidP="00647BDC">
      <w:pPr>
        <w:pStyle w:val="CGCNumberedPara"/>
        <w:numPr>
          <w:ilvl w:val="1"/>
          <w:numId w:val="2"/>
        </w:numPr>
      </w:pPr>
      <w:r w:rsidRPr="00755429">
        <w:lastRenderedPageBreak/>
        <w:t>We estimated the impact of progressive rates of tax by calculating average effective rates of tax for each of 16 value ranges, applying those effective rates of tax to each State’s value of transactions in that range and aggregating across the 16 value ranges. If this assessment is compared to one using a single rate of tax, it shows that the assessment of progressive rates increases the revenue bases of New South Wales and Western Australia and reduces the revenue bases of the other States. The State provided land data shows these two States have proportionally more of their land values located in value ranges above $1m.</w:t>
      </w:r>
    </w:p>
    <w:p w:rsidR="00647BDC" w:rsidRPr="00755429" w:rsidRDefault="00647BDC" w:rsidP="00647BDC">
      <w:pPr>
        <w:pStyle w:val="CGCNumberedPara"/>
        <w:numPr>
          <w:ilvl w:val="1"/>
          <w:numId w:val="2"/>
        </w:numPr>
      </w:pPr>
      <w:r w:rsidRPr="00755429">
        <w:fldChar w:fldCharType="begin"/>
      </w:r>
      <w:r w:rsidRPr="00755429">
        <w:instrText xml:space="preserve"> REF _Ref386115761 \h </w:instrText>
      </w:r>
      <w:r>
        <w:instrText xml:space="preserve"> \* MERGEFORMAT </w:instrText>
      </w:r>
      <w:r w:rsidRPr="00755429">
        <w:fldChar w:fldCharType="separate"/>
      </w:r>
      <w:r w:rsidR="005B69B1" w:rsidRPr="00755429">
        <w:t xml:space="preserve">Table </w:t>
      </w:r>
      <w:r w:rsidR="005B69B1">
        <w:rPr>
          <w:noProof/>
        </w:rPr>
        <w:t>6</w:t>
      </w:r>
      <w:r w:rsidRPr="00755429">
        <w:fldChar w:fldCharType="end"/>
      </w:r>
      <w:r w:rsidRPr="00755429">
        <w:t xml:space="preserve"> shows the impact of this adjustment on the data provided by States.</w:t>
      </w:r>
    </w:p>
    <w:p w:rsidR="00647BDC" w:rsidRPr="00755429" w:rsidRDefault="00647BDC" w:rsidP="00647BDC">
      <w:pPr>
        <w:pStyle w:val="CGCTableHeading"/>
      </w:pPr>
      <w:r w:rsidRPr="00755429">
        <w:t xml:space="preserve">Table </w:t>
      </w:r>
      <w:r w:rsidR="005B69B1">
        <w:fldChar w:fldCharType="begin"/>
      </w:r>
      <w:r w:rsidR="005B69B1">
        <w:instrText xml:space="preserve"> SEQ Table \* ARABIC </w:instrText>
      </w:r>
      <w:r w:rsidR="005B69B1">
        <w:fldChar w:fldCharType="separate"/>
      </w:r>
      <w:r w:rsidR="005B69B1">
        <w:rPr>
          <w:noProof/>
        </w:rPr>
        <w:t>6</w:t>
      </w:r>
      <w:r w:rsidR="005B69B1">
        <w:rPr>
          <w:noProof/>
        </w:rPr>
        <w:fldChar w:fldCharType="end"/>
      </w:r>
      <w:r w:rsidRPr="00755429">
        <w:tab/>
        <w:t>Illustrative revenue base, property component, 2012</w:t>
      </w:r>
      <w:r w:rsidRPr="00755429">
        <w:noBreakHyphen/>
        <w:t>13</w:t>
      </w:r>
    </w:p>
    <w:tbl>
      <w:tblPr>
        <w:tblW w:w="9036" w:type="dxa"/>
        <w:tblLayout w:type="fixed"/>
        <w:tblCellMar>
          <w:left w:w="0" w:type="dxa"/>
          <w:right w:w="0" w:type="dxa"/>
        </w:tblCellMar>
        <w:tblLook w:val="04A0" w:firstRow="1" w:lastRow="0" w:firstColumn="1" w:lastColumn="0" w:noHBand="0" w:noVBand="1"/>
      </w:tblPr>
      <w:tblGrid>
        <w:gridCol w:w="2380"/>
        <w:gridCol w:w="840"/>
        <w:gridCol w:w="740"/>
        <w:gridCol w:w="740"/>
        <w:gridCol w:w="740"/>
        <w:gridCol w:w="740"/>
        <w:gridCol w:w="672"/>
        <w:gridCol w:w="672"/>
        <w:gridCol w:w="672"/>
        <w:gridCol w:w="840"/>
      </w:tblGrid>
      <w:tr w:rsidR="00647BDC" w:rsidRPr="0027503E" w:rsidTr="00D07581">
        <w:trPr>
          <w:trHeight w:val="379"/>
        </w:trPr>
        <w:tc>
          <w:tcPr>
            <w:tcW w:w="2380" w:type="dxa"/>
            <w:tcBorders>
              <w:top w:val="single" w:sz="4" w:space="0" w:color="auto"/>
              <w:left w:val="nil"/>
              <w:bottom w:val="single" w:sz="4" w:space="0" w:color="auto"/>
              <w:right w:val="nil"/>
            </w:tcBorders>
            <w:shd w:val="clear" w:color="auto" w:fill="auto"/>
            <w:noWrap/>
            <w:vAlign w:val="center"/>
            <w:hideMark/>
          </w:tcPr>
          <w:p w:rsidR="00647BDC" w:rsidRPr="0027503E"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78" w:name="RANGE!A5:J9"/>
            <w:r w:rsidRPr="0027503E">
              <w:rPr>
                <w:rFonts w:ascii="Calibri" w:eastAsia="Times New Roman" w:hAnsi="Calibri" w:cs="Times New Roman"/>
                <w:sz w:val="20"/>
                <w:szCs w:val="20"/>
                <w:lang w:eastAsia="en-AU"/>
              </w:rPr>
              <w:t> </w:t>
            </w:r>
            <w:bookmarkEnd w:id="78"/>
          </w:p>
        </w:tc>
        <w:tc>
          <w:tcPr>
            <w:tcW w:w="840" w:type="dxa"/>
            <w:tcBorders>
              <w:top w:val="single" w:sz="4" w:space="0" w:color="auto"/>
              <w:left w:val="nil"/>
              <w:bottom w:val="single" w:sz="4" w:space="0" w:color="auto"/>
              <w:right w:val="nil"/>
            </w:tcBorders>
            <w:shd w:val="clear" w:color="auto" w:fill="auto"/>
            <w:noWrap/>
            <w:vAlign w:val="center"/>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NSW</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Vic</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Qld</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WA</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SA</w:t>
            </w:r>
          </w:p>
        </w:tc>
        <w:tc>
          <w:tcPr>
            <w:tcW w:w="672" w:type="dxa"/>
            <w:tcBorders>
              <w:top w:val="single" w:sz="4" w:space="0" w:color="auto"/>
              <w:left w:val="nil"/>
              <w:bottom w:val="single" w:sz="4" w:space="0" w:color="auto"/>
              <w:right w:val="nil"/>
            </w:tcBorders>
            <w:shd w:val="clear" w:color="auto" w:fill="auto"/>
            <w:noWrap/>
            <w:vAlign w:val="center"/>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27503E">
              <w:rPr>
                <w:rFonts w:ascii="Calibri" w:eastAsia="Times New Roman" w:hAnsi="Calibri" w:cs="Times New Roman"/>
                <w:sz w:val="20"/>
                <w:szCs w:val="20"/>
                <w:lang w:eastAsia="en-AU"/>
              </w:rPr>
              <w:t>Tas</w:t>
            </w:r>
            <w:proofErr w:type="spellEnd"/>
          </w:p>
        </w:tc>
        <w:tc>
          <w:tcPr>
            <w:tcW w:w="672" w:type="dxa"/>
            <w:tcBorders>
              <w:top w:val="single" w:sz="4" w:space="0" w:color="auto"/>
              <w:left w:val="nil"/>
              <w:bottom w:val="single" w:sz="4" w:space="0" w:color="auto"/>
              <w:right w:val="nil"/>
            </w:tcBorders>
            <w:shd w:val="clear" w:color="auto" w:fill="auto"/>
            <w:noWrap/>
            <w:vAlign w:val="center"/>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ACT</w:t>
            </w:r>
          </w:p>
        </w:tc>
        <w:tc>
          <w:tcPr>
            <w:tcW w:w="672" w:type="dxa"/>
            <w:tcBorders>
              <w:top w:val="single" w:sz="4" w:space="0" w:color="auto"/>
              <w:left w:val="nil"/>
              <w:bottom w:val="single" w:sz="4" w:space="0" w:color="auto"/>
              <w:right w:val="nil"/>
            </w:tcBorders>
            <w:shd w:val="clear" w:color="auto" w:fill="auto"/>
            <w:noWrap/>
            <w:vAlign w:val="center"/>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NT</w:t>
            </w:r>
          </w:p>
        </w:tc>
        <w:tc>
          <w:tcPr>
            <w:tcW w:w="840" w:type="dxa"/>
            <w:tcBorders>
              <w:top w:val="single" w:sz="4" w:space="0" w:color="auto"/>
              <w:left w:val="nil"/>
              <w:bottom w:val="single" w:sz="4" w:space="0" w:color="auto"/>
              <w:right w:val="nil"/>
            </w:tcBorders>
            <w:shd w:val="clear" w:color="auto" w:fill="auto"/>
            <w:noWrap/>
            <w:vAlign w:val="center"/>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Total</w:t>
            </w:r>
          </w:p>
        </w:tc>
      </w:tr>
      <w:tr w:rsidR="00647BDC" w:rsidRPr="0027503E" w:rsidTr="00D07581">
        <w:trPr>
          <w:trHeight w:val="259"/>
        </w:trPr>
        <w:tc>
          <w:tcPr>
            <w:tcW w:w="2380" w:type="dxa"/>
            <w:tcBorders>
              <w:top w:val="nil"/>
              <w:left w:val="nil"/>
              <w:bottom w:val="nil"/>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840" w:type="dxa"/>
            <w:tcBorders>
              <w:top w:val="nil"/>
              <w:left w:val="nil"/>
              <w:bottom w:val="nil"/>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$m</w:t>
            </w:r>
          </w:p>
        </w:tc>
        <w:tc>
          <w:tcPr>
            <w:tcW w:w="740" w:type="dxa"/>
            <w:tcBorders>
              <w:top w:val="nil"/>
              <w:left w:val="nil"/>
              <w:bottom w:val="nil"/>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$m</w:t>
            </w:r>
          </w:p>
        </w:tc>
        <w:tc>
          <w:tcPr>
            <w:tcW w:w="740" w:type="dxa"/>
            <w:tcBorders>
              <w:top w:val="nil"/>
              <w:left w:val="nil"/>
              <w:bottom w:val="nil"/>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$m</w:t>
            </w:r>
          </w:p>
        </w:tc>
        <w:tc>
          <w:tcPr>
            <w:tcW w:w="740" w:type="dxa"/>
            <w:tcBorders>
              <w:top w:val="nil"/>
              <w:left w:val="nil"/>
              <w:bottom w:val="nil"/>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$m</w:t>
            </w:r>
          </w:p>
        </w:tc>
        <w:tc>
          <w:tcPr>
            <w:tcW w:w="740" w:type="dxa"/>
            <w:tcBorders>
              <w:top w:val="nil"/>
              <w:left w:val="nil"/>
              <w:bottom w:val="nil"/>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$m</w:t>
            </w:r>
          </w:p>
        </w:tc>
        <w:tc>
          <w:tcPr>
            <w:tcW w:w="672" w:type="dxa"/>
            <w:tcBorders>
              <w:top w:val="nil"/>
              <w:left w:val="nil"/>
              <w:bottom w:val="nil"/>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$m</w:t>
            </w:r>
          </w:p>
        </w:tc>
        <w:tc>
          <w:tcPr>
            <w:tcW w:w="672" w:type="dxa"/>
            <w:tcBorders>
              <w:top w:val="nil"/>
              <w:left w:val="nil"/>
              <w:bottom w:val="nil"/>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$m</w:t>
            </w:r>
          </w:p>
        </w:tc>
        <w:tc>
          <w:tcPr>
            <w:tcW w:w="672" w:type="dxa"/>
            <w:tcBorders>
              <w:top w:val="nil"/>
              <w:left w:val="nil"/>
              <w:bottom w:val="nil"/>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$m</w:t>
            </w:r>
          </w:p>
        </w:tc>
        <w:tc>
          <w:tcPr>
            <w:tcW w:w="840" w:type="dxa"/>
            <w:tcBorders>
              <w:top w:val="nil"/>
              <w:left w:val="nil"/>
              <w:bottom w:val="nil"/>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$m</w:t>
            </w:r>
          </w:p>
        </w:tc>
      </w:tr>
      <w:tr w:rsidR="00647BDC" w:rsidRPr="0027503E" w:rsidTr="00D07581">
        <w:trPr>
          <w:trHeight w:val="555"/>
        </w:trPr>
        <w:tc>
          <w:tcPr>
            <w:tcW w:w="2380"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Estimated value of taxable transactions (a)</w:t>
            </w:r>
          </w:p>
        </w:tc>
        <w:tc>
          <w:tcPr>
            <w:tcW w:w="840"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118 550</w:t>
            </w:r>
          </w:p>
        </w:tc>
        <w:tc>
          <w:tcPr>
            <w:tcW w:w="740"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83 578</w:t>
            </w:r>
          </w:p>
        </w:tc>
        <w:tc>
          <w:tcPr>
            <w:tcW w:w="740"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63 243</w:t>
            </w:r>
          </w:p>
        </w:tc>
        <w:tc>
          <w:tcPr>
            <w:tcW w:w="740"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51 690</w:t>
            </w:r>
          </w:p>
        </w:tc>
        <w:tc>
          <w:tcPr>
            <w:tcW w:w="740"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15 897</w:t>
            </w:r>
          </w:p>
        </w:tc>
        <w:tc>
          <w:tcPr>
            <w:tcW w:w="672"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4 275</w:t>
            </w:r>
          </w:p>
        </w:tc>
        <w:tc>
          <w:tcPr>
            <w:tcW w:w="672"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5 783</w:t>
            </w:r>
          </w:p>
        </w:tc>
        <w:tc>
          <w:tcPr>
            <w:tcW w:w="672"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2 945</w:t>
            </w:r>
          </w:p>
        </w:tc>
        <w:tc>
          <w:tcPr>
            <w:tcW w:w="840"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345 960</w:t>
            </w:r>
          </w:p>
        </w:tc>
      </w:tr>
      <w:tr w:rsidR="00647BDC" w:rsidRPr="0027503E" w:rsidTr="00D07581">
        <w:trPr>
          <w:trHeight w:val="315"/>
        </w:trPr>
        <w:tc>
          <w:tcPr>
            <w:tcW w:w="2380"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Progressive rates of tax</w:t>
            </w:r>
          </w:p>
        </w:tc>
        <w:tc>
          <w:tcPr>
            <w:tcW w:w="840"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1.042</w:t>
            </w:r>
          </w:p>
        </w:tc>
        <w:tc>
          <w:tcPr>
            <w:tcW w:w="740"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0.976</w:t>
            </w:r>
          </w:p>
        </w:tc>
        <w:tc>
          <w:tcPr>
            <w:tcW w:w="740"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0.981</w:t>
            </w:r>
          </w:p>
        </w:tc>
        <w:tc>
          <w:tcPr>
            <w:tcW w:w="740"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1.003</w:t>
            </w:r>
          </w:p>
        </w:tc>
        <w:tc>
          <w:tcPr>
            <w:tcW w:w="740"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0.930</w:t>
            </w:r>
          </w:p>
        </w:tc>
        <w:tc>
          <w:tcPr>
            <w:tcW w:w="672"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0.887</w:t>
            </w:r>
          </w:p>
        </w:tc>
        <w:tc>
          <w:tcPr>
            <w:tcW w:w="672"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0.949</w:t>
            </w:r>
          </w:p>
        </w:tc>
        <w:tc>
          <w:tcPr>
            <w:tcW w:w="672"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0.980</w:t>
            </w:r>
          </w:p>
        </w:tc>
        <w:tc>
          <w:tcPr>
            <w:tcW w:w="840" w:type="dxa"/>
            <w:tcBorders>
              <w:top w:val="nil"/>
              <w:left w:val="nil"/>
              <w:bottom w:val="nil"/>
              <w:right w:val="nil"/>
            </w:tcBorders>
            <w:shd w:val="clear" w:color="auto" w:fill="auto"/>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1.000</w:t>
            </w:r>
          </w:p>
        </w:tc>
      </w:tr>
      <w:tr w:rsidR="00647BDC" w:rsidRPr="0027503E" w:rsidTr="00D07581">
        <w:trPr>
          <w:trHeight w:val="315"/>
        </w:trPr>
        <w:tc>
          <w:tcPr>
            <w:tcW w:w="2380" w:type="dxa"/>
            <w:tcBorders>
              <w:top w:val="nil"/>
              <w:left w:val="nil"/>
              <w:bottom w:val="single" w:sz="4" w:space="0" w:color="auto"/>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Revenue base</w:t>
            </w:r>
          </w:p>
        </w:tc>
        <w:tc>
          <w:tcPr>
            <w:tcW w:w="840" w:type="dxa"/>
            <w:tcBorders>
              <w:top w:val="nil"/>
              <w:left w:val="nil"/>
              <w:bottom w:val="single" w:sz="4" w:space="0" w:color="auto"/>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123 573</w:t>
            </w:r>
          </w:p>
        </w:tc>
        <w:tc>
          <w:tcPr>
            <w:tcW w:w="740" w:type="dxa"/>
            <w:tcBorders>
              <w:top w:val="nil"/>
              <w:left w:val="nil"/>
              <w:bottom w:val="single" w:sz="4" w:space="0" w:color="auto"/>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81 559</w:t>
            </w:r>
          </w:p>
        </w:tc>
        <w:tc>
          <w:tcPr>
            <w:tcW w:w="740" w:type="dxa"/>
            <w:tcBorders>
              <w:top w:val="nil"/>
              <w:left w:val="nil"/>
              <w:bottom w:val="single" w:sz="4" w:space="0" w:color="auto"/>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62 035</w:t>
            </w:r>
          </w:p>
        </w:tc>
        <w:tc>
          <w:tcPr>
            <w:tcW w:w="740" w:type="dxa"/>
            <w:tcBorders>
              <w:top w:val="nil"/>
              <w:left w:val="nil"/>
              <w:bottom w:val="single" w:sz="4" w:space="0" w:color="auto"/>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51 842</w:t>
            </w:r>
          </w:p>
        </w:tc>
        <w:tc>
          <w:tcPr>
            <w:tcW w:w="740" w:type="dxa"/>
            <w:tcBorders>
              <w:top w:val="nil"/>
              <w:left w:val="nil"/>
              <w:bottom w:val="single" w:sz="4" w:space="0" w:color="auto"/>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14 787</w:t>
            </w:r>
          </w:p>
        </w:tc>
        <w:tc>
          <w:tcPr>
            <w:tcW w:w="672" w:type="dxa"/>
            <w:tcBorders>
              <w:top w:val="nil"/>
              <w:left w:val="nil"/>
              <w:bottom w:val="single" w:sz="4" w:space="0" w:color="auto"/>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3 793</w:t>
            </w:r>
          </w:p>
        </w:tc>
        <w:tc>
          <w:tcPr>
            <w:tcW w:w="672" w:type="dxa"/>
            <w:tcBorders>
              <w:top w:val="nil"/>
              <w:left w:val="nil"/>
              <w:bottom w:val="single" w:sz="4" w:space="0" w:color="auto"/>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5 486</w:t>
            </w:r>
          </w:p>
        </w:tc>
        <w:tc>
          <w:tcPr>
            <w:tcW w:w="672" w:type="dxa"/>
            <w:tcBorders>
              <w:top w:val="nil"/>
              <w:left w:val="nil"/>
              <w:bottom w:val="single" w:sz="4" w:space="0" w:color="auto"/>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2 885</w:t>
            </w:r>
          </w:p>
        </w:tc>
        <w:tc>
          <w:tcPr>
            <w:tcW w:w="840" w:type="dxa"/>
            <w:tcBorders>
              <w:top w:val="nil"/>
              <w:left w:val="nil"/>
              <w:bottom w:val="single" w:sz="4" w:space="0" w:color="auto"/>
              <w:right w:val="nil"/>
            </w:tcBorders>
            <w:shd w:val="clear" w:color="auto" w:fill="auto"/>
            <w:noWrap/>
            <w:vAlign w:val="bottom"/>
            <w:hideMark/>
          </w:tcPr>
          <w:p w:rsidR="00647BDC" w:rsidRPr="0027503E"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27503E">
              <w:rPr>
                <w:rFonts w:ascii="Calibri" w:eastAsia="Times New Roman" w:hAnsi="Calibri" w:cs="Times New Roman"/>
                <w:sz w:val="20"/>
                <w:szCs w:val="20"/>
                <w:lang w:eastAsia="en-AU"/>
              </w:rPr>
              <w:t>345 960</w:t>
            </w:r>
          </w:p>
        </w:tc>
      </w:tr>
    </w:tbl>
    <w:p w:rsidR="00647BDC" w:rsidRPr="00755429" w:rsidRDefault="00647BDC" w:rsidP="00647BDC">
      <w:pPr>
        <w:pStyle w:val="CGCTableFootnote"/>
      </w:pPr>
      <w:r w:rsidRPr="00755429">
        <w:t>(a)</w:t>
      </w:r>
      <w:r w:rsidRPr="00755429">
        <w:tab/>
        <w:t>Includes adjustments for scaling and differences in the scope of transactions subject to duty.</w:t>
      </w:r>
    </w:p>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CGCNumberedPara"/>
        <w:numPr>
          <w:ilvl w:val="1"/>
          <w:numId w:val="2"/>
        </w:numPr>
      </w:pPr>
      <w:r w:rsidRPr="00755429">
        <w:fldChar w:fldCharType="begin"/>
      </w:r>
      <w:r w:rsidRPr="00755429">
        <w:instrText xml:space="preserve"> REF _Ref385399181 \h </w:instrText>
      </w:r>
      <w:r>
        <w:instrText xml:space="preserve"> \* MERGEFORMAT </w:instrText>
      </w:r>
      <w:r w:rsidRPr="00755429">
        <w:fldChar w:fldCharType="separate"/>
      </w:r>
      <w:r w:rsidR="005B69B1" w:rsidRPr="00755429">
        <w:t xml:space="preserve">Table </w:t>
      </w:r>
      <w:r w:rsidR="005B69B1">
        <w:rPr>
          <w:noProof/>
        </w:rPr>
        <w:t>7</w:t>
      </w:r>
      <w:r w:rsidRPr="00755429">
        <w:fldChar w:fldCharType="end"/>
      </w:r>
      <w:r w:rsidRPr="00755429">
        <w:t xml:space="preserve"> shows the derivation of a national average effective rate of tax for 2012</w:t>
      </w:r>
      <w:r w:rsidRPr="00755429">
        <w:noBreakHyphen/>
        <w:t>13. It was obtained by dividing total tax collections by the total value of the property transferred. It also shows each State’s assessed revenue for this component was derived by applying the national average effective rate of tax to its revenue base.</w:t>
      </w:r>
    </w:p>
    <w:p w:rsidR="00647BDC" w:rsidRPr="00755429" w:rsidRDefault="00647BDC" w:rsidP="00647BDC">
      <w:pPr>
        <w:pStyle w:val="CGCTableHeading"/>
      </w:pPr>
      <w:r w:rsidRPr="00755429">
        <w:t xml:space="preserve">Table </w:t>
      </w:r>
      <w:r w:rsidR="005B69B1">
        <w:fldChar w:fldCharType="begin"/>
      </w:r>
      <w:r w:rsidR="005B69B1">
        <w:instrText xml:space="preserve"> SEQ Table \* ARABIC </w:instrText>
      </w:r>
      <w:r w:rsidR="005B69B1">
        <w:fldChar w:fldCharType="separate"/>
      </w:r>
      <w:r w:rsidR="005B69B1">
        <w:rPr>
          <w:noProof/>
        </w:rPr>
        <w:t>7</w:t>
      </w:r>
      <w:r w:rsidR="005B69B1">
        <w:rPr>
          <w:noProof/>
        </w:rPr>
        <w:fldChar w:fldCharType="end"/>
      </w:r>
      <w:r w:rsidRPr="00755429">
        <w:tab/>
        <w:t>Illustrative assessed revenue, property component, 2012</w:t>
      </w:r>
      <w:r w:rsidRPr="00755429">
        <w:noBreakHyphen/>
        <w:t>13</w:t>
      </w:r>
    </w:p>
    <w:tbl>
      <w:tblPr>
        <w:tblW w:w="8940" w:type="dxa"/>
        <w:tblInd w:w="93" w:type="dxa"/>
        <w:tblLook w:val="04A0" w:firstRow="1" w:lastRow="0" w:firstColumn="1" w:lastColumn="0" w:noHBand="0" w:noVBand="1"/>
      </w:tblPr>
      <w:tblGrid>
        <w:gridCol w:w="2280"/>
        <w:gridCol w:w="800"/>
        <w:gridCol w:w="800"/>
        <w:gridCol w:w="800"/>
        <w:gridCol w:w="800"/>
        <w:gridCol w:w="640"/>
        <w:gridCol w:w="640"/>
        <w:gridCol w:w="640"/>
        <w:gridCol w:w="640"/>
        <w:gridCol w:w="900"/>
      </w:tblGrid>
      <w:tr w:rsidR="00647BDC" w:rsidRPr="00907184" w:rsidTr="00D07581">
        <w:trPr>
          <w:trHeight w:val="375"/>
        </w:trPr>
        <w:tc>
          <w:tcPr>
            <w:tcW w:w="228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 </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NSW</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Vic</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Qld</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WA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907184">
              <w:rPr>
                <w:rFonts w:ascii="Calibri" w:eastAsia="Times New Roman" w:hAnsi="Calibri" w:cs="Times New Roman"/>
                <w:sz w:val="20"/>
                <w:szCs w:val="20"/>
                <w:lang w:eastAsia="en-AU"/>
              </w:rPr>
              <w:t>Tas</w:t>
            </w:r>
            <w:proofErr w:type="spellEnd"/>
          </w:p>
        </w:tc>
        <w:tc>
          <w:tcPr>
            <w:tcW w:w="64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NT</w:t>
            </w:r>
          </w:p>
        </w:tc>
        <w:tc>
          <w:tcPr>
            <w:tcW w:w="9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Total</w:t>
            </w:r>
          </w:p>
        </w:tc>
      </w:tr>
      <w:tr w:rsidR="00647BDC" w:rsidRPr="00907184" w:rsidTr="00D07581">
        <w:trPr>
          <w:trHeight w:val="315"/>
        </w:trPr>
        <w:tc>
          <w:tcPr>
            <w:tcW w:w="228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Actual revenue ($m)</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4 345</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3 274</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1 881</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1 654</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708</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139</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224</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121</w:t>
            </w:r>
          </w:p>
        </w:tc>
        <w:tc>
          <w:tcPr>
            <w:tcW w:w="9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12 345</w:t>
            </w:r>
          </w:p>
        </w:tc>
      </w:tr>
      <w:tr w:rsidR="00647BDC" w:rsidRPr="00907184" w:rsidTr="00D07581">
        <w:trPr>
          <w:trHeight w:val="315"/>
        </w:trPr>
        <w:tc>
          <w:tcPr>
            <w:tcW w:w="228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Revenue base ($b)</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124</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82</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62</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52</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15</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4</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5</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3</w:t>
            </w:r>
          </w:p>
        </w:tc>
        <w:tc>
          <w:tcPr>
            <w:tcW w:w="9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346</w:t>
            </w:r>
          </w:p>
        </w:tc>
      </w:tr>
      <w:tr w:rsidR="00647BDC" w:rsidRPr="00907184" w:rsidTr="00D07581">
        <w:trPr>
          <w:trHeight w:val="315"/>
        </w:trPr>
        <w:tc>
          <w:tcPr>
            <w:tcW w:w="228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Average tax rate (%)</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64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64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64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64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900" w:type="dxa"/>
            <w:tcBorders>
              <w:top w:val="nil"/>
              <w:left w:val="nil"/>
              <w:bottom w:val="nil"/>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3.6</w:t>
            </w:r>
          </w:p>
        </w:tc>
      </w:tr>
      <w:tr w:rsidR="00647BDC" w:rsidRPr="00907184" w:rsidTr="00D07581">
        <w:trPr>
          <w:trHeight w:val="315"/>
        </w:trPr>
        <w:tc>
          <w:tcPr>
            <w:tcW w:w="2280" w:type="dxa"/>
            <w:tcBorders>
              <w:top w:val="nil"/>
              <w:left w:val="nil"/>
              <w:bottom w:val="single" w:sz="4" w:space="0" w:color="auto"/>
              <w:right w:val="nil"/>
            </w:tcBorders>
            <w:shd w:val="clear" w:color="auto" w:fill="auto"/>
            <w:noWrap/>
            <w:vAlign w:val="bottom"/>
            <w:hideMark/>
          </w:tcPr>
          <w:p w:rsidR="00647BDC" w:rsidRPr="00907184" w:rsidRDefault="00647BDC" w:rsidP="00D07581">
            <w:pPr>
              <w:tabs>
                <w:tab w:val="clear" w:pos="567"/>
              </w:tabs>
              <w:spacing w:after="0" w:line="240" w:lineRule="auto"/>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Assessed revenue ($m)</w:t>
            </w:r>
          </w:p>
        </w:tc>
        <w:tc>
          <w:tcPr>
            <w:tcW w:w="800" w:type="dxa"/>
            <w:tcBorders>
              <w:top w:val="nil"/>
              <w:left w:val="nil"/>
              <w:bottom w:val="single" w:sz="4" w:space="0" w:color="auto"/>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4 410</w:t>
            </w:r>
          </w:p>
        </w:tc>
        <w:tc>
          <w:tcPr>
            <w:tcW w:w="800" w:type="dxa"/>
            <w:tcBorders>
              <w:top w:val="nil"/>
              <w:left w:val="nil"/>
              <w:bottom w:val="single" w:sz="4" w:space="0" w:color="auto"/>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2 910</w:t>
            </w:r>
          </w:p>
        </w:tc>
        <w:tc>
          <w:tcPr>
            <w:tcW w:w="800" w:type="dxa"/>
            <w:tcBorders>
              <w:top w:val="nil"/>
              <w:left w:val="nil"/>
              <w:bottom w:val="single" w:sz="4" w:space="0" w:color="auto"/>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2 214</w:t>
            </w:r>
          </w:p>
        </w:tc>
        <w:tc>
          <w:tcPr>
            <w:tcW w:w="800" w:type="dxa"/>
            <w:tcBorders>
              <w:top w:val="nil"/>
              <w:left w:val="nil"/>
              <w:bottom w:val="single" w:sz="4" w:space="0" w:color="auto"/>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1 850</w:t>
            </w:r>
          </w:p>
        </w:tc>
        <w:tc>
          <w:tcPr>
            <w:tcW w:w="640" w:type="dxa"/>
            <w:tcBorders>
              <w:top w:val="nil"/>
              <w:left w:val="nil"/>
              <w:bottom w:val="single" w:sz="4" w:space="0" w:color="auto"/>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528</w:t>
            </w:r>
          </w:p>
        </w:tc>
        <w:tc>
          <w:tcPr>
            <w:tcW w:w="640" w:type="dxa"/>
            <w:tcBorders>
              <w:top w:val="nil"/>
              <w:left w:val="nil"/>
              <w:bottom w:val="single" w:sz="4" w:space="0" w:color="auto"/>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135</w:t>
            </w:r>
          </w:p>
        </w:tc>
        <w:tc>
          <w:tcPr>
            <w:tcW w:w="640" w:type="dxa"/>
            <w:tcBorders>
              <w:top w:val="nil"/>
              <w:left w:val="nil"/>
              <w:bottom w:val="single" w:sz="4" w:space="0" w:color="auto"/>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196</w:t>
            </w:r>
          </w:p>
        </w:tc>
        <w:tc>
          <w:tcPr>
            <w:tcW w:w="640" w:type="dxa"/>
            <w:tcBorders>
              <w:top w:val="nil"/>
              <w:left w:val="nil"/>
              <w:bottom w:val="single" w:sz="4" w:space="0" w:color="auto"/>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103</w:t>
            </w:r>
          </w:p>
        </w:tc>
        <w:tc>
          <w:tcPr>
            <w:tcW w:w="900" w:type="dxa"/>
            <w:tcBorders>
              <w:top w:val="nil"/>
              <w:left w:val="nil"/>
              <w:bottom w:val="single" w:sz="4" w:space="0" w:color="auto"/>
              <w:right w:val="nil"/>
            </w:tcBorders>
            <w:shd w:val="clear" w:color="auto" w:fill="auto"/>
            <w:noWrap/>
            <w:vAlign w:val="bottom"/>
            <w:hideMark/>
          </w:tcPr>
          <w:p w:rsidR="00647BDC" w:rsidRPr="00907184"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12 345</w:t>
            </w:r>
          </w:p>
        </w:tc>
      </w:tr>
    </w:tbl>
    <w:p w:rsidR="00647BDC" w:rsidRPr="00755429" w:rsidRDefault="00647BDC" w:rsidP="00647BDC">
      <w:pPr>
        <w:pStyle w:val="CGCTableFootnote"/>
      </w:pPr>
      <w:r w:rsidRPr="00755429">
        <w:t>Note:</w:t>
      </w:r>
      <w:r w:rsidRPr="00755429">
        <w:tab/>
        <w:t>Assessed revenue calculated as the product of a State’s revenue base and the average rate of tax.</w:t>
      </w:r>
    </w:p>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Heading3"/>
      </w:pPr>
      <w:bookmarkStart w:id="79" w:name="_Toc390955819"/>
      <w:r>
        <w:t>Vehicles component</w:t>
      </w:r>
      <w:bookmarkEnd w:id="79"/>
    </w:p>
    <w:p w:rsidR="00647BDC" w:rsidRPr="00755429" w:rsidRDefault="00647BDC" w:rsidP="00647BDC">
      <w:pPr>
        <w:pStyle w:val="CGCNumberedPara"/>
        <w:numPr>
          <w:ilvl w:val="1"/>
          <w:numId w:val="2"/>
        </w:numPr>
      </w:pPr>
      <w:r w:rsidRPr="00755429">
        <w:t>All States impose duty on the value of the vehicle sold and nearly all have a multi</w:t>
      </w:r>
      <w:r w:rsidRPr="00755429">
        <w:noBreakHyphen/>
        <w:t xml:space="preserve">tiered rate structure, which varies between States. States generally apply the same rates to new and used vehicles. </w:t>
      </w:r>
    </w:p>
    <w:p w:rsidR="00647BDC" w:rsidRPr="00755429" w:rsidRDefault="00647BDC" w:rsidP="00647BDC">
      <w:pPr>
        <w:pStyle w:val="CGCNumberedPara"/>
        <w:numPr>
          <w:ilvl w:val="1"/>
          <w:numId w:val="2"/>
        </w:numPr>
      </w:pPr>
      <w:r w:rsidRPr="00755429">
        <w:t xml:space="preserve">The value of the vehicles sold reflects the base that States tax. Differences between States in the value distribution of sales could affect their relative revenue raising </w:t>
      </w:r>
      <w:r w:rsidRPr="00755429">
        <w:lastRenderedPageBreak/>
        <w:t>capacities but it is not material to apply a value distribution adjustment, and reliable data on values is not available for a number of States.</w:t>
      </w:r>
    </w:p>
    <w:p w:rsidR="00647BDC" w:rsidRPr="00755429" w:rsidRDefault="00647BDC" w:rsidP="00647BDC">
      <w:pPr>
        <w:pStyle w:val="CGCNumberedPara"/>
        <w:numPr>
          <w:ilvl w:val="1"/>
          <w:numId w:val="2"/>
        </w:numPr>
      </w:pPr>
      <w:r w:rsidRPr="00755429">
        <w:t>The revenue base for stamp duty on registrations and transfers is the value of vehicles liable to pay the duty, data which is supplied by States. All States except Victoria and the Northern Territory can provide data on the value of vehicle sales. The Commission estimates Victoria’s values using its total revenue collections (dissected into new and used vehicles) and its legislated tax rates. We estimate the Northern Territory’s values using the revenue it raises and its legislated tax rate.</w:t>
      </w:r>
    </w:p>
    <w:p w:rsidR="00647BDC" w:rsidRPr="00755429" w:rsidRDefault="00647BDC" w:rsidP="00647BDC">
      <w:pPr>
        <w:pStyle w:val="CGCNumberedPara"/>
        <w:numPr>
          <w:ilvl w:val="1"/>
          <w:numId w:val="2"/>
        </w:numPr>
      </w:pPr>
      <w:r w:rsidRPr="00755429">
        <w:fldChar w:fldCharType="begin"/>
      </w:r>
      <w:r w:rsidRPr="00755429">
        <w:instrText xml:space="preserve"> REF _Ref385333400 \h </w:instrText>
      </w:r>
      <w:r>
        <w:instrText xml:space="preserve"> \* MERGEFORMAT </w:instrText>
      </w:r>
      <w:r w:rsidRPr="00755429">
        <w:fldChar w:fldCharType="separate"/>
      </w:r>
      <w:r w:rsidR="005B69B1" w:rsidRPr="00755429">
        <w:t xml:space="preserve">Table </w:t>
      </w:r>
      <w:r w:rsidR="005B69B1">
        <w:rPr>
          <w:noProof/>
        </w:rPr>
        <w:t>8</w:t>
      </w:r>
      <w:r w:rsidRPr="00755429">
        <w:fldChar w:fldCharType="end"/>
      </w:r>
      <w:r w:rsidRPr="00755429">
        <w:t xml:space="preserve"> shows the derivation of the stamp duty component.</w:t>
      </w:r>
    </w:p>
    <w:p w:rsidR="00647BDC" w:rsidRPr="00755429" w:rsidRDefault="00647BDC" w:rsidP="00647BDC">
      <w:pPr>
        <w:pStyle w:val="CGCTableHeading"/>
        <w:ind w:left="0" w:firstLine="0"/>
      </w:pPr>
      <w:bookmarkStart w:id="80" w:name="_Ref385333400"/>
      <w:bookmarkStart w:id="81" w:name="_Ref385333394"/>
      <w:r w:rsidRPr="00755429">
        <w:t xml:space="preserve">Table </w:t>
      </w:r>
      <w:r w:rsidR="005B69B1">
        <w:fldChar w:fldCharType="begin"/>
      </w:r>
      <w:r w:rsidR="005B69B1">
        <w:instrText xml:space="preserve"> SEQ Table \* ARABIC </w:instrText>
      </w:r>
      <w:r w:rsidR="005B69B1">
        <w:fldChar w:fldCharType="separate"/>
      </w:r>
      <w:r w:rsidR="005B69B1">
        <w:rPr>
          <w:noProof/>
        </w:rPr>
        <w:t>8</w:t>
      </w:r>
      <w:r w:rsidR="005B69B1">
        <w:rPr>
          <w:noProof/>
        </w:rPr>
        <w:fldChar w:fldCharType="end"/>
      </w:r>
      <w:bookmarkEnd w:id="80"/>
      <w:r w:rsidRPr="00755429">
        <w:tab/>
        <w:t>Illustrative assessed revenue, vehicle component, 2012</w:t>
      </w:r>
      <w:r w:rsidRPr="00755429">
        <w:noBreakHyphen/>
        <w:t>13</w:t>
      </w:r>
      <w:bookmarkEnd w:id="81"/>
    </w:p>
    <w:tbl>
      <w:tblPr>
        <w:tblW w:w="8940" w:type="dxa"/>
        <w:tblLayout w:type="fixed"/>
        <w:tblCellMar>
          <w:left w:w="0" w:type="dxa"/>
          <w:right w:w="0" w:type="dxa"/>
        </w:tblCellMar>
        <w:tblLook w:val="04A0" w:firstRow="1" w:lastRow="0" w:firstColumn="1" w:lastColumn="0" w:noHBand="0" w:noVBand="1"/>
      </w:tblPr>
      <w:tblGrid>
        <w:gridCol w:w="2280"/>
        <w:gridCol w:w="800"/>
        <w:gridCol w:w="800"/>
        <w:gridCol w:w="800"/>
        <w:gridCol w:w="800"/>
        <w:gridCol w:w="640"/>
        <w:gridCol w:w="640"/>
        <w:gridCol w:w="640"/>
        <w:gridCol w:w="640"/>
        <w:gridCol w:w="900"/>
      </w:tblGrid>
      <w:tr w:rsidR="00647BDC" w:rsidRPr="00907184" w:rsidTr="00D07581">
        <w:trPr>
          <w:trHeight w:val="375"/>
        </w:trPr>
        <w:tc>
          <w:tcPr>
            <w:tcW w:w="228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 </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NSW</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Vic</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Qld</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WA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907184">
              <w:rPr>
                <w:rFonts w:ascii="Calibri" w:eastAsia="Times New Roman" w:hAnsi="Calibri" w:cs="Times New Roman"/>
                <w:sz w:val="20"/>
                <w:szCs w:val="20"/>
                <w:lang w:eastAsia="en-AU"/>
              </w:rPr>
              <w:t>Tas</w:t>
            </w:r>
            <w:proofErr w:type="spellEnd"/>
          </w:p>
        </w:tc>
        <w:tc>
          <w:tcPr>
            <w:tcW w:w="64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NT</w:t>
            </w:r>
          </w:p>
        </w:tc>
        <w:tc>
          <w:tcPr>
            <w:tcW w:w="900" w:type="dxa"/>
            <w:tcBorders>
              <w:top w:val="single" w:sz="4" w:space="0" w:color="auto"/>
              <w:left w:val="nil"/>
              <w:bottom w:val="single" w:sz="4" w:space="0" w:color="auto"/>
              <w:right w:val="nil"/>
            </w:tcBorders>
            <w:shd w:val="clear" w:color="auto" w:fill="auto"/>
            <w:noWrap/>
            <w:vAlign w:val="center"/>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Total</w:t>
            </w:r>
          </w:p>
        </w:tc>
      </w:tr>
      <w:tr w:rsidR="00647BDC" w:rsidRPr="00907184" w:rsidTr="00D07581">
        <w:trPr>
          <w:trHeight w:val="315"/>
        </w:trPr>
        <w:tc>
          <w:tcPr>
            <w:tcW w:w="228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Actual revenue ($m)</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636</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636</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509</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404</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149</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38</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30</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26</w:t>
            </w:r>
          </w:p>
        </w:tc>
        <w:tc>
          <w:tcPr>
            <w:tcW w:w="9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2 427</w:t>
            </w:r>
          </w:p>
        </w:tc>
      </w:tr>
      <w:tr w:rsidR="00647BDC" w:rsidRPr="00907184" w:rsidTr="00D07581">
        <w:trPr>
          <w:trHeight w:val="315"/>
        </w:trPr>
        <w:tc>
          <w:tcPr>
            <w:tcW w:w="228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Revenue base ($m)</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19 955</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17 190</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16 156</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11 564</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4 381</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1 239</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1 002</w:t>
            </w: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851</w:t>
            </w:r>
          </w:p>
        </w:tc>
        <w:tc>
          <w:tcPr>
            <w:tcW w:w="9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72 339</w:t>
            </w:r>
          </w:p>
        </w:tc>
      </w:tr>
      <w:tr w:rsidR="00647BDC" w:rsidRPr="00907184" w:rsidTr="00D07581">
        <w:trPr>
          <w:trHeight w:val="315"/>
        </w:trPr>
        <w:tc>
          <w:tcPr>
            <w:tcW w:w="228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Average tax rate (%)</w:t>
            </w: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64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900" w:type="dxa"/>
            <w:tcBorders>
              <w:top w:val="nil"/>
              <w:left w:val="nil"/>
              <w:bottom w:val="nil"/>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3.4</w:t>
            </w:r>
          </w:p>
        </w:tc>
      </w:tr>
      <w:tr w:rsidR="00647BDC" w:rsidRPr="00907184" w:rsidTr="00D07581">
        <w:trPr>
          <w:trHeight w:val="315"/>
        </w:trPr>
        <w:tc>
          <w:tcPr>
            <w:tcW w:w="228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Assessed revenue ($m)</w:t>
            </w:r>
          </w:p>
        </w:tc>
        <w:tc>
          <w:tcPr>
            <w:tcW w:w="80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669</w:t>
            </w:r>
          </w:p>
        </w:tc>
        <w:tc>
          <w:tcPr>
            <w:tcW w:w="80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577</w:t>
            </w:r>
          </w:p>
        </w:tc>
        <w:tc>
          <w:tcPr>
            <w:tcW w:w="80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542</w:t>
            </w:r>
          </w:p>
        </w:tc>
        <w:tc>
          <w:tcPr>
            <w:tcW w:w="80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388</w:t>
            </w:r>
          </w:p>
        </w:tc>
        <w:tc>
          <w:tcPr>
            <w:tcW w:w="64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147</w:t>
            </w:r>
          </w:p>
        </w:tc>
        <w:tc>
          <w:tcPr>
            <w:tcW w:w="64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42</w:t>
            </w:r>
          </w:p>
        </w:tc>
        <w:tc>
          <w:tcPr>
            <w:tcW w:w="64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34</w:t>
            </w:r>
          </w:p>
        </w:tc>
        <w:tc>
          <w:tcPr>
            <w:tcW w:w="64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29</w:t>
            </w:r>
          </w:p>
        </w:tc>
        <w:tc>
          <w:tcPr>
            <w:tcW w:w="900" w:type="dxa"/>
            <w:tcBorders>
              <w:top w:val="nil"/>
              <w:left w:val="nil"/>
              <w:bottom w:val="single" w:sz="4" w:space="0" w:color="auto"/>
              <w:right w:val="nil"/>
            </w:tcBorders>
            <w:shd w:val="clear" w:color="auto" w:fill="auto"/>
            <w:noWrap/>
            <w:vAlign w:val="bottom"/>
            <w:hideMark/>
          </w:tcPr>
          <w:p w:rsidR="00647BDC" w:rsidRPr="00907184"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907184">
              <w:rPr>
                <w:rFonts w:ascii="Calibri" w:eastAsia="Times New Roman" w:hAnsi="Calibri" w:cs="Times New Roman"/>
                <w:sz w:val="20"/>
                <w:szCs w:val="20"/>
                <w:lang w:eastAsia="en-AU"/>
              </w:rPr>
              <w:t>2 427</w:t>
            </w:r>
          </w:p>
        </w:tc>
      </w:tr>
    </w:tbl>
    <w:p w:rsidR="00647BDC" w:rsidRPr="00755429" w:rsidRDefault="00647BDC" w:rsidP="00647BDC">
      <w:pPr>
        <w:pStyle w:val="CGCTableFootnote"/>
        <w:ind w:left="0" w:firstLine="0"/>
      </w:pPr>
      <w:r w:rsidRPr="00755429">
        <w:t>Note:</w:t>
      </w:r>
      <w:r w:rsidRPr="00755429">
        <w:tab/>
        <w:t>Assessed revenue calculated as the product of a State’s revenue base and the average rate of tax.</w:t>
      </w:r>
    </w:p>
    <w:p w:rsidR="00647BDC" w:rsidRPr="00755429" w:rsidRDefault="00647BDC" w:rsidP="00647BDC">
      <w:pPr>
        <w:pStyle w:val="CGCTableFootnote"/>
        <w:ind w:left="0" w:firstLine="0"/>
      </w:pPr>
      <w:r w:rsidRPr="00755429">
        <w:t>Source:</w:t>
      </w:r>
      <w:r w:rsidRPr="00755429">
        <w:tab/>
        <w:t>State data on the value of vehicles liable for duty.</w:t>
      </w:r>
    </w:p>
    <w:p w:rsidR="00647BDC" w:rsidRPr="00755429" w:rsidRDefault="00647BDC" w:rsidP="00647BDC">
      <w:pPr>
        <w:pStyle w:val="Heading3"/>
      </w:pPr>
      <w:bookmarkStart w:id="82" w:name="_Toc390955820"/>
      <w:r>
        <w:t>Bringing the assessment together</w:t>
      </w:r>
      <w:bookmarkEnd w:id="82"/>
    </w:p>
    <w:p w:rsidR="00647BDC" w:rsidRPr="00755429" w:rsidRDefault="00647BDC" w:rsidP="00647BDC">
      <w:pPr>
        <w:pStyle w:val="CGCNumberedPara"/>
        <w:numPr>
          <w:ilvl w:val="1"/>
          <w:numId w:val="2"/>
        </w:numPr>
      </w:pPr>
      <w:r w:rsidRPr="00755429">
        <w:fldChar w:fldCharType="begin"/>
      </w:r>
      <w:r w:rsidRPr="00755429">
        <w:instrText xml:space="preserve"> REF _Ref390241880 \h </w:instrText>
      </w:r>
      <w:r>
        <w:instrText xml:space="preserve"> \* MERGEFORMAT </w:instrText>
      </w:r>
      <w:r w:rsidRPr="00755429">
        <w:fldChar w:fldCharType="separate"/>
      </w:r>
      <w:r w:rsidR="005B69B1" w:rsidRPr="00755429">
        <w:t xml:space="preserve">Table </w:t>
      </w:r>
      <w:r w:rsidR="005B69B1">
        <w:rPr>
          <w:noProof/>
        </w:rPr>
        <w:t>9</w:t>
      </w:r>
      <w:r w:rsidRPr="00755429">
        <w:fldChar w:fldCharType="end"/>
      </w:r>
      <w:r w:rsidRPr="00755429">
        <w:t xml:space="preserve"> shows the derivation of category assessed revenue. The revenue raising capacities of New South Wales and Western Australia are assessed to be above average. </w:t>
      </w:r>
    </w:p>
    <w:p w:rsidR="00647BDC" w:rsidRPr="00755429" w:rsidRDefault="00647BDC" w:rsidP="00647BDC">
      <w:pPr>
        <w:pStyle w:val="CGCTableHeading"/>
      </w:pPr>
      <w:bookmarkStart w:id="83" w:name="_Ref390241880"/>
      <w:r w:rsidRPr="00755429">
        <w:t xml:space="preserve">Table </w:t>
      </w:r>
      <w:r w:rsidR="005B69B1">
        <w:fldChar w:fldCharType="begin"/>
      </w:r>
      <w:r w:rsidR="005B69B1">
        <w:instrText xml:space="preserve"> SEQ Table \* ARABIC </w:instrText>
      </w:r>
      <w:r w:rsidR="005B69B1">
        <w:fldChar w:fldCharType="separate"/>
      </w:r>
      <w:r w:rsidR="005B69B1">
        <w:rPr>
          <w:noProof/>
        </w:rPr>
        <w:t>9</w:t>
      </w:r>
      <w:r w:rsidR="005B69B1">
        <w:rPr>
          <w:noProof/>
        </w:rPr>
        <w:fldChar w:fldCharType="end"/>
      </w:r>
      <w:bookmarkEnd w:id="83"/>
      <w:r w:rsidRPr="00755429">
        <w:tab/>
        <w:t>Illustrative category assessed revenue and revenue raising capacity, 2012</w:t>
      </w:r>
      <w:r w:rsidRPr="00755429">
        <w:noBreakHyphen/>
        <w:t>13</w:t>
      </w:r>
    </w:p>
    <w:tbl>
      <w:tblPr>
        <w:tblW w:w="8900" w:type="dxa"/>
        <w:tblInd w:w="93" w:type="dxa"/>
        <w:tblLook w:val="04A0" w:firstRow="1" w:lastRow="0" w:firstColumn="1" w:lastColumn="0" w:noHBand="0" w:noVBand="1"/>
      </w:tblPr>
      <w:tblGrid>
        <w:gridCol w:w="2460"/>
        <w:gridCol w:w="700"/>
        <w:gridCol w:w="700"/>
        <w:gridCol w:w="700"/>
        <w:gridCol w:w="700"/>
        <w:gridCol w:w="700"/>
        <w:gridCol w:w="700"/>
        <w:gridCol w:w="700"/>
        <w:gridCol w:w="700"/>
        <w:gridCol w:w="840"/>
      </w:tblGrid>
      <w:tr w:rsidR="00647BDC" w:rsidRPr="002D2DBB" w:rsidTr="00D07581">
        <w:trPr>
          <w:trHeight w:val="379"/>
        </w:trPr>
        <w:tc>
          <w:tcPr>
            <w:tcW w:w="2460" w:type="dxa"/>
            <w:tcBorders>
              <w:top w:val="single" w:sz="4" w:space="0" w:color="auto"/>
              <w:left w:val="nil"/>
              <w:bottom w:val="single" w:sz="4" w:space="0" w:color="auto"/>
              <w:right w:val="nil"/>
            </w:tcBorders>
            <w:shd w:val="clear" w:color="auto" w:fill="auto"/>
            <w:noWrap/>
            <w:vAlign w:val="center"/>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bookmarkStart w:id="84" w:name="RANGE!A4:J10"/>
            <w:r w:rsidRPr="002D2DBB">
              <w:rPr>
                <w:rFonts w:ascii="Calibri" w:eastAsia="Times New Roman" w:hAnsi="Calibri" w:cs="Times New Roman"/>
                <w:sz w:val="20"/>
                <w:szCs w:val="20"/>
                <w:lang w:eastAsia="en-AU"/>
              </w:rPr>
              <w:t> </w:t>
            </w:r>
            <w:bookmarkEnd w:id="84"/>
          </w:p>
        </w:tc>
        <w:tc>
          <w:tcPr>
            <w:tcW w:w="700" w:type="dxa"/>
            <w:tcBorders>
              <w:top w:val="single" w:sz="4" w:space="0" w:color="auto"/>
              <w:left w:val="nil"/>
              <w:bottom w:val="single" w:sz="4" w:space="0" w:color="auto"/>
              <w:right w:val="nil"/>
            </w:tcBorders>
            <w:shd w:val="clear" w:color="auto" w:fill="auto"/>
            <w:noWrap/>
            <w:vAlign w:val="center"/>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NSW</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Qld</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WA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2D2DBB">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ACT</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NT</w:t>
            </w:r>
          </w:p>
        </w:tc>
        <w:tc>
          <w:tcPr>
            <w:tcW w:w="840" w:type="dxa"/>
            <w:tcBorders>
              <w:top w:val="single" w:sz="4" w:space="0" w:color="auto"/>
              <w:left w:val="nil"/>
              <w:bottom w:val="single" w:sz="4" w:space="0" w:color="auto"/>
              <w:right w:val="nil"/>
            </w:tcBorders>
            <w:shd w:val="clear" w:color="auto" w:fill="auto"/>
            <w:noWrap/>
            <w:vAlign w:val="center"/>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Total</w:t>
            </w:r>
          </w:p>
        </w:tc>
      </w:tr>
      <w:tr w:rsidR="00647BDC" w:rsidRPr="002D2DBB" w:rsidTr="00D07581">
        <w:trPr>
          <w:trHeight w:val="315"/>
        </w:trPr>
        <w:tc>
          <w:tcPr>
            <w:tcW w:w="246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EPC component ($m)</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140</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108</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88</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47</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32</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10</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7</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5</w:t>
            </w:r>
          </w:p>
        </w:tc>
        <w:tc>
          <w:tcPr>
            <w:tcW w:w="84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437</w:t>
            </w:r>
          </w:p>
        </w:tc>
      </w:tr>
      <w:tr w:rsidR="00647BDC" w:rsidRPr="002D2DBB" w:rsidTr="00D07581">
        <w:trPr>
          <w:trHeight w:val="315"/>
        </w:trPr>
        <w:tc>
          <w:tcPr>
            <w:tcW w:w="2460" w:type="dxa"/>
            <w:tcBorders>
              <w:top w:val="nil"/>
              <w:left w:val="nil"/>
              <w:bottom w:val="nil"/>
              <w:right w:val="nil"/>
            </w:tcBorders>
            <w:shd w:val="clear" w:color="auto" w:fill="auto"/>
            <w:vAlign w:val="bottom"/>
            <w:hideMark/>
          </w:tcPr>
          <w:p w:rsidR="00647BDC" w:rsidRPr="002D2DBB" w:rsidRDefault="00647BDC" w:rsidP="00D07581">
            <w:pPr>
              <w:tabs>
                <w:tab w:val="clear" w:pos="567"/>
              </w:tabs>
              <w:spacing w:after="0" w:line="240" w:lineRule="auto"/>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Property component ($m)</w:t>
            </w:r>
          </w:p>
        </w:tc>
        <w:tc>
          <w:tcPr>
            <w:tcW w:w="700" w:type="dxa"/>
            <w:tcBorders>
              <w:top w:val="nil"/>
              <w:left w:val="nil"/>
              <w:bottom w:val="nil"/>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4 410</w:t>
            </w:r>
          </w:p>
        </w:tc>
        <w:tc>
          <w:tcPr>
            <w:tcW w:w="700" w:type="dxa"/>
            <w:tcBorders>
              <w:top w:val="nil"/>
              <w:left w:val="nil"/>
              <w:bottom w:val="nil"/>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2 910</w:t>
            </w:r>
          </w:p>
        </w:tc>
        <w:tc>
          <w:tcPr>
            <w:tcW w:w="700" w:type="dxa"/>
            <w:tcBorders>
              <w:top w:val="nil"/>
              <w:left w:val="nil"/>
              <w:bottom w:val="nil"/>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2 214</w:t>
            </w:r>
          </w:p>
        </w:tc>
        <w:tc>
          <w:tcPr>
            <w:tcW w:w="700" w:type="dxa"/>
            <w:tcBorders>
              <w:top w:val="nil"/>
              <w:left w:val="nil"/>
              <w:bottom w:val="nil"/>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1 850</w:t>
            </w:r>
          </w:p>
        </w:tc>
        <w:tc>
          <w:tcPr>
            <w:tcW w:w="700" w:type="dxa"/>
            <w:tcBorders>
              <w:top w:val="nil"/>
              <w:left w:val="nil"/>
              <w:bottom w:val="nil"/>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528</w:t>
            </w:r>
          </w:p>
        </w:tc>
        <w:tc>
          <w:tcPr>
            <w:tcW w:w="700" w:type="dxa"/>
            <w:tcBorders>
              <w:top w:val="nil"/>
              <w:left w:val="nil"/>
              <w:bottom w:val="nil"/>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135</w:t>
            </w:r>
          </w:p>
        </w:tc>
        <w:tc>
          <w:tcPr>
            <w:tcW w:w="700" w:type="dxa"/>
            <w:tcBorders>
              <w:top w:val="nil"/>
              <w:left w:val="nil"/>
              <w:bottom w:val="nil"/>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196</w:t>
            </w:r>
          </w:p>
        </w:tc>
        <w:tc>
          <w:tcPr>
            <w:tcW w:w="700" w:type="dxa"/>
            <w:tcBorders>
              <w:top w:val="nil"/>
              <w:left w:val="nil"/>
              <w:bottom w:val="nil"/>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103</w:t>
            </w:r>
          </w:p>
        </w:tc>
        <w:tc>
          <w:tcPr>
            <w:tcW w:w="840" w:type="dxa"/>
            <w:tcBorders>
              <w:top w:val="nil"/>
              <w:left w:val="nil"/>
              <w:bottom w:val="nil"/>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12 345</w:t>
            </w:r>
          </w:p>
        </w:tc>
      </w:tr>
      <w:tr w:rsidR="00647BDC" w:rsidRPr="002D2DBB" w:rsidTr="00D07581">
        <w:trPr>
          <w:trHeight w:val="315"/>
        </w:trPr>
        <w:tc>
          <w:tcPr>
            <w:tcW w:w="2460" w:type="dxa"/>
            <w:tcBorders>
              <w:top w:val="nil"/>
              <w:left w:val="nil"/>
              <w:bottom w:val="nil"/>
              <w:right w:val="nil"/>
            </w:tcBorders>
            <w:shd w:val="clear" w:color="auto" w:fill="auto"/>
            <w:vAlign w:val="bottom"/>
            <w:hideMark/>
          </w:tcPr>
          <w:p w:rsidR="00647BDC" w:rsidRPr="002D2DBB" w:rsidRDefault="00647BDC" w:rsidP="00D07581">
            <w:pPr>
              <w:tabs>
                <w:tab w:val="clear" w:pos="567"/>
              </w:tabs>
              <w:spacing w:after="0" w:line="240" w:lineRule="auto"/>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Vehicles component ($m)</w:t>
            </w:r>
          </w:p>
        </w:tc>
        <w:tc>
          <w:tcPr>
            <w:tcW w:w="700" w:type="dxa"/>
            <w:tcBorders>
              <w:top w:val="nil"/>
              <w:left w:val="nil"/>
              <w:bottom w:val="single" w:sz="4" w:space="0" w:color="auto"/>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669</w:t>
            </w:r>
          </w:p>
        </w:tc>
        <w:tc>
          <w:tcPr>
            <w:tcW w:w="700" w:type="dxa"/>
            <w:tcBorders>
              <w:top w:val="nil"/>
              <w:left w:val="nil"/>
              <w:bottom w:val="single" w:sz="4" w:space="0" w:color="auto"/>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577</w:t>
            </w:r>
          </w:p>
        </w:tc>
        <w:tc>
          <w:tcPr>
            <w:tcW w:w="700" w:type="dxa"/>
            <w:tcBorders>
              <w:top w:val="nil"/>
              <w:left w:val="nil"/>
              <w:bottom w:val="single" w:sz="4" w:space="0" w:color="auto"/>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542</w:t>
            </w:r>
          </w:p>
        </w:tc>
        <w:tc>
          <w:tcPr>
            <w:tcW w:w="700" w:type="dxa"/>
            <w:tcBorders>
              <w:top w:val="nil"/>
              <w:left w:val="nil"/>
              <w:bottom w:val="single" w:sz="4" w:space="0" w:color="auto"/>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388</w:t>
            </w:r>
          </w:p>
        </w:tc>
        <w:tc>
          <w:tcPr>
            <w:tcW w:w="700" w:type="dxa"/>
            <w:tcBorders>
              <w:top w:val="nil"/>
              <w:left w:val="nil"/>
              <w:bottom w:val="single" w:sz="4" w:space="0" w:color="auto"/>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147</w:t>
            </w:r>
          </w:p>
        </w:tc>
        <w:tc>
          <w:tcPr>
            <w:tcW w:w="700" w:type="dxa"/>
            <w:tcBorders>
              <w:top w:val="nil"/>
              <w:left w:val="nil"/>
              <w:bottom w:val="single" w:sz="4" w:space="0" w:color="auto"/>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42</w:t>
            </w:r>
          </w:p>
        </w:tc>
        <w:tc>
          <w:tcPr>
            <w:tcW w:w="700" w:type="dxa"/>
            <w:tcBorders>
              <w:top w:val="nil"/>
              <w:left w:val="nil"/>
              <w:bottom w:val="single" w:sz="4" w:space="0" w:color="auto"/>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34</w:t>
            </w:r>
          </w:p>
        </w:tc>
        <w:tc>
          <w:tcPr>
            <w:tcW w:w="700" w:type="dxa"/>
            <w:tcBorders>
              <w:top w:val="nil"/>
              <w:left w:val="nil"/>
              <w:bottom w:val="single" w:sz="4" w:space="0" w:color="auto"/>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29</w:t>
            </w:r>
          </w:p>
        </w:tc>
        <w:tc>
          <w:tcPr>
            <w:tcW w:w="840" w:type="dxa"/>
            <w:tcBorders>
              <w:top w:val="nil"/>
              <w:left w:val="nil"/>
              <w:bottom w:val="single" w:sz="4" w:space="0" w:color="auto"/>
              <w:right w:val="nil"/>
            </w:tcBorders>
            <w:shd w:val="clear" w:color="auto" w:fill="auto"/>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2 427</w:t>
            </w:r>
          </w:p>
        </w:tc>
      </w:tr>
      <w:tr w:rsidR="00647BDC" w:rsidRPr="002D2DBB" w:rsidTr="00D07581">
        <w:trPr>
          <w:trHeight w:val="315"/>
        </w:trPr>
        <w:tc>
          <w:tcPr>
            <w:tcW w:w="246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rPr>
                <w:rFonts w:ascii="Calibri" w:eastAsia="Times New Roman" w:hAnsi="Calibri" w:cs="Times New Roman"/>
                <w:sz w:val="20"/>
                <w:szCs w:val="20"/>
                <w:lang w:eastAsia="en-AU"/>
              </w:rPr>
            </w:pPr>
            <w:bookmarkStart w:id="85" w:name="RANGE!A8:J10"/>
            <w:r w:rsidRPr="002D2DBB">
              <w:rPr>
                <w:rFonts w:ascii="Calibri" w:eastAsia="Times New Roman" w:hAnsi="Calibri" w:cs="Times New Roman"/>
                <w:sz w:val="20"/>
                <w:szCs w:val="20"/>
                <w:lang w:eastAsia="en-AU"/>
              </w:rPr>
              <w:t>Assessed revenue ($m)</w:t>
            </w:r>
            <w:bookmarkEnd w:id="85"/>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5 219</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3 595</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2 844</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2 285</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706</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187</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237</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136</w:t>
            </w:r>
          </w:p>
        </w:tc>
        <w:tc>
          <w:tcPr>
            <w:tcW w:w="84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15 209</w:t>
            </w:r>
          </w:p>
        </w:tc>
      </w:tr>
      <w:tr w:rsidR="00647BDC" w:rsidRPr="002D2DBB" w:rsidTr="00D07581">
        <w:trPr>
          <w:trHeight w:val="315"/>
        </w:trPr>
        <w:tc>
          <w:tcPr>
            <w:tcW w:w="246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Assessed revenue ($pc)</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710</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633</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616</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922</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425</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364</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626</w:t>
            </w:r>
          </w:p>
        </w:tc>
        <w:tc>
          <w:tcPr>
            <w:tcW w:w="70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571</w:t>
            </w:r>
          </w:p>
        </w:tc>
        <w:tc>
          <w:tcPr>
            <w:tcW w:w="840" w:type="dxa"/>
            <w:tcBorders>
              <w:top w:val="nil"/>
              <w:left w:val="nil"/>
              <w:bottom w:val="nil"/>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664</w:t>
            </w:r>
          </w:p>
        </w:tc>
      </w:tr>
      <w:tr w:rsidR="00647BDC" w:rsidRPr="002D2DBB" w:rsidTr="00D07581">
        <w:trPr>
          <w:trHeight w:val="315"/>
        </w:trPr>
        <w:tc>
          <w:tcPr>
            <w:tcW w:w="2460" w:type="dxa"/>
            <w:tcBorders>
              <w:top w:val="nil"/>
              <w:left w:val="nil"/>
              <w:bottom w:val="single" w:sz="4" w:space="0" w:color="auto"/>
              <w:right w:val="nil"/>
            </w:tcBorders>
            <w:shd w:val="clear" w:color="auto" w:fill="auto"/>
            <w:vAlign w:val="bottom"/>
            <w:hideMark/>
          </w:tcPr>
          <w:p w:rsidR="00647BDC" w:rsidRPr="002D2DBB" w:rsidRDefault="00647BDC" w:rsidP="00D07581">
            <w:pPr>
              <w:tabs>
                <w:tab w:val="clear" w:pos="567"/>
              </w:tabs>
              <w:spacing w:after="0" w:line="240" w:lineRule="auto"/>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Revenue raising capacity</w:t>
            </w:r>
          </w:p>
        </w:tc>
        <w:tc>
          <w:tcPr>
            <w:tcW w:w="700" w:type="dxa"/>
            <w:tcBorders>
              <w:top w:val="nil"/>
              <w:left w:val="nil"/>
              <w:bottom w:val="single" w:sz="4" w:space="0" w:color="auto"/>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1.069</w:t>
            </w:r>
          </w:p>
        </w:tc>
        <w:tc>
          <w:tcPr>
            <w:tcW w:w="700" w:type="dxa"/>
            <w:tcBorders>
              <w:top w:val="nil"/>
              <w:left w:val="nil"/>
              <w:bottom w:val="single" w:sz="4" w:space="0" w:color="auto"/>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0.953</w:t>
            </w:r>
          </w:p>
        </w:tc>
        <w:tc>
          <w:tcPr>
            <w:tcW w:w="700" w:type="dxa"/>
            <w:tcBorders>
              <w:top w:val="nil"/>
              <w:left w:val="nil"/>
              <w:bottom w:val="single" w:sz="4" w:space="0" w:color="auto"/>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0.929</w:t>
            </w:r>
          </w:p>
        </w:tc>
        <w:tc>
          <w:tcPr>
            <w:tcW w:w="700" w:type="dxa"/>
            <w:tcBorders>
              <w:top w:val="nil"/>
              <w:left w:val="nil"/>
              <w:bottom w:val="single" w:sz="4" w:space="0" w:color="auto"/>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1.390</w:t>
            </w:r>
          </w:p>
        </w:tc>
        <w:tc>
          <w:tcPr>
            <w:tcW w:w="700" w:type="dxa"/>
            <w:tcBorders>
              <w:top w:val="nil"/>
              <w:left w:val="nil"/>
              <w:bottom w:val="single" w:sz="4" w:space="0" w:color="auto"/>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0.640</w:t>
            </w:r>
          </w:p>
        </w:tc>
        <w:tc>
          <w:tcPr>
            <w:tcW w:w="700" w:type="dxa"/>
            <w:tcBorders>
              <w:top w:val="nil"/>
              <w:left w:val="nil"/>
              <w:bottom w:val="single" w:sz="4" w:space="0" w:color="auto"/>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0.549</w:t>
            </w:r>
          </w:p>
        </w:tc>
        <w:tc>
          <w:tcPr>
            <w:tcW w:w="700" w:type="dxa"/>
            <w:tcBorders>
              <w:top w:val="nil"/>
              <w:left w:val="nil"/>
              <w:bottom w:val="single" w:sz="4" w:space="0" w:color="auto"/>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0.943</w:t>
            </w:r>
          </w:p>
        </w:tc>
        <w:tc>
          <w:tcPr>
            <w:tcW w:w="700" w:type="dxa"/>
            <w:tcBorders>
              <w:top w:val="nil"/>
              <w:left w:val="nil"/>
              <w:bottom w:val="single" w:sz="4" w:space="0" w:color="auto"/>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0.861</w:t>
            </w:r>
          </w:p>
        </w:tc>
        <w:tc>
          <w:tcPr>
            <w:tcW w:w="840" w:type="dxa"/>
            <w:tcBorders>
              <w:top w:val="nil"/>
              <w:left w:val="nil"/>
              <w:bottom w:val="single" w:sz="4" w:space="0" w:color="auto"/>
              <w:right w:val="nil"/>
            </w:tcBorders>
            <w:shd w:val="clear" w:color="auto" w:fill="auto"/>
            <w:noWrap/>
            <w:vAlign w:val="bottom"/>
            <w:hideMark/>
          </w:tcPr>
          <w:p w:rsidR="00647BDC" w:rsidRPr="002D2DBB"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2D2DBB">
              <w:rPr>
                <w:rFonts w:ascii="Calibri" w:eastAsia="Times New Roman" w:hAnsi="Calibri" w:cs="Times New Roman"/>
                <w:sz w:val="20"/>
                <w:szCs w:val="20"/>
                <w:lang w:eastAsia="en-AU"/>
              </w:rPr>
              <w:t>1.000</w:t>
            </w:r>
          </w:p>
        </w:tc>
      </w:tr>
    </w:tbl>
    <w:p w:rsidR="00647BDC" w:rsidRPr="00755429" w:rsidRDefault="00647BDC" w:rsidP="00647BDC">
      <w:pPr>
        <w:pStyle w:val="CGCTableFootnote"/>
      </w:pPr>
      <w:r>
        <w:t>Note:</w:t>
      </w:r>
      <w:r w:rsidRPr="00755429">
        <w:tab/>
        <w:t>Revenue raising capacity ratio is calculated as assessed revenue per capita divided by average revenue.</w:t>
      </w:r>
    </w:p>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CGCNumberedPara"/>
        <w:numPr>
          <w:ilvl w:val="1"/>
          <w:numId w:val="2"/>
        </w:numPr>
      </w:pPr>
      <w:r w:rsidRPr="00755429">
        <w:fldChar w:fldCharType="begin"/>
      </w:r>
      <w:r w:rsidRPr="00755429">
        <w:instrText xml:space="preserve"> REF _Ref389339147 \h  \* MERGEFORMAT </w:instrText>
      </w:r>
      <w:r w:rsidRPr="00755429">
        <w:fldChar w:fldCharType="separate"/>
      </w:r>
      <w:r w:rsidR="005B69B1" w:rsidRPr="00755429">
        <w:t xml:space="preserve">Table </w:t>
      </w:r>
      <w:r w:rsidR="005B69B1">
        <w:rPr>
          <w:noProof/>
        </w:rPr>
        <w:t>10</w:t>
      </w:r>
      <w:r w:rsidRPr="00755429">
        <w:fldChar w:fldCharType="end"/>
      </w:r>
      <w:r w:rsidRPr="00755429">
        <w:t xml:space="preserve"> shows the calculation of the category on a per capita basis. It shows that Western Australia is assessed to have the capacity to </w:t>
      </w:r>
      <w:proofErr w:type="gramStart"/>
      <w:r w:rsidRPr="00755429">
        <w:t>raise</w:t>
      </w:r>
      <w:proofErr w:type="gramEnd"/>
      <w:r w:rsidRPr="00755429">
        <w:t xml:space="preserve"> significantly more than average, while South Australia and Tasmania have much smaller than average </w:t>
      </w:r>
      <w:r w:rsidRPr="00755429">
        <w:lastRenderedPageBreak/>
        <w:t xml:space="preserve">capacities. Most of the difference is driven by the value of properties sold in the properties component. </w:t>
      </w:r>
    </w:p>
    <w:p w:rsidR="00647BDC" w:rsidRPr="00755429" w:rsidRDefault="00647BDC" w:rsidP="00647BDC">
      <w:pPr>
        <w:pStyle w:val="CGCTableHeading"/>
      </w:pPr>
      <w:bookmarkStart w:id="86" w:name="_Ref389339147"/>
      <w:r w:rsidRPr="00755429">
        <w:t xml:space="preserve">Table </w:t>
      </w:r>
      <w:r w:rsidR="005B69B1">
        <w:fldChar w:fldCharType="begin"/>
      </w:r>
      <w:r w:rsidR="005B69B1">
        <w:instrText xml:space="preserve"> SEQ Table \* ARABIC </w:instrText>
      </w:r>
      <w:r w:rsidR="005B69B1">
        <w:fldChar w:fldCharType="separate"/>
      </w:r>
      <w:r w:rsidR="005B69B1">
        <w:rPr>
          <w:noProof/>
        </w:rPr>
        <w:t>10</w:t>
      </w:r>
      <w:r w:rsidR="005B69B1">
        <w:rPr>
          <w:noProof/>
        </w:rPr>
        <w:fldChar w:fldCharType="end"/>
      </w:r>
      <w:bookmarkEnd w:id="86"/>
      <w:r w:rsidRPr="00755429">
        <w:tab/>
        <w:t>Illustrative category assessed revenue, 2012</w:t>
      </w:r>
      <w:r w:rsidRPr="00755429">
        <w:noBreakHyphen/>
        <w:t>13</w:t>
      </w:r>
    </w:p>
    <w:tbl>
      <w:tblPr>
        <w:tblW w:w="9020" w:type="dxa"/>
        <w:tblInd w:w="93" w:type="dxa"/>
        <w:tblLook w:val="04A0" w:firstRow="1" w:lastRow="0" w:firstColumn="1" w:lastColumn="0" w:noHBand="0" w:noVBand="1"/>
      </w:tblPr>
      <w:tblGrid>
        <w:gridCol w:w="2260"/>
        <w:gridCol w:w="780"/>
        <w:gridCol w:w="720"/>
        <w:gridCol w:w="720"/>
        <w:gridCol w:w="720"/>
        <w:gridCol w:w="780"/>
        <w:gridCol w:w="780"/>
        <w:gridCol w:w="720"/>
        <w:gridCol w:w="720"/>
        <w:gridCol w:w="820"/>
      </w:tblGrid>
      <w:tr w:rsidR="00647BDC" w:rsidRPr="00977162" w:rsidTr="00D07581">
        <w:trPr>
          <w:trHeight w:val="379"/>
        </w:trPr>
        <w:tc>
          <w:tcPr>
            <w:tcW w:w="2260" w:type="dxa"/>
            <w:tcBorders>
              <w:top w:val="single" w:sz="4" w:space="0" w:color="auto"/>
              <w:left w:val="nil"/>
              <w:bottom w:val="single" w:sz="4" w:space="0" w:color="auto"/>
              <w:right w:val="nil"/>
            </w:tcBorders>
            <w:shd w:val="clear" w:color="auto" w:fill="auto"/>
            <w:noWrap/>
            <w:vAlign w:val="center"/>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NSW</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Vic</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Qld</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WA</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SA</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977162">
              <w:rPr>
                <w:rFonts w:ascii="Calibri" w:eastAsia="Times New Roman" w:hAnsi="Calibri" w:cs="Times New Roman"/>
                <w:sz w:val="20"/>
                <w:szCs w:val="20"/>
                <w:lang w:eastAsia="en-AU"/>
              </w:rPr>
              <w:t>Tas</w:t>
            </w:r>
            <w:proofErr w:type="spellEnd"/>
          </w:p>
        </w:tc>
        <w:tc>
          <w:tcPr>
            <w:tcW w:w="720" w:type="dxa"/>
            <w:tcBorders>
              <w:top w:val="single" w:sz="4" w:space="0" w:color="auto"/>
              <w:left w:val="nil"/>
              <w:bottom w:val="single" w:sz="4" w:space="0" w:color="auto"/>
              <w:right w:val="nil"/>
            </w:tcBorders>
            <w:shd w:val="clear" w:color="auto" w:fill="auto"/>
            <w:noWrap/>
            <w:vAlign w:val="center"/>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ACT</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Total</w:t>
            </w:r>
          </w:p>
        </w:tc>
      </w:tr>
      <w:tr w:rsidR="00647BDC" w:rsidRPr="00977162" w:rsidTr="00D07581">
        <w:trPr>
          <w:trHeight w:val="259"/>
        </w:trPr>
        <w:tc>
          <w:tcPr>
            <w:tcW w:w="226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$pc</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$pc</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$pc</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$pc</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$pc</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$pc</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$pc</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$pc</w:t>
            </w:r>
          </w:p>
        </w:tc>
        <w:tc>
          <w:tcPr>
            <w:tcW w:w="8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$pc</w:t>
            </w:r>
          </w:p>
        </w:tc>
      </w:tr>
      <w:tr w:rsidR="00647BDC" w:rsidRPr="00977162" w:rsidTr="00D07581">
        <w:trPr>
          <w:trHeight w:val="315"/>
        </w:trPr>
        <w:tc>
          <w:tcPr>
            <w:tcW w:w="226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EPC component</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19</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19</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19</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19</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19</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19</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19</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19</w:t>
            </w:r>
          </w:p>
        </w:tc>
        <w:tc>
          <w:tcPr>
            <w:tcW w:w="8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19</w:t>
            </w:r>
          </w:p>
        </w:tc>
      </w:tr>
      <w:tr w:rsidR="00647BDC" w:rsidRPr="00977162" w:rsidTr="00D07581">
        <w:trPr>
          <w:trHeight w:val="315"/>
        </w:trPr>
        <w:tc>
          <w:tcPr>
            <w:tcW w:w="226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Property component</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r>
      <w:tr w:rsidR="00647BDC" w:rsidRPr="00977162" w:rsidTr="00D07581">
        <w:trPr>
          <w:trHeight w:val="315"/>
        </w:trPr>
        <w:tc>
          <w:tcPr>
            <w:tcW w:w="226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ind w:firstLineChars="100" w:firstLine="200"/>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EPC</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539</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539</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539</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539</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539</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539</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539</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539</w:t>
            </w:r>
          </w:p>
        </w:tc>
        <w:tc>
          <w:tcPr>
            <w:tcW w:w="8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539</w:t>
            </w:r>
          </w:p>
        </w:tc>
      </w:tr>
      <w:tr w:rsidR="00647BDC" w:rsidRPr="00977162" w:rsidTr="00D07581">
        <w:trPr>
          <w:trHeight w:val="315"/>
        </w:trPr>
        <w:tc>
          <w:tcPr>
            <w:tcW w:w="226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ind w:firstLineChars="100" w:firstLine="200"/>
              <w:rPr>
                <w:rFonts w:ascii="Calibri" w:eastAsia="Times New Roman" w:hAnsi="Calibri" w:cs="Times New Roman"/>
                <w:sz w:val="20"/>
                <w:szCs w:val="20"/>
                <w:lang w:eastAsia="en-AU"/>
              </w:rPr>
            </w:pPr>
            <w:r>
              <w:rPr>
                <w:rFonts w:ascii="Calibri" w:eastAsia="Times New Roman" w:hAnsi="Calibri" w:cs="Times New Roman"/>
                <w:sz w:val="20"/>
                <w:szCs w:val="20"/>
                <w:lang w:eastAsia="en-AU"/>
              </w:rPr>
              <w:t>Sales per person</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37</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-14</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-49</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206</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-197</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-241</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7</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-97</w:t>
            </w:r>
          </w:p>
        </w:tc>
        <w:tc>
          <w:tcPr>
            <w:tcW w:w="8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0</w:t>
            </w:r>
          </w:p>
        </w:tc>
      </w:tr>
      <w:tr w:rsidR="00647BDC" w:rsidRPr="00977162" w:rsidTr="00D07581">
        <w:trPr>
          <w:trHeight w:val="315"/>
        </w:trPr>
        <w:tc>
          <w:tcPr>
            <w:tcW w:w="2260" w:type="dxa"/>
            <w:tcBorders>
              <w:top w:val="nil"/>
              <w:left w:val="nil"/>
              <w:bottom w:val="nil"/>
              <w:right w:val="nil"/>
            </w:tcBorders>
            <w:shd w:val="clear" w:color="auto" w:fill="auto"/>
            <w:vAlign w:val="bottom"/>
            <w:hideMark/>
          </w:tcPr>
          <w:p w:rsidR="00647BDC" w:rsidRPr="00977162" w:rsidRDefault="00647BDC" w:rsidP="00D07581">
            <w:pPr>
              <w:tabs>
                <w:tab w:val="clear" w:pos="567"/>
              </w:tabs>
              <w:spacing w:after="0" w:line="240" w:lineRule="auto"/>
              <w:ind w:firstLineChars="100" w:firstLine="200"/>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Progressive rate of tax</w:t>
            </w:r>
          </w:p>
        </w:tc>
        <w:tc>
          <w:tcPr>
            <w:tcW w:w="780" w:type="dxa"/>
            <w:tcBorders>
              <w:top w:val="nil"/>
              <w:left w:val="nil"/>
              <w:bottom w:val="nil"/>
              <w:right w:val="nil"/>
            </w:tcBorders>
            <w:shd w:val="clear" w:color="auto" w:fill="auto"/>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24</w:t>
            </w:r>
          </w:p>
        </w:tc>
        <w:tc>
          <w:tcPr>
            <w:tcW w:w="720" w:type="dxa"/>
            <w:tcBorders>
              <w:top w:val="nil"/>
              <w:left w:val="nil"/>
              <w:bottom w:val="nil"/>
              <w:right w:val="nil"/>
            </w:tcBorders>
            <w:shd w:val="clear" w:color="auto" w:fill="auto"/>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-13</w:t>
            </w:r>
          </w:p>
        </w:tc>
        <w:tc>
          <w:tcPr>
            <w:tcW w:w="720" w:type="dxa"/>
            <w:tcBorders>
              <w:top w:val="nil"/>
              <w:left w:val="nil"/>
              <w:bottom w:val="nil"/>
              <w:right w:val="nil"/>
            </w:tcBorders>
            <w:shd w:val="clear" w:color="auto" w:fill="auto"/>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-9</w:t>
            </w:r>
          </w:p>
        </w:tc>
        <w:tc>
          <w:tcPr>
            <w:tcW w:w="720" w:type="dxa"/>
            <w:tcBorders>
              <w:top w:val="nil"/>
              <w:left w:val="nil"/>
              <w:bottom w:val="nil"/>
              <w:right w:val="nil"/>
            </w:tcBorders>
            <w:shd w:val="clear" w:color="auto" w:fill="auto"/>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2</w:t>
            </w:r>
          </w:p>
        </w:tc>
        <w:tc>
          <w:tcPr>
            <w:tcW w:w="780" w:type="dxa"/>
            <w:tcBorders>
              <w:top w:val="nil"/>
              <w:left w:val="nil"/>
              <w:bottom w:val="nil"/>
              <w:right w:val="nil"/>
            </w:tcBorders>
            <w:shd w:val="clear" w:color="auto" w:fill="auto"/>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-24</w:t>
            </w:r>
          </w:p>
        </w:tc>
        <w:tc>
          <w:tcPr>
            <w:tcW w:w="780" w:type="dxa"/>
            <w:tcBorders>
              <w:top w:val="nil"/>
              <w:left w:val="nil"/>
              <w:bottom w:val="nil"/>
              <w:right w:val="nil"/>
            </w:tcBorders>
            <w:shd w:val="clear" w:color="auto" w:fill="auto"/>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-34</w:t>
            </w:r>
          </w:p>
        </w:tc>
        <w:tc>
          <w:tcPr>
            <w:tcW w:w="720" w:type="dxa"/>
            <w:tcBorders>
              <w:top w:val="nil"/>
              <w:left w:val="nil"/>
              <w:bottom w:val="nil"/>
              <w:right w:val="nil"/>
            </w:tcBorders>
            <w:shd w:val="clear" w:color="auto" w:fill="auto"/>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-28</w:t>
            </w:r>
          </w:p>
        </w:tc>
        <w:tc>
          <w:tcPr>
            <w:tcW w:w="720" w:type="dxa"/>
            <w:tcBorders>
              <w:top w:val="nil"/>
              <w:left w:val="nil"/>
              <w:bottom w:val="nil"/>
              <w:right w:val="nil"/>
            </w:tcBorders>
            <w:shd w:val="clear" w:color="auto" w:fill="auto"/>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-9</w:t>
            </w:r>
          </w:p>
        </w:tc>
        <w:tc>
          <w:tcPr>
            <w:tcW w:w="820" w:type="dxa"/>
            <w:tcBorders>
              <w:top w:val="nil"/>
              <w:left w:val="nil"/>
              <w:bottom w:val="nil"/>
              <w:right w:val="nil"/>
            </w:tcBorders>
            <w:shd w:val="clear" w:color="auto" w:fill="auto"/>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0</w:t>
            </w:r>
          </w:p>
        </w:tc>
      </w:tr>
      <w:tr w:rsidR="00647BDC" w:rsidRPr="00977162" w:rsidTr="00D07581">
        <w:trPr>
          <w:trHeight w:val="315"/>
        </w:trPr>
        <w:tc>
          <w:tcPr>
            <w:tcW w:w="226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Total</w:t>
            </w:r>
          </w:p>
        </w:tc>
        <w:tc>
          <w:tcPr>
            <w:tcW w:w="78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599</w:t>
            </w:r>
          </w:p>
        </w:tc>
        <w:tc>
          <w:tcPr>
            <w:tcW w:w="72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512</w:t>
            </w:r>
          </w:p>
        </w:tc>
        <w:tc>
          <w:tcPr>
            <w:tcW w:w="72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480</w:t>
            </w:r>
          </w:p>
        </w:tc>
        <w:tc>
          <w:tcPr>
            <w:tcW w:w="72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746</w:t>
            </w:r>
          </w:p>
        </w:tc>
        <w:tc>
          <w:tcPr>
            <w:tcW w:w="78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317</w:t>
            </w:r>
          </w:p>
        </w:tc>
        <w:tc>
          <w:tcPr>
            <w:tcW w:w="78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264</w:t>
            </w:r>
          </w:p>
        </w:tc>
        <w:tc>
          <w:tcPr>
            <w:tcW w:w="72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518</w:t>
            </w:r>
          </w:p>
        </w:tc>
        <w:tc>
          <w:tcPr>
            <w:tcW w:w="72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432</w:t>
            </w:r>
          </w:p>
        </w:tc>
        <w:tc>
          <w:tcPr>
            <w:tcW w:w="82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539</w:t>
            </w:r>
          </w:p>
        </w:tc>
      </w:tr>
      <w:tr w:rsidR="00647BDC" w:rsidRPr="00977162" w:rsidTr="00D07581">
        <w:trPr>
          <w:trHeight w:val="315"/>
        </w:trPr>
        <w:tc>
          <w:tcPr>
            <w:tcW w:w="226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Vehicles component</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r>
      <w:tr w:rsidR="00647BDC" w:rsidRPr="00977162" w:rsidTr="00D07581">
        <w:trPr>
          <w:trHeight w:val="315"/>
        </w:trPr>
        <w:tc>
          <w:tcPr>
            <w:tcW w:w="226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ind w:firstLineChars="100" w:firstLine="200"/>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EPC</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106</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106</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106</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106</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106</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106</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106</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106</w:t>
            </w:r>
          </w:p>
        </w:tc>
        <w:tc>
          <w:tcPr>
            <w:tcW w:w="8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106</w:t>
            </w:r>
          </w:p>
        </w:tc>
      </w:tr>
      <w:tr w:rsidR="00647BDC" w:rsidRPr="00977162" w:rsidTr="00D07581">
        <w:trPr>
          <w:trHeight w:val="315"/>
        </w:trPr>
        <w:tc>
          <w:tcPr>
            <w:tcW w:w="226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ind w:firstLineChars="100" w:firstLine="200"/>
              <w:rPr>
                <w:rFonts w:ascii="Calibri" w:eastAsia="Times New Roman" w:hAnsi="Calibri" w:cs="Times New Roman"/>
                <w:sz w:val="20"/>
                <w:szCs w:val="20"/>
                <w:lang w:eastAsia="en-AU"/>
              </w:rPr>
            </w:pPr>
            <w:r>
              <w:rPr>
                <w:rFonts w:ascii="Calibri" w:eastAsia="Times New Roman" w:hAnsi="Calibri" w:cs="Times New Roman"/>
                <w:sz w:val="20"/>
                <w:szCs w:val="20"/>
                <w:lang w:eastAsia="en-AU"/>
              </w:rPr>
              <w:t>Sales per person</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-15</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-4</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12</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51</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-17</w:t>
            </w:r>
          </w:p>
        </w:tc>
        <w:tc>
          <w:tcPr>
            <w:tcW w:w="78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-25</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-17</w:t>
            </w:r>
          </w:p>
        </w:tc>
        <w:tc>
          <w:tcPr>
            <w:tcW w:w="7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14</w:t>
            </w:r>
          </w:p>
        </w:tc>
        <w:tc>
          <w:tcPr>
            <w:tcW w:w="82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0</w:t>
            </w:r>
          </w:p>
        </w:tc>
      </w:tr>
      <w:tr w:rsidR="00647BDC" w:rsidRPr="00977162" w:rsidTr="00D07581">
        <w:trPr>
          <w:trHeight w:val="315"/>
        </w:trPr>
        <w:tc>
          <w:tcPr>
            <w:tcW w:w="2260" w:type="dxa"/>
            <w:tcBorders>
              <w:top w:val="nil"/>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Total</w:t>
            </w:r>
          </w:p>
        </w:tc>
        <w:tc>
          <w:tcPr>
            <w:tcW w:w="78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91</w:t>
            </w:r>
          </w:p>
        </w:tc>
        <w:tc>
          <w:tcPr>
            <w:tcW w:w="72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101</w:t>
            </w:r>
          </w:p>
        </w:tc>
        <w:tc>
          <w:tcPr>
            <w:tcW w:w="72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117</w:t>
            </w:r>
          </w:p>
        </w:tc>
        <w:tc>
          <w:tcPr>
            <w:tcW w:w="72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157</w:t>
            </w:r>
          </w:p>
        </w:tc>
        <w:tc>
          <w:tcPr>
            <w:tcW w:w="78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88</w:t>
            </w:r>
          </w:p>
        </w:tc>
        <w:tc>
          <w:tcPr>
            <w:tcW w:w="78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81</w:t>
            </w:r>
          </w:p>
        </w:tc>
        <w:tc>
          <w:tcPr>
            <w:tcW w:w="72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89</w:t>
            </w:r>
          </w:p>
        </w:tc>
        <w:tc>
          <w:tcPr>
            <w:tcW w:w="72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120</w:t>
            </w:r>
          </w:p>
        </w:tc>
        <w:tc>
          <w:tcPr>
            <w:tcW w:w="820" w:type="dxa"/>
            <w:tcBorders>
              <w:top w:val="single" w:sz="4" w:space="0" w:color="auto"/>
              <w:left w:val="nil"/>
              <w:bottom w:val="nil"/>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106</w:t>
            </w:r>
          </w:p>
        </w:tc>
      </w:tr>
      <w:tr w:rsidR="00647BDC" w:rsidRPr="00977162" w:rsidTr="00D07581">
        <w:trPr>
          <w:trHeight w:val="315"/>
        </w:trPr>
        <w:tc>
          <w:tcPr>
            <w:tcW w:w="2260" w:type="dxa"/>
            <w:tcBorders>
              <w:top w:val="nil"/>
              <w:left w:val="nil"/>
              <w:bottom w:val="single" w:sz="4" w:space="0" w:color="auto"/>
              <w:right w:val="nil"/>
            </w:tcBorders>
            <w:shd w:val="clear" w:color="auto" w:fill="auto"/>
            <w:noWrap/>
            <w:vAlign w:val="bottom"/>
            <w:hideMark/>
          </w:tcPr>
          <w:p w:rsidR="00647BDC" w:rsidRPr="00977162" w:rsidRDefault="00647BDC" w:rsidP="00D07581">
            <w:pPr>
              <w:tabs>
                <w:tab w:val="clear" w:pos="567"/>
              </w:tabs>
              <w:spacing w:after="0" w:line="240" w:lineRule="auto"/>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Category</w:t>
            </w:r>
          </w:p>
        </w:tc>
        <w:tc>
          <w:tcPr>
            <w:tcW w:w="780" w:type="dxa"/>
            <w:tcBorders>
              <w:top w:val="nil"/>
              <w:left w:val="nil"/>
              <w:bottom w:val="single" w:sz="4" w:space="0" w:color="auto"/>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710</w:t>
            </w:r>
          </w:p>
        </w:tc>
        <w:tc>
          <w:tcPr>
            <w:tcW w:w="720" w:type="dxa"/>
            <w:tcBorders>
              <w:top w:val="nil"/>
              <w:left w:val="nil"/>
              <w:bottom w:val="single" w:sz="4" w:space="0" w:color="auto"/>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633</w:t>
            </w:r>
          </w:p>
        </w:tc>
        <w:tc>
          <w:tcPr>
            <w:tcW w:w="720" w:type="dxa"/>
            <w:tcBorders>
              <w:top w:val="nil"/>
              <w:left w:val="nil"/>
              <w:bottom w:val="single" w:sz="4" w:space="0" w:color="auto"/>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616</w:t>
            </w:r>
          </w:p>
        </w:tc>
        <w:tc>
          <w:tcPr>
            <w:tcW w:w="720" w:type="dxa"/>
            <w:tcBorders>
              <w:top w:val="nil"/>
              <w:left w:val="nil"/>
              <w:bottom w:val="single" w:sz="4" w:space="0" w:color="auto"/>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922</w:t>
            </w:r>
          </w:p>
        </w:tc>
        <w:tc>
          <w:tcPr>
            <w:tcW w:w="780" w:type="dxa"/>
            <w:tcBorders>
              <w:top w:val="nil"/>
              <w:left w:val="nil"/>
              <w:bottom w:val="single" w:sz="4" w:space="0" w:color="auto"/>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425</w:t>
            </w:r>
          </w:p>
        </w:tc>
        <w:tc>
          <w:tcPr>
            <w:tcW w:w="780" w:type="dxa"/>
            <w:tcBorders>
              <w:top w:val="nil"/>
              <w:left w:val="nil"/>
              <w:bottom w:val="single" w:sz="4" w:space="0" w:color="auto"/>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364</w:t>
            </w:r>
          </w:p>
        </w:tc>
        <w:tc>
          <w:tcPr>
            <w:tcW w:w="720" w:type="dxa"/>
            <w:tcBorders>
              <w:top w:val="nil"/>
              <w:left w:val="nil"/>
              <w:bottom w:val="single" w:sz="4" w:space="0" w:color="auto"/>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626</w:t>
            </w:r>
          </w:p>
        </w:tc>
        <w:tc>
          <w:tcPr>
            <w:tcW w:w="720" w:type="dxa"/>
            <w:tcBorders>
              <w:top w:val="nil"/>
              <w:left w:val="nil"/>
              <w:bottom w:val="single" w:sz="4" w:space="0" w:color="auto"/>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571</w:t>
            </w:r>
          </w:p>
        </w:tc>
        <w:tc>
          <w:tcPr>
            <w:tcW w:w="820" w:type="dxa"/>
            <w:tcBorders>
              <w:top w:val="nil"/>
              <w:left w:val="nil"/>
              <w:bottom w:val="single" w:sz="4" w:space="0" w:color="auto"/>
              <w:right w:val="nil"/>
            </w:tcBorders>
            <w:shd w:val="clear" w:color="auto" w:fill="auto"/>
            <w:noWrap/>
            <w:vAlign w:val="bottom"/>
            <w:hideMark/>
          </w:tcPr>
          <w:p w:rsidR="00647BDC" w:rsidRPr="00977162"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977162">
              <w:rPr>
                <w:rFonts w:ascii="Calibri" w:eastAsia="Times New Roman" w:hAnsi="Calibri" w:cs="Times New Roman"/>
                <w:sz w:val="20"/>
                <w:szCs w:val="20"/>
                <w:lang w:eastAsia="en-AU"/>
              </w:rPr>
              <w:t>664</w:t>
            </w:r>
          </w:p>
        </w:tc>
      </w:tr>
    </w:tbl>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Heading3"/>
      </w:pPr>
      <w:bookmarkStart w:id="87" w:name="_Toc390955821"/>
      <w:r>
        <w:t>What is the impact on the GST distribution?</w:t>
      </w:r>
      <w:bookmarkEnd w:id="87"/>
    </w:p>
    <w:p w:rsidR="00647BDC" w:rsidRPr="00755429" w:rsidRDefault="00647BDC" w:rsidP="00647BDC">
      <w:pPr>
        <w:pStyle w:val="CGCNumberedPara"/>
        <w:numPr>
          <w:ilvl w:val="1"/>
          <w:numId w:val="2"/>
        </w:numPr>
      </w:pPr>
      <w:r w:rsidRPr="00755429">
        <w:fldChar w:fldCharType="begin"/>
      </w:r>
      <w:r w:rsidRPr="00755429">
        <w:instrText xml:space="preserve"> REF _Ref385319332 \h </w:instrText>
      </w:r>
      <w:r>
        <w:instrText xml:space="preserve"> \* MERGEFORMAT </w:instrText>
      </w:r>
      <w:r w:rsidRPr="00755429">
        <w:fldChar w:fldCharType="separate"/>
      </w:r>
      <w:r w:rsidR="005B69B1" w:rsidRPr="00755429">
        <w:t xml:space="preserve">Table </w:t>
      </w:r>
      <w:r w:rsidR="005B69B1">
        <w:rPr>
          <w:noProof/>
        </w:rPr>
        <w:t>11</w:t>
      </w:r>
      <w:r w:rsidRPr="00755429">
        <w:fldChar w:fldCharType="end"/>
      </w:r>
      <w:r w:rsidRPr="00755429">
        <w:t xml:space="preserve"> shows the extent to which the assessment for this category moves the distribution of the GST away from an equal per capita distribution in 2012</w:t>
      </w:r>
      <w:r w:rsidRPr="00755429">
        <w:noBreakHyphen/>
        <w:t>13. It shows GST revenue is redistributed from States assessed to have above average revenue raising capacities (New South Wales and Western Australia) to States with below average revenue capacity (Victoria, Queensland, South Australia, Tasmania, the ACT and the Northern Territory).</w:t>
      </w:r>
    </w:p>
    <w:p w:rsidR="00647BDC" w:rsidRPr="00755429" w:rsidRDefault="00647BDC" w:rsidP="00647BDC">
      <w:pPr>
        <w:pStyle w:val="CGCTableHeading"/>
      </w:pPr>
      <w:bookmarkStart w:id="88" w:name="_Ref385319332"/>
      <w:r w:rsidRPr="00755429">
        <w:t xml:space="preserve">Table </w:t>
      </w:r>
      <w:r w:rsidR="005B69B1">
        <w:fldChar w:fldCharType="begin"/>
      </w:r>
      <w:r w:rsidR="005B69B1">
        <w:instrText xml:space="preserve"> SEQ Table \* ARABIC </w:instrText>
      </w:r>
      <w:r w:rsidR="005B69B1">
        <w:fldChar w:fldCharType="separate"/>
      </w:r>
      <w:r w:rsidR="005B69B1">
        <w:rPr>
          <w:noProof/>
        </w:rPr>
        <w:t>11</w:t>
      </w:r>
      <w:r w:rsidR="005B69B1">
        <w:rPr>
          <w:noProof/>
        </w:rPr>
        <w:fldChar w:fldCharType="end"/>
      </w:r>
      <w:bookmarkEnd w:id="88"/>
      <w:r w:rsidRPr="00755429">
        <w:tab/>
        <w:t>Illustrative GST impact of the Stamp duty on conveyances assessment, 2012</w:t>
      </w:r>
      <w:r w:rsidRPr="00755429">
        <w:noBreakHyphen/>
        <w:t>13</w:t>
      </w:r>
    </w:p>
    <w:tbl>
      <w:tblPr>
        <w:tblW w:w="8960" w:type="dxa"/>
        <w:tblInd w:w="93" w:type="dxa"/>
        <w:tblLook w:val="04A0" w:firstRow="1" w:lastRow="0" w:firstColumn="1" w:lastColumn="0" w:noHBand="0" w:noVBand="1"/>
      </w:tblPr>
      <w:tblGrid>
        <w:gridCol w:w="2380"/>
        <w:gridCol w:w="720"/>
        <w:gridCol w:w="720"/>
        <w:gridCol w:w="720"/>
        <w:gridCol w:w="720"/>
        <w:gridCol w:w="720"/>
        <w:gridCol w:w="720"/>
        <w:gridCol w:w="720"/>
        <w:gridCol w:w="720"/>
        <w:gridCol w:w="820"/>
      </w:tblGrid>
      <w:tr w:rsidR="00647BDC" w:rsidRPr="00E4750F" w:rsidTr="00D07581">
        <w:trPr>
          <w:trHeight w:val="375"/>
        </w:trPr>
        <w:tc>
          <w:tcPr>
            <w:tcW w:w="2380" w:type="dxa"/>
            <w:tcBorders>
              <w:top w:val="single" w:sz="4" w:space="0" w:color="auto"/>
              <w:left w:val="nil"/>
              <w:bottom w:val="single" w:sz="4" w:space="0" w:color="auto"/>
              <w:right w:val="nil"/>
            </w:tcBorders>
            <w:shd w:val="clear" w:color="auto" w:fill="auto"/>
            <w:noWrap/>
            <w:vAlign w:val="center"/>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NSW</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Vic</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Qld</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WA</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SA</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E4750F">
              <w:rPr>
                <w:rFonts w:ascii="Calibri" w:eastAsia="Times New Roman" w:hAnsi="Calibri" w:cs="Times New Roman"/>
                <w:sz w:val="20"/>
                <w:szCs w:val="20"/>
                <w:lang w:eastAsia="en-AU"/>
              </w:rPr>
              <w:t>Tas</w:t>
            </w:r>
            <w:proofErr w:type="spellEnd"/>
          </w:p>
        </w:tc>
        <w:tc>
          <w:tcPr>
            <w:tcW w:w="720" w:type="dxa"/>
            <w:tcBorders>
              <w:top w:val="single" w:sz="4" w:space="0" w:color="auto"/>
              <w:left w:val="nil"/>
              <w:bottom w:val="single" w:sz="4" w:space="0" w:color="auto"/>
              <w:right w:val="nil"/>
            </w:tcBorders>
            <w:shd w:val="clear" w:color="auto" w:fill="auto"/>
            <w:noWrap/>
            <w:vAlign w:val="center"/>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ACT</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Pr>
                <w:rFonts w:ascii="Calibri" w:eastAsia="Times New Roman" w:hAnsi="Calibri" w:cs="Times New Roman"/>
                <w:sz w:val="20"/>
                <w:szCs w:val="20"/>
                <w:lang w:eastAsia="en-AU"/>
              </w:rPr>
              <w:t>Redist</w:t>
            </w:r>
            <w:proofErr w:type="spellEnd"/>
          </w:p>
        </w:tc>
      </w:tr>
      <w:tr w:rsidR="00647BDC" w:rsidRPr="00E4750F" w:rsidTr="00D07581">
        <w:trPr>
          <w:trHeight w:val="315"/>
        </w:trPr>
        <w:tc>
          <w:tcPr>
            <w:tcW w:w="238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EPC component ($m)</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0</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0</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0</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0</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0</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0</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0</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0</w:t>
            </w:r>
          </w:p>
        </w:tc>
        <w:tc>
          <w:tcPr>
            <w:tcW w:w="8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0</w:t>
            </w:r>
          </w:p>
        </w:tc>
      </w:tr>
      <w:tr w:rsidR="00647BDC" w:rsidRPr="00E4750F" w:rsidTr="00D07581">
        <w:trPr>
          <w:trHeight w:val="315"/>
        </w:trPr>
        <w:tc>
          <w:tcPr>
            <w:tcW w:w="238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Property component ($m)</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-448</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151</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271</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-515</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368</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141</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8</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25</w:t>
            </w:r>
          </w:p>
        </w:tc>
        <w:tc>
          <w:tcPr>
            <w:tcW w:w="8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963</w:t>
            </w:r>
          </w:p>
        </w:tc>
      </w:tr>
      <w:tr w:rsidR="00647BDC" w:rsidRPr="00E4750F" w:rsidTr="00D07581">
        <w:trPr>
          <w:trHeight w:val="315"/>
        </w:trPr>
        <w:tc>
          <w:tcPr>
            <w:tcW w:w="238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Vehicles component ($m)</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109</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25</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-54</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-126</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29</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13</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6</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-3</w:t>
            </w:r>
          </w:p>
        </w:tc>
        <w:tc>
          <w:tcPr>
            <w:tcW w:w="8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183</w:t>
            </w:r>
          </w:p>
        </w:tc>
      </w:tr>
      <w:tr w:rsidR="00647BDC" w:rsidRPr="00E4750F" w:rsidTr="00D07581">
        <w:trPr>
          <w:trHeight w:val="315"/>
        </w:trPr>
        <w:tc>
          <w:tcPr>
            <w:tcW w:w="238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Dollars million</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-338</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176</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217</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-641</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397</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153</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14</w:t>
            </w:r>
          </w:p>
        </w:tc>
        <w:tc>
          <w:tcPr>
            <w:tcW w:w="7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22</w:t>
            </w:r>
          </w:p>
        </w:tc>
        <w:tc>
          <w:tcPr>
            <w:tcW w:w="820" w:type="dxa"/>
            <w:tcBorders>
              <w:top w:val="nil"/>
              <w:left w:val="nil"/>
              <w:bottom w:val="nil"/>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979</w:t>
            </w:r>
          </w:p>
        </w:tc>
      </w:tr>
      <w:tr w:rsidR="00647BDC" w:rsidRPr="00E4750F" w:rsidTr="00D07581">
        <w:trPr>
          <w:trHeight w:val="315"/>
        </w:trPr>
        <w:tc>
          <w:tcPr>
            <w:tcW w:w="238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Dollars per capita</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-46</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31</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47</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-259</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239</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299</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38</w:t>
            </w:r>
          </w:p>
        </w:tc>
        <w:tc>
          <w:tcPr>
            <w:tcW w:w="7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92</w:t>
            </w:r>
          </w:p>
        </w:tc>
        <w:tc>
          <w:tcPr>
            <w:tcW w:w="820" w:type="dxa"/>
            <w:tcBorders>
              <w:top w:val="nil"/>
              <w:left w:val="nil"/>
              <w:bottom w:val="single" w:sz="4" w:space="0" w:color="auto"/>
              <w:right w:val="nil"/>
            </w:tcBorders>
            <w:shd w:val="clear" w:color="auto" w:fill="auto"/>
            <w:noWrap/>
            <w:vAlign w:val="bottom"/>
            <w:hideMark/>
          </w:tcPr>
          <w:p w:rsidR="00647BDC" w:rsidRPr="00E4750F"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E4750F">
              <w:rPr>
                <w:rFonts w:ascii="Calibri" w:eastAsia="Times New Roman" w:hAnsi="Calibri" w:cs="Times New Roman"/>
                <w:sz w:val="20"/>
                <w:szCs w:val="20"/>
                <w:lang w:eastAsia="en-AU"/>
              </w:rPr>
              <w:t>43</w:t>
            </w:r>
          </w:p>
        </w:tc>
      </w:tr>
    </w:tbl>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Heading3"/>
      </w:pPr>
      <w:bookmarkStart w:id="89" w:name="_Toc390955822"/>
      <w:r>
        <w:lastRenderedPageBreak/>
        <w:t>Changes since the 2010 Review</w:t>
      </w:r>
      <w:bookmarkEnd w:id="89"/>
    </w:p>
    <w:p w:rsidR="00647BDC" w:rsidRPr="00755429" w:rsidRDefault="00647BDC" w:rsidP="00647BDC">
      <w:pPr>
        <w:pStyle w:val="CGCNumberedPara"/>
        <w:numPr>
          <w:ilvl w:val="1"/>
          <w:numId w:val="2"/>
        </w:numPr>
      </w:pPr>
      <w:r w:rsidRPr="00755429">
        <w:t>Most States supported retaining the 2010 Review assessment method. We have made three changes:</w:t>
      </w:r>
    </w:p>
    <w:p w:rsidR="00647BDC" w:rsidRPr="00755429" w:rsidRDefault="00647BDC" w:rsidP="00D07581">
      <w:pPr>
        <w:pStyle w:val="CGCBulletlist"/>
      </w:pPr>
      <w:r w:rsidRPr="00755429">
        <w:t>We have included stamp duties on the transfer of ownership of vehicles in the category.</w:t>
      </w:r>
    </w:p>
    <w:p w:rsidR="00647BDC" w:rsidRPr="00755429" w:rsidRDefault="00647BDC" w:rsidP="00D07581">
      <w:pPr>
        <w:pStyle w:val="CGCBulletlist"/>
      </w:pPr>
      <w:r w:rsidRPr="00755429">
        <w:t>Expenses and duty concessions relating to first home owners (such as First Home Owners’ Bonus Payments) are moved from this category to Housing.</w:t>
      </w:r>
    </w:p>
    <w:p w:rsidR="00647BDC" w:rsidRPr="00755429" w:rsidRDefault="00647BDC" w:rsidP="00D07581">
      <w:pPr>
        <w:pStyle w:val="CGCBulletlist"/>
      </w:pPr>
      <w:r w:rsidRPr="00755429">
        <w:t>In the 2010 Review, we applied a land rich adjustment, which adjusted for how States tax the sales of entities which hold land. We have discontinued that adjustment because it is not material — it failed the $10 per capita data adjustment threshold.</w:t>
      </w:r>
    </w:p>
    <w:p w:rsidR="00647BDC" w:rsidRPr="00755429" w:rsidRDefault="00647BDC" w:rsidP="00647BDC">
      <w:pPr>
        <w:pStyle w:val="NoSpacing"/>
        <w:sectPr w:rsidR="00647BDC" w:rsidRPr="00755429" w:rsidSect="0004123E">
          <w:footerReference w:type="default" r:id="rId15"/>
          <w:footerReference w:type="first" r:id="rId16"/>
          <w:footnotePr>
            <w:numRestart w:val="eachSect"/>
          </w:footnotePr>
          <w:pgSz w:w="11899" w:h="16838" w:code="9"/>
          <w:pgMar w:top="1701" w:right="1474" w:bottom="1701" w:left="1474" w:header="709" w:footer="709" w:gutter="0"/>
          <w:cols w:space="708"/>
          <w:titlePg/>
          <w:docGrid w:linePitch="299"/>
        </w:sectPr>
      </w:pPr>
    </w:p>
    <w:p w:rsidR="00647BDC" w:rsidRPr="00755429" w:rsidRDefault="00647BDC" w:rsidP="00647BDC">
      <w:pPr>
        <w:pStyle w:val="Heading1"/>
      </w:pPr>
      <w:bookmarkStart w:id="90" w:name="_Toc390955823"/>
      <w:r>
        <w:lastRenderedPageBreak/>
        <w:t>ATTACHMENT</w:t>
      </w:r>
      <w:r w:rsidRPr="00755429">
        <w:t xml:space="preserve"> 5</w:t>
      </w:r>
      <w:bookmarkEnd w:id="90"/>
    </w:p>
    <w:p w:rsidR="00647BDC" w:rsidRPr="00755429" w:rsidRDefault="00647BDC" w:rsidP="00647BDC">
      <w:pPr>
        <w:pStyle w:val="Heading2"/>
      </w:pPr>
      <w:bookmarkStart w:id="91" w:name="_Toc390955824"/>
      <w:r w:rsidRPr="00755429">
        <w:t>INSURANCE TAX</w:t>
      </w:r>
      <w:bookmarkEnd w:id="91"/>
    </w:p>
    <w:tbl>
      <w:tblPr>
        <w:tblStyle w:val="TableGrid"/>
        <w:tblW w:w="0" w:type="auto"/>
        <w:tblLook w:val="04A0" w:firstRow="1" w:lastRow="0" w:firstColumn="1" w:lastColumn="0" w:noHBand="0" w:noVBand="1"/>
      </w:tblPr>
      <w:tblGrid>
        <w:gridCol w:w="9167"/>
      </w:tblGrid>
      <w:tr w:rsidR="00647BDC" w:rsidRPr="00755429" w:rsidTr="00D07581">
        <w:tc>
          <w:tcPr>
            <w:tcW w:w="9167" w:type="dxa"/>
            <w:tcBorders>
              <w:top w:val="nil"/>
              <w:left w:val="nil"/>
              <w:bottom w:val="nil"/>
              <w:right w:val="nil"/>
            </w:tcBorders>
            <w:shd w:val="clear" w:color="auto" w:fill="D9F3E6"/>
          </w:tcPr>
          <w:p w:rsidR="00647BDC" w:rsidRPr="00755429" w:rsidRDefault="00647BDC" w:rsidP="00D07581">
            <w:pPr>
              <w:rPr>
                <w:b/>
              </w:rPr>
            </w:pPr>
            <w:r w:rsidRPr="00755429">
              <w:rPr>
                <w:b/>
              </w:rPr>
              <w:t>Summary of changes since the 2010 Review</w:t>
            </w:r>
          </w:p>
          <w:p w:rsidR="00647BDC" w:rsidRPr="00755429" w:rsidRDefault="00647BDC" w:rsidP="00D07581">
            <w:pPr>
              <w:pStyle w:val="CGCBulletlist"/>
            </w:pPr>
            <w:r w:rsidRPr="00755429">
              <w:t xml:space="preserve">Fire and emergency levies imposed on insurance premiums are included in the category. In the 2010 Review they were included in the </w:t>
            </w:r>
            <w:proofErr w:type="gramStart"/>
            <w:r w:rsidRPr="00755429">
              <w:t>Other</w:t>
            </w:r>
            <w:proofErr w:type="gramEnd"/>
            <w:r w:rsidRPr="00755429">
              <w:t xml:space="preserve"> revenue category, and assessed EPC.</w:t>
            </w:r>
          </w:p>
        </w:tc>
      </w:tr>
    </w:tbl>
    <w:p w:rsidR="00647BDC" w:rsidRDefault="00647BDC" w:rsidP="00647BDC">
      <w:pPr>
        <w:pStyle w:val="Heading3"/>
      </w:pPr>
      <w:bookmarkStart w:id="92" w:name="_Toc390955825"/>
      <w:r>
        <w:t>What is included in the insurance tax category?</w:t>
      </w:r>
      <w:bookmarkEnd w:id="92"/>
    </w:p>
    <w:p w:rsidR="00647BDC" w:rsidRPr="00755429" w:rsidRDefault="00647BDC" w:rsidP="00647BDC">
      <w:pPr>
        <w:pStyle w:val="CGCNumberedPara"/>
        <w:numPr>
          <w:ilvl w:val="1"/>
          <w:numId w:val="14"/>
        </w:numPr>
      </w:pPr>
      <w:r w:rsidRPr="00755429">
        <w:t>Insurance tax includes duties on various types of insurance that are mostly levied on premiums. They include life, general and compulsory third party (CTP) motor vehicle insurance. The insurance premium paid is a measure of the insured risk. State governments impose duty on top of the insurance premium. These duties are generally imposed on insurance companies, but passed on to consumers. Two States impose fire and emergency levies on insurance products. The revenue they raise is part of total insurance tax revenue and is included in this category.</w:t>
      </w:r>
    </w:p>
    <w:p w:rsidR="00647BDC" w:rsidRPr="00755429" w:rsidRDefault="00647BDC" w:rsidP="00647BDC">
      <w:pPr>
        <w:pStyle w:val="CGCNumberedPara"/>
        <w:numPr>
          <w:ilvl w:val="1"/>
          <w:numId w:val="2"/>
        </w:numPr>
      </w:pPr>
      <w:r w:rsidRPr="00755429">
        <w:fldChar w:fldCharType="begin"/>
      </w:r>
      <w:r w:rsidRPr="00755429">
        <w:instrText xml:space="preserve"> REF _Ref389636778 \h </w:instrText>
      </w:r>
      <w:r>
        <w:instrText xml:space="preserve"> \* MERGEFORMAT </w:instrText>
      </w:r>
      <w:r w:rsidRPr="00755429">
        <w:fldChar w:fldCharType="separate"/>
      </w:r>
      <w:r w:rsidR="005B69B1" w:rsidRPr="00755429">
        <w:t xml:space="preserve">Table </w:t>
      </w:r>
      <w:r w:rsidR="005B69B1">
        <w:rPr>
          <w:noProof/>
        </w:rPr>
        <w:t>1</w:t>
      </w:r>
      <w:r w:rsidRPr="00755429">
        <w:fldChar w:fldCharType="end"/>
      </w:r>
      <w:r w:rsidRPr="00755429">
        <w:t xml:space="preserve"> shows States raised $5.2 billion from insurance taxes in 2012</w:t>
      </w:r>
      <w:r w:rsidRPr="00755429">
        <w:noBreakHyphen/>
        <w:t>13.</w:t>
      </w:r>
    </w:p>
    <w:p w:rsidR="00647BDC" w:rsidRPr="00755429" w:rsidRDefault="00647BDC" w:rsidP="00647BDC">
      <w:pPr>
        <w:pStyle w:val="Caption"/>
      </w:pPr>
      <w:bookmarkStart w:id="93" w:name="_Ref388538353"/>
      <w:bookmarkStart w:id="94" w:name="_Ref389636778"/>
      <w:r w:rsidRPr="00755429">
        <w:t xml:space="preserve">Table </w:t>
      </w:r>
      <w:bookmarkEnd w:id="93"/>
      <w:r w:rsidRPr="00755429">
        <w:fldChar w:fldCharType="begin"/>
      </w:r>
      <w:r w:rsidRPr="00755429">
        <w:instrText xml:space="preserve"> SEQ Table \* ARABIC \r1 </w:instrText>
      </w:r>
      <w:r w:rsidRPr="00755429">
        <w:fldChar w:fldCharType="separate"/>
      </w:r>
      <w:r w:rsidR="005B69B1">
        <w:rPr>
          <w:noProof/>
        </w:rPr>
        <w:t>1</w:t>
      </w:r>
      <w:r w:rsidRPr="00755429">
        <w:fldChar w:fldCharType="end"/>
      </w:r>
      <w:bookmarkEnd w:id="94"/>
      <w:r w:rsidRPr="00755429">
        <w:tab/>
        <w:t>Revenue from insurance tax, 2012</w:t>
      </w:r>
      <w:r w:rsidRPr="00755429">
        <w:noBreakHyphen/>
        <w:t>13</w:t>
      </w:r>
    </w:p>
    <w:tbl>
      <w:tblPr>
        <w:tblW w:w="8960" w:type="dxa"/>
        <w:tblInd w:w="93" w:type="dxa"/>
        <w:tblLook w:val="04A0" w:firstRow="1" w:lastRow="0" w:firstColumn="1" w:lastColumn="0" w:noHBand="0" w:noVBand="1"/>
      </w:tblPr>
      <w:tblGrid>
        <w:gridCol w:w="1480"/>
        <w:gridCol w:w="920"/>
        <w:gridCol w:w="920"/>
        <w:gridCol w:w="820"/>
        <w:gridCol w:w="820"/>
        <w:gridCol w:w="820"/>
        <w:gridCol w:w="760"/>
        <w:gridCol w:w="760"/>
        <w:gridCol w:w="740"/>
        <w:gridCol w:w="920"/>
      </w:tblGrid>
      <w:tr w:rsidR="00647BDC" w:rsidRPr="00192238" w:rsidTr="00D07581">
        <w:trPr>
          <w:trHeight w:val="379"/>
        </w:trPr>
        <w:tc>
          <w:tcPr>
            <w:tcW w:w="1480" w:type="dxa"/>
            <w:tcBorders>
              <w:top w:val="single" w:sz="4" w:space="0" w:color="auto"/>
              <w:left w:val="nil"/>
              <w:bottom w:val="single" w:sz="4" w:space="0" w:color="auto"/>
              <w:right w:val="nil"/>
            </w:tcBorders>
            <w:shd w:val="clear" w:color="auto" w:fill="auto"/>
            <w:noWrap/>
            <w:vAlign w:val="center"/>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 </w:t>
            </w:r>
          </w:p>
        </w:tc>
        <w:tc>
          <w:tcPr>
            <w:tcW w:w="920" w:type="dxa"/>
            <w:tcBorders>
              <w:top w:val="single" w:sz="4" w:space="0" w:color="auto"/>
              <w:left w:val="nil"/>
              <w:bottom w:val="single" w:sz="4" w:space="0" w:color="auto"/>
              <w:right w:val="nil"/>
            </w:tcBorders>
            <w:shd w:val="clear" w:color="auto" w:fill="auto"/>
            <w:noWrap/>
            <w:vAlign w:val="center"/>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NSW</w:t>
            </w:r>
          </w:p>
        </w:tc>
        <w:tc>
          <w:tcPr>
            <w:tcW w:w="920" w:type="dxa"/>
            <w:tcBorders>
              <w:top w:val="single" w:sz="4" w:space="0" w:color="auto"/>
              <w:left w:val="nil"/>
              <w:bottom w:val="single" w:sz="4" w:space="0" w:color="auto"/>
              <w:right w:val="nil"/>
            </w:tcBorders>
            <w:shd w:val="clear" w:color="auto" w:fill="auto"/>
            <w:noWrap/>
            <w:vAlign w:val="center"/>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Vic</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Qld</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WA</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SA</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192238">
              <w:rPr>
                <w:rFonts w:ascii="Calibri" w:eastAsia="Times New Roman" w:hAnsi="Calibri" w:cs="Times New Roman"/>
                <w:sz w:val="20"/>
                <w:szCs w:val="20"/>
                <w:lang w:eastAsia="en-AU"/>
              </w:rPr>
              <w:t>Tas</w:t>
            </w:r>
            <w:proofErr w:type="spellEnd"/>
          </w:p>
        </w:tc>
        <w:tc>
          <w:tcPr>
            <w:tcW w:w="760" w:type="dxa"/>
            <w:tcBorders>
              <w:top w:val="single" w:sz="4" w:space="0" w:color="auto"/>
              <w:left w:val="nil"/>
              <w:bottom w:val="single" w:sz="4" w:space="0" w:color="auto"/>
              <w:right w:val="nil"/>
            </w:tcBorders>
            <w:shd w:val="clear" w:color="auto" w:fill="auto"/>
            <w:noWrap/>
            <w:vAlign w:val="center"/>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ACT</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NT</w:t>
            </w:r>
          </w:p>
        </w:tc>
        <w:tc>
          <w:tcPr>
            <w:tcW w:w="920" w:type="dxa"/>
            <w:tcBorders>
              <w:top w:val="single" w:sz="4" w:space="0" w:color="auto"/>
              <w:left w:val="nil"/>
              <w:bottom w:val="single" w:sz="4" w:space="0" w:color="auto"/>
              <w:right w:val="nil"/>
            </w:tcBorders>
            <w:shd w:val="clear" w:color="auto" w:fill="auto"/>
            <w:noWrap/>
            <w:vAlign w:val="center"/>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Total</w:t>
            </w:r>
          </w:p>
        </w:tc>
      </w:tr>
      <w:tr w:rsidR="00647BDC" w:rsidRPr="00192238" w:rsidTr="00D07581">
        <w:trPr>
          <w:trHeight w:val="259"/>
        </w:trPr>
        <w:tc>
          <w:tcPr>
            <w:tcW w:w="148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92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$m</w:t>
            </w:r>
          </w:p>
        </w:tc>
        <w:tc>
          <w:tcPr>
            <w:tcW w:w="92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$m</w:t>
            </w:r>
          </w:p>
        </w:tc>
        <w:tc>
          <w:tcPr>
            <w:tcW w:w="82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$m</w:t>
            </w:r>
          </w:p>
        </w:tc>
        <w:tc>
          <w:tcPr>
            <w:tcW w:w="82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$m</w:t>
            </w:r>
          </w:p>
        </w:tc>
        <w:tc>
          <w:tcPr>
            <w:tcW w:w="82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$m</w:t>
            </w:r>
          </w:p>
        </w:tc>
        <w:tc>
          <w:tcPr>
            <w:tcW w:w="74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$m</w:t>
            </w:r>
          </w:p>
        </w:tc>
        <w:tc>
          <w:tcPr>
            <w:tcW w:w="92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$m</w:t>
            </w:r>
          </w:p>
        </w:tc>
      </w:tr>
      <w:tr w:rsidR="00647BDC" w:rsidRPr="00192238" w:rsidTr="00D07581">
        <w:trPr>
          <w:trHeight w:val="315"/>
        </w:trPr>
        <w:tc>
          <w:tcPr>
            <w:tcW w:w="1480" w:type="dxa"/>
            <w:tcBorders>
              <w:top w:val="nil"/>
              <w:left w:val="nil"/>
              <w:bottom w:val="single" w:sz="4" w:space="0" w:color="auto"/>
              <w:right w:val="nil"/>
            </w:tcBorders>
            <w:shd w:val="clear" w:color="auto" w:fill="auto"/>
            <w:noWrap/>
            <w:vAlign w:val="bottom"/>
            <w:hideMark/>
          </w:tcPr>
          <w:p w:rsidR="00647BDC" w:rsidRPr="00192238"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Insurance tax</w:t>
            </w:r>
          </w:p>
        </w:tc>
        <w:tc>
          <w:tcPr>
            <w:tcW w:w="920" w:type="dxa"/>
            <w:tcBorders>
              <w:top w:val="nil"/>
              <w:left w:val="nil"/>
              <w:bottom w:val="single" w:sz="4" w:space="0" w:color="auto"/>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1 700</w:t>
            </w:r>
          </w:p>
        </w:tc>
        <w:tc>
          <w:tcPr>
            <w:tcW w:w="920" w:type="dxa"/>
            <w:tcBorders>
              <w:top w:val="nil"/>
              <w:left w:val="nil"/>
              <w:bottom w:val="single" w:sz="4" w:space="0" w:color="auto"/>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1 665</w:t>
            </w:r>
          </w:p>
        </w:tc>
        <w:tc>
          <w:tcPr>
            <w:tcW w:w="820" w:type="dxa"/>
            <w:tcBorders>
              <w:top w:val="nil"/>
              <w:left w:val="nil"/>
              <w:bottom w:val="single" w:sz="4" w:space="0" w:color="auto"/>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670</w:t>
            </w:r>
          </w:p>
        </w:tc>
        <w:tc>
          <w:tcPr>
            <w:tcW w:w="820" w:type="dxa"/>
            <w:tcBorders>
              <w:top w:val="nil"/>
              <w:left w:val="nil"/>
              <w:bottom w:val="single" w:sz="4" w:space="0" w:color="auto"/>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576</w:t>
            </w:r>
          </w:p>
        </w:tc>
        <w:tc>
          <w:tcPr>
            <w:tcW w:w="820" w:type="dxa"/>
            <w:tcBorders>
              <w:top w:val="nil"/>
              <w:left w:val="nil"/>
              <w:bottom w:val="single" w:sz="4" w:space="0" w:color="auto"/>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429</w:t>
            </w:r>
          </w:p>
        </w:tc>
        <w:tc>
          <w:tcPr>
            <w:tcW w:w="760" w:type="dxa"/>
            <w:tcBorders>
              <w:top w:val="nil"/>
              <w:left w:val="nil"/>
              <w:bottom w:val="single" w:sz="4" w:space="0" w:color="auto"/>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86</w:t>
            </w:r>
          </w:p>
        </w:tc>
        <w:tc>
          <w:tcPr>
            <w:tcW w:w="760" w:type="dxa"/>
            <w:tcBorders>
              <w:top w:val="nil"/>
              <w:left w:val="nil"/>
              <w:bottom w:val="single" w:sz="4" w:space="0" w:color="auto"/>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48</w:t>
            </w:r>
          </w:p>
        </w:tc>
        <w:tc>
          <w:tcPr>
            <w:tcW w:w="740" w:type="dxa"/>
            <w:tcBorders>
              <w:top w:val="nil"/>
              <w:left w:val="nil"/>
              <w:bottom w:val="single" w:sz="4" w:space="0" w:color="auto"/>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42</w:t>
            </w:r>
          </w:p>
        </w:tc>
        <w:tc>
          <w:tcPr>
            <w:tcW w:w="920" w:type="dxa"/>
            <w:tcBorders>
              <w:top w:val="nil"/>
              <w:left w:val="nil"/>
              <w:bottom w:val="single" w:sz="4" w:space="0" w:color="auto"/>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5 217</w:t>
            </w:r>
          </w:p>
        </w:tc>
      </w:tr>
    </w:tbl>
    <w:p w:rsidR="00647BDC" w:rsidRDefault="00647BDC" w:rsidP="00647BDC">
      <w:pPr>
        <w:pStyle w:val="CGCTableFootnote"/>
      </w:pPr>
      <w:r w:rsidRPr="00863E62">
        <w:t>Source:</w:t>
      </w:r>
      <w:r w:rsidRPr="00863E62">
        <w:tab/>
        <w:t>Commission calculation using State data.</w:t>
      </w:r>
    </w:p>
    <w:p w:rsidR="00647BDC" w:rsidRPr="00755429" w:rsidRDefault="00647BDC" w:rsidP="00647BDC">
      <w:pPr>
        <w:pStyle w:val="CGCNumberedPara"/>
        <w:numPr>
          <w:ilvl w:val="1"/>
          <w:numId w:val="2"/>
        </w:numPr>
      </w:pPr>
      <w:r w:rsidRPr="00755429">
        <w:fldChar w:fldCharType="begin"/>
      </w:r>
      <w:r w:rsidRPr="00755429">
        <w:instrText xml:space="preserve"> REF _Ref388538411 \h </w:instrText>
      </w:r>
      <w:r>
        <w:instrText xml:space="preserve"> \* MERGEFORMAT </w:instrText>
      </w:r>
      <w:r w:rsidRPr="00755429">
        <w:fldChar w:fldCharType="separate"/>
      </w:r>
      <w:r w:rsidR="005B69B1" w:rsidRPr="00755429">
        <w:t xml:space="preserve">Table </w:t>
      </w:r>
      <w:r w:rsidR="005B69B1">
        <w:rPr>
          <w:noProof/>
        </w:rPr>
        <w:t>2</w:t>
      </w:r>
      <w:r w:rsidRPr="00755429">
        <w:fldChar w:fldCharType="end"/>
      </w:r>
      <w:r w:rsidRPr="00755429">
        <w:t xml:space="preserve"> shows insurance tax contributed around 5% of State own-source revenue in 2012</w:t>
      </w:r>
      <w:r w:rsidRPr="00755429">
        <w:noBreakHyphen/>
        <w:t>13.</w:t>
      </w:r>
    </w:p>
    <w:p w:rsidR="00647BDC" w:rsidRPr="00755429" w:rsidRDefault="00647BDC" w:rsidP="00647BDC">
      <w:pPr>
        <w:pStyle w:val="Caption"/>
      </w:pPr>
      <w:bookmarkStart w:id="95" w:name="_Ref388538411"/>
      <w:r w:rsidRPr="00755429">
        <w:t xml:space="preserve">Table </w:t>
      </w:r>
      <w:r w:rsidR="005B69B1">
        <w:fldChar w:fldCharType="begin"/>
      </w:r>
      <w:r w:rsidR="005B69B1">
        <w:instrText xml:space="preserve"> SEQ Table \* ARABIC </w:instrText>
      </w:r>
      <w:r w:rsidR="005B69B1">
        <w:fldChar w:fldCharType="separate"/>
      </w:r>
      <w:r w:rsidR="005B69B1">
        <w:rPr>
          <w:noProof/>
        </w:rPr>
        <w:t>2</w:t>
      </w:r>
      <w:r w:rsidR="005B69B1">
        <w:rPr>
          <w:noProof/>
        </w:rPr>
        <w:fldChar w:fldCharType="end"/>
      </w:r>
      <w:bookmarkEnd w:id="95"/>
      <w:r w:rsidRPr="00755429">
        <w:tab/>
        <w:t>Insurance tax as a proportion of State own-source revenue</w:t>
      </w:r>
    </w:p>
    <w:tbl>
      <w:tblPr>
        <w:tblW w:w="8940" w:type="dxa"/>
        <w:tblInd w:w="93" w:type="dxa"/>
        <w:tblLook w:val="04A0" w:firstRow="1" w:lastRow="0" w:firstColumn="1" w:lastColumn="0" w:noHBand="0" w:noVBand="1"/>
      </w:tblPr>
      <w:tblGrid>
        <w:gridCol w:w="4180"/>
        <w:gridCol w:w="1180"/>
        <w:gridCol w:w="1180"/>
        <w:gridCol w:w="1180"/>
        <w:gridCol w:w="1220"/>
      </w:tblGrid>
      <w:tr w:rsidR="00647BDC" w:rsidRPr="00192238" w:rsidTr="00D07581">
        <w:trPr>
          <w:trHeight w:val="375"/>
        </w:trPr>
        <w:tc>
          <w:tcPr>
            <w:tcW w:w="4180" w:type="dxa"/>
            <w:tcBorders>
              <w:top w:val="single" w:sz="4" w:space="0" w:color="auto"/>
              <w:left w:val="nil"/>
              <w:bottom w:val="single" w:sz="4" w:space="0" w:color="auto"/>
              <w:right w:val="nil"/>
            </w:tcBorders>
            <w:shd w:val="clear" w:color="auto" w:fill="auto"/>
            <w:noWrap/>
            <w:vAlign w:val="bottom"/>
            <w:hideMark/>
          </w:tcPr>
          <w:p w:rsidR="00647BDC" w:rsidRPr="00192238"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 </w:t>
            </w:r>
          </w:p>
        </w:tc>
        <w:tc>
          <w:tcPr>
            <w:tcW w:w="1180" w:type="dxa"/>
            <w:tcBorders>
              <w:top w:val="single" w:sz="4" w:space="0" w:color="auto"/>
              <w:left w:val="nil"/>
              <w:bottom w:val="single" w:sz="4" w:space="0" w:color="auto"/>
              <w:right w:val="nil"/>
            </w:tcBorders>
            <w:shd w:val="clear" w:color="auto" w:fill="auto"/>
            <w:noWrap/>
            <w:vAlign w:val="center"/>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2009-10</w:t>
            </w:r>
          </w:p>
        </w:tc>
        <w:tc>
          <w:tcPr>
            <w:tcW w:w="1180" w:type="dxa"/>
            <w:tcBorders>
              <w:top w:val="single" w:sz="4" w:space="0" w:color="auto"/>
              <w:left w:val="nil"/>
              <w:bottom w:val="single" w:sz="4" w:space="0" w:color="auto"/>
              <w:right w:val="nil"/>
            </w:tcBorders>
            <w:shd w:val="clear" w:color="auto" w:fill="auto"/>
            <w:noWrap/>
            <w:vAlign w:val="center"/>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2010-11</w:t>
            </w:r>
          </w:p>
        </w:tc>
        <w:tc>
          <w:tcPr>
            <w:tcW w:w="1180" w:type="dxa"/>
            <w:tcBorders>
              <w:top w:val="single" w:sz="4" w:space="0" w:color="auto"/>
              <w:left w:val="nil"/>
              <w:bottom w:val="single" w:sz="4" w:space="0" w:color="auto"/>
              <w:right w:val="nil"/>
            </w:tcBorders>
            <w:shd w:val="clear" w:color="auto" w:fill="auto"/>
            <w:noWrap/>
            <w:vAlign w:val="center"/>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2011-12</w:t>
            </w:r>
          </w:p>
        </w:tc>
        <w:tc>
          <w:tcPr>
            <w:tcW w:w="1220" w:type="dxa"/>
            <w:tcBorders>
              <w:top w:val="single" w:sz="4" w:space="0" w:color="auto"/>
              <w:left w:val="nil"/>
              <w:bottom w:val="single" w:sz="4" w:space="0" w:color="auto"/>
              <w:right w:val="nil"/>
            </w:tcBorders>
            <w:shd w:val="clear" w:color="auto" w:fill="auto"/>
            <w:noWrap/>
            <w:vAlign w:val="center"/>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2012-13</w:t>
            </w:r>
          </w:p>
        </w:tc>
      </w:tr>
      <w:tr w:rsidR="00647BDC" w:rsidRPr="00192238" w:rsidTr="00D07581">
        <w:trPr>
          <w:trHeight w:val="315"/>
        </w:trPr>
        <w:tc>
          <w:tcPr>
            <w:tcW w:w="418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Total for category ($m)</w:t>
            </w:r>
          </w:p>
        </w:tc>
        <w:tc>
          <w:tcPr>
            <w:tcW w:w="118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4 295</w:t>
            </w:r>
          </w:p>
        </w:tc>
        <w:tc>
          <w:tcPr>
            <w:tcW w:w="118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4 616</w:t>
            </w:r>
          </w:p>
        </w:tc>
        <w:tc>
          <w:tcPr>
            <w:tcW w:w="118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5 009</w:t>
            </w:r>
          </w:p>
        </w:tc>
        <w:tc>
          <w:tcPr>
            <w:tcW w:w="122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5 217</w:t>
            </w:r>
          </w:p>
        </w:tc>
      </w:tr>
      <w:tr w:rsidR="00647BDC" w:rsidRPr="00192238" w:rsidTr="00D07581">
        <w:trPr>
          <w:trHeight w:val="315"/>
        </w:trPr>
        <w:tc>
          <w:tcPr>
            <w:tcW w:w="418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Total own source revenue ($m)</w:t>
            </w:r>
          </w:p>
        </w:tc>
        <w:tc>
          <w:tcPr>
            <w:tcW w:w="118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86 388</w:t>
            </w:r>
          </w:p>
        </w:tc>
        <w:tc>
          <w:tcPr>
            <w:tcW w:w="118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94 809</w:t>
            </w:r>
          </w:p>
        </w:tc>
        <w:tc>
          <w:tcPr>
            <w:tcW w:w="118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98 699</w:t>
            </w:r>
          </w:p>
        </w:tc>
        <w:tc>
          <w:tcPr>
            <w:tcW w:w="1220" w:type="dxa"/>
            <w:tcBorders>
              <w:top w:val="nil"/>
              <w:left w:val="nil"/>
              <w:bottom w:val="nil"/>
              <w:right w:val="nil"/>
            </w:tcBorders>
            <w:shd w:val="clear" w:color="auto" w:fill="auto"/>
            <w:noWrap/>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107 061</w:t>
            </w:r>
          </w:p>
        </w:tc>
      </w:tr>
      <w:tr w:rsidR="00647BDC" w:rsidRPr="00192238" w:rsidTr="00D07581">
        <w:trPr>
          <w:trHeight w:val="315"/>
        </w:trPr>
        <w:tc>
          <w:tcPr>
            <w:tcW w:w="4180" w:type="dxa"/>
            <w:tcBorders>
              <w:top w:val="nil"/>
              <w:left w:val="nil"/>
              <w:bottom w:val="single" w:sz="4" w:space="0" w:color="auto"/>
              <w:right w:val="nil"/>
            </w:tcBorders>
            <w:shd w:val="clear" w:color="auto" w:fill="auto"/>
            <w:vAlign w:val="bottom"/>
            <w:hideMark/>
          </w:tcPr>
          <w:p w:rsidR="00647BDC" w:rsidRPr="00192238"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Proportion of total own source revenue (%)</w:t>
            </w:r>
          </w:p>
        </w:tc>
        <w:tc>
          <w:tcPr>
            <w:tcW w:w="1180" w:type="dxa"/>
            <w:tcBorders>
              <w:top w:val="nil"/>
              <w:left w:val="nil"/>
              <w:bottom w:val="single" w:sz="4" w:space="0" w:color="auto"/>
              <w:right w:val="nil"/>
            </w:tcBorders>
            <w:shd w:val="clear" w:color="auto" w:fill="auto"/>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5.</w:t>
            </w:r>
            <w:r>
              <w:rPr>
                <w:rFonts w:ascii="Calibri" w:eastAsia="Times New Roman" w:hAnsi="Calibri" w:cs="Times New Roman"/>
                <w:sz w:val="20"/>
                <w:szCs w:val="20"/>
                <w:lang w:eastAsia="en-AU"/>
              </w:rPr>
              <w:t>0</w:t>
            </w:r>
          </w:p>
        </w:tc>
        <w:tc>
          <w:tcPr>
            <w:tcW w:w="1180" w:type="dxa"/>
            <w:tcBorders>
              <w:top w:val="nil"/>
              <w:left w:val="nil"/>
              <w:bottom w:val="single" w:sz="4" w:space="0" w:color="auto"/>
              <w:right w:val="nil"/>
            </w:tcBorders>
            <w:shd w:val="clear" w:color="auto" w:fill="auto"/>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4.9</w:t>
            </w:r>
          </w:p>
        </w:tc>
        <w:tc>
          <w:tcPr>
            <w:tcW w:w="1180" w:type="dxa"/>
            <w:tcBorders>
              <w:top w:val="nil"/>
              <w:left w:val="nil"/>
              <w:bottom w:val="single" w:sz="4" w:space="0" w:color="auto"/>
              <w:right w:val="nil"/>
            </w:tcBorders>
            <w:shd w:val="clear" w:color="auto" w:fill="auto"/>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192238">
              <w:rPr>
                <w:rFonts w:ascii="Calibri" w:eastAsia="Times New Roman" w:hAnsi="Calibri" w:cs="Times New Roman"/>
                <w:sz w:val="20"/>
                <w:szCs w:val="20"/>
                <w:lang w:eastAsia="en-AU"/>
              </w:rPr>
              <w:t>5.</w:t>
            </w:r>
            <w:r>
              <w:rPr>
                <w:rFonts w:ascii="Calibri" w:eastAsia="Times New Roman" w:hAnsi="Calibri" w:cs="Times New Roman"/>
                <w:sz w:val="20"/>
                <w:szCs w:val="20"/>
                <w:lang w:eastAsia="en-AU"/>
              </w:rPr>
              <w:t>1</w:t>
            </w:r>
          </w:p>
        </w:tc>
        <w:tc>
          <w:tcPr>
            <w:tcW w:w="1220" w:type="dxa"/>
            <w:tcBorders>
              <w:top w:val="nil"/>
              <w:left w:val="nil"/>
              <w:bottom w:val="single" w:sz="4" w:space="0" w:color="auto"/>
              <w:right w:val="nil"/>
            </w:tcBorders>
            <w:shd w:val="clear" w:color="auto" w:fill="auto"/>
            <w:vAlign w:val="bottom"/>
            <w:hideMark/>
          </w:tcPr>
          <w:p w:rsidR="00647BDC" w:rsidRPr="00192238"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4.9</w:t>
            </w:r>
          </w:p>
        </w:tc>
      </w:tr>
    </w:tbl>
    <w:p w:rsidR="00647BDC" w:rsidRDefault="00647BDC" w:rsidP="00647BDC">
      <w:pPr>
        <w:pStyle w:val="CGCTableFootnote"/>
      </w:pPr>
      <w:r w:rsidRPr="00863E62">
        <w:t>Source:</w:t>
      </w:r>
      <w:r w:rsidRPr="00863E62">
        <w:tab/>
        <w:t xml:space="preserve">Commission calculation using ABS </w:t>
      </w:r>
      <w:r>
        <w:t>Government Finance Statistics (</w:t>
      </w:r>
      <w:r w:rsidRPr="00921958">
        <w:t>GFS</w:t>
      </w:r>
      <w:r>
        <w:t>)</w:t>
      </w:r>
      <w:r w:rsidRPr="00921958">
        <w:t xml:space="preserve"> </w:t>
      </w:r>
      <w:r w:rsidRPr="00863E62">
        <w:t>data and State data.</w:t>
      </w:r>
    </w:p>
    <w:p w:rsidR="00647BDC" w:rsidRPr="00755429" w:rsidRDefault="00647BDC" w:rsidP="00647BDC">
      <w:pPr>
        <w:pStyle w:val="Heading4"/>
      </w:pPr>
      <w:r w:rsidRPr="00755429">
        <w:lastRenderedPageBreak/>
        <w:t>How are revenues raised?</w:t>
      </w:r>
    </w:p>
    <w:p w:rsidR="00647BDC" w:rsidRPr="00755429" w:rsidRDefault="00647BDC" w:rsidP="00647BDC">
      <w:pPr>
        <w:pStyle w:val="CGCNumberedPara"/>
        <w:numPr>
          <w:ilvl w:val="1"/>
          <w:numId w:val="2"/>
        </w:numPr>
      </w:pPr>
      <w:r w:rsidRPr="00755429">
        <w:t>Duties are collected on three broad categories of insurance:</w:t>
      </w:r>
    </w:p>
    <w:p w:rsidR="00647BDC" w:rsidRPr="00755429" w:rsidRDefault="00647BDC" w:rsidP="00D07581">
      <w:pPr>
        <w:pStyle w:val="CGCBulletlist"/>
      </w:pPr>
      <w:r w:rsidRPr="00755429">
        <w:t>Life insurance. Most States impose duty on the sum insured. South Australia imposes the duty on annual premiums. Western Australia does not impose a duty. Most States also impose duty on term or temporary insurance policies at a rate of 5% of the first year's premium.</w:t>
      </w:r>
    </w:p>
    <w:p w:rsidR="00647BDC" w:rsidRPr="00755429" w:rsidRDefault="00647BDC" w:rsidP="00D07581">
      <w:pPr>
        <w:pStyle w:val="CGCBulletlist"/>
      </w:pPr>
      <w:r w:rsidRPr="00755429">
        <w:t>General insurance — such as commercial and domestic motor vehicle, home and contents, public liability and professional indemnity. All States impose a fixed rate of duty on premiums. The rate varies between 6% and 11%. Three States (New South Wales, Queensland and Tasmania) apply concessional rates to certain types of general insurance.</w:t>
      </w:r>
    </w:p>
    <w:p w:rsidR="00647BDC" w:rsidRPr="00755429" w:rsidRDefault="00647BDC" w:rsidP="00D07581">
      <w:pPr>
        <w:pStyle w:val="CGCBulletlist"/>
      </w:pPr>
      <w:r w:rsidRPr="00755429">
        <w:t>CTP motor vehicle insurance. Victoria and Western Australia impose a single rate of duty on premiums. Queensland, South Australia and Tasmania impose a flat fee. New South Wales, the ACT and the Northern Territory do not tax CTP insurance.</w:t>
      </w:r>
    </w:p>
    <w:p w:rsidR="00647BDC" w:rsidRPr="00755429" w:rsidRDefault="00647BDC" w:rsidP="00647BDC">
      <w:pPr>
        <w:pStyle w:val="CGCNumberedPara"/>
        <w:numPr>
          <w:ilvl w:val="1"/>
          <w:numId w:val="2"/>
        </w:numPr>
      </w:pPr>
      <w:r w:rsidRPr="00755429">
        <w:t>Some classes of insurance are commonly exempt from duty. All States exempt medical benefits insurance</w:t>
      </w:r>
      <w:r w:rsidRPr="00755429">
        <w:rPr>
          <w:rStyle w:val="FootnoteReference"/>
        </w:rPr>
        <w:footnoteReference w:id="11"/>
      </w:r>
      <w:r w:rsidRPr="00755429">
        <w:t>, commercial marine insurance and reinsurance. All States except Queensland exempt workers' compensation insurance. Queensland taxes it at a concessional rate. There are a number of other exemptions that are only applied in one or two States.</w:t>
      </w:r>
    </w:p>
    <w:p w:rsidR="00647BDC" w:rsidRPr="00755429" w:rsidRDefault="00647BDC" w:rsidP="00647BDC">
      <w:pPr>
        <w:pStyle w:val="Heading3"/>
      </w:pPr>
      <w:bookmarkStart w:id="96" w:name="_Toc390955826"/>
      <w:r>
        <w:t>Assessment method</w:t>
      </w:r>
      <w:bookmarkEnd w:id="96"/>
    </w:p>
    <w:p w:rsidR="00647BDC" w:rsidRPr="00755429" w:rsidRDefault="00647BDC" w:rsidP="00647BDC">
      <w:pPr>
        <w:pStyle w:val="CGCNumberedPara"/>
        <w:numPr>
          <w:ilvl w:val="1"/>
          <w:numId w:val="2"/>
        </w:numPr>
      </w:pPr>
      <w:r w:rsidRPr="00755429">
        <w:fldChar w:fldCharType="begin"/>
      </w:r>
      <w:r w:rsidRPr="00755429">
        <w:instrText xml:space="preserve"> REF _Ref388538738 \h </w:instrText>
      </w:r>
      <w:r>
        <w:instrText xml:space="preserve"> \* MERGEFORMAT </w:instrText>
      </w:r>
      <w:r w:rsidRPr="00755429">
        <w:fldChar w:fldCharType="separate"/>
      </w:r>
      <w:r w:rsidR="005B69B1" w:rsidRPr="00755429">
        <w:t xml:space="preserve">Table </w:t>
      </w:r>
      <w:r w:rsidR="005B69B1">
        <w:rPr>
          <w:noProof/>
        </w:rPr>
        <w:t>3</w:t>
      </w:r>
      <w:r w:rsidRPr="00755429">
        <w:fldChar w:fldCharType="end"/>
      </w:r>
      <w:r w:rsidRPr="00755429">
        <w:t xml:space="preserve"> shows the derivation of a national average effective rate of tax for 2012</w:t>
      </w:r>
      <w:r w:rsidRPr="00755429">
        <w:noBreakHyphen/>
        <w:t>13. It was obtained by dividing total tax collections by the total general insurance revenue base. It also shows each State's assessed revenue was derived by applying the national average effective rate of tax to its revenue base.</w:t>
      </w:r>
    </w:p>
    <w:p w:rsidR="00647BDC" w:rsidRPr="00755429" w:rsidRDefault="00647BDC" w:rsidP="00647BDC">
      <w:pPr>
        <w:pStyle w:val="CGCNumberedPara"/>
        <w:numPr>
          <w:ilvl w:val="1"/>
          <w:numId w:val="2"/>
        </w:numPr>
      </w:pPr>
      <w:r w:rsidRPr="00755429">
        <w:t xml:space="preserve">The national average effective tax rate is 15.9%. This is higher than the legislated rate on all insurance products. This is because a range of revenue is included in the category but not in the revenue base (for example, </w:t>
      </w:r>
      <w:r>
        <w:t>l</w:t>
      </w:r>
      <w:r w:rsidRPr="00755429">
        <w:t>ife insurance re</w:t>
      </w:r>
      <w:bookmarkStart w:id="97" w:name="_GoBack"/>
      <w:bookmarkEnd w:id="97"/>
      <w:r w:rsidRPr="00755429">
        <w:t>venue and revenue from fire and emergency levies).</w:t>
      </w:r>
    </w:p>
    <w:p w:rsidR="00647BDC" w:rsidRPr="00755429" w:rsidRDefault="00647BDC" w:rsidP="00647BDC">
      <w:pPr>
        <w:pStyle w:val="CGCNumberedPara"/>
        <w:numPr>
          <w:ilvl w:val="1"/>
          <w:numId w:val="2"/>
        </w:numPr>
      </w:pPr>
      <w:r w:rsidRPr="00755429">
        <w:t>While there are differential rates applied to the different classes of insurance, the size of these revenue bases is relatively small, and further disaggregation into different classes is not material.</w:t>
      </w:r>
    </w:p>
    <w:p w:rsidR="00647BDC" w:rsidRPr="00755429" w:rsidRDefault="00647BDC" w:rsidP="00647BDC">
      <w:pPr>
        <w:pStyle w:val="Caption"/>
      </w:pPr>
      <w:bookmarkStart w:id="98" w:name="_Ref388538738"/>
      <w:r w:rsidRPr="00755429">
        <w:lastRenderedPageBreak/>
        <w:t xml:space="preserve">Table </w:t>
      </w:r>
      <w:r w:rsidR="005B69B1">
        <w:fldChar w:fldCharType="begin"/>
      </w:r>
      <w:r w:rsidR="005B69B1">
        <w:instrText xml:space="preserve"> SEQ Table \* ARABIC </w:instrText>
      </w:r>
      <w:r w:rsidR="005B69B1">
        <w:fldChar w:fldCharType="separate"/>
      </w:r>
      <w:r w:rsidR="005B69B1">
        <w:rPr>
          <w:noProof/>
        </w:rPr>
        <w:t>3</w:t>
      </w:r>
      <w:r w:rsidR="005B69B1">
        <w:rPr>
          <w:noProof/>
        </w:rPr>
        <w:fldChar w:fldCharType="end"/>
      </w:r>
      <w:bookmarkEnd w:id="98"/>
      <w:r w:rsidRPr="00755429">
        <w:tab/>
        <w:t>Illustrative assessed revenue and revenue raising capacity</w:t>
      </w:r>
      <w:r>
        <w:t xml:space="preserve"> ratio</w:t>
      </w:r>
      <w:r w:rsidRPr="00755429">
        <w:t>, 2012</w:t>
      </w:r>
      <w:r w:rsidRPr="00755429">
        <w:noBreakHyphen/>
        <w:t>13</w:t>
      </w:r>
    </w:p>
    <w:tbl>
      <w:tblPr>
        <w:tblW w:w="8940" w:type="dxa"/>
        <w:tblInd w:w="93" w:type="dxa"/>
        <w:tblLook w:val="04A0" w:firstRow="1" w:lastRow="0" w:firstColumn="1" w:lastColumn="0" w:noHBand="0" w:noVBand="1"/>
      </w:tblPr>
      <w:tblGrid>
        <w:gridCol w:w="2260"/>
        <w:gridCol w:w="820"/>
        <w:gridCol w:w="720"/>
        <w:gridCol w:w="720"/>
        <w:gridCol w:w="720"/>
        <w:gridCol w:w="720"/>
        <w:gridCol w:w="720"/>
        <w:gridCol w:w="720"/>
        <w:gridCol w:w="720"/>
        <w:gridCol w:w="820"/>
      </w:tblGrid>
      <w:tr w:rsidR="00647BDC" w:rsidRPr="00DC2B09" w:rsidTr="00D07581">
        <w:trPr>
          <w:trHeight w:val="379"/>
        </w:trPr>
        <w:tc>
          <w:tcPr>
            <w:tcW w:w="2260" w:type="dxa"/>
            <w:tcBorders>
              <w:top w:val="single" w:sz="4" w:space="0" w:color="auto"/>
              <w:left w:val="nil"/>
              <w:bottom w:val="single" w:sz="4" w:space="0" w:color="auto"/>
              <w:right w:val="nil"/>
            </w:tcBorders>
            <w:shd w:val="clear" w:color="auto" w:fill="auto"/>
            <w:noWrap/>
            <w:vAlign w:val="center"/>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bookmarkStart w:id="99" w:name="RANGE!A3:J9"/>
            <w:r w:rsidRPr="00DC2B09">
              <w:rPr>
                <w:rFonts w:ascii="Calibri" w:eastAsia="Times New Roman" w:hAnsi="Calibri" w:cs="Times New Roman"/>
                <w:sz w:val="20"/>
                <w:szCs w:val="20"/>
                <w:lang w:eastAsia="en-AU"/>
              </w:rPr>
              <w:t> </w:t>
            </w:r>
            <w:bookmarkEnd w:id="99"/>
          </w:p>
        </w:tc>
        <w:tc>
          <w:tcPr>
            <w:tcW w:w="820" w:type="dxa"/>
            <w:tcBorders>
              <w:top w:val="single" w:sz="4" w:space="0" w:color="auto"/>
              <w:left w:val="nil"/>
              <w:bottom w:val="single" w:sz="4" w:space="0" w:color="auto"/>
              <w:right w:val="nil"/>
            </w:tcBorders>
            <w:shd w:val="clear" w:color="auto" w:fill="auto"/>
            <w:noWrap/>
            <w:vAlign w:val="center"/>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NSW</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Vic</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Qld</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WA</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SA</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DC2B09">
              <w:rPr>
                <w:rFonts w:ascii="Calibri" w:eastAsia="Times New Roman" w:hAnsi="Calibri" w:cs="Times New Roman"/>
                <w:sz w:val="20"/>
                <w:szCs w:val="20"/>
                <w:lang w:eastAsia="en-AU"/>
              </w:rPr>
              <w:t>Tas</w:t>
            </w:r>
            <w:proofErr w:type="spellEnd"/>
          </w:p>
        </w:tc>
        <w:tc>
          <w:tcPr>
            <w:tcW w:w="720" w:type="dxa"/>
            <w:tcBorders>
              <w:top w:val="single" w:sz="4" w:space="0" w:color="auto"/>
              <w:left w:val="nil"/>
              <w:bottom w:val="single" w:sz="4" w:space="0" w:color="auto"/>
              <w:right w:val="nil"/>
            </w:tcBorders>
            <w:shd w:val="clear" w:color="auto" w:fill="auto"/>
            <w:noWrap/>
            <w:vAlign w:val="center"/>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ACT</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Total</w:t>
            </w:r>
          </w:p>
        </w:tc>
      </w:tr>
      <w:tr w:rsidR="00647BDC" w:rsidRPr="00DC2B09" w:rsidTr="00D07581">
        <w:trPr>
          <w:trHeight w:val="315"/>
        </w:trPr>
        <w:tc>
          <w:tcPr>
            <w:tcW w:w="226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Actual revenue ($m)</w:t>
            </w:r>
          </w:p>
        </w:tc>
        <w:tc>
          <w:tcPr>
            <w:tcW w:w="8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1 700</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1 665</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670</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576</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429</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86</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48</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42</w:t>
            </w:r>
          </w:p>
        </w:tc>
        <w:tc>
          <w:tcPr>
            <w:tcW w:w="8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5 217</w:t>
            </w:r>
          </w:p>
        </w:tc>
      </w:tr>
      <w:tr w:rsidR="00647BDC" w:rsidRPr="00DC2B09" w:rsidTr="00D07581">
        <w:trPr>
          <w:trHeight w:val="315"/>
        </w:trPr>
        <w:tc>
          <w:tcPr>
            <w:tcW w:w="226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Taxable premiums ($m)</w:t>
            </w:r>
          </w:p>
        </w:tc>
        <w:tc>
          <w:tcPr>
            <w:tcW w:w="8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11 335</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7 592</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6 541</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3 446</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2 511</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586</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465</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299</w:t>
            </w:r>
          </w:p>
        </w:tc>
        <w:tc>
          <w:tcPr>
            <w:tcW w:w="8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32 776</w:t>
            </w:r>
          </w:p>
        </w:tc>
      </w:tr>
      <w:tr w:rsidR="00647BDC" w:rsidRPr="00DC2B09" w:rsidTr="00D07581">
        <w:trPr>
          <w:trHeight w:val="315"/>
        </w:trPr>
        <w:tc>
          <w:tcPr>
            <w:tcW w:w="2260" w:type="dxa"/>
            <w:tcBorders>
              <w:top w:val="nil"/>
              <w:left w:val="nil"/>
              <w:bottom w:val="nil"/>
              <w:right w:val="nil"/>
            </w:tcBorders>
            <w:shd w:val="clear" w:color="auto" w:fill="auto"/>
            <w:vAlign w:val="bottom"/>
            <w:hideMark/>
          </w:tcPr>
          <w:p w:rsidR="00647BDC" w:rsidRPr="00DC2B09" w:rsidRDefault="00647BDC" w:rsidP="00D07581">
            <w:pPr>
              <w:tabs>
                <w:tab w:val="clear" w:pos="567"/>
              </w:tabs>
              <w:spacing w:after="0" w:line="240" w:lineRule="auto"/>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Average tax rate (%)</w:t>
            </w:r>
          </w:p>
        </w:tc>
        <w:tc>
          <w:tcPr>
            <w:tcW w:w="820" w:type="dxa"/>
            <w:tcBorders>
              <w:top w:val="nil"/>
              <w:left w:val="nil"/>
              <w:bottom w:val="nil"/>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15.9</w:t>
            </w:r>
          </w:p>
        </w:tc>
      </w:tr>
      <w:tr w:rsidR="00647BDC" w:rsidRPr="00DC2B09" w:rsidTr="00D07581">
        <w:trPr>
          <w:trHeight w:val="315"/>
        </w:trPr>
        <w:tc>
          <w:tcPr>
            <w:tcW w:w="226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Assessed revenue ($m)</w:t>
            </w:r>
          </w:p>
        </w:tc>
        <w:tc>
          <w:tcPr>
            <w:tcW w:w="8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1 804</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1 208</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1 041</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549</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400</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93</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74</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48</w:t>
            </w:r>
          </w:p>
        </w:tc>
        <w:tc>
          <w:tcPr>
            <w:tcW w:w="8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5 217</w:t>
            </w:r>
          </w:p>
        </w:tc>
      </w:tr>
      <w:tr w:rsidR="00647BDC" w:rsidRPr="00DC2B09" w:rsidTr="00D07581">
        <w:trPr>
          <w:trHeight w:val="315"/>
        </w:trPr>
        <w:tc>
          <w:tcPr>
            <w:tcW w:w="226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Assessed revenue ($pc)</w:t>
            </w:r>
          </w:p>
        </w:tc>
        <w:tc>
          <w:tcPr>
            <w:tcW w:w="8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245</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213</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226</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221</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240</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182</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196</w:t>
            </w:r>
          </w:p>
        </w:tc>
        <w:tc>
          <w:tcPr>
            <w:tcW w:w="7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200</w:t>
            </w:r>
          </w:p>
        </w:tc>
        <w:tc>
          <w:tcPr>
            <w:tcW w:w="820" w:type="dxa"/>
            <w:tcBorders>
              <w:top w:val="nil"/>
              <w:left w:val="nil"/>
              <w:bottom w:val="nil"/>
              <w:right w:val="nil"/>
            </w:tcBorders>
            <w:shd w:val="clear" w:color="auto" w:fill="auto"/>
            <w:noWrap/>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228</w:t>
            </w:r>
          </w:p>
        </w:tc>
      </w:tr>
      <w:tr w:rsidR="00647BDC" w:rsidRPr="00DC2B09" w:rsidTr="00D07581">
        <w:trPr>
          <w:trHeight w:val="315"/>
        </w:trPr>
        <w:tc>
          <w:tcPr>
            <w:tcW w:w="2260" w:type="dxa"/>
            <w:tcBorders>
              <w:top w:val="nil"/>
              <w:left w:val="nil"/>
              <w:bottom w:val="single" w:sz="4" w:space="0" w:color="auto"/>
              <w:right w:val="nil"/>
            </w:tcBorders>
            <w:shd w:val="clear" w:color="auto" w:fill="auto"/>
            <w:vAlign w:val="bottom"/>
            <w:hideMark/>
          </w:tcPr>
          <w:p w:rsidR="00647BDC" w:rsidRPr="00DC2B09" w:rsidRDefault="00647BDC" w:rsidP="00D07581">
            <w:pPr>
              <w:tabs>
                <w:tab w:val="clear" w:pos="567"/>
              </w:tabs>
              <w:spacing w:after="0" w:line="240" w:lineRule="auto"/>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Revenue raising capacity</w:t>
            </w:r>
          </w:p>
        </w:tc>
        <w:tc>
          <w:tcPr>
            <w:tcW w:w="820" w:type="dxa"/>
            <w:tcBorders>
              <w:top w:val="nil"/>
              <w:left w:val="nil"/>
              <w:bottom w:val="single" w:sz="4" w:space="0" w:color="auto"/>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1.078</w:t>
            </w:r>
          </w:p>
        </w:tc>
        <w:tc>
          <w:tcPr>
            <w:tcW w:w="720" w:type="dxa"/>
            <w:tcBorders>
              <w:top w:val="nil"/>
              <w:left w:val="nil"/>
              <w:bottom w:val="single" w:sz="4" w:space="0" w:color="auto"/>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0.934</w:t>
            </w:r>
          </w:p>
        </w:tc>
        <w:tc>
          <w:tcPr>
            <w:tcW w:w="720" w:type="dxa"/>
            <w:tcBorders>
              <w:top w:val="nil"/>
              <w:left w:val="nil"/>
              <w:bottom w:val="single" w:sz="4" w:space="0" w:color="auto"/>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0.992</w:t>
            </w:r>
          </w:p>
        </w:tc>
        <w:tc>
          <w:tcPr>
            <w:tcW w:w="720" w:type="dxa"/>
            <w:tcBorders>
              <w:top w:val="nil"/>
              <w:left w:val="nil"/>
              <w:bottom w:val="single" w:sz="4" w:space="0" w:color="auto"/>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0.972</w:t>
            </w:r>
          </w:p>
        </w:tc>
        <w:tc>
          <w:tcPr>
            <w:tcW w:w="720" w:type="dxa"/>
            <w:tcBorders>
              <w:top w:val="nil"/>
              <w:left w:val="nil"/>
              <w:bottom w:val="single" w:sz="4" w:space="0" w:color="auto"/>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1.057</w:t>
            </w:r>
          </w:p>
        </w:tc>
        <w:tc>
          <w:tcPr>
            <w:tcW w:w="720" w:type="dxa"/>
            <w:tcBorders>
              <w:top w:val="nil"/>
              <w:left w:val="nil"/>
              <w:bottom w:val="single" w:sz="4" w:space="0" w:color="auto"/>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0.800</w:t>
            </w:r>
          </w:p>
        </w:tc>
        <w:tc>
          <w:tcPr>
            <w:tcW w:w="720" w:type="dxa"/>
            <w:tcBorders>
              <w:top w:val="nil"/>
              <w:left w:val="nil"/>
              <w:bottom w:val="single" w:sz="4" w:space="0" w:color="auto"/>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0.860</w:t>
            </w:r>
          </w:p>
        </w:tc>
        <w:tc>
          <w:tcPr>
            <w:tcW w:w="720" w:type="dxa"/>
            <w:tcBorders>
              <w:top w:val="nil"/>
              <w:left w:val="nil"/>
              <w:bottom w:val="single" w:sz="4" w:space="0" w:color="auto"/>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0.879</w:t>
            </w:r>
          </w:p>
        </w:tc>
        <w:tc>
          <w:tcPr>
            <w:tcW w:w="820" w:type="dxa"/>
            <w:tcBorders>
              <w:top w:val="nil"/>
              <w:left w:val="nil"/>
              <w:bottom w:val="single" w:sz="4" w:space="0" w:color="auto"/>
              <w:right w:val="nil"/>
            </w:tcBorders>
            <w:shd w:val="clear" w:color="auto" w:fill="auto"/>
            <w:vAlign w:val="bottom"/>
            <w:hideMark/>
          </w:tcPr>
          <w:p w:rsidR="00647BDC" w:rsidRPr="00DC2B0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C2B09">
              <w:rPr>
                <w:rFonts w:ascii="Calibri" w:eastAsia="Times New Roman" w:hAnsi="Calibri" w:cs="Times New Roman"/>
                <w:sz w:val="20"/>
                <w:szCs w:val="20"/>
                <w:lang w:eastAsia="en-AU"/>
              </w:rPr>
              <w:t>1.000</w:t>
            </w:r>
          </w:p>
        </w:tc>
      </w:tr>
    </w:tbl>
    <w:p w:rsidR="00647BDC" w:rsidRDefault="00647BDC" w:rsidP="00647BDC">
      <w:pPr>
        <w:pStyle w:val="CGCTableFootnote"/>
      </w:pPr>
      <w:r>
        <w:t>Note:</w:t>
      </w:r>
      <w:r>
        <w:tab/>
      </w:r>
      <w:r w:rsidRPr="00755429">
        <w:t>Revenue raising capacity ratio is calculated as assessed revenue per capita divided by average revenue.</w:t>
      </w:r>
    </w:p>
    <w:p w:rsidR="00647BDC" w:rsidRDefault="00647BDC" w:rsidP="00647BDC">
      <w:pPr>
        <w:pStyle w:val="CGCTableFootnote"/>
        <w:keepNext/>
      </w:pPr>
      <w:r w:rsidRPr="00337E3F">
        <w:t>Source</w:t>
      </w:r>
      <w:r>
        <w:t>:</w:t>
      </w:r>
      <w:r>
        <w:tab/>
        <w:t>Commission calculation.</w:t>
      </w:r>
    </w:p>
    <w:p w:rsidR="00647BDC" w:rsidRDefault="00647BDC" w:rsidP="00647BDC">
      <w:pPr>
        <w:pStyle w:val="Heading3"/>
      </w:pPr>
      <w:bookmarkStart w:id="100" w:name="_Toc390955827"/>
      <w:r>
        <w:t>Scope of premiums included in the revenue base</w:t>
      </w:r>
      <w:bookmarkEnd w:id="100"/>
    </w:p>
    <w:p w:rsidR="00647BDC" w:rsidRPr="00755429" w:rsidRDefault="00647BDC" w:rsidP="00647BDC">
      <w:pPr>
        <w:pStyle w:val="CGCNumberedPara"/>
        <w:numPr>
          <w:ilvl w:val="1"/>
          <w:numId w:val="2"/>
        </w:numPr>
      </w:pPr>
      <w:r w:rsidRPr="00755429">
        <w:t>Some insurance premiums are taxed, while others are not. We have attempted to capture the revenue base that best reflects what States do.</w:t>
      </w:r>
    </w:p>
    <w:p w:rsidR="00647BDC" w:rsidRPr="00755429" w:rsidRDefault="00647BDC" w:rsidP="00647BDC">
      <w:pPr>
        <w:pStyle w:val="CGCNumberedPara"/>
        <w:numPr>
          <w:ilvl w:val="1"/>
          <w:numId w:val="2"/>
        </w:numPr>
      </w:pPr>
      <w:r w:rsidRPr="00755429">
        <w:rPr>
          <w:rStyle w:val="Heading6Char"/>
        </w:rPr>
        <w:t>Exempt classes of insurance.</w:t>
      </w:r>
      <w:r w:rsidRPr="00755429">
        <w:t xml:space="preserve"> No State imposes duty on medical benefits insurance or reinsurance. Australian Prudential Regulation Authority (APRA) data exclude premiums relating to these classes of insurance.</w:t>
      </w:r>
    </w:p>
    <w:p w:rsidR="00647BDC" w:rsidRPr="00755429" w:rsidRDefault="00647BDC" w:rsidP="00647BDC">
      <w:pPr>
        <w:pStyle w:val="CGCNumberedPara"/>
        <w:numPr>
          <w:ilvl w:val="1"/>
          <w:numId w:val="2"/>
        </w:numPr>
      </w:pPr>
      <w:r w:rsidRPr="00755429">
        <w:t>No State imposes duty on commercial marine insurance However, commercial marine insurance premiums are included in the APRA data and it is unable to separate them. At a national level, these premiums represent less than 2% of total premiums. A data adjustment to remove them would not be material and we have left them in the APRA premium data.</w:t>
      </w:r>
    </w:p>
    <w:p w:rsidR="00647BDC" w:rsidRPr="00755429" w:rsidRDefault="00647BDC" w:rsidP="00647BDC">
      <w:pPr>
        <w:pStyle w:val="CGCNumberedPara"/>
        <w:numPr>
          <w:ilvl w:val="1"/>
          <w:numId w:val="2"/>
        </w:numPr>
      </w:pPr>
      <w:r w:rsidRPr="00755429">
        <w:rPr>
          <w:rStyle w:val="Heading6Char"/>
        </w:rPr>
        <w:t>Life insurance.</w:t>
      </w:r>
      <w:r w:rsidRPr="00755429">
        <w:t xml:space="preserve"> While APRA can provide data on the total premiums paid for general insurance and CTP insurance by State, it cannot provide life insurance data by State. Therefore, life insurance premiums are not included in the tax base. </w:t>
      </w:r>
    </w:p>
    <w:p w:rsidR="00647BDC" w:rsidRPr="00755429" w:rsidRDefault="00647BDC" w:rsidP="00647BDC">
      <w:pPr>
        <w:pStyle w:val="CGCNumberedPara"/>
        <w:numPr>
          <w:ilvl w:val="1"/>
          <w:numId w:val="2"/>
        </w:numPr>
      </w:pPr>
      <w:r w:rsidRPr="00755429">
        <w:t xml:space="preserve">We considered removing revenue on life insurance premiums from the category, and assessing it </w:t>
      </w:r>
      <w:r>
        <w:t>equal per capita (</w:t>
      </w:r>
      <w:r w:rsidRPr="00755429">
        <w:t>EPC</w:t>
      </w:r>
      <w:r>
        <w:t>)</w:t>
      </w:r>
      <w:r w:rsidRPr="00755429">
        <w:t>. Four States provided data to suggest duties on life insurance are a small proportion (less than 5%) of all insurance taxes. A data adjustment to exclude life insurance duties from the category is not material. We have, therefore, left life insurance duties in the category and assessed them using the general insurance revenue base.</w:t>
      </w:r>
    </w:p>
    <w:p w:rsidR="00647BDC" w:rsidRPr="00755429" w:rsidRDefault="00647BDC" w:rsidP="00647BDC">
      <w:pPr>
        <w:pStyle w:val="CGCNumberedPara"/>
        <w:numPr>
          <w:ilvl w:val="1"/>
          <w:numId w:val="2"/>
        </w:numPr>
      </w:pPr>
      <w:r w:rsidRPr="00755429">
        <w:rPr>
          <w:rStyle w:val="Heading6Char"/>
        </w:rPr>
        <w:t>Workers' compensation.</w:t>
      </w:r>
      <w:r w:rsidRPr="00755429">
        <w:t xml:space="preserve"> Queensland is the only State that imposes duty on workers' compensation insurance, and it does so at a concessional rate. Workers’ compensation premiums comprised around 21% of </w:t>
      </w:r>
      <w:r>
        <w:t>its total</w:t>
      </w:r>
      <w:r w:rsidRPr="00755429">
        <w:t xml:space="preserve"> premiums in 2012</w:t>
      </w:r>
      <w:r w:rsidRPr="00755429">
        <w:noBreakHyphen/>
        <w:t xml:space="preserve">13. However, the duty raised on workers’ compensation premiums comprised only 2% of </w:t>
      </w:r>
      <w:r>
        <w:t xml:space="preserve">its </w:t>
      </w:r>
      <w:r w:rsidRPr="00755429">
        <w:t xml:space="preserve">Insurance taxes. We considered assessing these duties as a separate component within the Insurance taxes category. However it is simpler, and not materially </w:t>
      </w:r>
      <w:r w:rsidRPr="00755429">
        <w:lastRenderedPageBreak/>
        <w:t>different, to include the duties raised as Insurance tax revenue, but exclude the premiums from the revenue base. Most States supported this approach.</w:t>
      </w:r>
    </w:p>
    <w:p w:rsidR="00647BDC" w:rsidRPr="00755429" w:rsidRDefault="00647BDC" w:rsidP="00647BDC">
      <w:pPr>
        <w:pStyle w:val="CGCNumberedPara"/>
        <w:numPr>
          <w:ilvl w:val="1"/>
          <w:numId w:val="2"/>
        </w:numPr>
      </w:pPr>
      <w:r w:rsidRPr="00755429">
        <w:rPr>
          <w:rStyle w:val="Heading6Char"/>
        </w:rPr>
        <w:t>Fire and emergency services levies.</w:t>
      </w:r>
      <w:r w:rsidRPr="00755429">
        <w:t xml:space="preserve"> Since the 2010 Review, Victoria has moved from insurance-based to property-based emergency services funding. Only New South Wales and Tasmania continue to collect fire and emergency services levies on insurance products. We consider these levies to be similar to an insurance tax and include them in the category. </w:t>
      </w:r>
    </w:p>
    <w:p w:rsidR="00647BDC" w:rsidRPr="00755429" w:rsidRDefault="00647BDC" w:rsidP="00647BDC">
      <w:pPr>
        <w:pStyle w:val="CGCNumberedPara"/>
        <w:numPr>
          <w:ilvl w:val="1"/>
          <w:numId w:val="2"/>
        </w:numPr>
      </w:pPr>
      <w:r w:rsidRPr="00755429">
        <w:t>Insurance-based fire and emergency services levies are also included in the total premiums data provided by APRA.</w:t>
      </w:r>
      <w:r w:rsidRPr="00755429">
        <w:rPr>
          <w:rStyle w:val="FootnoteReference"/>
        </w:rPr>
        <w:footnoteReference w:id="12"/>
      </w:r>
      <w:r w:rsidRPr="00755429">
        <w:t xml:space="preserve"> We have removed these levies from the general insurance revenue base, as their inclusion would overstate the revenue base of the three States that impose levies on insurance.</w:t>
      </w:r>
    </w:p>
    <w:p w:rsidR="00647BDC" w:rsidRPr="00755429" w:rsidRDefault="00647BDC" w:rsidP="00647BDC">
      <w:pPr>
        <w:pStyle w:val="CGCNumberedPara"/>
        <w:numPr>
          <w:ilvl w:val="1"/>
          <w:numId w:val="2"/>
        </w:numPr>
      </w:pPr>
      <w:r w:rsidRPr="00755429">
        <w:rPr>
          <w:rStyle w:val="Heading6Char"/>
        </w:rPr>
        <w:t xml:space="preserve">Summary. </w:t>
      </w:r>
      <w:r w:rsidRPr="00755429">
        <w:t>As a consequence, the revenue base for insurance taxes is:</w:t>
      </w:r>
    </w:p>
    <w:p w:rsidR="00647BDC" w:rsidRPr="00755429" w:rsidRDefault="00647BDC" w:rsidP="00D07581">
      <w:pPr>
        <w:pStyle w:val="CGCBulletlist"/>
      </w:pPr>
      <w:r w:rsidRPr="00755429">
        <w:t>total premiums paid as published by APRA</w:t>
      </w:r>
    </w:p>
    <w:p w:rsidR="00647BDC" w:rsidRPr="00755429" w:rsidRDefault="00647BDC" w:rsidP="00D07581">
      <w:pPr>
        <w:pStyle w:val="CGCBulletlist"/>
      </w:pPr>
      <w:r w:rsidRPr="00755429">
        <w:t>less premiums for reinsurance</w:t>
      </w:r>
    </w:p>
    <w:p w:rsidR="00647BDC" w:rsidRPr="00755429" w:rsidRDefault="00647BDC" w:rsidP="00D07581">
      <w:pPr>
        <w:pStyle w:val="CGCBulletlist"/>
      </w:pPr>
      <w:r w:rsidRPr="00755429">
        <w:t>less premiums for workers' compensation</w:t>
      </w:r>
    </w:p>
    <w:p w:rsidR="00647BDC" w:rsidRPr="00755429" w:rsidRDefault="00647BDC" w:rsidP="00D07581">
      <w:pPr>
        <w:pStyle w:val="CGCBulletlist"/>
      </w:pPr>
      <w:proofErr w:type="gramStart"/>
      <w:r w:rsidRPr="00755429">
        <w:t>less</w:t>
      </w:r>
      <w:proofErr w:type="gramEnd"/>
      <w:r w:rsidRPr="00755429">
        <w:t xml:space="preserve"> any fire and emergency levies included in premiums paid.</w:t>
      </w:r>
    </w:p>
    <w:p w:rsidR="00647BDC" w:rsidRPr="00755429" w:rsidRDefault="00647BDC" w:rsidP="00647BDC">
      <w:pPr>
        <w:pStyle w:val="Heading4"/>
      </w:pPr>
      <w:r w:rsidRPr="00755429">
        <w:t>Data sources and adjustments</w:t>
      </w:r>
    </w:p>
    <w:p w:rsidR="00647BDC" w:rsidRPr="00755429" w:rsidRDefault="00647BDC" w:rsidP="00647BDC">
      <w:pPr>
        <w:pStyle w:val="CGCNumberedPara"/>
        <w:numPr>
          <w:ilvl w:val="1"/>
          <w:numId w:val="2"/>
        </w:numPr>
      </w:pPr>
      <w:r w:rsidRPr="00755429">
        <w:t>The Commission sources insurance premium data from APRA. However, from 2012</w:t>
      </w:r>
      <w:r w:rsidRPr="00755429">
        <w:noBreakHyphen/>
        <w:t>13, APRA is no longer able to provide premium data for public insurers.</w:t>
      </w:r>
      <w:r w:rsidRPr="00755429">
        <w:rPr>
          <w:rStyle w:val="FootnoteReference"/>
        </w:rPr>
        <w:footnoteReference w:id="13"/>
      </w:r>
      <w:r w:rsidRPr="00755429">
        <w:t xml:space="preserve">  The main classes of insurance provided by public insurers are: CTP insurance; workers' compensation; and insurance for public sector agencies.</w:t>
      </w:r>
    </w:p>
    <w:p w:rsidR="00647BDC" w:rsidRPr="00755429" w:rsidRDefault="00647BDC" w:rsidP="00647BDC">
      <w:pPr>
        <w:pStyle w:val="CGCNumberedPara"/>
        <w:numPr>
          <w:ilvl w:val="1"/>
          <w:numId w:val="2"/>
        </w:numPr>
      </w:pPr>
      <w:r w:rsidRPr="00755429">
        <w:t>In the 2010 Review, the Commission included CTP premiums paid to public insurers to ensure comparability with States where CTP insurance was privately underwritten. For 2012</w:t>
      </w:r>
      <w:r w:rsidRPr="00755429">
        <w:noBreakHyphen/>
        <w:t>13, we sourced premiums data from public insurers' annual reports. For the Northern Territory, we used State-provided data.</w:t>
      </w:r>
      <w:r w:rsidRPr="00755429">
        <w:rPr>
          <w:rStyle w:val="FootnoteReference"/>
        </w:rPr>
        <w:footnoteReference w:id="14"/>
      </w:r>
      <w:r w:rsidRPr="00755429">
        <w:t xml:space="preserve"> </w:t>
      </w:r>
    </w:p>
    <w:p w:rsidR="00647BDC" w:rsidRPr="00755429" w:rsidRDefault="00647BDC" w:rsidP="00647BDC">
      <w:pPr>
        <w:pStyle w:val="CGCNumberedPara"/>
        <w:numPr>
          <w:ilvl w:val="1"/>
          <w:numId w:val="2"/>
        </w:numPr>
      </w:pPr>
      <w:r w:rsidRPr="00755429">
        <w:t xml:space="preserve">As outlined in the previous section, we exclude workers' compensation premiums from the revenue base. This includes workers' compensation premiums paid to public insurers. We also exclude duty on premiums paid by general government sector agencies, because it is an internal budget transfer. While public sector corporations in some States are insured with public insurers, data are not available to split their </w:t>
      </w:r>
      <w:r w:rsidRPr="00755429">
        <w:lastRenderedPageBreak/>
        <w:t>premiums from those paid by general government sector agencies. As a result we have excluded from the revenue base all premiums paid to public insurers by public sector agencies. We will continue to include premiums paid to public insurers by private sector agencies and individuals (primarily CTP premiums).</w:t>
      </w:r>
    </w:p>
    <w:p w:rsidR="00647BDC" w:rsidRPr="00755429" w:rsidRDefault="00647BDC" w:rsidP="00647BDC">
      <w:pPr>
        <w:pStyle w:val="CGCNumberedPara"/>
        <w:numPr>
          <w:ilvl w:val="1"/>
          <w:numId w:val="2"/>
        </w:numPr>
      </w:pPr>
      <w:r w:rsidRPr="00755429">
        <w:t>Given the confidentiality of data, a dissection of the revenue base is not presented.</w:t>
      </w:r>
    </w:p>
    <w:p w:rsidR="00647BDC" w:rsidRPr="00755429" w:rsidRDefault="00647BDC" w:rsidP="00647BDC">
      <w:pPr>
        <w:pStyle w:val="Heading3"/>
      </w:pPr>
      <w:bookmarkStart w:id="101" w:name="_Toc390955828"/>
      <w:r>
        <w:t>What is the impact on the GST distribution?</w:t>
      </w:r>
      <w:bookmarkEnd w:id="101"/>
    </w:p>
    <w:p w:rsidR="00647BDC" w:rsidRPr="00755429" w:rsidRDefault="00647BDC" w:rsidP="00647BDC">
      <w:pPr>
        <w:pStyle w:val="CGCNumberedPara"/>
        <w:numPr>
          <w:ilvl w:val="1"/>
          <w:numId w:val="2"/>
        </w:numPr>
      </w:pPr>
      <w:r w:rsidRPr="00755429">
        <w:fldChar w:fldCharType="begin"/>
      </w:r>
      <w:r w:rsidRPr="00755429">
        <w:instrText xml:space="preserve"> REF _Ref388539521 \h </w:instrText>
      </w:r>
      <w:r>
        <w:instrText xml:space="preserve"> \* MERGEFORMAT </w:instrText>
      </w:r>
      <w:r w:rsidRPr="00755429">
        <w:fldChar w:fldCharType="separate"/>
      </w:r>
      <w:r w:rsidR="005B69B1" w:rsidRPr="00755429">
        <w:t xml:space="preserve">Table </w:t>
      </w:r>
      <w:r w:rsidR="005B69B1">
        <w:rPr>
          <w:noProof/>
        </w:rPr>
        <w:t>4</w:t>
      </w:r>
      <w:r w:rsidRPr="00755429">
        <w:fldChar w:fldCharType="end"/>
      </w:r>
      <w:r w:rsidRPr="00755429">
        <w:t xml:space="preserve"> shows the extent to which the assessment for this category moves the distribution of the GST away from an equal per capita distribution in 2012</w:t>
      </w:r>
      <w:r w:rsidRPr="00755429">
        <w:noBreakHyphen/>
        <w:t>13. It shows GST revenue is redistributed from States assessed to have above average revenue raising capacities (New South Wales and South Australia) to States with below average revenue capacity (Victoria, Queensland, Western Australia, Tasmania, the ACT and the Northern Territory).</w:t>
      </w:r>
    </w:p>
    <w:p w:rsidR="00647BDC" w:rsidRPr="00755429" w:rsidRDefault="00647BDC" w:rsidP="00647BDC">
      <w:pPr>
        <w:pStyle w:val="Caption"/>
      </w:pPr>
      <w:bookmarkStart w:id="102" w:name="_Ref388539521"/>
      <w:r w:rsidRPr="00755429">
        <w:t xml:space="preserve">Table </w:t>
      </w:r>
      <w:r w:rsidR="005B69B1">
        <w:fldChar w:fldCharType="begin"/>
      </w:r>
      <w:r w:rsidR="005B69B1">
        <w:instrText xml:space="preserve"> SEQ Table \* ARABIC </w:instrText>
      </w:r>
      <w:r w:rsidR="005B69B1">
        <w:fldChar w:fldCharType="separate"/>
      </w:r>
      <w:r w:rsidR="005B69B1">
        <w:rPr>
          <w:noProof/>
        </w:rPr>
        <w:t>4</w:t>
      </w:r>
      <w:r w:rsidR="005B69B1">
        <w:rPr>
          <w:noProof/>
        </w:rPr>
        <w:fldChar w:fldCharType="end"/>
      </w:r>
      <w:bookmarkEnd w:id="102"/>
      <w:r w:rsidRPr="00755429">
        <w:tab/>
        <w:t>Illustrative GST impact of the Insurance tax assessment, 2012</w:t>
      </w:r>
      <w:r w:rsidRPr="00755429">
        <w:noBreakHyphen/>
        <w:t>13</w:t>
      </w:r>
    </w:p>
    <w:tbl>
      <w:tblPr>
        <w:tblW w:w="8960" w:type="dxa"/>
        <w:tblInd w:w="93" w:type="dxa"/>
        <w:tblLook w:val="04A0" w:firstRow="1" w:lastRow="0" w:firstColumn="1" w:lastColumn="0" w:noHBand="0" w:noVBand="1"/>
      </w:tblPr>
      <w:tblGrid>
        <w:gridCol w:w="1920"/>
        <w:gridCol w:w="880"/>
        <w:gridCol w:w="740"/>
        <w:gridCol w:w="740"/>
        <w:gridCol w:w="740"/>
        <w:gridCol w:w="780"/>
        <w:gridCol w:w="740"/>
        <w:gridCol w:w="740"/>
        <w:gridCol w:w="740"/>
        <w:gridCol w:w="940"/>
      </w:tblGrid>
      <w:tr w:rsidR="00647BDC" w:rsidRPr="00567E16" w:rsidTr="00D07581">
        <w:trPr>
          <w:trHeight w:val="379"/>
        </w:trPr>
        <w:tc>
          <w:tcPr>
            <w:tcW w:w="1920" w:type="dxa"/>
            <w:tcBorders>
              <w:top w:val="single" w:sz="4" w:space="0" w:color="auto"/>
              <w:left w:val="nil"/>
              <w:bottom w:val="single" w:sz="4" w:space="0" w:color="auto"/>
              <w:right w:val="nil"/>
            </w:tcBorders>
            <w:shd w:val="clear" w:color="auto" w:fill="auto"/>
            <w:noWrap/>
            <w:vAlign w:val="center"/>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 </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NSW</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Vic</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Qld</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WA</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SA</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567E16">
              <w:rPr>
                <w:rFonts w:ascii="Calibri" w:eastAsia="Times New Roman" w:hAnsi="Calibri" w:cs="Times New Roman"/>
                <w:sz w:val="20"/>
                <w:szCs w:val="20"/>
                <w:lang w:eastAsia="en-AU"/>
              </w:rPr>
              <w:t>Tas</w:t>
            </w:r>
            <w:proofErr w:type="spellEnd"/>
          </w:p>
        </w:tc>
        <w:tc>
          <w:tcPr>
            <w:tcW w:w="740" w:type="dxa"/>
            <w:tcBorders>
              <w:top w:val="single" w:sz="4" w:space="0" w:color="auto"/>
              <w:left w:val="nil"/>
              <w:bottom w:val="single" w:sz="4" w:space="0" w:color="auto"/>
              <w:right w:val="nil"/>
            </w:tcBorders>
            <w:shd w:val="clear" w:color="auto" w:fill="auto"/>
            <w:noWrap/>
            <w:vAlign w:val="center"/>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ACT</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NT</w:t>
            </w:r>
          </w:p>
        </w:tc>
        <w:tc>
          <w:tcPr>
            <w:tcW w:w="940" w:type="dxa"/>
            <w:tcBorders>
              <w:top w:val="single" w:sz="4" w:space="0" w:color="auto"/>
              <w:left w:val="nil"/>
              <w:bottom w:val="single" w:sz="4" w:space="0" w:color="auto"/>
              <w:right w:val="nil"/>
            </w:tcBorders>
            <w:shd w:val="clear" w:color="auto" w:fill="auto"/>
            <w:noWrap/>
            <w:vAlign w:val="center"/>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567E16">
              <w:rPr>
                <w:rFonts w:ascii="Calibri" w:eastAsia="Times New Roman" w:hAnsi="Calibri" w:cs="Times New Roman"/>
                <w:sz w:val="20"/>
                <w:szCs w:val="20"/>
                <w:lang w:eastAsia="en-AU"/>
              </w:rPr>
              <w:t>Redist</w:t>
            </w:r>
            <w:proofErr w:type="spellEnd"/>
          </w:p>
        </w:tc>
      </w:tr>
      <w:tr w:rsidR="00647BDC" w:rsidRPr="00567E16" w:rsidTr="00D07581">
        <w:trPr>
          <w:trHeight w:val="315"/>
        </w:trPr>
        <w:tc>
          <w:tcPr>
            <w:tcW w:w="1920" w:type="dxa"/>
            <w:tcBorders>
              <w:top w:val="nil"/>
              <w:left w:val="nil"/>
              <w:bottom w:val="nil"/>
              <w:right w:val="nil"/>
            </w:tcBorders>
            <w:shd w:val="clear" w:color="auto" w:fill="auto"/>
            <w:noWrap/>
            <w:vAlign w:val="bottom"/>
            <w:hideMark/>
          </w:tcPr>
          <w:p w:rsidR="00647BDC" w:rsidRPr="00567E16" w:rsidRDefault="00647BDC" w:rsidP="00D07581">
            <w:pPr>
              <w:tabs>
                <w:tab w:val="clear" w:pos="567"/>
              </w:tabs>
              <w:spacing w:after="0" w:line="240" w:lineRule="auto"/>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Dollars million</w:t>
            </w:r>
          </w:p>
        </w:tc>
        <w:tc>
          <w:tcPr>
            <w:tcW w:w="880" w:type="dxa"/>
            <w:tcBorders>
              <w:top w:val="nil"/>
              <w:left w:val="nil"/>
              <w:bottom w:val="nil"/>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-130</w:t>
            </w:r>
          </w:p>
        </w:tc>
        <w:tc>
          <w:tcPr>
            <w:tcW w:w="740" w:type="dxa"/>
            <w:tcBorders>
              <w:top w:val="nil"/>
              <w:left w:val="nil"/>
              <w:bottom w:val="nil"/>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85</w:t>
            </w:r>
          </w:p>
        </w:tc>
        <w:tc>
          <w:tcPr>
            <w:tcW w:w="740" w:type="dxa"/>
            <w:tcBorders>
              <w:top w:val="nil"/>
              <w:left w:val="nil"/>
              <w:bottom w:val="nil"/>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9</w:t>
            </w:r>
          </w:p>
        </w:tc>
        <w:tc>
          <w:tcPr>
            <w:tcW w:w="740" w:type="dxa"/>
            <w:tcBorders>
              <w:top w:val="nil"/>
              <w:left w:val="nil"/>
              <w:bottom w:val="nil"/>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16</w:t>
            </w:r>
          </w:p>
        </w:tc>
        <w:tc>
          <w:tcPr>
            <w:tcW w:w="780" w:type="dxa"/>
            <w:tcBorders>
              <w:top w:val="nil"/>
              <w:left w:val="nil"/>
              <w:bottom w:val="nil"/>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-21</w:t>
            </w:r>
          </w:p>
        </w:tc>
        <w:tc>
          <w:tcPr>
            <w:tcW w:w="740" w:type="dxa"/>
            <w:tcBorders>
              <w:top w:val="nil"/>
              <w:left w:val="nil"/>
              <w:bottom w:val="nil"/>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23</w:t>
            </w:r>
          </w:p>
        </w:tc>
        <w:tc>
          <w:tcPr>
            <w:tcW w:w="740" w:type="dxa"/>
            <w:tcBorders>
              <w:top w:val="nil"/>
              <w:left w:val="nil"/>
              <w:bottom w:val="nil"/>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12</w:t>
            </w:r>
          </w:p>
        </w:tc>
        <w:tc>
          <w:tcPr>
            <w:tcW w:w="740" w:type="dxa"/>
            <w:tcBorders>
              <w:top w:val="nil"/>
              <w:left w:val="nil"/>
              <w:bottom w:val="nil"/>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7</w:t>
            </w:r>
          </w:p>
        </w:tc>
        <w:tc>
          <w:tcPr>
            <w:tcW w:w="940" w:type="dxa"/>
            <w:tcBorders>
              <w:top w:val="nil"/>
              <w:left w:val="nil"/>
              <w:bottom w:val="nil"/>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151</w:t>
            </w:r>
          </w:p>
        </w:tc>
      </w:tr>
      <w:tr w:rsidR="00647BDC" w:rsidRPr="00567E16" w:rsidTr="00D07581">
        <w:trPr>
          <w:trHeight w:val="315"/>
        </w:trPr>
        <w:tc>
          <w:tcPr>
            <w:tcW w:w="1920" w:type="dxa"/>
            <w:tcBorders>
              <w:top w:val="nil"/>
              <w:left w:val="nil"/>
              <w:bottom w:val="single" w:sz="4" w:space="0" w:color="auto"/>
              <w:right w:val="nil"/>
            </w:tcBorders>
            <w:shd w:val="clear" w:color="auto" w:fill="auto"/>
            <w:noWrap/>
            <w:vAlign w:val="bottom"/>
            <w:hideMark/>
          </w:tcPr>
          <w:p w:rsidR="00647BDC" w:rsidRPr="00567E16" w:rsidRDefault="00647BDC" w:rsidP="00D07581">
            <w:pPr>
              <w:tabs>
                <w:tab w:val="clear" w:pos="567"/>
              </w:tabs>
              <w:spacing w:after="0" w:line="240" w:lineRule="auto"/>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Dollars per capita</w:t>
            </w:r>
          </w:p>
        </w:tc>
        <w:tc>
          <w:tcPr>
            <w:tcW w:w="880" w:type="dxa"/>
            <w:tcBorders>
              <w:top w:val="nil"/>
              <w:left w:val="nil"/>
              <w:bottom w:val="single" w:sz="4" w:space="0" w:color="auto"/>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-18</w:t>
            </w:r>
          </w:p>
        </w:tc>
        <w:tc>
          <w:tcPr>
            <w:tcW w:w="740" w:type="dxa"/>
            <w:tcBorders>
              <w:top w:val="nil"/>
              <w:left w:val="nil"/>
              <w:bottom w:val="single" w:sz="4" w:space="0" w:color="auto"/>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15</w:t>
            </w:r>
          </w:p>
        </w:tc>
        <w:tc>
          <w:tcPr>
            <w:tcW w:w="740" w:type="dxa"/>
            <w:tcBorders>
              <w:top w:val="nil"/>
              <w:left w:val="nil"/>
              <w:bottom w:val="single" w:sz="4" w:space="0" w:color="auto"/>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2</w:t>
            </w:r>
          </w:p>
        </w:tc>
        <w:tc>
          <w:tcPr>
            <w:tcW w:w="740" w:type="dxa"/>
            <w:tcBorders>
              <w:top w:val="nil"/>
              <w:left w:val="nil"/>
              <w:bottom w:val="single" w:sz="4" w:space="0" w:color="auto"/>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6</w:t>
            </w:r>
          </w:p>
        </w:tc>
        <w:tc>
          <w:tcPr>
            <w:tcW w:w="780" w:type="dxa"/>
            <w:tcBorders>
              <w:top w:val="nil"/>
              <w:left w:val="nil"/>
              <w:bottom w:val="single" w:sz="4" w:space="0" w:color="auto"/>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-13</w:t>
            </w:r>
          </w:p>
        </w:tc>
        <w:tc>
          <w:tcPr>
            <w:tcW w:w="740" w:type="dxa"/>
            <w:tcBorders>
              <w:top w:val="nil"/>
              <w:left w:val="nil"/>
              <w:bottom w:val="single" w:sz="4" w:space="0" w:color="auto"/>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46</w:t>
            </w:r>
          </w:p>
        </w:tc>
        <w:tc>
          <w:tcPr>
            <w:tcW w:w="740" w:type="dxa"/>
            <w:tcBorders>
              <w:top w:val="nil"/>
              <w:left w:val="nil"/>
              <w:bottom w:val="single" w:sz="4" w:space="0" w:color="auto"/>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32</w:t>
            </w:r>
          </w:p>
        </w:tc>
        <w:tc>
          <w:tcPr>
            <w:tcW w:w="740" w:type="dxa"/>
            <w:tcBorders>
              <w:top w:val="nil"/>
              <w:left w:val="nil"/>
              <w:bottom w:val="single" w:sz="4" w:space="0" w:color="auto"/>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27</w:t>
            </w:r>
          </w:p>
        </w:tc>
        <w:tc>
          <w:tcPr>
            <w:tcW w:w="940" w:type="dxa"/>
            <w:tcBorders>
              <w:top w:val="nil"/>
              <w:left w:val="nil"/>
              <w:bottom w:val="single" w:sz="4" w:space="0" w:color="auto"/>
              <w:right w:val="nil"/>
            </w:tcBorders>
            <w:shd w:val="clear" w:color="auto" w:fill="auto"/>
            <w:noWrap/>
            <w:vAlign w:val="bottom"/>
            <w:hideMark/>
          </w:tcPr>
          <w:p w:rsidR="00647BDC" w:rsidRPr="00567E16"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567E16">
              <w:rPr>
                <w:rFonts w:ascii="Calibri" w:eastAsia="Times New Roman" w:hAnsi="Calibri" w:cs="Times New Roman"/>
                <w:sz w:val="20"/>
                <w:szCs w:val="20"/>
                <w:lang w:eastAsia="en-AU"/>
              </w:rPr>
              <w:t>7</w:t>
            </w:r>
          </w:p>
        </w:tc>
      </w:tr>
    </w:tbl>
    <w:p w:rsidR="00647BDC" w:rsidRDefault="00647BDC" w:rsidP="00647BDC">
      <w:pPr>
        <w:pStyle w:val="CGCTableFootnote"/>
      </w:pPr>
      <w:r>
        <w:t>Source:</w:t>
      </w:r>
      <w:r>
        <w:tab/>
        <w:t>Commission calculation.</w:t>
      </w:r>
    </w:p>
    <w:p w:rsidR="00647BDC" w:rsidRPr="00755429" w:rsidRDefault="00647BDC" w:rsidP="00647BDC">
      <w:pPr>
        <w:pStyle w:val="CGCNumberedPara"/>
        <w:numPr>
          <w:ilvl w:val="1"/>
          <w:numId w:val="2"/>
        </w:numPr>
      </w:pPr>
      <w:r w:rsidRPr="00755429">
        <w:fldChar w:fldCharType="begin"/>
      </w:r>
      <w:r w:rsidRPr="00755429">
        <w:instrText xml:space="preserve"> REF _Ref388539521 \h </w:instrText>
      </w:r>
      <w:r>
        <w:instrText xml:space="preserve"> \* MERGEFORMAT </w:instrText>
      </w:r>
      <w:r w:rsidRPr="00755429">
        <w:fldChar w:fldCharType="separate"/>
      </w:r>
      <w:r w:rsidR="005B69B1" w:rsidRPr="00755429">
        <w:t xml:space="preserve">Table </w:t>
      </w:r>
      <w:r w:rsidR="005B69B1">
        <w:rPr>
          <w:noProof/>
        </w:rPr>
        <w:t>4</w:t>
      </w:r>
      <w:r w:rsidRPr="00755429">
        <w:fldChar w:fldCharType="end"/>
      </w:r>
      <w:r w:rsidRPr="00755429">
        <w:t xml:space="preserve"> shows the Insurance tax assessment is material - the redistribution exceeds the disability materiality threshold of $30 per capita. New South Wales said the assessment should be discontinued if it failed the materiality test. </w:t>
      </w:r>
    </w:p>
    <w:p w:rsidR="00647BDC" w:rsidRPr="00755429" w:rsidRDefault="00647BDC" w:rsidP="00647BDC">
      <w:pPr>
        <w:pStyle w:val="Heading3"/>
      </w:pPr>
      <w:bookmarkStart w:id="103" w:name="_Toc390955829"/>
      <w:r>
        <w:t>Changes since the 2010 Review</w:t>
      </w:r>
      <w:bookmarkEnd w:id="103"/>
    </w:p>
    <w:p w:rsidR="00647BDC" w:rsidRPr="00755429" w:rsidRDefault="00647BDC" w:rsidP="00647BDC">
      <w:pPr>
        <w:pStyle w:val="CGCNumberedPara"/>
        <w:numPr>
          <w:ilvl w:val="1"/>
          <w:numId w:val="2"/>
        </w:numPr>
      </w:pPr>
      <w:r w:rsidRPr="00755429">
        <w:t xml:space="preserve">The category includes fire and emergency services levies on insurance products. In the 2010 Review, these levies were assessed in the </w:t>
      </w:r>
      <w:proofErr w:type="gramStart"/>
      <w:r w:rsidRPr="00755429">
        <w:t>Other</w:t>
      </w:r>
      <w:proofErr w:type="gramEnd"/>
      <w:r w:rsidRPr="00755429">
        <w:t xml:space="preserve"> revenue category.</w:t>
      </w:r>
    </w:p>
    <w:p w:rsidR="00647BDC" w:rsidRPr="00755429" w:rsidRDefault="00647BDC" w:rsidP="00647BDC">
      <w:pPr>
        <w:sectPr w:rsidR="00647BDC" w:rsidRPr="00755429" w:rsidSect="0004123E">
          <w:footerReference w:type="default" r:id="rId17"/>
          <w:footerReference w:type="first" r:id="rId18"/>
          <w:footnotePr>
            <w:numRestart w:val="eachSect"/>
          </w:footnotePr>
          <w:pgSz w:w="11899" w:h="16838" w:code="9"/>
          <w:pgMar w:top="1701" w:right="1474" w:bottom="1701" w:left="1474" w:header="709" w:footer="709" w:gutter="0"/>
          <w:cols w:space="708"/>
          <w:titlePg/>
          <w:docGrid w:linePitch="299"/>
        </w:sectPr>
      </w:pPr>
    </w:p>
    <w:p w:rsidR="00647BDC" w:rsidRPr="00755429" w:rsidRDefault="00647BDC" w:rsidP="00647BDC">
      <w:pPr>
        <w:pStyle w:val="Heading1"/>
      </w:pPr>
      <w:bookmarkStart w:id="104" w:name="_Toc390955830"/>
      <w:r>
        <w:lastRenderedPageBreak/>
        <w:t>ATTACHMENT</w:t>
      </w:r>
      <w:r w:rsidRPr="00755429">
        <w:t xml:space="preserve"> 6</w:t>
      </w:r>
      <w:bookmarkEnd w:id="104"/>
    </w:p>
    <w:p w:rsidR="00647BDC" w:rsidRPr="00755429" w:rsidRDefault="00647BDC" w:rsidP="00647BDC">
      <w:pPr>
        <w:pStyle w:val="Heading2"/>
      </w:pPr>
      <w:bookmarkStart w:id="105" w:name="_Toc390955831"/>
      <w:r w:rsidRPr="00755429">
        <w:t>MOTOR TAXES</w:t>
      </w:r>
      <w:bookmarkEnd w:id="105"/>
    </w:p>
    <w:tbl>
      <w:tblPr>
        <w:tblW w:w="0" w:type="auto"/>
        <w:shd w:val="clear" w:color="auto" w:fill="D9F3E6"/>
        <w:tblLayout w:type="fixed"/>
        <w:tblLook w:val="0000" w:firstRow="0" w:lastRow="0" w:firstColumn="0" w:lastColumn="0" w:noHBand="0" w:noVBand="0"/>
      </w:tblPr>
      <w:tblGrid>
        <w:gridCol w:w="9174"/>
      </w:tblGrid>
      <w:tr w:rsidR="00647BDC" w:rsidRPr="00755429" w:rsidTr="00D07581">
        <w:tc>
          <w:tcPr>
            <w:tcW w:w="9174" w:type="dxa"/>
            <w:shd w:val="clear" w:color="auto" w:fill="D9F3E6"/>
          </w:tcPr>
          <w:p w:rsidR="00647BDC" w:rsidRPr="00755429" w:rsidRDefault="00647BDC" w:rsidP="00D07581">
            <w:pPr>
              <w:rPr>
                <w:b/>
              </w:rPr>
            </w:pPr>
            <w:r w:rsidRPr="00755429">
              <w:rPr>
                <w:b/>
              </w:rPr>
              <w:t>Summary of changes since the 2010 Review</w:t>
            </w:r>
          </w:p>
        </w:tc>
      </w:tr>
      <w:tr w:rsidR="00647BDC" w:rsidRPr="00755429" w:rsidTr="00D07581">
        <w:tc>
          <w:tcPr>
            <w:tcW w:w="9174" w:type="dxa"/>
            <w:shd w:val="clear" w:color="auto" w:fill="D9F3E6"/>
          </w:tcPr>
          <w:p w:rsidR="00647BDC" w:rsidRDefault="00647BDC" w:rsidP="00D07581">
            <w:pPr>
              <w:pStyle w:val="CGCBulletlist"/>
            </w:pPr>
            <w:r w:rsidRPr="00755429">
              <w:t>The assessment method is unchanged, but the stamp duties on the transfer of motor vehicles assessment have been moved to the conveyances category.</w:t>
            </w:r>
          </w:p>
          <w:p w:rsidR="00647BDC" w:rsidRPr="00755429" w:rsidRDefault="00647BDC" w:rsidP="00D07581">
            <w:pPr>
              <w:pStyle w:val="CGCBulletlist"/>
            </w:pPr>
            <w:r w:rsidRPr="00755429">
              <w:t xml:space="preserve">Revenue from fire and emergency levies on motor vehicles has been moved from </w:t>
            </w:r>
            <w:proofErr w:type="gramStart"/>
            <w:r w:rsidRPr="00755429">
              <w:t>Other</w:t>
            </w:r>
            <w:proofErr w:type="gramEnd"/>
            <w:r w:rsidRPr="00755429">
              <w:t xml:space="preserve"> revenue to this category. </w:t>
            </w:r>
          </w:p>
          <w:p w:rsidR="00647BDC" w:rsidRPr="00755429" w:rsidRDefault="00647BDC" w:rsidP="00D07581">
            <w:pPr>
              <w:pStyle w:val="CGCBulletlist"/>
              <w:numPr>
                <w:ilvl w:val="0"/>
                <w:numId w:val="0"/>
              </w:numPr>
              <w:ind w:left="927"/>
            </w:pPr>
          </w:p>
        </w:tc>
      </w:tr>
    </w:tbl>
    <w:p w:rsidR="00647BDC" w:rsidRDefault="00647BDC" w:rsidP="00647BDC">
      <w:pPr>
        <w:pStyle w:val="Heading3"/>
      </w:pPr>
      <w:bookmarkStart w:id="106" w:name="_Toc390955832"/>
      <w:r>
        <w:t>What is included in the motor taxes category?</w:t>
      </w:r>
      <w:bookmarkEnd w:id="106"/>
    </w:p>
    <w:p w:rsidR="00647BDC" w:rsidRPr="00755429" w:rsidRDefault="00647BDC" w:rsidP="00647BDC">
      <w:pPr>
        <w:pStyle w:val="CGCNumberedPara"/>
        <w:numPr>
          <w:ilvl w:val="1"/>
          <w:numId w:val="15"/>
        </w:numPr>
      </w:pPr>
      <w:r w:rsidRPr="00755429">
        <w:t>The Motor taxes category includes annual motor vehicle registration, fire and emergency levies imposed on motor vehicles, traffic improvement and number plate fees and revenues raised by the Commonwealth under its Federal Interstate Registration Scheme (FIRS).</w:t>
      </w:r>
    </w:p>
    <w:p w:rsidR="00647BDC" w:rsidRPr="00755429" w:rsidRDefault="00647BDC" w:rsidP="00647BDC">
      <w:pPr>
        <w:pStyle w:val="CGCNumberedPara"/>
        <w:numPr>
          <w:ilvl w:val="1"/>
          <w:numId w:val="2"/>
        </w:numPr>
      </w:pPr>
      <w:r w:rsidRPr="00755429">
        <w:t xml:space="preserve">The category does not include stamp duties on vehicle sales, duty collected on compulsory third party insurance premiums or driver licence and permit fees. Stamp duties on vehicle sales are assessed in the Stamp duty on conveyances category. Revenue from duty on insurance premiums is assessed in the Insurance tax category while driver licence and permit fee revenue is assessed in the </w:t>
      </w:r>
      <w:proofErr w:type="gramStart"/>
      <w:r w:rsidRPr="00755429">
        <w:t>Other</w:t>
      </w:r>
      <w:proofErr w:type="gramEnd"/>
      <w:r w:rsidRPr="00755429">
        <w:t xml:space="preserve"> revenue category.</w:t>
      </w:r>
    </w:p>
    <w:p w:rsidR="00647BDC" w:rsidRPr="00755429" w:rsidRDefault="00647BDC" w:rsidP="00647BDC">
      <w:pPr>
        <w:pStyle w:val="CGCNumberedPara"/>
        <w:numPr>
          <w:ilvl w:val="1"/>
          <w:numId w:val="2"/>
        </w:numPr>
      </w:pPr>
      <w:r w:rsidRPr="00755429">
        <w:fldChar w:fldCharType="begin"/>
      </w:r>
      <w:r w:rsidRPr="00755429">
        <w:instrText xml:space="preserve"> REF _Ref389636826 \h </w:instrText>
      </w:r>
      <w:r>
        <w:instrText xml:space="preserve"> \* MERGEFORMAT </w:instrText>
      </w:r>
      <w:r w:rsidRPr="00755429">
        <w:fldChar w:fldCharType="separate"/>
      </w:r>
      <w:r w:rsidR="005B69B1" w:rsidRPr="00755429">
        <w:t xml:space="preserve">Table </w:t>
      </w:r>
      <w:r w:rsidR="005B69B1">
        <w:rPr>
          <w:noProof/>
        </w:rPr>
        <w:t>1</w:t>
      </w:r>
      <w:r w:rsidRPr="00755429">
        <w:fldChar w:fldCharType="end"/>
      </w:r>
      <w:r w:rsidRPr="00755429">
        <w:t xml:space="preserve"> shows States collected $6.3 billion in motor taxes in 2012</w:t>
      </w:r>
      <w:r w:rsidRPr="00755429">
        <w:noBreakHyphen/>
        <w:t>13. Around 81% came from light vehicle registration charges and 19% from heavy vehicle registrations.</w:t>
      </w:r>
    </w:p>
    <w:p w:rsidR="00647BDC" w:rsidRPr="00755429" w:rsidRDefault="00647BDC" w:rsidP="00647BDC">
      <w:pPr>
        <w:pStyle w:val="CGCTableHeading"/>
      </w:pPr>
      <w:bookmarkStart w:id="107" w:name="_Ref384718798"/>
      <w:bookmarkStart w:id="108" w:name="_Ref389636826"/>
      <w:r w:rsidRPr="00755429">
        <w:t xml:space="preserve">Table </w:t>
      </w:r>
      <w:bookmarkEnd w:id="107"/>
      <w:r w:rsidRPr="00755429">
        <w:fldChar w:fldCharType="begin"/>
      </w:r>
      <w:r w:rsidRPr="00755429">
        <w:instrText xml:space="preserve"> SEQ Table \* ARABIC \r1 </w:instrText>
      </w:r>
      <w:r w:rsidRPr="00755429">
        <w:fldChar w:fldCharType="separate"/>
      </w:r>
      <w:r w:rsidR="005B69B1">
        <w:rPr>
          <w:noProof/>
        </w:rPr>
        <w:t>1</w:t>
      </w:r>
      <w:r w:rsidRPr="00755429">
        <w:fldChar w:fldCharType="end"/>
      </w:r>
      <w:bookmarkEnd w:id="108"/>
      <w:r w:rsidRPr="00755429">
        <w:tab/>
        <w:t>Revenue from motor taxes, 2012</w:t>
      </w:r>
      <w:r w:rsidRPr="00755429">
        <w:noBreakHyphen/>
        <w:t>13</w:t>
      </w:r>
    </w:p>
    <w:tbl>
      <w:tblPr>
        <w:tblW w:w="8940" w:type="dxa"/>
        <w:tblInd w:w="93" w:type="dxa"/>
        <w:tblLook w:val="04A0" w:firstRow="1" w:lastRow="0" w:firstColumn="1" w:lastColumn="0" w:noHBand="0" w:noVBand="1"/>
      </w:tblPr>
      <w:tblGrid>
        <w:gridCol w:w="2860"/>
        <w:gridCol w:w="760"/>
        <w:gridCol w:w="760"/>
        <w:gridCol w:w="760"/>
        <w:gridCol w:w="620"/>
        <w:gridCol w:w="620"/>
        <w:gridCol w:w="620"/>
        <w:gridCol w:w="620"/>
        <w:gridCol w:w="560"/>
        <w:gridCol w:w="760"/>
      </w:tblGrid>
      <w:tr w:rsidR="00647BDC" w:rsidRPr="00CE329D" w:rsidTr="00D07581">
        <w:trPr>
          <w:trHeight w:val="379"/>
        </w:trPr>
        <w:tc>
          <w:tcPr>
            <w:tcW w:w="286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 </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Qld</w:t>
            </w:r>
          </w:p>
        </w:tc>
        <w:tc>
          <w:tcPr>
            <w:tcW w:w="62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WA</w:t>
            </w:r>
          </w:p>
        </w:tc>
        <w:tc>
          <w:tcPr>
            <w:tcW w:w="62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SA</w:t>
            </w:r>
          </w:p>
        </w:tc>
        <w:tc>
          <w:tcPr>
            <w:tcW w:w="62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CE329D">
              <w:rPr>
                <w:rFonts w:ascii="Calibri" w:eastAsia="Times New Roman" w:hAnsi="Calibri" w:cs="Times New Roman"/>
                <w:sz w:val="20"/>
                <w:szCs w:val="20"/>
                <w:lang w:eastAsia="en-AU"/>
              </w:rPr>
              <w:t>Tas</w:t>
            </w:r>
            <w:proofErr w:type="spellEnd"/>
          </w:p>
        </w:tc>
        <w:tc>
          <w:tcPr>
            <w:tcW w:w="62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ACT</w:t>
            </w:r>
          </w:p>
        </w:tc>
        <w:tc>
          <w:tcPr>
            <w:tcW w:w="56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NT</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Total</w:t>
            </w:r>
          </w:p>
        </w:tc>
      </w:tr>
      <w:tr w:rsidR="00647BDC" w:rsidRPr="00CE329D" w:rsidTr="00D07581">
        <w:trPr>
          <w:trHeight w:val="259"/>
        </w:trPr>
        <w:tc>
          <w:tcPr>
            <w:tcW w:w="286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$m</w:t>
            </w:r>
          </w:p>
        </w:tc>
        <w:tc>
          <w:tcPr>
            <w:tcW w:w="62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$m</w:t>
            </w:r>
          </w:p>
        </w:tc>
        <w:tc>
          <w:tcPr>
            <w:tcW w:w="62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$m</w:t>
            </w:r>
          </w:p>
        </w:tc>
        <w:tc>
          <w:tcPr>
            <w:tcW w:w="62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$m</w:t>
            </w:r>
          </w:p>
        </w:tc>
        <w:tc>
          <w:tcPr>
            <w:tcW w:w="62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$m</w:t>
            </w:r>
          </w:p>
        </w:tc>
        <w:tc>
          <w:tcPr>
            <w:tcW w:w="56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$m</w:t>
            </w:r>
          </w:p>
        </w:tc>
      </w:tr>
      <w:tr w:rsidR="00647BDC" w:rsidRPr="00CE329D" w:rsidTr="00D07581">
        <w:trPr>
          <w:trHeight w:val="315"/>
        </w:trPr>
        <w:tc>
          <w:tcPr>
            <w:tcW w:w="286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Light vehicle registrations</w:t>
            </w:r>
          </w:p>
        </w:tc>
        <w:tc>
          <w:tcPr>
            <w:tcW w:w="76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1 941</w:t>
            </w:r>
          </w:p>
        </w:tc>
        <w:tc>
          <w:tcPr>
            <w:tcW w:w="76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961</w:t>
            </w:r>
          </w:p>
        </w:tc>
        <w:tc>
          <w:tcPr>
            <w:tcW w:w="76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1 238</w:t>
            </w:r>
          </w:p>
        </w:tc>
        <w:tc>
          <w:tcPr>
            <w:tcW w:w="62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520</w:t>
            </w:r>
          </w:p>
        </w:tc>
        <w:tc>
          <w:tcPr>
            <w:tcW w:w="62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268</w:t>
            </w:r>
          </w:p>
        </w:tc>
        <w:tc>
          <w:tcPr>
            <w:tcW w:w="62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83</w:t>
            </w:r>
          </w:p>
        </w:tc>
        <w:tc>
          <w:tcPr>
            <w:tcW w:w="62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96</w:t>
            </w:r>
          </w:p>
        </w:tc>
        <w:tc>
          <w:tcPr>
            <w:tcW w:w="56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17</w:t>
            </w:r>
          </w:p>
        </w:tc>
        <w:tc>
          <w:tcPr>
            <w:tcW w:w="76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5 123</w:t>
            </w:r>
          </w:p>
        </w:tc>
      </w:tr>
      <w:tr w:rsidR="00647BDC" w:rsidRPr="00CE329D" w:rsidTr="00D07581">
        <w:trPr>
          <w:trHeight w:val="315"/>
        </w:trPr>
        <w:tc>
          <w:tcPr>
            <w:tcW w:w="286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Heavy vehicle registrations (a)</w:t>
            </w:r>
          </w:p>
        </w:tc>
        <w:tc>
          <w:tcPr>
            <w:tcW w:w="76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292</w:t>
            </w:r>
          </w:p>
        </w:tc>
        <w:tc>
          <w:tcPr>
            <w:tcW w:w="76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301</w:t>
            </w:r>
          </w:p>
        </w:tc>
        <w:tc>
          <w:tcPr>
            <w:tcW w:w="76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256</w:t>
            </w:r>
          </w:p>
        </w:tc>
        <w:tc>
          <w:tcPr>
            <w:tcW w:w="62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188</w:t>
            </w:r>
          </w:p>
        </w:tc>
        <w:tc>
          <w:tcPr>
            <w:tcW w:w="62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105</w:t>
            </w:r>
          </w:p>
        </w:tc>
        <w:tc>
          <w:tcPr>
            <w:tcW w:w="62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24</w:t>
            </w:r>
          </w:p>
        </w:tc>
        <w:tc>
          <w:tcPr>
            <w:tcW w:w="62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5</w:t>
            </w:r>
          </w:p>
        </w:tc>
        <w:tc>
          <w:tcPr>
            <w:tcW w:w="56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18</w:t>
            </w:r>
          </w:p>
        </w:tc>
        <w:tc>
          <w:tcPr>
            <w:tcW w:w="760" w:type="dxa"/>
            <w:tcBorders>
              <w:top w:val="nil"/>
              <w:left w:val="nil"/>
              <w:bottom w:val="nil"/>
              <w:right w:val="nil"/>
            </w:tcBorders>
            <w:shd w:val="clear" w:color="auto" w:fill="auto"/>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1 189</w:t>
            </w:r>
          </w:p>
        </w:tc>
      </w:tr>
      <w:tr w:rsidR="00647BDC" w:rsidRPr="00CE329D" w:rsidTr="00D07581">
        <w:trPr>
          <w:trHeight w:val="315"/>
        </w:trPr>
        <w:tc>
          <w:tcPr>
            <w:tcW w:w="2860" w:type="dxa"/>
            <w:tcBorders>
              <w:top w:val="nil"/>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Total</w:t>
            </w:r>
          </w:p>
        </w:tc>
        <w:tc>
          <w:tcPr>
            <w:tcW w:w="760" w:type="dxa"/>
            <w:tcBorders>
              <w:top w:val="single" w:sz="4" w:space="0" w:color="auto"/>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2 233</w:t>
            </w:r>
          </w:p>
        </w:tc>
        <w:tc>
          <w:tcPr>
            <w:tcW w:w="760" w:type="dxa"/>
            <w:tcBorders>
              <w:top w:val="single" w:sz="4" w:space="0" w:color="auto"/>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1 262</w:t>
            </w:r>
          </w:p>
        </w:tc>
        <w:tc>
          <w:tcPr>
            <w:tcW w:w="760" w:type="dxa"/>
            <w:tcBorders>
              <w:top w:val="single" w:sz="4" w:space="0" w:color="auto"/>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1 493</w:t>
            </w:r>
          </w:p>
        </w:tc>
        <w:tc>
          <w:tcPr>
            <w:tcW w:w="620" w:type="dxa"/>
            <w:tcBorders>
              <w:top w:val="single" w:sz="4" w:space="0" w:color="auto"/>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708</w:t>
            </w:r>
          </w:p>
        </w:tc>
        <w:tc>
          <w:tcPr>
            <w:tcW w:w="620" w:type="dxa"/>
            <w:tcBorders>
              <w:top w:val="single" w:sz="4" w:space="0" w:color="auto"/>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374</w:t>
            </w:r>
          </w:p>
        </w:tc>
        <w:tc>
          <w:tcPr>
            <w:tcW w:w="620" w:type="dxa"/>
            <w:tcBorders>
              <w:top w:val="single" w:sz="4" w:space="0" w:color="auto"/>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107</w:t>
            </w:r>
          </w:p>
        </w:tc>
        <w:tc>
          <w:tcPr>
            <w:tcW w:w="620" w:type="dxa"/>
            <w:tcBorders>
              <w:top w:val="single" w:sz="4" w:space="0" w:color="auto"/>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101</w:t>
            </w:r>
          </w:p>
        </w:tc>
        <w:tc>
          <w:tcPr>
            <w:tcW w:w="560" w:type="dxa"/>
            <w:tcBorders>
              <w:top w:val="single" w:sz="4" w:space="0" w:color="auto"/>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35</w:t>
            </w:r>
          </w:p>
        </w:tc>
        <w:tc>
          <w:tcPr>
            <w:tcW w:w="760" w:type="dxa"/>
            <w:tcBorders>
              <w:top w:val="single" w:sz="4" w:space="0" w:color="auto"/>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6 313</w:t>
            </w:r>
          </w:p>
        </w:tc>
      </w:tr>
    </w:tbl>
    <w:p w:rsidR="00647BDC" w:rsidRPr="00755429" w:rsidRDefault="00647BDC" w:rsidP="00647BDC">
      <w:pPr>
        <w:pStyle w:val="CGCTableFootnote"/>
      </w:pPr>
      <w:r w:rsidRPr="00755429">
        <w:t>(a)</w:t>
      </w:r>
      <w:r w:rsidRPr="00755429">
        <w:tab/>
        <w:t>Includes revenue from Federal Interstate Registration Scheme.</w:t>
      </w:r>
    </w:p>
    <w:p w:rsidR="00647BDC" w:rsidRPr="00755429" w:rsidRDefault="00647BDC" w:rsidP="00647BDC">
      <w:pPr>
        <w:pStyle w:val="CGCTableFootnote"/>
        <w:ind w:left="0" w:firstLine="0"/>
      </w:pPr>
      <w:r w:rsidRPr="00755429">
        <w:t>Source:</w:t>
      </w:r>
      <w:r w:rsidRPr="00755429">
        <w:tab/>
        <w:t>Commission calculation using State data.</w:t>
      </w:r>
    </w:p>
    <w:p w:rsidR="00647BDC" w:rsidRPr="00755429" w:rsidRDefault="00647BDC" w:rsidP="00647BDC">
      <w:pPr>
        <w:pStyle w:val="CGCNumberedPara"/>
        <w:numPr>
          <w:ilvl w:val="1"/>
          <w:numId w:val="2"/>
        </w:numPr>
      </w:pPr>
      <w:r w:rsidRPr="00755429">
        <w:lastRenderedPageBreak/>
        <w:t>Table 2 shows motor taxes contributed around 6% of own-source revenue in 2012</w:t>
      </w:r>
      <w:r w:rsidRPr="00755429">
        <w:noBreakHyphen/>
        <w:t xml:space="preserve">13. </w:t>
      </w:r>
    </w:p>
    <w:p w:rsidR="00647BDC" w:rsidRPr="00755429" w:rsidRDefault="00647BDC" w:rsidP="00647BDC">
      <w:pPr>
        <w:pStyle w:val="CGCTableHeading"/>
      </w:pPr>
      <w:r w:rsidRPr="00755429">
        <w:t xml:space="preserve">Table </w:t>
      </w:r>
      <w:r w:rsidR="005B69B1">
        <w:fldChar w:fldCharType="begin"/>
      </w:r>
      <w:r w:rsidR="005B69B1">
        <w:instrText xml:space="preserve"> SEQ Table \* ARABIC </w:instrText>
      </w:r>
      <w:r w:rsidR="005B69B1">
        <w:fldChar w:fldCharType="separate"/>
      </w:r>
      <w:r w:rsidR="005B69B1">
        <w:rPr>
          <w:noProof/>
        </w:rPr>
        <w:t>2</w:t>
      </w:r>
      <w:r w:rsidR="005B69B1">
        <w:rPr>
          <w:noProof/>
        </w:rPr>
        <w:fldChar w:fldCharType="end"/>
      </w:r>
      <w:r w:rsidRPr="00755429">
        <w:tab/>
        <w:t>Motor tax revenue as a proportion of total State own-source revenue</w:t>
      </w:r>
    </w:p>
    <w:tbl>
      <w:tblPr>
        <w:tblW w:w="8980" w:type="dxa"/>
        <w:tblInd w:w="93" w:type="dxa"/>
        <w:tblLook w:val="04A0" w:firstRow="1" w:lastRow="0" w:firstColumn="1" w:lastColumn="0" w:noHBand="0" w:noVBand="1"/>
      </w:tblPr>
      <w:tblGrid>
        <w:gridCol w:w="3540"/>
        <w:gridCol w:w="1360"/>
        <w:gridCol w:w="1360"/>
        <w:gridCol w:w="1360"/>
        <w:gridCol w:w="1360"/>
      </w:tblGrid>
      <w:tr w:rsidR="00647BDC" w:rsidRPr="00CE329D" w:rsidTr="00D07581">
        <w:trPr>
          <w:trHeight w:val="375"/>
        </w:trPr>
        <w:tc>
          <w:tcPr>
            <w:tcW w:w="354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rPr>
                <w:rFonts w:ascii="Calibri" w:eastAsia="Times New Roman" w:hAnsi="Calibri" w:cs="Times New Roman"/>
                <w:sz w:val="20"/>
                <w:szCs w:val="20"/>
                <w:lang w:eastAsia="en-AU"/>
              </w:rPr>
            </w:pPr>
          </w:p>
        </w:tc>
        <w:tc>
          <w:tcPr>
            <w:tcW w:w="136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2009-10</w:t>
            </w:r>
          </w:p>
        </w:tc>
        <w:tc>
          <w:tcPr>
            <w:tcW w:w="136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2010-11</w:t>
            </w:r>
          </w:p>
        </w:tc>
        <w:tc>
          <w:tcPr>
            <w:tcW w:w="136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2011-12</w:t>
            </w:r>
          </w:p>
        </w:tc>
        <w:tc>
          <w:tcPr>
            <w:tcW w:w="1360" w:type="dxa"/>
            <w:tcBorders>
              <w:top w:val="single" w:sz="4" w:space="0" w:color="auto"/>
              <w:left w:val="nil"/>
              <w:bottom w:val="single" w:sz="4" w:space="0" w:color="auto"/>
              <w:right w:val="nil"/>
            </w:tcBorders>
            <w:shd w:val="clear" w:color="auto" w:fill="auto"/>
            <w:noWrap/>
            <w:vAlign w:val="center"/>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2012-13</w:t>
            </w:r>
          </w:p>
        </w:tc>
      </w:tr>
      <w:tr w:rsidR="00647BDC" w:rsidRPr="00CE329D" w:rsidTr="00D07581">
        <w:trPr>
          <w:trHeight w:val="315"/>
        </w:trPr>
        <w:tc>
          <w:tcPr>
            <w:tcW w:w="354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Total for category ($m)</w:t>
            </w:r>
          </w:p>
        </w:tc>
        <w:tc>
          <w:tcPr>
            <w:tcW w:w="136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5 034</w:t>
            </w:r>
          </w:p>
        </w:tc>
        <w:tc>
          <w:tcPr>
            <w:tcW w:w="136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5 466</w:t>
            </w:r>
          </w:p>
        </w:tc>
        <w:tc>
          <w:tcPr>
            <w:tcW w:w="136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5 838</w:t>
            </w:r>
          </w:p>
        </w:tc>
        <w:tc>
          <w:tcPr>
            <w:tcW w:w="136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6 313</w:t>
            </w:r>
          </w:p>
        </w:tc>
      </w:tr>
      <w:tr w:rsidR="00647BDC" w:rsidRPr="00CE329D" w:rsidTr="00D07581">
        <w:trPr>
          <w:trHeight w:val="315"/>
        </w:trPr>
        <w:tc>
          <w:tcPr>
            <w:tcW w:w="354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Total for own source revenue ($m)</w:t>
            </w:r>
          </w:p>
        </w:tc>
        <w:tc>
          <w:tcPr>
            <w:tcW w:w="136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86 388</w:t>
            </w:r>
          </w:p>
        </w:tc>
        <w:tc>
          <w:tcPr>
            <w:tcW w:w="136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94 809</w:t>
            </w:r>
          </w:p>
        </w:tc>
        <w:tc>
          <w:tcPr>
            <w:tcW w:w="136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98 699</w:t>
            </w:r>
          </w:p>
        </w:tc>
        <w:tc>
          <w:tcPr>
            <w:tcW w:w="1360" w:type="dxa"/>
            <w:tcBorders>
              <w:top w:val="nil"/>
              <w:left w:val="nil"/>
              <w:bottom w:val="nil"/>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107 061</w:t>
            </w:r>
          </w:p>
        </w:tc>
      </w:tr>
      <w:tr w:rsidR="00647BDC" w:rsidRPr="00CE329D" w:rsidTr="00D07581">
        <w:trPr>
          <w:trHeight w:val="315"/>
        </w:trPr>
        <w:tc>
          <w:tcPr>
            <w:tcW w:w="3540" w:type="dxa"/>
            <w:tcBorders>
              <w:top w:val="nil"/>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Proportion of own source revenue</w:t>
            </w:r>
          </w:p>
        </w:tc>
        <w:tc>
          <w:tcPr>
            <w:tcW w:w="1360" w:type="dxa"/>
            <w:tcBorders>
              <w:top w:val="nil"/>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5.8</w:t>
            </w:r>
          </w:p>
        </w:tc>
        <w:tc>
          <w:tcPr>
            <w:tcW w:w="1360" w:type="dxa"/>
            <w:tcBorders>
              <w:top w:val="nil"/>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5.8</w:t>
            </w:r>
          </w:p>
        </w:tc>
        <w:tc>
          <w:tcPr>
            <w:tcW w:w="1360" w:type="dxa"/>
            <w:tcBorders>
              <w:top w:val="nil"/>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5.9</w:t>
            </w:r>
          </w:p>
        </w:tc>
        <w:tc>
          <w:tcPr>
            <w:tcW w:w="1360" w:type="dxa"/>
            <w:tcBorders>
              <w:top w:val="nil"/>
              <w:left w:val="nil"/>
              <w:bottom w:val="single" w:sz="4" w:space="0" w:color="auto"/>
              <w:right w:val="nil"/>
            </w:tcBorders>
            <w:shd w:val="clear" w:color="auto" w:fill="auto"/>
            <w:noWrap/>
            <w:vAlign w:val="bottom"/>
            <w:hideMark/>
          </w:tcPr>
          <w:p w:rsidR="00647BDC" w:rsidRPr="00CE329D"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CE329D">
              <w:rPr>
                <w:rFonts w:ascii="Calibri" w:eastAsia="Times New Roman" w:hAnsi="Calibri" w:cs="Times New Roman"/>
                <w:sz w:val="20"/>
                <w:szCs w:val="20"/>
                <w:lang w:eastAsia="en-AU"/>
              </w:rPr>
              <w:t>5.9</w:t>
            </w:r>
          </w:p>
        </w:tc>
      </w:tr>
    </w:tbl>
    <w:p w:rsidR="00647BDC" w:rsidRPr="00755429" w:rsidRDefault="00647BDC" w:rsidP="00647BDC">
      <w:pPr>
        <w:pStyle w:val="CGCTableFootnote"/>
      </w:pPr>
      <w:r w:rsidRPr="00755429">
        <w:t>Source:</w:t>
      </w:r>
      <w:r w:rsidRPr="00755429">
        <w:tab/>
        <w:t>Commission calculation using State data.</w:t>
      </w:r>
    </w:p>
    <w:p w:rsidR="00647BDC" w:rsidRPr="00755429" w:rsidRDefault="00647BDC" w:rsidP="00647BDC">
      <w:pPr>
        <w:pStyle w:val="Heading4"/>
      </w:pPr>
      <w:bookmarkStart w:id="109" w:name="RANGE!B11:F14"/>
      <w:bookmarkEnd w:id="109"/>
      <w:r w:rsidRPr="00755429">
        <w:t>How are revenues raised?</w:t>
      </w:r>
    </w:p>
    <w:p w:rsidR="00647BDC" w:rsidRPr="00755429" w:rsidRDefault="00647BDC" w:rsidP="00647BDC">
      <w:pPr>
        <w:pStyle w:val="CGCNumberedPara"/>
        <w:numPr>
          <w:ilvl w:val="1"/>
          <w:numId w:val="2"/>
        </w:numPr>
      </w:pPr>
      <w:r w:rsidRPr="00755429">
        <w:t>Motor vehicle registration fees are imposed annually.</w:t>
      </w:r>
    </w:p>
    <w:p w:rsidR="00647BDC" w:rsidRPr="00755429" w:rsidRDefault="00647BDC" w:rsidP="00647BDC">
      <w:pPr>
        <w:pStyle w:val="CGCNumberedPara"/>
        <w:numPr>
          <w:ilvl w:val="1"/>
          <w:numId w:val="2"/>
        </w:numPr>
      </w:pPr>
      <w:r w:rsidRPr="00755429">
        <w:t>Registration fees vary across States and can be set according to the engine capacity, the number of cylinders and use of the vehicle. The average policy is for different rates of tax to be paid according to vehicle types and for the rate of tax to increase with vehicle size — light vehicles pay the lowest rates with rigid trucks paying higher rates and articulated trucks paying higher rates again.</w:t>
      </w:r>
    </w:p>
    <w:p w:rsidR="00647BDC" w:rsidRPr="00755429" w:rsidRDefault="00647BDC" w:rsidP="00647BDC">
      <w:pPr>
        <w:pStyle w:val="Heading3"/>
      </w:pPr>
      <w:bookmarkStart w:id="110" w:name="_Toc390955833"/>
      <w:r>
        <w:t>Category structure</w:t>
      </w:r>
      <w:bookmarkEnd w:id="110"/>
    </w:p>
    <w:p w:rsidR="00647BDC" w:rsidRPr="00755429" w:rsidRDefault="00647BDC" w:rsidP="00647BDC">
      <w:pPr>
        <w:pStyle w:val="CGCNumberedPara"/>
        <w:numPr>
          <w:ilvl w:val="1"/>
          <w:numId w:val="2"/>
        </w:numPr>
      </w:pPr>
      <w:r w:rsidRPr="00755429">
        <w:t>Motor taxes are assessed in two components:</w:t>
      </w:r>
    </w:p>
    <w:p w:rsidR="00647BDC" w:rsidRPr="00755429" w:rsidRDefault="00647BDC" w:rsidP="00D07581">
      <w:pPr>
        <w:pStyle w:val="CGCBulletlist"/>
      </w:pPr>
      <w:r w:rsidRPr="00755429">
        <w:t>light vehicle registrations</w:t>
      </w:r>
    </w:p>
    <w:p w:rsidR="00647BDC" w:rsidRPr="00755429" w:rsidRDefault="00647BDC" w:rsidP="00D07581">
      <w:pPr>
        <w:pStyle w:val="CGCBulletlist"/>
      </w:pPr>
      <w:proofErr w:type="gramStart"/>
      <w:r w:rsidRPr="00755429">
        <w:t>heavy</w:t>
      </w:r>
      <w:proofErr w:type="gramEnd"/>
      <w:r w:rsidRPr="00755429">
        <w:t xml:space="preserve"> vehicle registrations.</w:t>
      </w:r>
    </w:p>
    <w:p w:rsidR="00647BDC" w:rsidRPr="00755429" w:rsidRDefault="00647BDC" w:rsidP="00647BDC">
      <w:pPr>
        <w:pStyle w:val="CGCNumberedPara"/>
        <w:numPr>
          <w:ilvl w:val="1"/>
          <w:numId w:val="2"/>
        </w:numPr>
      </w:pPr>
      <w:r w:rsidRPr="00755429">
        <w:fldChar w:fldCharType="begin"/>
      </w:r>
      <w:r w:rsidRPr="00755429">
        <w:instrText xml:space="preserve"> REF _Ref385308963 \h </w:instrText>
      </w:r>
      <w:r>
        <w:instrText xml:space="preserve"> \* MERGEFORMAT </w:instrText>
      </w:r>
      <w:r w:rsidRPr="00755429">
        <w:fldChar w:fldCharType="separate"/>
      </w:r>
      <w:r w:rsidR="005B69B1" w:rsidRPr="00755429">
        <w:t xml:space="preserve">Table </w:t>
      </w:r>
      <w:r w:rsidR="005B69B1">
        <w:rPr>
          <w:noProof/>
        </w:rPr>
        <w:t>3</w:t>
      </w:r>
      <w:r w:rsidRPr="00755429">
        <w:fldChar w:fldCharType="end"/>
      </w:r>
      <w:r w:rsidRPr="00755429">
        <w:t xml:space="preserve"> shows the category’s assessment structure and the size of each component.</w:t>
      </w:r>
    </w:p>
    <w:p w:rsidR="00647BDC" w:rsidRPr="00755429" w:rsidRDefault="00647BDC" w:rsidP="00647BDC">
      <w:pPr>
        <w:pStyle w:val="CGCTableHeading"/>
      </w:pPr>
      <w:bookmarkStart w:id="111" w:name="_Ref385308963"/>
      <w:r w:rsidRPr="00755429">
        <w:t xml:space="preserve">Table </w:t>
      </w:r>
      <w:r w:rsidR="005B69B1">
        <w:fldChar w:fldCharType="begin"/>
      </w:r>
      <w:r w:rsidR="005B69B1">
        <w:instrText xml:space="preserve"> SEQ Table \* ARABIC </w:instrText>
      </w:r>
      <w:r w:rsidR="005B69B1">
        <w:fldChar w:fldCharType="separate"/>
      </w:r>
      <w:r w:rsidR="005B69B1">
        <w:rPr>
          <w:noProof/>
        </w:rPr>
        <w:t>3</w:t>
      </w:r>
      <w:r w:rsidR="005B69B1">
        <w:rPr>
          <w:noProof/>
        </w:rPr>
        <w:fldChar w:fldCharType="end"/>
      </w:r>
      <w:bookmarkEnd w:id="111"/>
      <w:r w:rsidRPr="00755429">
        <w:tab/>
        <w:t>Category structure, Motor taxes, 2012</w:t>
      </w:r>
      <w:r w:rsidRPr="00755429">
        <w:noBreakHyphen/>
        <w:t>13</w:t>
      </w:r>
    </w:p>
    <w:tbl>
      <w:tblPr>
        <w:tblW w:w="9081" w:type="dxa"/>
        <w:tblLayout w:type="fixed"/>
        <w:tblCellMar>
          <w:left w:w="0" w:type="dxa"/>
          <w:right w:w="0" w:type="dxa"/>
        </w:tblCellMar>
        <w:tblLook w:val="04A0" w:firstRow="1" w:lastRow="0" w:firstColumn="1" w:lastColumn="0" w:noHBand="0" w:noVBand="1"/>
      </w:tblPr>
      <w:tblGrid>
        <w:gridCol w:w="1656"/>
        <w:gridCol w:w="918"/>
        <w:gridCol w:w="262"/>
        <w:gridCol w:w="1656"/>
        <w:gridCol w:w="4589"/>
      </w:tblGrid>
      <w:tr w:rsidR="00647BDC" w:rsidRPr="00E2464F" w:rsidTr="00D07581">
        <w:trPr>
          <w:trHeight w:val="375"/>
        </w:trPr>
        <w:tc>
          <w:tcPr>
            <w:tcW w:w="1656" w:type="dxa"/>
            <w:tcBorders>
              <w:top w:val="single" w:sz="4" w:space="0" w:color="auto"/>
              <w:left w:val="nil"/>
              <w:bottom w:val="single" w:sz="4" w:space="0" w:color="auto"/>
              <w:right w:val="nil"/>
            </w:tcBorders>
            <w:shd w:val="clear" w:color="auto" w:fill="auto"/>
            <w:noWrap/>
            <w:vAlign w:val="center"/>
            <w:hideMark/>
          </w:tcPr>
          <w:p w:rsidR="00647BDC" w:rsidRPr="00E2464F"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Component</w:t>
            </w:r>
          </w:p>
        </w:tc>
        <w:tc>
          <w:tcPr>
            <w:tcW w:w="918" w:type="dxa"/>
            <w:tcBorders>
              <w:top w:val="single" w:sz="4" w:space="0" w:color="auto"/>
              <w:left w:val="nil"/>
              <w:bottom w:val="single" w:sz="4" w:space="0" w:color="auto"/>
              <w:right w:val="nil"/>
            </w:tcBorders>
            <w:shd w:val="clear" w:color="auto" w:fill="auto"/>
            <w:noWrap/>
            <w:vAlign w:val="center"/>
            <w:hideMark/>
          </w:tcPr>
          <w:p w:rsidR="00647BDC" w:rsidRPr="00E2464F"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Size</w:t>
            </w:r>
          </w:p>
        </w:tc>
        <w:tc>
          <w:tcPr>
            <w:tcW w:w="262" w:type="dxa"/>
            <w:tcBorders>
              <w:top w:val="single" w:sz="4" w:space="0" w:color="auto"/>
              <w:left w:val="nil"/>
              <w:bottom w:val="single" w:sz="4" w:space="0" w:color="auto"/>
              <w:right w:val="nil"/>
            </w:tcBorders>
            <w:shd w:val="clear" w:color="auto" w:fill="auto"/>
            <w:noWrap/>
            <w:vAlign w:val="center"/>
            <w:hideMark/>
          </w:tcPr>
          <w:p w:rsidR="00647BDC" w:rsidRPr="00E2464F"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 </w:t>
            </w:r>
          </w:p>
        </w:tc>
        <w:tc>
          <w:tcPr>
            <w:tcW w:w="1656" w:type="dxa"/>
            <w:tcBorders>
              <w:top w:val="single" w:sz="4" w:space="0" w:color="auto"/>
              <w:left w:val="nil"/>
              <w:bottom w:val="single" w:sz="4" w:space="0" w:color="auto"/>
              <w:right w:val="nil"/>
            </w:tcBorders>
            <w:shd w:val="clear" w:color="auto" w:fill="auto"/>
            <w:noWrap/>
            <w:vAlign w:val="center"/>
            <w:hideMark/>
          </w:tcPr>
          <w:p w:rsidR="00647BDC" w:rsidRPr="00E2464F"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Disability</w:t>
            </w:r>
          </w:p>
        </w:tc>
        <w:tc>
          <w:tcPr>
            <w:tcW w:w="4589" w:type="dxa"/>
            <w:tcBorders>
              <w:top w:val="single" w:sz="4" w:space="0" w:color="auto"/>
              <w:left w:val="nil"/>
              <w:bottom w:val="single" w:sz="4" w:space="0" w:color="auto"/>
              <w:right w:val="nil"/>
            </w:tcBorders>
            <w:shd w:val="clear" w:color="auto" w:fill="auto"/>
            <w:noWrap/>
            <w:vAlign w:val="center"/>
            <w:hideMark/>
          </w:tcPr>
          <w:p w:rsidR="00647BDC" w:rsidRPr="00E2464F"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Influence measured by disability</w:t>
            </w:r>
          </w:p>
        </w:tc>
      </w:tr>
      <w:tr w:rsidR="00647BDC" w:rsidRPr="00E2464F" w:rsidTr="00D07581">
        <w:trPr>
          <w:trHeight w:val="259"/>
        </w:trPr>
        <w:tc>
          <w:tcPr>
            <w:tcW w:w="1656" w:type="dxa"/>
            <w:tcBorders>
              <w:top w:val="nil"/>
              <w:left w:val="nil"/>
              <w:bottom w:val="nil"/>
              <w:right w:val="nil"/>
            </w:tcBorders>
            <w:shd w:val="clear" w:color="auto" w:fill="auto"/>
            <w:noWrap/>
            <w:vAlign w:val="bottom"/>
            <w:hideMark/>
          </w:tcPr>
          <w:p w:rsidR="00647BDC" w:rsidRPr="00E2464F"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918" w:type="dxa"/>
            <w:tcBorders>
              <w:top w:val="nil"/>
              <w:left w:val="nil"/>
              <w:bottom w:val="nil"/>
              <w:right w:val="nil"/>
            </w:tcBorders>
            <w:shd w:val="clear" w:color="auto" w:fill="auto"/>
            <w:noWrap/>
            <w:vAlign w:val="bottom"/>
            <w:hideMark/>
          </w:tcPr>
          <w:p w:rsidR="00647BDC" w:rsidRPr="00E2464F"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$m</w:t>
            </w:r>
          </w:p>
        </w:tc>
        <w:tc>
          <w:tcPr>
            <w:tcW w:w="262" w:type="dxa"/>
            <w:tcBorders>
              <w:top w:val="nil"/>
              <w:left w:val="nil"/>
              <w:bottom w:val="nil"/>
              <w:right w:val="nil"/>
            </w:tcBorders>
            <w:shd w:val="clear" w:color="auto" w:fill="auto"/>
            <w:noWrap/>
            <w:vAlign w:val="bottom"/>
            <w:hideMark/>
          </w:tcPr>
          <w:p w:rsidR="00647BDC" w:rsidRPr="00E2464F"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1656" w:type="dxa"/>
            <w:tcBorders>
              <w:top w:val="nil"/>
              <w:left w:val="nil"/>
              <w:bottom w:val="nil"/>
              <w:right w:val="nil"/>
            </w:tcBorders>
            <w:shd w:val="clear" w:color="auto" w:fill="auto"/>
            <w:noWrap/>
            <w:vAlign w:val="bottom"/>
            <w:hideMark/>
          </w:tcPr>
          <w:p w:rsidR="00647BDC" w:rsidRPr="00E2464F"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c>
          <w:tcPr>
            <w:tcW w:w="4589" w:type="dxa"/>
            <w:tcBorders>
              <w:top w:val="nil"/>
              <w:left w:val="nil"/>
              <w:bottom w:val="nil"/>
              <w:right w:val="nil"/>
            </w:tcBorders>
            <w:shd w:val="clear" w:color="auto" w:fill="auto"/>
            <w:noWrap/>
            <w:vAlign w:val="bottom"/>
            <w:hideMark/>
          </w:tcPr>
          <w:p w:rsidR="00647BDC" w:rsidRPr="00E2464F"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r>
      <w:tr w:rsidR="00647BDC" w:rsidRPr="00E2464F" w:rsidTr="00D07581">
        <w:trPr>
          <w:trHeight w:val="795"/>
        </w:trPr>
        <w:tc>
          <w:tcPr>
            <w:tcW w:w="1656" w:type="dxa"/>
            <w:tcBorders>
              <w:top w:val="nil"/>
              <w:left w:val="nil"/>
              <w:bottom w:val="nil"/>
              <w:right w:val="nil"/>
            </w:tcBorders>
            <w:shd w:val="clear" w:color="auto" w:fill="auto"/>
            <w:hideMark/>
          </w:tcPr>
          <w:p w:rsidR="00647BDC" w:rsidRPr="00E2464F"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Light vehicle registrations</w:t>
            </w:r>
          </w:p>
        </w:tc>
        <w:tc>
          <w:tcPr>
            <w:tcW w:w="918" w:type="dxa"/>
            <w:tcBorders>
              <w:top w:val="nil"/>
              <w:left w:val="nil"/>
              <w:bottom w:val="nil"/>
              <w:right w:val="nil"/>
            </w:tcBorders>
            <w:shd w:val="clear" w:color="auto" w:fill="auto"/>
            <w:hideMark/>
          </w:tcPr>
          <w:p w:rsidR="00647BDC" w:rsidRPr="00E2464F"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5 123</w:t>
            </w:r>
          </w:p>
        </w:tc>
        <w:tc>
          <w:tcPr>
            <w:tcW w:w="262" w:type="dxa"/>
            <w:tcBorders>
              <w:top w:val="nil"/>
              <w:left w:val="nil"/>
              <w:bottom w:val="nil"/>
              <w:right w:val="nil"/>
            </w:tcBorders>
            <w:shd w:val="clear" w:color="auto" w:fill="auto"/>
            <w:vAlign w:val="bottom"/>
            <w:hideMark/>
          </w:tcPr>
          <w:p w:rsidR="00647BDC" w:rsidRPr="00E2464F"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1656" w:type="dxa"/>
            <w:tcBorders>
              <w:top w:val="nil"/>
              <w:left w:val="nil"/>
              <w:bottom w:val="nil"/>
              <w:right w:val="nil"/>
            </w:tcBorders>
            <w:shd w:val="clear" w:color="auto" w:fill="auto"/>
            <w:hideMark/>
          </w:tcPr>
          <w:p w:rsidR="00647BDC" w:rsidRPr="00E2464F"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Number of light vehicles</w:t>
            </w:r>
          </w:p>
        </w:tc>
        <w:tc>
          <w:tcPr>
            <w:tcW w:w="4589" w:type="dxa"/>
            <w:tcBorders>
              <w:top w:val="nil"/>
              <w:left w:val="nil"/>
              <w:bottom w:val="nil"/>
              <w:right w:val="nil"/>
            </w:tcBorders>
            <w:shd w:val="clear" w:color="auto" w:fill="auto"/>
            <w:hideMark/>
          </w:tcPr>
          <w:p w:rsidR="00647BDC" w:rsidRPr="00E2464F"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 xml:space="preserve">Recognises the differential revenue States can </w:t>
            </w:r>
            <w:proofErr w:type="gramStart"/>
            <w:r w:rsidRPr="00E2464F">
              <w:rPr>
                <w:rFonts w:ascii="Calibri" w:eastAsia="Times New Roman" w:hAnsi="Calibri" w:cs="Times New Roman"/>
                <w:sz w:val="20"/>
                <w:szCs w:val="20"/>
                <w:lang w:eastAsia="en-AU"/>
              </w:rPr>
              <w:t>raise</w:t>
            </w:r>
            <w:proofErr w:type="gramEnd"/>
            <w:r w:rsidRPr="00E2464F">
              <w:rPr>
                <w:rFonts w:ascii="Calibri" w:eastAsia="Times New Roman" w:hAnsi="Calibri" w:cs="Times New Roman"/>
                <w:sz w:val="20"/>
                <w:szCs w:val="20"/>
                <w:lang w:eastAsia="en-AU"/>
              </w:rPr>
              <w:t xml:space="preserve"> from the annual registration fees applying to light vehicles.</w:t>
            </w:r>
          </w:p>
        </w:tc>
      </w:tr>
      <w:tr w:rsidR="00647BDC" w:rsidRPr="00E2464F" w:rsidTr="00D07581">
        <w:trPr>
          <w:trHeight w:val="795"/>
        </w:trPr>
        <w:tc>
          <w:tcPr>
            <w:tcW w:w="1656" w:type="dxa"/>
            <w:tcBorders>
              <w:top w:val="nil"/>
              <w:left w:val="nil"/>
              <w:bottom w:val="single" w:sz="4" w:space="0" w:color="auto"/>
              <w:right w:val="nil"/>
            </w:tcBorders>
            <w:shd w:val="clear" w:color="auto" w:fill="auto"/>
            <w:hideMark/>
          </w:tcPr>
          <w:p w:rsidR="00647BDC" w:rsidRPr="00E2464F"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Heavy vehicle registrations</w:t>
            </w:r>
          </w:p>
        </w:tc>
        <w:tc>
          <w:tcPr>
            <w:tcW w:w="918" w:type="dxa"/>
            <w:tcBorders>
              <w:top w:val="nil"/>
              <w:left w:val="nil"/>
              <w:bottom w:val="single" w:sz="4" w:space="0" w:color="auto"/>
              <w:right w:val="nil"/>
            </w:tcBorders>
            <w:shd w:val="clear" w:color="auto" w:fill="auto"/>
            <w:hideMark/>
          </w:tcPr>
          <w:p w:rsidR="00647BDC" w:rsidRPr="00E2464F"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1 189</w:t>
            </w:r>
          </w:p>
        </w:tc>
        <w:tc>
          <w:tcPr>
            <w:tcW w:w="262" w:type="dxa"/>
            <w:tcBorders>
              <w:top w:val="nil"/>
              <w:left w:val="nil"/>
              <w:bottom w:val="single" w:sz="4" w:space="0" w:color="auto"/>
              <w:right w:val="nil"/>
            </w:tcBorders>
            <w:shd w:val="clear" w:color="auto" w:fill="auto"/>
            <w:vAlign w:val="bottom"/>
            <w:hideMark/>
          </w:tcPr>
          <w:p w:rsidR="00647BDC" w:rsidRPr="00E2464F"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 </w:t>
            </w:r>
          </w:p>
        </w:tc>
        <w:tc>
          <w:tcPr>
            <w:tcW w:w="1656" w:type="dxa"/>
            <w:tcBorders>
              <w:top w:val="nil"/>
              <w:left w:val="nil"/>
              <w:bottom w:val="single" w:sz="4" w:space="0" w:color="auto"/>
              <w:right w:val="nil"/>
            </w:tcBorders>
            <w:shd w:val="clear" w:color="auto" w:fill="auto"/>
            <w:hideMark/>
          </w:tcPr>
          <w:p w:rsidR="00647BDC" w:rsidRPr="00E2464F"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Number of heavy vehicles</w:t>
            </w:r>
          </w:p>
        </w:tc>
        <w:tc>
          <w:tcPr>
            <w:tcW w:w="4589" w:type="dxa"/>
            <w:tcBorders>
              <w:top w:val="nil"/>
              <w:left w:val="nil"/>
              <w:bottom w:val="single" w:sz="4" w:space="0" w:color="auto"/>
              <w:right w:val="nil"/>
            </w:tcBorders>
            <w:shd w:val="clear" w:color="auto" w:fill="auto"/>
            <w:hideMark/>
          </w:tcPr>
          <w:p w:rsidR="00647BDC" w:rsidRPr="00E2464F"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E2464F">
              <w:rPr>
                <w:rFonts w:ascii="Calibri" w:eastAsia="Times New Roman" w:hAnsi="Calibri" w:cs="Times New Roman"/>
                <w:sz w:val="20"/>
                <w:szCs w:val="20"/>
                <w:lang w:eastAsia="en-AU"/>
              </w:rPr>
              <w:t xml:space="preserve">Recognises the </w:t>
            </w:r>
            <w:r>
              <w:rPr>
                <w:rFonts w:ascii="Calibri" w:eastAsia="Times New Roman" w:hAnsi="Calibri" w:cs="Times New Roman"/>
                <w:sz w:val="20"/>
                <w:szCs w:val="20"/>
                <w:lang w:eastAsia="en-AU"/>
              </w:rPr>
              <w:t>d</w:t>
            </w:r>
            <w:r w:rsidRPr="00E2464F">
              <w:rPr>
                <w:rFonts w:ascii="Calibri" w:eastAsia="Times New Roman" w:hAnsi="Calibri" w:cs="Times New Roman"/>
                <w:sz w:val="20"/>
                <w:szCs w:val="20"/>
                <w:lang w:eastAsia="en-AU"/>
              </w:rPr>
              <w:t xml:space="preserve">ifferential revenue States can raise from the annual registration fees applying to heavy vehicles. </w:t>
            </w:r>
          </w:p>
        </w:tc>
      </w:tr>
    </w:tbl>
    <w:p w:rsidR="00647BDC" w:rsidRPr="00755429" w:rsidRDefault="00647BDC" w:rsidP="00647BDC">
      <w:pPr>
        <w:pStyle w:val="CGCTableFootnote"/>
      </w:pPr>
      <w:r w:rsidRPr="00755429">
        <w:t>Source:</w:t>
      </w:r>
      <w:r w:rsidRPr="00755429">
        <w:tab/>
        <w:t>Commission decision</w:t>
      </w:r>
    </w:p>
    <w:p w:rsidR="00647BDC" w:rsidRPr="00755429" w:rsidRDefault="00647BDC" w:rsidP="00647BDC">
      <w:pPr>
        <w:pStyle w:val="CGCNumberedPara"/>
        <w:numPr>
          <w:ilvl w:val="1"/>
          <w:numId w:val="2"/>
        </w:numPr>
      </w:pPr>
      <w:r w:rsidRPr="00755429">
        <w:t xml:space="preserve">For each component, we derive a national average effective rate of tax by dividing total tax collections by the total relevant revenue base. </w:t>
      </w:r>
    </w:p>
    <w:p w:rsidR="00647BDC" w:rsidRPr="00755429" w:rsidRDefault="00647BDC" w:rsidP="00647BDC">
      <w:pPr>
        <w:pStyle w:val="CGCNumberedPara"/>
        <w:numPr>
          <w:ilvl w:val="1"/>
          <w:numId w:val="2"/>
        </w:numPr>
      </w:pPr>
      <w:r w:rsidRPr="00755429">
        <w:t xml:space="preserve">For each component, a State’s assessed revenue — the revenue it would collect if it applied the average tax rate — is derived by multiplying its revenue base by the </w:t>
      </w:r>
      <w:r w:rsidRPr="00755429">
        <w:lastRenderedPageBreak/>
        <w:t>national average effective rate of tax. A State’s category assessed revenue is obtained by adding its assessed revenue for each component.</w:t>
      </w:r>
    </w:p>
    <w:p w:rsidR="00647BDC" w:rsidRPr="00755429" w:rsidRDefault="00647BDC" w:rsidP="00647BDC">
      <w:pPr>
        <w:pStyle w:val="Heading4"/>
      </w:pPr>
      <w:r w:rsidRPr="00755429">
        <w:t>Registrations</w:t>
      </w:r>
    </w:p>
    <w:p w:rsidR="00647BDC" w:rsidRPr="00755429" w:rsidRDefault="00647BDC" w:rsidP="00647BDC">
      <w:pPr>
        <w:pStyle w:val="CGCNumberedPara"/>
        <w:numPr>
          <w:ilvl w:val="1"/>
          <w:numId w:val="2"/>
        </w:numPr>
      </w:pPr>
      <w:r w:rsidRPr="00755429">
        <w:t xml:space="preserve">States impose vehicle registration fees on the basis of set amounts per vehicle per year. At the broadest level, interstate differences in revenue raising capacities reflect differences between States in the number of vehicles registered per capita. </w:t>
      </w:r>
    </w:p>
    <w:p w:rsidR="00647BDC" w:rsidRPr="00755429" w:rsidRDefault="00647BDC" w:rsidP="00647BDC">
      <w:pPr>
        <w:pStyle w:val="CGCNumberedPara"/>
        <w:numPr>
          <w:ilvl w:val="1"/>
          <w:numId w:val="2"/>
        </w:numPr>
      </w:pPr>
      <w:r w:rsidRPr="00755429">
        <w:t>States impose substantially higher fees on heavy vehicles and the interstate distribution of light and heavy vehicle vary. Accounting for both differences has material effects. For that reason, light and heavy vehicles are assessed separately.</w:t>
      </w:r>
    </w:p>
    <w:p w:rsidR="00647BDC" w:rsidRPr="00755429" w:rsidRDefault="00647BDC" w:rsidP="00647BDC">
      <w:pPr>
        <w:pStyle w:val="CGCNumberedPara"/>
        <w:numPr>
          <w:ilvl w:val="1"/>
          <w:numId w:val="2"/>
        </w:numPr>
      </w:pPr>
      <w:r w:rsidRPr="00755429">
        <w:t xml:space="preserve">We measure States’ capacity to raise revenue from light vehicles using the number of passenger and light commercial vehicles on the register in each State, as recorded in the annual ABS Motor Vehicle Census. Most (98%) of the light vehicle revenue is raised from these two classes of vehicles and it is not material to further disaggregate them. </w:t>
      </w:r>
      <w:r w:rsidRPr="00755429">
        <w:fldChar w:fldCharType="begin"/>
      </w:r>
      <w:r w:rsidRPr="00755429">
        <w:instrText xml:space="preserve"> REF _Ref385310841 \h </w:instrText>
      </w:r>
      <w:r>
        <w:instrText xml:space="preserve"> \* MERGEFORMAT </w:instrText>
      </w:r>
      <w:r w:rsidRPr="00755429">
        <w:fldChar w:fldCharType="separate"/>
      </w:r>
      <w:r w:rsidR="005B69B1" w:rsidRPr="00755429">
        <w:t xml:space="preserve">Table </w:t>
      </w:r>
      <w:r w:rsidR="005B69B1">
        <w:rPr>
          <w:noProof/>
        </w:rPr>
        <w:t>4</w:t>
      </w:r>
      <w:r w:rsidRPr="00755429">
        <w:fldChar w:fldCharType="end"/>
      </w:r>
      <w:r w:rsidRPr="00755429">
        <w:t xml:space="preserve"> sets out the derivation of the light vehicles component.</w:t>
      </w:r>
    </w:p>
    <w:p w:rsidR="00647BDC" w:rsidRPr="00755429" w:rsidRDefault="00647BDC" w:rsidP="00647BDC">
      <w:pPr>
        <w:pStyle w:val="CGCTableHeading"/>
      </w:pPr>
      <w:bookmarkStart w:id="112" w:name="_Ref385310841"/>
      <w:r w:rsidRPr="00755429">
        <w:t xml:space="preserve">Table </w:t>
      </w:r>
      <w:r w:rsidR="005B69B1">
        <w:fldChar w:fldCharType="begin"/>
      </w:r>
      <w:r w:rsidR="005B69B1">
        <w:instrText xml:space="preserve"> SEQ Table \* ARABIC </w:instrText>
      </w:r>
      <w:r w:rsidR="005B69B1">
        <w:fldChar w:fldCharType="separate"/>
      </w:r>
      <w:r w:rsidR="005B69B1">
        <w:rPr>
          <w:noProof/>
        </w:rPr>
        <w:t>4</w:t>
      </w:r>
      <w:r w:rsidR="005B69B1">
        <w:rPr>
          <w:noProof/>
        </w:rPr>
        <w:fldChar w:fldCharType="end"/>
      </w:r>
      <w:bookmarkEnd w:id="112"/>
      <w:r w:rsidRPr="00755429">
        <w:tab/>
        <w:t>Illustrative assessed revenue for light vehicle registrations, 2012</w:t>
      </w:r>
      <w:r w:rsidRPr="00755429">
        <w:noBreakHyphen/>
        <w:t>13</w:t>
      </w:r>
    </w:p>
    <w:tbl>
      <w:tblPr>
        <w:tblW w:w="8980" w:type="dxa"/>
        <w:tblLayout w:type="fixed"/>
        <w:tblCellMar>
          <w:left w:w="0" w:type="dxa"/>
          <w:right w:w="0" w:type="dxa"/>
        </w:tblCellMar>
        <w:tblLook w:val="04A0" w:firstRow="1" w:lastRow="0" w:firstColumn="1" w:lastColumn="0" w:noHBand="0" w:noVBand="1"/>
      </w:tblPr>
      <w:tblGrid>
        <w:gridCol w:w="2400"/>
        <w:gridCol w:w="820"/>
        <w:gridCol w:w="820"/>
        <w:gridCol w:w="820"/>
        <w:gridCol w:w="660"/>
        <w:gridCol w:w="660"/>
        <w:gridCol w:w="660"/>
        <w:gridCol w:w="660"/>
        <w:gridCol w:w="660"/>
        <w:gridCol w:w="820"/>
      </w:tblGrid>
      <w:tr w:rsidR="00647BDC" w:rsidRPr="006C2E43" w:rsidTr="00D07581">
        <w:trPr>
          <w:trHeight w:val="375"/>
        </w:trPr>
        <w:tc>
          <w:tcPr>
            <w:tcW w:w="2400" w:type="dxa"/>
            <w:tcBorders>
              <w:top w:val="single" w:sz="4" w:space="0" w:color="auto"/>
              <w:left w:val="nil"/>
              <w:bottom w:val="single" w:sz="4" w:space="0" w:color="auto"/>
              <w:right w:val="nil"/>
            </w:tcBorders>
            <w:shd w:val="clear" w:color="auto" w:fill="auto"/>
            <w:noWrap/>
            <w:vAlign w:val="center"/>
            <w:hideMark/>
          </w:tcPr>
          <w:p w:rsidR="00647BDC" w:rsidRPr="005242B3"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bookmarkStart w:id="113" w:name="OLE_LINK4"/>
          </w:p>
        </w:tc>
        <w:tc>
          <w:tcPr>
            <w:tcW w:w="820" w:type="dxa"/>
            <w:tcBorders>
              <w:top w:val="single" w:sz="4" w:space="0" w:color="auto"/>
              <w:left w:val="nil"/>
              <w:bottom w:val="single" w:sz="4" w:space="0" w:color="auto"/>
              <w:right w:val="nil"/>
            </w:tcBorders>
            <w:shd w:val="clear" w:color="auto" w:fill="auto"/>
            <w:noWrap/>
            <w:vAlign w:val="center"/>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NSW</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Vic</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Qld</w:t>
            </w:r>
          </w:p>
        </w:tc>
        <w:tc>
          <w:tcPr>
            <w:tcW w:w="660" w:type="dxa"/>
            <w:tcBorders>
              <w:top w:val="single" w:sz="4" w:space="0" w:color="auto"/>
              <w:left w:val="nil"/>
              <w:bottom w:val="single" w:sz="4" w:space="0" w:color="auto"/>
              <w:right w:val="nil"/>
            </w:tcBorders>
            <w:shd w:val="clear" w:color="auto" w:fill="auto"/>
            <w:noWrap/>
            <w:vAlign w:val="center"/>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WA</w:t>
            </w:r>
          </w:p>
        </w:tc>
        <w:tc>
          <w:tcPr>
            <w:tcW w:w="660" w:type="dxa"/>
            <w:tcBorders>
              <w:top w:val="single" w:sz="4" w:space="0" w:color="auto"/>
              <w:left w:val="nil"/>
              <w:bottom w:val="single" w:sz="4" w:space="0" w:color="auto"/>
              <w:right w:val="nil"/>
            </w:tcBorders>
            <w:shd w:val="clear" w:color="auto" w:fill="auto"/>
            <w:noWrap/>
            <w:vAlign w:val="center"/>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SA</w:t>
            </w:r>
          </w:p>
        </w:tc>
        <w:tc>
          <w:tcPr>
            <w:tcW w:w="660" w:type="dxa"/>
            <w:tcBorders>
              <w:top w:val="single" w:sz="4" w:space="0" w:color="auto"/>
              <w:left w:val="nil"/>
              <w:bottom w:val="single" w:sz="4" w:space="0" w:color="auto"/>
              <w:right w:val="nil"/>
            </w:tcBorders>
            <w:shd w:val="clear" w:color="auto" w:fill="auto"/>
            <w:noWrap/>
            <w:vAlign w:val="center"/>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5242B3">
              <w:rPr>
                <w:rFonts w:ascii="Calibri" w:eastAsia="Times New Roman" w:hAnsi="Calibri" w:cs="Times New Roman"/>
                <w:sz w:val="20"/>
                <w:szCs w:val="20"/>
                <w:lang w:eastAsia="en-AU"/>
              </w:rPr>
              <w:t>Tas</w:t>
            </w:r>
            <w:proofErr w:type="spellEnd"/>
          </w:p>
        </w:tc>
        <w:tc>
          <w:tcPr>
            <w:tcW w:w="660" w:type="dxa"/>
            <w:tcBorders>
              <w:top w:val="single" w:sz="4" w:space="0" w:color="auto"/>
              <w:left w:val="nil"/>
              <w:bottom w:val="single" w:sz="4" w:space="0" w:color="auto"/>
              <w:right w:val="nil"/>
            </w:tcBorders>
            <w:shd w:val="clear" w:color="auto" w:fill="auto"/>
            <w:noWrap/>
            <w:vAlign w:val="center"/>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ACT</w:t>
            </w:r>
          </w:p>
        </w:tc>
        <w:tc>
          <w:tcPr>
            <w:tcW w:w="660" w:type="dxa"/>
            <w:tcBorders>
              <w:top w:val="single" w:sz="4" w:space="0" w:color="auto"/>
              <w:left w:val="nil"/>
              <w:bottom w:val="single" w:sz="4" w:space="0" w:color="auto"/>
              <w:right w:val="nil"/>
            </w:tcBorders>
            <w:shd w:val="clear" w:color="auto" w:fill="auto"/>
            <w:noWrap/>
            <w:vAlign w:val="center"/>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Total</w:t>
            </w:r>
          </w:p>
        </w:tc>
      </w:tr>
      <w:tr w:rsidR="00647BDC" w:rsidRPr="006C2E43" w:rsidTr="00D07581">
        <w:trPr>
          <w:trHeight w:val="315"/>
        </w:trPr>
        <w:tc>
          <w:tcPr>
            <w:tcW w:w="2400" w:type="dxa"/>
            <w:tcBorders>
              <w:top w:val="nil"/>
              <w:left w:val="nil"/>
              <w:bottom w:val="nil"/>
              <w:right w:val="nil"/>
            </w:tcBorders>
            <w:shd w:val="clear" w:color="auto" w:fill="auto"/>
            <w:vAlign w:val="bottom"/>
            <w:hideMark/>
          </w:tcPr>
          <w:p w:rsidR="00647BDC" w:rsidRPr="005242B3"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Actual revenue ($m)</w:t>
            </w:r>
          </w:p>
        </w:tc>
        <w:tc>
          <w:tcPr>
            <w:tcW w:w="82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1 941</w:t>
            </w:r>
          </w:p>
        </w:tc>
        <w:tc>
          <w:tcPr>
            <w:tcW w:w="82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961</w:t>
            </w:r>
          </w:p>
        </w:tc>
        <w:tc>
          <w:tcPr>
            <w:tcW w:w="82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1 238</w:t>
            </w: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520</w:t>
            </w: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268</w:t>
            </w: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83</w:t>
            </w: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96</w:t>
            </w: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17</w:t>
            </w:r>
          </w:p>
        </w:tc>
        <w:tc>
          <w:tcPr>
            <w:tcW w:w="82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5 123</w:t>
            </w:r>
          </w:p>
        </w:tc>
      </w:tr>
      <w:tr w:rsidR="00647BDC" w:rsidRPr="006C2E43" w:rsidTr="00D07581">
        <w:trPr>
          <w:trHeight w:val="315"/>
        </w:trPr>
        <w:tc>
          <w:tcPr>
            <w:tcW w:w="2400" w:type="dxa"/>
            <w:tcBorders>
              <w:top w:val="nil"/>
              <w:left w:val="nil"/>
              <w:bottom w:val="nil"/>
              <w:right w:val="nil"/>
            </w:tcBorders>
            <w:shd w:val="clear" w:color="auto" w:fill="auto"/>
            <w:vAlign w:val="bottom"/>
            <w:hideMark/>
          </w:tcPr>
          <w:p w:rsidR="00647BDC" w:rsidRPr="005242B3"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Revenue base ('000)</w:t>
            </w:r>
          </w:p>
        </w:tc>
        <w:tc>
          <w:tcPr>
            <w:tcW w:w="82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 xml:space="preserve"> 4 598</w:t>
            </w:r>
          </w:p>
        </w:tc>
        <w:tc>
          <w:tcPr>
            <w:tcW w:w="82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4 043</w:t>
            </w:r>
          </w:p>
        </w:tc>
        <w:tc>
          <w:tcPr>
            <w:tcW w:w="82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3 267</w:t>
            </w: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 xml:space="preserve"> 1 825</w:t>
            </w: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 xml:space="preserve"> 1 198</w:t>
            </w: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398</w:t>
            </w: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256</w:t>
            </w: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131</w:t>
            </w:r>
          </w:p>
        </w:tc>
        <w:tc>
          <w:tcPr>
            <w:tcW w:w="82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15 718</w:t>
            </w:r>
          </w:p>
        </w:tc>
      </w:tr>
      <w:tr w:rsidR="00647BDC" w:rsidRPr="006C2E43" w:rsidTr="00D07581">
        <w:trPr>
          <w:trHeight w:val="555"/>
        </w:trPr>
        <w:tc>
          <w:tcPr>
            <w:tcW w:w="2400" w:type="dxa"/>
            <w:tcBorders>
              <w:top w:val="nil"/>
              <w:left w:val="nil"/>
              <w:bottom w:val="nil"/>
              <w:right w:val="nil"/>
            </w:tcBorders>
            <w:shd w:val="clear" w:color="auto" w:fill="auto"/>
            <w:vAlign w:val="bottom"/>
            <w:hideMark/>
          </w:tcPr>
          <w:p w:rsidR="00647BDC" w:rsidRPr="005242B3"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 xml:space="preserve">Average tax rate </w:t>
            </w:r>
            <w:r w:rsidRPr="005242B3">
              <w:rPr>
                <w:rFonts w:ascii="Calibri" w:eastAsia="Times New Roman" w:hAnsi="Calibri" w:cs="Times New Roman"/>
                <w:sz w:val="20"/>
                <w:szCs w:val="20"/>
                <w:lang w:eastAsia="en-AU"/>
              </w:rPr>
              <w:br/>
              <w:t>($ per vehicle)</w:t>
            </w:r>
          </w:p>
        </w:tc>
        <w:tc>
          <w:tcPr>
            <w:tcW w:w="82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c>
          <w:tcPr>
            <w:tcW w:w="66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326</w:t>
            </w:r>
          </w:p>
        </w:tc>
      </w:tr>
      <w:tr w:rsidR="00647BDC" w:rsidRPr="006C2E43" w:rsidTr="00D07581">
        <w:trPr>
          <w:trHeight w:val="555"/>
        </w:trPr>
        <w:tc>
          <w:tcPr>
            <w:tcW w:w="2400" w:type="dxa"/>
            <w:tcBorders>
              <w:top w:val="nil"/>
              <w:left w:val="nil"/>
              <w:bottom w:val="single" w:sz="4" w:space="0" w:color="auto"/>
              <w:right w:val="nil"/>
            </w:tcBorders>
            <w:shd w:val="clear" w:color="auto" w:fill="auto"/>
            <w:vAlign w:val="bottom"/>
            <w:hideMark/>
          </w:tcPr>
          <w:p w:rsidR="00647BDC" w:rsidRPr="005242B3"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Component assessed revenue (a) ($m)</w:t>
            </w:r>
          </w:p>
        </w:tc>
        <w:tc>
          <w:tcPr>
            <w:tcW w:w="820" w:type="dxa"/>
            <w:tcBorders>
              <w:top w:val="nil"/>
              <w:left w:val="nil"/>
              <w:bottom w:val="single" w:sz="4" w:space="0" w:color="auto"/>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1 499</w:t>
            </w:r>
          </w:p>
        </w:tc>
        <w:tc>
          <w:tcPr>
            <w:tcW w:w="820" w:type="dxa"/>
            <w:tcBorders>
              <w:top w:val="nil"/>
              <w:left w:val="nil"/>
              <w:bottom w:val="single" w:sz="4" w:space="0" w:color="auto"/>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1 318</w:t>
            </w:r>
          </w:p>
        </w:tc>
        <w:tc>
          <w:tcPr>
            <w:tcW w:w="820" w:type="dxa"/>
            <w:tcBorders>
              <w:top w:val="nil"/>
              <w:left w:val="nil"/>
              <w:bottom w:val="single" w:sz="4" w:space="0" w:color="auto"/>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1 065</w:t>
            </w:r>
          </w:p>
        </w:tc>
        <w:tc>
          <w:tcPr>
            <w:tcW w:w="660" w:type="dxa"/>
            <w:tcBorders>
              <w:top w:val="nil"/>
              <w:left w:val="nil"/>
              <w:bottom w:val="single" w:sz="4" w:space="0" w:color="auto"/>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595</w:t>
            </w:r>
          </w:p>
        </w:tc>
        <w:tc>
          <w:tcPr>
            <w:tcW w:w="660" w:type="dxa"/>
            <w:tcBorders>
              <w:top w:val="nil"/>
              <w:left w:val="nil"/>
              <w:bottom w:val="single" w:sz="4" w:space="0" w:color="auto"/>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391</w:t>
            </w:r>
          </w:p>
        </w:tc>
        <w:tc>
          <w:tcPr>
            <w:tcW w:w="660" w:type="dxa"/>
            <w:tcBorders>
              <w:top w:val="nil"/>
              <w:left w:val="nil"/>
              <w:bottom w:val="single" w:sz="4" w:space="0" w:color="auto"/>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130</w:t>
            </w:r>
          </w:p>
        </w:tc>
        <w:tc>
          <w:tcPr>
            <w:tcW w:w="660" w:type="dxa"/>
            <w:tcBorders>
              <w:top w:val="nil"/>
              <w:left w:val="nil"/>
              <w:bottom w:val="single" w:sz="4" w:space="0" w:color="auto"/>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84</w:t>
            </w:r>
          </w:p>
        </w:tc>
        <w:tc>
          <w:tcPr>
            <w:tcW w:w="660" w:type="dxa"/>
            <w:tcBorders>
              <w:top w:val="nil"/>
              <w:left w:val="nil"/>
              <w:bottom w:val="single" w:sz="4" w:space="0" w:color="auto"/>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43</w:t>
            </w:r>
          </w:p>
        </w:tc>
        <w:tc>
          <w:tcPr>
            <w:tcW w:w="820" w:type="dxa"/>
            <w:tcBorders>
              <w:top w:val="nil"/>
              <w:left w:val="nil"/>
              <w:bottom w:val="single" w:sz="4" w:space="0" w:color="auto"/>
              <w:right w:val="nil"/>
            </w:tcBorders>
            <w:shd w:val="clear" w:color="auto" w:fill="auto"/>
            <w:noWrap/>
            <w:vAlign w:val="bottom"/>
            <w:hideMark/>
          </w:tcPr>
          <w:p w:rsidR="00647BDC" w:rsidRPr="005242B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5242B3">
              <w:rPr>
                <w:rFonts w:ascii="Calibri" w:eastAsia="Times New Roman" w:hAnsi="Calibri" w:cs="Times New Roman"/>
                <w:sz w:val="20"/>
                <w:szCs w:val="20"/>
                <w:lang w:eastAsia="en-AU"/>
              </w:rPr>
              <w:t>5 123</w:t>
            </w:r>
          </w:p>
        </w:tc>
      </w:tr>
    </w:tbl>
    <w:p w:rsidR="00647BDC" w:rsidRPr="00755429" w:rsidRDefault="00647BDC" w:rsidP="00647BDC">
      <w:pPr>
        <w:pStyle w:val="CGCTableFootnote"/>
      </w:pPr>
      <w:r w:rsidRPr="00755429">
        <w:t>(a)</w:t>
      </w:r>
      <w:r w:rsidRPr="00755429">
        <w:tab/>
        <w:t>Calculated as the product of the State’s number of light vehicles and the average tax per vehicle.</w:t>
      </w:r>
    </w:p>
    <w:bookmarkEnd w:id="113"/>
    <w:p w:rsidR="00647BDC" w:rsidRPr="00755429" w:rsidRDefault="00647BDC" w:rsidP="00647BDC">
      <w:pPr>
        <w:pStyle w:val="CGCTableFootnote"/>
      </w:pPr>
      <w:r w:rsidRPr="00755429">
        <w:t>Source:</w:t>
      </w:r>
      <w:r w:rsidRPr="00755429">
        <w:tab/>
        <w:t xml:space="preserve">ABS, </w:t>
      </w:r>
      <w:r w:rsidRPr="00755429">
        <w:rPr>
          <w:i/>
        </w:rPr>
        <w:t>Motor Vehicle Census</w:t>
      </w:r>
      <w:r w:rsidRPr="00755429">
        <w:t>, Cat. No. 9309.0 and State revenue data.</w:t>
      </w:r>
    </w:p>
    <w:p w:rsidR="00647BDC" w:rsidRPr="00755429" w:rsidRDefault="00647BDC" w:rsidP="00647BDC">
      <w:pPr>
        <w:pStyle w:val="CGCNumberedPara"/>
        <w:numPr>
          <w:ilvl w:val="1"/>
          <w:numId w:val="2"/>
        </w:numPr>
      </w:pPr>
      <w:r w:rsidRPr="00755429">
        <w:t>We measure States’ capacity to raise revenue from heavy vehicles using the number of heavy rigid and articulated trucks on the register in each State, as recorded in the annual ABS Motor Vehicle Census.</w:t>
      </w:r>
      <w:r w:rsidRPr="00755429">
        <w:rPr>
          <w:rStyle w:val="FootnoteReference"/>
        </w:rPr>
        <w:footnoteReference w:id="15"/>
      </w:r>
      <w:r w:rsidRPr="00755429">
        <w:t xml:space="preserve"> Most (86%) of the heavy vehicle revenue is raised from these two classes of vehicles and it is not material to further disaggregate them. </w:t>
      </w:r>
      <w:r w:rsidRPr="00755429">
        <w:fldChar w:fldCharType="begin"/>
      </w:r>
      <w:r w:rsidRPr="00755429">
        <w:instrText xml:space="preserve"> REF _Ref385311130 \h </w:instrText>
      </w:r>
      <w:r>
        <w:instrText xml:space="preserve"> \* MERGEFORMAT </w:instrText>
      </w:r>
      <w:r w:rsidRPr="00755429">
        <w:fldChar w:fldCharType="separate"/>
      </w:r>
      <w:r w:rsidR="005B69B1" w:rsidRPr="00755429">
        <w:t xml:space="preserve">Table </w:t>
      </w:r>
      <w:r w:rsidR="005B69B1">
        <w:rPr>
          <w:noProof/>
        </w:rPr>
        <w:t>5</w:t>
      </w:r>
      <w:r w:rsidRPr="00755429">
        <w:fldChar w:fldCharType="end"/>
      </w:r>
      <w:r w:rsidRPr="00755429">
        <w:t xml:space="preserve"> sets out the derivation of the heavy vehicles component.</w:t>
      </w:r>
    </w:p>
    <w:p w:rsidR="00647BDC" w:rsidRPr="00755429" w:rsidRDefault="00647BDC" w:rsidP="00647BDC">
      <w:pPr>
        <w:pStyle w:val="CGCTableHeading"/>
      </w:pPr>
      <w:bookmarkStart w:id="114" w:name="_Ref385311130"/>
      <w:r w:rsidRPr="00755429">
        <w:lastRenderedPageBreak/>
        <w:t xml:space="preserve">Table </w:t>
      </w:r>
      <w:r w:rsidR="005B69B1">
        <w:fldChar w:fldCharType="begin"/>
      </w:r>
      <w:r w:rsidR="005B69B1">
        <w:instrText xml:space="preserve"> SEQ Table \* ARABIC </w:instrText>
      </w:r>
      <w:r w:rsidR="005B69B1">
        <w:fldChar w:fldCharType="separate"/>
      </w:r>
      <w:r w:rsidR="005B69B1">
        <w:rPr>
          <w:noProof/>
        </w:rPr>
        <w:t>5</w:t>
      </w:r>
      <w:r w:rsidR="005B69B1">
        <w:rPr>
          <w:noProof/>
        </w:rPr>
        <w:fldChar w:fldCharType="end"/>
      </w:r>
      <w:bookmarkEnd w:id="114"/>
      <w:r w:rsidRPr="00755429">
        <w:tab/>
        <w:t>Illustrative assessed revenue for heavy vehicle registrations, 2012</w:t>
      </w:r>
      <w:r w:rsidRPr="00755429">
        <w:noBreakHyphen/>
        <w:t>13</w:t>
      </w:r>
    </w:p>
    <w:tbl>
      <w:tblPr>
        <w:tblW w:w="8980" w:type="dxa"/>
        <w:tblLayout w:type="fixed"/>
        <w:tblCellMar>
          <w:left w:w="0" w:type="dxa"/>
          <w:right w:w="0" w:type="dxa"/>
        </w:tblCellMar>
        <w:tblLook w:val="04A0" w:firstRow="1" w:lastRow="0" w:firstColumn="1" w:lastColumn="0" w:noHBand="0" w:noVBand="1"/>
      </w:tblPr>
      <w:tblGrid>
        <w:gridCol w:w="2400"/>
        <w:gridCol w:w="820"/>
        <w:gridCol w:w="820"/>
        <w:gridCol w:w="820"/>
        <w:gridCol w:w="660"/>
        <w:gridCol w:w="660"/>
        <w:gridCol w:w="660"/>
        <w:gridCol w:w="660"/>
        <w:gridCol w:w="660"/>
        <w:gridCol w:w="820"/>
      </w:tblGrid>
      <w:tr w:rsidR="00647BDC" w:rsidRPr="006C2E43" w:rsidTr="00D07581">
        <w:trPr>
          <w:trHeight w:val="379"/>
        </w:trPr>
        <w:tc>
          <w:tcPr>
            <w:tcW w:w="240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115" w:name="RANGE!A27:J31"/>
            <w:r w:rsidRPr="006C2E43">
              <w:rPr>
                <w:rFonts w:ascii="Calibri" w:eastAsia="Times New Roman" w:hAnsi="Calibri" w:cs="Times New Roman"/>
                <w:sz w:val="20"/>
                <w:szCs w:val="20"/>
                <w:lang w:eastAsia="en-AU"/>
              </w:rPr>
              <w:t> </w:t>
            </w:r>
            <w:bookmarkEnd w:id="115"/>
          </w:p>
        </w:tc>
        <w:tc>
          <w:tcPr>
            <w:tcW w:w="82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NSW</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Vic</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Qld</w:t>
            </w:r>
          </w:p>
        </w:tc>
        <w:tc>
          <w:tcPr>
            <w:tcW w:w="66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WA</w:t>
            </w:r>
          </w:p>
        </w:tc>
        <w:tc>
          <w:tcPr>
            <w:tcW w:w="66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SA</w:t>
            </w:r>
          </w:p>
        </w:tc>
        <w:tc>
          <w:tcPr>
            <w:tcW w:w="66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6C2E43">
              <w:rPr>
                <w:rFonts w:ascii="Calibri" w:eastAsia="Times New Roman" w:hAnsi="Calibri" w:cs="Times New Roman"/>
                <w:sz w:val="20"/>
                <w:szCs w:val="20"/>
                <w:lang w:eastAsia="en-AU"/>
              </w:rPr>
              <w:t>Tas</w:t>
            </w:r>
            <w:proofErr w:type="spellEnd"/>
          </w:p>
        </w:tc>
        <w:tc>
          <w:tcPr>
            <w:tcW w:w="66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ACT</w:t>
            </w:r>
          </w:p>
        </w:tc>
        <w:tc>
          <w:tcPr>
            <w:tcW w:w="66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Total</w:t>
            </w:r>
          </w:p>
        </w:tc>
      </w:tr>
      <w:tr w:rsidR="00647BDC" w:rsidRPr="006C2E43" w:rsidTr="00D07581">
        <w:trPr>
          <w:trHeight w:val="315"/>
        </w:trPr>
        <w:tc>
          <w:tcPr>
            <w:tcW w:w="2400" w:type="dxa"/>
            <w:tcBorders>
              <w:top w:val="nil"/>
              <w:left w:val="nil"/>
              <w:bottom w:val="nil"/>
              <w:right w:val="nil"/>
            </w:tcBorders>
            <w:shd w:val="clear" w:color="auto" w:fill="auto"/>
            <w:vAlign w:val="bottom"/>
            <w:hideMark/>
          </w:tcPr>
          <w:p w:rsidR="00647BDC" w:rsidRPr="006C2E43"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Actual revenue ($m)</w:t>
            </w: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292</w:t>
            </w: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301</w:t>
            </w: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256</w:t>
            </w:r>
          </w:p>
        </w:tc>
        <w:tc>
          <w:tcPr>
            <w:tcW w:w="66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188</w:t>
            </w:r>
          </w:p>
        </w:tc>
        <w:tc>
          <w:tcPr>
            <w:tcW w:w="66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105</w:t>
            </w:r>
          </w:p>
        </w:tc>
        <w:tc>
          <w:tcPr>
            <w:tcW w:w="66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24</w:t>
            </w:r>
          </w:p>
        </w:tc>
        <w:tc>
          <w:tcPr>
            <w:tcW w:w="66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5</w:t>
            </w:r>
          </w:p>
        </w:tc>
        <w:tc>
          <w:tcPr>
            <w:tcW w:w="66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18</w:t>
            </w: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1 189</w:t>
            </w:r>
          </w:p>
        </w:tc>
      </w:tr>
      <w:tr w:rsidR="00647BDC" w:rsidRPr="006C2E43" w:rsidTr="00D07581">
        <w:trPr>
          <w:trHeight w:val="315"/>
        </w:trPr>
        <w:tc>
          <w:tcPr>
            <w:tcW w:w="2400" w:type="dxa"/>
            <w:tcBorders>
              <w:top w:val="nil"/>
              <w:left w:val="nil"/>
              <w:bottom w:val="nil"/>
              <w:right w:val="nil"/>
            </w:tcBorders>
            <w:shd w:val="clear" w:color="auto" w:fill="auto"/>
            <w:vAlign w:val="bottom"/>
            <w:hideMark/>
          </w:tcPr>
          <w:p w:rsidR="00647BDC" w:rsidRPr="006C2E43"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Revenue base ('000)</w:t>
            </w: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105</w:t>
            </w: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104</w:t>
            </w: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92</w:t>
            </w:r>
          </w:p>
        </w:tc>
        <w:tc>
          <w:tcPr>
            <w:tcW w:w="66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66</w:t>
            </w:r>
          </w:p>
        </w:tc>
        <w:tc>
          <w:tcPr>
            <w:tcW w:w="66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31</w:t>
            </w:r>
          </w:p>
        </w:tc>
        <w:tc>
          <w:tcPr>
            <w:tcW w:w="66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10</w:t>
            </w:r>
          </w:p>
        </w:tc>
        <w:tc>
          <w:tcPr>
            <w:tcW w:w="66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w:t>
            </w:r>
          </w:p>
        </w:tc>
        <w:tc>
          <w:tcPr>
            <w:tcW w:w="66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6</w:t>
            </w: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417</w:t>
            </w:r>
          </w:p>
        </w:tc>
      </w:tr>
      <w:tr w:rsidR="00647BDC" w:rsidRPr="006C2E43" w:rsidTr="00D07581">
        <w:trPr>
          <w:trHeight w:val="555"/>
        </w:trPr>
        <w:tc>
          <w:tcPr>
            <w:tcW w:w="2400" w:type="dxa"/>
            <w:tcBorders>
              <w:top w:val="nil"/>
              <w:left w:val="nil"/>
              <w:bottom w:val="nil"/>
              <w:right w:val="nil"/>
            </w:tcBorders>
            <w:shd w:val="clear" w:color="auto" w:fill="auto"/>
            <w:vAlign w:val="bottom"/>
            <w:hideMark/>
          </w:tcPr>
          <w:p w:rsidR="00647BDC" w:rsidRPr="006C2E43"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 xml:space="preserve">Average tax rate </w:t>
            </w:r>
            <w:r w:rsidRPr="006C2E43">
              <w:rPr>
                <w:rFonts w:ascii="Calibri" w:eastAsia="Times New Roman" w:hAnsi="Calibri" w:cs="Times New Roman"/>
                <w:sz w:val="20"/>
                <w:szCs w:val="20"/>
                <w:lang w:eastAsia="en-AU"/>
              </w:rPr>
              <w:br/>
              <w:t>($ per vehicle)</w:t>
            </w:r>
          </w:p>
        </w:tc>
        <w:tc>
          <w:tcPr>
            <w:tcW w:w="820" w:type="dxa"/>
            <w:tcBorders>
              <w:top w:val="nil"/>
              <w:left w:val="nil"/>
              <w:bottom w:val="nil"/>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660" w:type="dxa"/>
            <w:tcBorders>
              <w:top w:val="nil"/>
              <w:left w:val="nil"/>
              <w:bottom w:val="nil"/>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660" w:type="dxa"/>
            <w:tcBorders>
              <w:top w:val="nil"/>
              <w:left w:val="nil"/>
              <w:bottom w:val="nil"/>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660" w:type="dxa"/>
            <w:tcBorders>
              <w:top w:val="nil"/>
              <w:left w:val="nil"/>
              <w:bottom w:val="nil"/>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660" w:type="dxa"/>
            <w:tcBorders>
              <w:top w:val="nil"/>
              <w:left w:val="nil"/>
              <w:bottom w:val="nil"/>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660" w:type="dxa"/>
            <w:tcBorders>
              <w:top w:val="nil"/>
              <w:left w:val="nil"/>
              <w:bottom w:val="nil"/>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2 853</w:t>
            </w:r>
          </w:p>
        </w:tc>
      </w:tr>
      <w:tr w:rsidR="00647BDC" w:rsidRPr="006C2E43" w:rsidTr="00D07581">
        <w:trPr>
          <w:trHeight w:val="555"/>
        </w:trPr>
        <w:tc>
          <w:tcPr>
            <w:tcW w:w="2400" w:type="dxa"/>
            <w:tcBorders>
              <w:top w:val="nil"/>
              <w:left w:val="nil"/>
              <w:bottom w:val="single" w:sz="4" w:space="0" w:color="auto"/>
              <w:right w:val="nil"/>
            </w:tcBorders>
            <w:shd w:val="clear" w:color="auto" w:fill="auto"/>
            <w:vAlign w:val="bottom"/>
            <w:hideMark/>
          </w:tcPr>
          <w:p w:rsidR="00647BDC" w:rsidRPr="006C2E43"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Component assessed revenue ($m)</w:t>
            </w:r>
          </w:p>
        </w:tc>
        <w:tc>
          <w:tcPr>
            <w:tcW w:w="820" w:type="dxa"/>
            <w:tcBorders>
              <w:top w:val="nil"/>
              <w:left w:val="nil"/>
              <w:bottom w:val="single" w:sz="4" w:space="0" w:color="auto"/>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300</w:t>
            </w:r>
          </w:p>
        </w:tc>
        <w:tc>
          <w:tcPr>
            <w:tcW w:w="820" w:type="dxa"/>
            <w:tcBorders>
              <w:top w:val="nil"/>
              <w:left w:val="nil"/>
              <w:bottom w:val="single" w:sz="4" w:space="0" w:color="auto"/>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297</w:t>
            </w:r>
          </w:p>
        </w:tc>
        <w:tc>
          <w:tcPr>
            <w:tcW w:w="820" w:type="dxa"/>
            <w:tcBorders>
              <w:top w:val="nil"/>
              <w:left w:val="nil"/>
              <w:bottom w:val="single" w:sz="4" w:space="0" w:color="auto"/>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263</w:t>
            </w:r>
          </w:p>
        </w:tc>
        <w:tc>
          <w:tcPr>
            <w:tcW w:w="660" w:type="dxa"/>
            <w:tcBorders>
              <w:top w:val="nil"/>
              <w:left w:val="nil"/>
              <w:bottom w:val="single" w:sz="4" w:space="0" w:color="auto"/>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190</w:t>
            </w:r>
          </w:p>
        </w:tc>
        <w:tc>
          <w:tcPr>
            <w:tcW w:w="660" w:type="dxa"/>
            <w:tcBorders>
              <w:top w:val="nil"/>
              <w:left w:val="nil"/>
              <w:bottom w:val="single" w:sz="4" w:space="0" w:color="auto"/>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89</w:t>
            </w:r>
          </w:p>
        </w:tc>
        <w:tc>
          <w:tcPr>
            <w:tcW w:w="660" w:type="dxa"/>
            <w:tcBorders>
              <w:top w:val="nil"/>
              <w:left w:val="nil"/>
              <w:bottom w:val="single" w:sz="4" w:space="0" w:color="auto"/>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29</w:t>
            </w:r>
          </w:p>
        </w:tc>
        <w:tc>
          <w:tcPr>
            <w:tcW w:w="660" w:type="dxa"/>
            <w:tcBorders>
              <w:top w:val="nil"/>
              <w:left w:val="nil"/>
              <w:bottom w:val="single" w:sz="4" w:space="0" w:color="auto"/>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5</w:t>
            </w:r>
          </w:p>
        </w:tc>
        <w:tc>
          <w:tcPr>
            <w:tcW w:w="660" w:type="dxa"/>
            <w:tcBorders>
              <w:top w:val="nil"/>
              <w:left w:val="nil"/>
              <w:bottom w:val="single" w:sz="4" w:space="0" w:color="auto"/>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16</w:t>
            </w:r>
          </w:p>
        </w:tc>
        <w:tc>
          <w:tcPr>
            <w:tcW w:w="820" w:type="dxa"/>
            <w:tcBorders>
              <w:top w:val="nil"/>
              <w:left w:val="nil"/>
              <w:bottom w:val="single" w:sz="4" w:space="0" w:color="auto"/>
              <w:right w:val="nil"/>
            </w:tcBorders>
            <w:shd w:val="clear" w:color="auto" w:fill="auto"/>
            <w:vAlign w:val="bottom"/>
            <w:hideMark/>
          </w:tcPr>
          <w:p w:rsidR="00647BDC" w:rsidRPr="006C2E43"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1 189</w:t>
            </w:r>
          </w:p>
        </w:tc>
      </w:tr>
    </w:tbl>
    <w:p w:rsidR="00647BDC" w:rsidRPr="00755429" w:rsidRDefault="00647BDC" w:rsidP="00647BDC">
      <w:pPr>
        <w:pStyle w:val="CGCTableFootnote"/>
        <w:keepNext/>
        <w:keepLines/>
      </w:pPr>
      <w:r w:rsidRPr="00755429">
        <w:t>(a)</w:t>
      </w:r>
      <w:r w:rsidRPr="00755429">
        <w:tab/>
        <w:t>Calculated as the product of the State’s number of heavy vehicles and the average tax per vehicle.</w:t>
      </w:r>
    </w:p>
    <w:p w:rsidR="00647BDC" w:rsidRPr="00755429" w:rsidRDefault="00647BDC" w:rsidP="00647BDC">
      <w:pPr>
        <w:pStyle w:val="CGCTableFootnote"/>
        <w:keepNext/>
        <w:keepLines/>
      </w:pPr>
      <w:r w:rsidRPr="00755429">
        <w:t>Source:</w:t>
      </w:r>
      <w:r w:rsidRPr="00755429">
        <w:tab/>
        <w:t xml:space="preserve">ABS, </w:t>
      </w:r>
      <w:r w:rsidRPr="00755429">
        <w:rPr>
          <w:i/>
        </w:rPr>
        <w:t>Motor Vehicle Census</w:t>
      </w:r>
      <w:r w:rsidRPr="00755429">
        <w:t>, Cat. No. 9309.0; State revenue data.</w:t>
      </w:r>
    </w:p>
    <w:p w:rsidR="00647BDC" w:rsidRPr="00755429" w:rsidRDefault="00647BDC" w:rsidP="00647BDC">
      <w:pPr>
        <w:pStyle w:val="Heading3"/>
      </w:pPr>
      <w:bookmarkStart w:id="116" w:name="_Toc390955834"/>
      <w:r>
        <w:t>Bringing the assessment together</w:t>
      </w:r>
      <w:bookmarkEnd w:id="116"/>
    </w:p>
    <w:p w:rsidR="00647BDC" w:rsidRPr="00755429" w:rsidRDefault="00647BDC" w:rsidP="00647BDC">
      <w:pPr>
        <w:pStyle w:val="CGCNumberedPara"/>
        <w:numPr>
          <w:ilvl w:val="1"/>
          <w:numId w:val="2"/>
        </w:numPr>
      </w:pPr>
      <w:r w:rsidRPr="00755429">
        <w:fldChar w:fldCharType="begin"/>
      </w:r>
      <w:r w:rsidRPr="00755429">
        <w:instrText xml:space="preserve"> REF _Ref384721150 \h </w:instrText>
      </w:r>
      <w:r>
        <w:instrText xml:space="preserve"> \* MERGEFORMAT </w:instrText>
      </w:r>
      <w:r w:rsidRPr="00755429">
        <w:fldChar w:fldCharType="separate"/>
      </w:r>
      <w:r w:rsidR="005B69B1" w:rsidRPr="00755429">
        <w:t xml:space="preserve">Table </w:t>
      </w:r>
      <w:r w:rsidR="005B69B1">
        <w:rPr>
          <w:noProof/>
        </w:rPr>
        <w:t>6</w:t>
      </w:r>
      <w:r w:rsidRPr="00755429">
        <w:fldChar w:fldCharType="end"/>
      </w:r>
      <w:r w:rsidRPr="00755429">
        <w:t xml:space="preserve"> shows the derivation of category assessed revenue and States’ relative revenue raising capacities — their assessed revenue per capita divided by the average revenue per capita. The revenue raising capacities of New South Wales, ACT and the Northern Territory are assessed to be below average. </w:t>
      </w:r>
    </w:p>
    <w:p w:rsidR="00647BDC" w:rsidRPr="00755429" w:rsidRDefault="00647BDC" w:rsidP="00647BDC">
      <w:pPr>
        <w:pStyle w:val="CGCTableHeading"/>
      </w:pPr>
      <w:bookmarkStart w:id="117" w:name="_Ref384721150"/>
      <w:bookmarkStart w:id="118" w:name="_Ref384646264"/>
      <w:bookmarkStart w:id="119" w:name="OLE_LINK5"/>
      <w:r w:rsidRPr="00755429">
        <w:t xml:space="preserve">Table </w:t>
      </w:r>
      <w:r w:rsidR="005B69B1">
        <w:fldChar w:fldCharType="begin"/>
      </w:r>
      <w:r w:rsidR="005B69B1">
        <w:instrText xml:space="preserve"> SEQ Table \* ARABIC </w:instrText>
      </w:r>
      <w:r w:rsidR="005B69B1">
        <w:fldChar w:fldCharType="separate"/>
      </w:r>
      <w:r w:rsidR="005B69B1">
        <w:rPr>
          <w:noProof/>
        </w:rPr>
        <w:t>6</w:t>
      </w:r>
      <w:r w:rsidR="005B69B1">
        <w:rPr>
          <w:noProof/>
        </w:rPr>
        <w:fldChar w:fldCharType="end"/>
      </w:r>
      <w:bookmarkEnd w:id="117"/>
      <w:r w:rsidRPr="00755429">
        <w:tab/>
        <w:t>Illustrative assessed revenue and revenue raising capacity</w:t>
      </w:r>
      <w:r>
        <w:t xml:space="preserve"> ratio</w:t>
      </w:r>
      <w:r w:rsidRPr="00755429">
        <w:t>, 2012</w:t>
      </w:r>
      <w:r w:rsidRPr="00755429">
        <w:noBreakHyphen/>
        <w:t>13</w:t>
      </w:r>
      <w:bookmarkEnd w:id="118"/>
    </w:p>
    <w:tbl>
      <w:tblPr>
        <w:tblW w:w="9080" w:type="dxa"/>
        <w:tblInd w:w="93" w:type="dxa"/>
        <w:tblLook w:val="04A0" w:firstRow="1" w:lastRow="0" w:firstColumn="1" w:lastColumn="0" w:noHBand="0" w:noVBand="1"/>
      </w:tblPr>
      <w:tblGrid>
        <w:gridCol w:w="2600"/>
        <w:gridCol w:w="780"/>
        <w:gridCol w:w="780"/>
        <w:gridCol w:w="780"/>
        <w:gridCol w:w="672"/>
        <w:gridCol w:w="672"/>
        <w:gridCol w:w="672"/>
        <w:gridCol w:w="672"/>
        <w:gridCol w:w="672"/>
        <w:gridCol w:w="780"/>
      </w:tblGrid>
      <w:tr w:rsidR="00647BDC" w:rsidRPr="00DF4D65" w:rsidTr="00D07581">
        <w:trPr>
          <w:trHeight w:val="379"/>
        </w:trPr>
        <w:tc>
          <w:tcPr>
            <w:tcW w:w="2600" w:type="dxa"/>
            <w:tcBorders>
              <w:top w:val="single" w:sz="4" w:space="0" w:color="auto"/>
              <w:left w:val="nil"/>
              <w:bottom w:val="single" w:sz="4" w:space="0" w:color="auto"/>
              <w:right w:val="nil"/>
            </w:tcBorders>
            <w:shd w:val="clear" w:color="auto" w:fill="auto"/>
            <w:noWrap/>
            <w:vAlign w:val="center"/>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bookmarkStart w:id="120" w:name="RANGE!A5:J11"/>
            <w:bookmarkEnd w:id="119"/>
            <w:r w:rsidRPr="00DF4D65">
              <w:rPr>
                <w:rFonts w:ascii="Calibri" w:eastAsia="Times New Roman" w:hAnsi="Calibri" w:cs="Times New Roman"/>
                <w:sz w:val="20"/>
                <w:szCs w:val="20"/>
                <w:lang w:eastAsia="en-AU"/>
              </w:rPr>
              <w:t> </w:t>
            </w:r>
            <w:bookmarkEnd w:id="120"/>
          </w:p>
        </w:tc>
        <w:tc>
          <w:tcPr>
            <w:tcW w:w="780" w:type="dxa"/>
            <w:tcBorders>
              <w:top w:val="single" w:sz="4" w:space="0" w:color="auto"/>
              <w:left w:val="nil"/>
              <w:bottom w:val="single" w:sz="4" w:space="0" w:color="auto"/>
              <w:right w:val="nil"/>
            </w:tcBorders>
            <w:shd w:val="clear" w:color="auto" w:fill="auto"/>
            <w:noWrap/>
            <w:vAlign w:val="center"/>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NSW</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Vic</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Qld</w:t>
            </w:r>
          </w:p>
        </w:tc>
        <w:tc>
          <w:tcPr>
            <w:tcW w:w="672" w:type="dxa"/>
            <w:tcBorders>
              <w:top w:val="single" w:sz="4" w:space="0" w:color="auto"/>
              <w:left w:val="nil"/>
              <w:bottom w:val="single" w:sz="4" w:space="0" w:color="auto"/>
              <w:right w:val="nil"/>
            </w:tcBorders>
            <w:shd w:val="clear" w:color="auto" w:fill="auto"/>
            <w:noWrap/>
            <w:vAlign w:val="center"/>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WA</w:t>
            </w:r>
          </w:p>
        </w:tc>
        <w:tc>
          <w:tcPr>
            <w:tcW w:w="672" w:type="dxa"/>
            <w:tcBorders>
              <w:top w:val="single" w:sz="4" w:space="0" w:color="auto"/>
              <w:left w:val="nil"/>
              <w:bottom w:val="single" w:sz="4" w:space="0" w:color="auto"/>
              <w:right w:val="nil"/>
            </w:tcBorders>
            <w:shd w:val="clear" w:color="auto" w:fill="auto"/>
            <w:noWrap/>
            <w:vAlign w:val="center"/>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SA</w:t>
            </w:r>
          </w:p>
        </w:tc>
        <w:tc>
          <w:tcPr>
            <w:tcW w:w="672" w:type="dxa"/>
            <w:tcBorders>
              <w:top w:val="single" w:sz="4" w:space="0" w:color="auto"/>
              <w:left w:val="nil"/>
              <w:bottom w:val="single" w:sz="4" w:space="0" w:color="auto"/>
              <w:right w:val="nil"/>
            </w:tcBorders>
            <w:shd w:val="clear" w:color="auto" w:fill="auto"/>
            <w:noWrap/>
            <w:vAlign w:val="center"/>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DF4D65">
              <w:rPr>
                <w:rFonts w:ascii="Calibri" w:eastAsia="Times New Roman" w:hAnsi="Calibri" w:cs="Times New Roman"/>
                <w:sz w:val="20"/>
                <w:szCs w:val="20"/>
                <w:lang w:eastAsia="en-AU"/>
              </w:rPr>
              <w:t>Tas</w:t>
            </w:r>
            <w:proofErr w:type="spellEnd"/>
          </w:p>
        </w:tc>
        <w:tc>
          <w:tcPr>
            <w:tcW w:w="672" w:type="dxa"/>
            <w:tcBorders>
              <w:top w:val="single" w:sz="4" w:space="0" w:color="auto"/>
              <w:left w:val="nil"/>
              <w:bottom w:val="single" w:sz="4" w:space="0" w:color="auto"/>
              <w:right w:val="nil"/>
            </w:tcBorders>
            <w:shd w:val="clear" w:color="auto" w:fill="auto"/>
            <w:noWrap/>
            <w:vAlign w:val="center"/>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ACT</w:t>
            </w:r>
          </w:p>
        </w:tc>
        <w:tc>
          <w:tcPr>
            <w:tcW w:w="672" w:type="dxa"/>
            <w:tcBorders>
              <w:top w:val="single" w:sz="4" w:space="0" w:color="auto"/>
              <w:left w:val="nil"/>
              <w:bottom w:val="single" w:sz="4" w:space="0" w:color="auto"/>
              <w:right w:val="nil"/>
            </w:tcBorders>
            <w:shd w:val="clear" w:color="auto" w:fill="auto"/>
            <w:noWrap/>
            <w:vAlign w:val="center"/>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NT</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Total</w:t>
            </w:r>
          </w:p>
        </w:tc>
      </w:tr>
      <w:tr w:rsidR="00647BDC" w:rsidRPr="00DF4D65" w:rsidTr="00D07581">
        <w:trPr>
          <w:trHeight w:val="259"/>
        </w:trPr>
        <w:tc>
          <w:tcPr>
            <w:tcW w:w="2600"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80"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$m</w:t>
            </w:r>
          </w:p>
        </w:tc>
        <w:tc>
          <w:tcPr>
            <w:tcW w:w="780"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$m</w:t>
            </w:r>
          </w:p>
        </w:tc>
        <w:tc>
          <w:tcPr>
            <w:tcW w:w="780"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$m</w:t>
            </w:r>
          </w:p>
        </w:tc>
        <w:tc>
          <w:tcPr>
            <w:tcW w:w="672"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$m</w:t>
            </w:r>
          </w:p>
        </w:tc>
        <w:tc>
          <w:tcPr>
            <w:tcW w:w="672"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$m</w:t>
            </w:r>
          </w:p>
        </w:tc>
        <w:tc>
          <w:tcPr>
            <w:tcW w:w="672"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$m</w:t>
            </w:r>
          </w:p>
        </w:tc>
        <w:tc>
          <w:tcPr>
            <w:tcW w:w="672"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$m</w:t>
            </w:r>
          </w:p>
        </w:tc>
        <w:tc>
          <w:tcPr>
            <w:tcW w:w="672"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$m</w:t>
            </w:r>
          </w:p>
        </w:tc>
        <w:tc>
          <w:tcPr>
            <w:tcW w:w="780"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$m</w:t>
            </w:r>
          </w:p>
        </w:tc>
      </w:tr>
      <w:tr w:rsidR="00647BDC" w:rsidRPr="00DF4D65" w:rsidTr="00D07581">
        <w:trPr>
          <w:trHeight w:val="315"/>
        </w:trPr>
        <w:tc>
          <w:tcPr>
            <w:tcW w:w="2600"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Light vehicle component</w:t>
            </w:r>
          </w:p>
        </w:tc>
        <w:tc>
          <w:tcPr>
            <w:tcW w:w="780"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1 499</w:t>
            </w:r>
          </w:p>
        </w:tc>
        <w:tc>
          <w:tcPr>
            <w:tcW w:w="780"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1 318</w:t>
            </w:r>
          </w:p>
        </w:tc>
        <w:tc>
          <w:tcPr>
            <w:tcW w:w="780"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1 065</w:t>
            </w:r>
          </w:p>
        </w:tc>
        <w:tc>
          <w:tcPr>
            <w:tcW w:w="672"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595</w:t>
            </w:r>
          </w:p>
        </w:tc>
        <w:tc>
          <w:tcPr>
            <w:tcW w:w="672"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391</w:t>
            </w:r>
          </w:p>
        </w:tc>
        <w:tc>
          <w:tcPr>
            <w:tcW w:w="672"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130</w:t>
            </w:r>
          </w:p>
        </w:tc>
        <w:tc>
          <w:tcPr>
            <w:tcW w:w="672"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84</w:t>
            </w:r>
          </w:p>
        </w:tc>
        <w:tc>
          <w:tcPr>
            <w:tcW w:w="672"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43</w:t>
            </w:r>
          </w:p>
        </w:tc>
        <w:tc>
          <w:tcPr>
            <w:tcW w:w="780"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5 123</w:t>
            </w:r>
          </w:p>
        </w:tc>
      </w:tr>
      <w:tr w:rsidR="00647BDC" w:rsidRPr="00DF4D65" w:rsidTr="00D07581">
        <w:trPr>
          <w:trHeight w:val="315"/>
        </w:trPr>
        <w:tc>
          <w:tcPr>
            <w:tcW w:w="2600"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Heavy vehicle component</w:t>
            </w:r>
          </w:p>
        </w:tc>
        <w:tc>
          <w:tcPr>
            <w:tcW w:w="780"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300</w:t>
            </w:r>
          </w:p>
        </w:tc>
        <w:tc>
          <w:tcPr>
            <w:tcW w:w="780"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297</w:t>
            </w:r>
          </w:p>
        </w:tc>
        <w:tc>
          <w:tcPr>
            <w:tcW w:w="780"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263</w:t>
            </w:r>
          </w:p>
        </w:tc>
        <w:tc>
          <w:tcPr>
            <w:tcW w:w="672"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190</w:t>
            </w:r>
          </w:p>
        </w:tc>
        <w:tc>
          <w:tcPr>
            <w:tcW w:w="672"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89</w:t>
            </w:r>
          </w:p>
        </w:tc>
        <w:tc>
          <w:tcPr>
            <w:tcW w:w="672"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29</w:t>
            </w:r>
          </w:p>
        </w:tc>
        <w:tc>
          <w:tcPr>
            <w:tcW w:w="672"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5</w:t>
            </w:r>
          </w:p>
        </w:tc>
        <w:tc>
          <w:tcPr>
            <w:tcW w:w="672"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16</w:t>
            </w:r>
          </w:p>
        </w:tc>
        <w:tc>
          <w:tcPr>
            <w:tcW w:w="780"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1 189</w:t>
            </w:r>
          </w:p>
        </w:tc>
      </w:tr>
      <w:tr w:rsidR="00647BDC" w:rsidRPr="00DF4D65" w:rsidTr="00D07581">
        <w:trPr>
          <w:trHeight w:val="315"/>
        </w:trPr>
        <w:tc>
          <w:tcPr>
            <w:tcW w:w="2600"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Total assessed revenue</w:t>
            </w:r>
          </w:p>
        </w:tc>
        <w:tc>
          <w:tcPr>
            <w:tcW w:w="780"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1 799</w:t>
            </w:r>
          </w:p>
        </w:tc>
        <w:tc>
          <w:tcPr>
            <w:tcW w:w="780"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1 615</w:t>
            </w:r>
          </w:p>
        </w:tc>
        <w:tc>
          <w:tcPr>
            <w:tcW w:w="780"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1 328</w:t>
            </w:r>
          </w:p>
        </w:tc>
        <w:tc>
          <w:tcPr>
            <w:tcW w:w="672"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784</w:t>
            </w:r>
          </w:p>
        </w:tc>
        <w:tc>
          <w:tcPr>
            <w:tcW w:w="672"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480</w:t>
            </w:r>
          </w:p>
        </w:tc>
        <w:tc>
          <w:tcPr>
            <w:tcW w:w="672"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159</w:t>
            </w:r>
          </w:p>
        </w:tc>
        <w:tc>
          <w:tcPr>
            <w:tcW w:w="672"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89</w:t>
            </w:r>
          </w:p>
        </w:tc>
        <w:tc>
          <w:tcPr>
            <w:tcW w:w="672"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59</w:t>
            </w:r>
          </w:p>
        </w:tc>
        <w:tc>
          <w:tcPr>
            <w:tcW w:w="780" w:type="dxa"/>
            <w:tcBorders>
              <w:top w:val="nil"/>
              <w:left w:val="nil"/>
              <w:bottom w:val="nil"/>
              <w:right w:val="nil"/>
            </w:tcBorders>
            <w:shd w:val="clear" w:color="auto" w:fill="auto"/>
            <w:noWrap/>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6 313</w:t>
            </w:r>
          </w:p>
        </w:tc>
      </w:tr>
      <w:tr w:rsidR="00647BDC" w:rsidRPr="00DF4D65" w:rsidTr="00D07581">
        <w:trPr>
          <w:trHeight w:val="315"/>
        </w:trPr>
        <w:tc>
          <w:tcPr>
            <w:tcW w:w="2600"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Total assessed revenue ($pc)</w:t>
            </w:r>
          </w:p>
        </w:tc>
        <w:tc>
          <w:tcPr>
            <w:tcW w:w="780"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245</w:t>
            </w:r>
          </w:p>
        </w:tc>
        <w:tc>
          <w:tcPr>
            <w:tcW w:w="780"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284</w:t>
            </w:r>
          </w:p>
        </w:tc>
        <w:tc>
          <w:tcPr>
            <w:tcW w:w="780"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288</w:t>
            </w:r>
          </w:p>
        </w:tc>
        <w:tc>
          <w:tcPr>
            <w:tcW w:w="672"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316</w:t>
            </w:r>
          </w:p>
        </w:tc>
        <w:tc>
          <w:tcPr>
            <w:tcW w:w="672"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289</w:t>
            </w:r>
          </w:p>
        </w:tc>
        <w:tc>
          <w:tcPr>
            <w:tcW w:w="672"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310</w:t>
            </w:r>
          </w:p>
        </w:tc>
        <w:tc>
          <w:tcPr>
            <w:tcW w:w="672"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235</w:t>
            </w:r>
          </w:p>
        </w:tc>
        <w:tc>
          <w:tcPr>
            <w:tcW w:w="672"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246</w:t>
            </w:r>
          </w:p>
        </w:tc>
        <w:tc>
          <w:tcPr>
            <w:tcW w:w="780" w:type="dxa"/>
            <w:tcBorders>
              <w:top w:val="nil"/>
              <w:left w:val="nil"/>
              <w:bottom w:val="nil"/>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275</w:t>
            </w:r>
          </w:p>
        </w:tc>
      </w:tr>
      <w:tr w:rsidR="00647BDC" w:rsidRPr="00DF4D65" w:rsidTr="00D07581">
        <w:trPr>
          <w:trHeight w:val="315"/>
        </w:trPr>
        <w:tc>
          <w:tcPr>
            <w:tcW w:w="2600"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Revenue raising capacity</w:t>
            </w:r>
          </w:p>
        </w:tc>
        <w:tc>
          <w:tcPr>
            <w:tcW w:w="780"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0.888</w:t>
            </w:r>
          </w:p>
        </w:tc>
        <w:tc>
          <w:tcPr>
            <w:tcW w:w="780"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1.032</w:t>
            </w:r>
          </w:p>
        </w:tc>
        <w:tc>
          <w:tcPr>
            <w:tcW w:w="780"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1.045</w:t>
            </w:r>
          </w:p>
        </w:tc>
        <w:tc>
          <w:tcPr>
            <w:tcW w:w="672"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1.149</w:t>
            </w:r>
          </w:p>
        </w:tc>
        <w:tc>
          <w:tcPr>
            <w:tcW w:w="672"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1.048</w:t>
            </w:r>
          </w:p>
        </w:tc>
        <w:tc>
          <w:tcPr>
            <w:tcW w:w="672"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1.127</w:t>
            </w:r>
          </w:p>
        </w:tc>
        <w:tc>
          <w:tcPr>
            <w:tcW w:w="672"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0.854</w:t>
            </w:r>
          </w:p>
        </w:tc>
        <w:tc>
          <w:tcPr>
            <w:tcW w:w="672"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0.894</w:t>
            </w:r>
          </w:p>
        </w:tc>
        <w:tc>
          <w:tcPr>
            <w:tcW w:w="780" w:type="dxa"/>
            <w:tcBorders>
              <w:top w:val="nil"/>
              <w:left w:val="nil"/>
              <w:bottom w:val="single" w:sz="4" w:space="0" w:color="auto"/>
              <w:right w:val="nil"/>
            </w:tcBorders>
            <w:shd w:val="clear" w:color="auto" w:fill="auto"/>
            <w:vAlign w:val="bottom"/>
            <w:hideMark/>
          </w:tcPr>
          <w:p w:rsidR="00647BDC" w:rsidRPr="00DF4D65"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DF4D65">
              <w:rPr>
                <w:rFonts w:ascii="Calibri" w:eastAsia="Times New Roman" w:hAnsi="Calibri" w:cs="Times New Roman"/>
                <w:sz w:val="20"/>
                <w:szCs w:val="20"/>
                <w:lang w:eastAsia="en-AU"/>
              </w:rPr>
              <w:t>1.000</w:t>
            </w:r>
          </w:p>
        </w:tc>
      </w:tr>
    </w:tbl>
    <w:p w:rsidR="00647BDC" w:rsidRPr="00755429" w:rsidRDefault="00647BDC" w:rsidP="00647BDC">
      <w:pPr>
        <w:pStyle w:val="CGCTableFootnote"/>
      </w:pPr>
      <w:r>
        <w:t>Note:</w:t>
      </w:r>
      <w:r w:rsidRPr="00755429">
        <w:tab/>
        <w:t>Revenue raising capacity ratio is calculated as assessed revenue per capita divided by average revenue.</w:t>
      </w:r>
    </w:p>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CGCNumberedPara"/>
        <w:numPr>
          <w:ilvl w:val="1"/>
          <w:numId w:val="2"/>
        </w:numPr>
      </w:pPr>
      <w:r w:rsidRPr="00755429">
        <w:fldChar w:fldCharType="begin"/>
      </w:r>
      <w:r w:rsidRPr="00755429">
        <w:instrText xml:space="preserve"> REF _Ref389340102 \h  \* MERGEFORMAT </w:instrText>
      </w:r>
      <w:r w:rsidRPr="00755429">
        <w:fldChar w:fldCharType="separate"/>
      </w:r>
      <w:r w:rsidR="005B69B1" w:rsidRPr="00755429">
        <w:t xml:space="preserve">Table </w:t>
      </w:r>
      <w:r w:rsidR="005B69B1">
        <w:rPr>
          <w:noProof/>
        </w:rPr>
        <w:t>7</w:t>
      </w:r>
      <w:r w:rsidRPr="00755429">
        <w:fldChar w:fldCharType="end"/>
      </w:r>
      <w:r w:rsidRPr="00755429">
        <w:t xml:space="preserve"> shows that the only material aspects of this assessment are Tasmania’s above average capacity and the Northern Territory’s below average capacity to raise revenue from light vehicles, and the ACT having below average capacity from heavy vehicles. </w:t>
      </w:r>
    </w:p>
    <w:p w:rsidR="00647BDC" w:rsidRPr="00755429" w:rsidRDefault="00647BDC" w:rsidP="00647BDC">
      <w:pPr>
        <w:pStyle w:val="CGCTableHeading"/>
      </w:pPr>
      <w:bookmarkStart w:id="121" w:name="_Ref389340102"/>
      <w:r w:rsidRPr="00755429">
        <w:lastRenderedPageBreak/>
        <w:t xml:space="preserve">Table </w:t>
      </w:r>
      <w:r w:rsidR="005B69B1">
        <w:fldChar w:fldCharType="begin"/>
      </w:r>
      <w:r w:rsidR="005B69B1">
        <w:instrText xml:space="preserve"> SEQ Table \* ARABIC </w:instrText>
      </w:r>
      <w:r w:rsidR="005B69B1">
        <w:fldChar w:fldCharType="separate"/>
      </w:r>
      <w:r w:rsidR="005B69B1">
        <w:rPr>
          <w:noProof/>
        </w:rPr>
        <w:t>7</w:t>
      </w:r>
      <w:r w:rsidR="005B69B1">
        <w:rPr>
          <w:noProof/>
        </w:rPr>
        <w:fldChar w:fldCharType="end"/>
      </w:r>
      <w:bookmarkEnd w:id="121"/>
      <w:r w:rsidRPr="00755429">
        <w:tab/>
        <w:t>Illustrative assessed per capita revenue for Motor taxes, 2012</w:t>
      </w:r>
      <w:r w:rsidRPr="00755429">
        <w:noBreakHyphen/>
        <w:t>13</w:t>
      </w:r>
    </w:p>
    <w:tbl>
      <w:tblPr>
        <w:tblW w:w="8920" w:type="dxa"/>
        <w:tblInd w:w="93" w:type="dxa"/>
        <w:tblLook w:val="04A0" w:firstRow="1" w:lastRow="0" w:firstColumn="1" w:lastColumn="0" w:noHBand="0" w:noVBand="1"/>
      </w:tblPr>
      <w:tblGrid>
        <w:gridCol w:w="2420"/>
        <w:gridCol w:w="780"/>
        <w:gridCol w:w="700"/>
        <w:gridCol w:w="700"/>
        <w:gridCol w:w="700"/>
        <w:gridCol w:w="700"/>
        <w:gridCol w:w="700"/>
        <w:gridCol w:w="700"/>
        <w:gridCol w:w="700"/>
        <w:gridCol w:w="820"/>
      </w:tblGrid>
      <w:tr w:rsidR="00647BDC" w:rsidRPr="006C2E43" w:rsidTr="00D07581">
        <w:trPr>
          <w:trHeight w:val="375"/>
        </w:trPr>
        <w:tc>
          <w:tcPr>
            <w:tcW w:w="242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NSW</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Qld</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WA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6C2E43">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ACT</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Total</w:t>
            </w:r>
          </w:p>
        </w:tc>
      </w:tr>
      <w:tr w:rsidR="00647BDC" w:rsidRPr="006C2E43" w:rsidTr="00D07581">
        <w:trPr>
          <w:trHeight w:val="259"/>
        </w:trPr>
        <w:tc>
          <w:tcPr>
            <w:tcW w:w="242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 </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$pc</w:t>
            </w: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$pc</w:t>
            </w:r>
          </w:p>
        </w:tc>
      </w:tr>
      <w:tr w:rsidR="00647BDC" w:rsidRPr="006C2E43" w:rsidTr="00D07581">
        <w:trPr>
          <w:trHeight w:val="315"/>
        </w:trPr>
        <w:tc>
          <w:tcPr>
            <w:tcW w:w="2420" w:type="dxa"/>
            <w:tcBorders>
              <w:top w:val="nil"/>
              <w:left w:val="nil"/>
              <w:bottom w:val="nil"/>
              <w:right w:val="nil"/>
            </w:tcBorders>
            <w:shd w:val="clear" w:color="auto" w:fill="auto"/>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Light vehicle component</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r>
      <w:tr w:rsidR="00647BDC" w:rsidRPr="006C2E43" w:rsidTr="00D07581">
        <w:trPr>
          <w:trHeight w:val="315"/>
        </w:trPr>
        <w:tc>
          <w:tcPr>
            <w:tcW w:w="2420" w:type="dxa"/>
            <w:tcBorders>
              <w:top w:val="nil"/>
              <w:left w:val="nil"/>
              <w:bottom w:val="nil"/>
              <w:right w:val="nil"/>
            </w:tcBorders>
            <w:shd w:val="clear" w:color="auto" w:fill="auto"/>
            <w:vAlign w:val="bottom"/>
            <w:hideMark/>
          </w:tcPr>
          <w:p w:rsidR="00647BDC" w:rsidRPr="006C2E43"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EPC distribution</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224</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224</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224</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224</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224</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224</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224</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224</w:t>
            </w: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19"/>
                <w:szCs w:val="19"/>
                <w:lang w:eastAsia="en-AU"/>
              </w:rPr>
            </w:pPr>
            <w:r w:rsidRPr="006C2E43">
              <w:rPr>
                <w:rFonts w:ascii="Calibri" w:eastAsia="Times New Roman" w:hAnsi="Calibri" w:cs="Times New Roman"/>
                <w:sz w:val="19"/>
                <w:szCs w:val="19"/>
                <w:lang w:eastAsia="en-AU"/>
              </w:rPr>
              <w:t>224</w:t>
            </w:r>
          </w:p>
        </w:tc>
      </w:tr>
      <w:tr w:rsidR="00647BDC" w:rsidRPr="006C2E43" w:rsidTr="00D07581">
        <w:trPr>
          <w:trHeight w:val="315"/>
        </w:trPr>
        <w:tc>
          <w:tcPr>
            <w:tcW w:w="2420" w:type="dxa"/>
            <w:tcBorders>
              <w:top w:val="nil"/>
              <w:left w:val="nil"/>
              <w:bottom w:val="nil"/>
              <w:right w:val="nil"/>
            </w:tcBorders>
            <w:shd w:val="clear" w:color="auto" w:fill="auto"/>
            <w:vAlign w:val="bottom"/>
            <w:hideMark/>
          </w:tcPr>
          <w:p w:rsidR="00647BDC" w:rsidRPr="006C2E43"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Impact of component</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-20</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8</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7</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16</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11</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30</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-44</w:t>
            </w: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19"/>
                <w:szCs w:val="19"/>
                <w:lang w:eastAsia="en-AU"/>
              </w:rPr>
            </w:pPr>
            <w:r w:rsidRPr="006C2E43">
              <w:rPr>
                <w:rFonts w:ascii="Calibri" w:eastAsia="Times New Roman" w:hAnsi="Calibri" w:cs="Times New Roman"/>
                <w:sz w:val="19"/>
                <w:szCs w:val="19"/>
                <w:lang w:eastAsia="en-AU"/>
              </w:rPr>
              <w:t>0</w:t>
            </w:r>
          </w:p>
        </w:tc>
      </w:tr>
      <w:tr w:rsidR="00647BDC" w:rsidRPr="006C2E43" w:rsidTr="00D07581">
        <w:trPr>
          <w:trHeight w:val="315"/>
        </w:trPr>
        <w:tc>
          <w:tcPr>
            <w:tcW w:w="2420" w:type="dxa"/>
            <w:tcBorders>
              <w:top w:val="nil"/>
              <w:left w:val="nil"/>
              <w:bottom w:val="nil"/>
              <w:right w:val="nil"/>
            </w:tcBorders>
            <w:shd w:val="clear" w:color="auto" w:fill="auto"/>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Heavy vehicle component</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p>
        </w:tc>
      </w:tr>
      <w:tr w:rsidR="00647BDC" w:rsidRPr="006C2E43" w:rsidTr="00D07581">
        <w:trPr>
          <w:trHeight w:val="315"/>
        </w:trPr>
        <w:tc>
          <w:tcPr>
            <w:tcW w:w="2420" w:type="dxa"/>
            <w:tcBorders>
              <w:top w:val="nil"/>
              <w:left w:val="nil"/>
              <w:bottom w:val="nil"/>
              <w:right w:val="nil"/>
            </w:tcBorders>
            <w:shd w:val="clear" w:color="auto" w:fill="auto"/>
            <w:vAlign w:val="bottom"/>
            <w:hideMark/>
          </w:tcPr>
          <w:p w:rsidR="00647BDC" w:rsidRPr="006C2E43"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EPC distribution</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52</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52</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52</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52</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52</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52</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52</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52</w:t>
            </w: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19"/>
                <w:szCs w:val="19"/>
                <w:lang w:eastAsia="en-AU"/>
              </w:rPr>
            </w:pPr>
            <w:r w:rsidRPr="006C2E43">
              <w:rPr>
                <w:rFonts w:ascii="Calibri" w:eastAsia="Times New Roman" w:hAnsi="Calibri" w:cs="Times New Roman"/>
                <w:sz w:val="19"/>
                <w:szCs w:val="19"/>
                <w:lang w:eastAsia="en-AU"/>
              </w:rPr>
              <w:t>52</w:t>
            </w:r>
          </w:p>
        </w:tc>
      </w:tr>
      <w:tr w:rsidR="00647BDC" w:rsidRPr="006C2E43" w:rsidTr="00D07581">
        <w:trPr>
          <w:trHeight w:val="315"/>
        </w:trPr>
        <w:tc>
          <w:tcPr>
            <w:tcW w:w="2420" w:type="dxa"/>
            <w:tcBorders>
              <w:top w:val="nil"/>
              <w:left w:val="nil"/>
              <w:bottom w:val="nil"/>
              <w:right w:val="nil"/>
            </w:tcBorders>
            <w:shd w:val="clear" w:color="auto" w:fill="auto"/>
            <w:vAlign w:val="bottom"/>
            <w:hideMark/>
          </w:tcPr>
          <w:p w:rsidR="00647BDC" w:rsidRPr="006C2E43" w:rsidRDefault="00647BDC" w:rsidP="00D07581">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Impact of component</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-11</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0</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5</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25</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5</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-38</w:t>
            </w:r>
          </w:p>
        </w:tc>
        <w:tc>
          <w:tcPr>
            <w:tcW w:w="70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14</w:t>
            </w:r>
          </w:p>
        </w:tc>
        <w:tc>
          <w:tcPr>
            <w:tcW w:w="820" w:type="dxa"/>
            <w:tcBorders>
              <w:top w:val="nil"/>
              <w:left w:val="nil"/>
              <w:bottom w:val="nil"/>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19"/>
                <w:szCs w:val="19"/>
                <w:lang w:eastAsia="en-AU"/>
              </w:rPr>
            </w:pPr>
            <w:r w:rsidRPr="006C2E43">
              <w:rPr>
                <w:rFonts w:ascii="Calibri" w:eastAsia="Times New Roman" w:hAnsi="Calibri" w:cs="Times New Roman"/>
                <w:sz w:val="19"/>
                <w:szCs w:val="19"/>
                <w:lang w:eastAsia="en-AU"/>
              </w:rPr>
              <w:t>0</w:t>
            </w:r>
          </w:p>
        </w:tc>
      </w:tr>
      <w:tr w:rsidR="00647BDC" w:rsidRPr="006C2E43" w:rsidTr="00D07581">
        <w:trPr>
          <w:trHeight w:val="315"/>
        </w:trPr>
        <w:tc>
          <w:tcPr>
            <w:tcW w:w="2420" w:type="dxa"/>
            <w:tcBorders>
              <w:top w:val="nil"/>
              <w:left w:val="nil"/>
              <w:bottom w:val="single" w:sz="4" w:space="0" w:color="auto"/>
              <w:right w:val="nil"/>
            </w:tcBorders>
            <w:shd w:val="clear" w:color="auto" w:fill="auto"/>
            <w:vAlign w:val="bottom"/>
            <w:hideMark/>
          </w:tcPr>
          <w:p w:rsidR="00647BDC" w:rsidRPr="006C2E43"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Total category</w:t>
            </w:r>
          </w:p>
        </w:tc>
        <w:tc>
          <w:tcPr>
            <w:tcW w:w="780" w:type="dxa"/>
            <w:tcBorders>
              <w:top w:val="nil"/>
              <w:left w:val="nil"/>
              <w:bottom w:val="single" w:sz="4" w:space="0" w:color="auto"/>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245</w:t>
            </w:r>
          </w:p>
        </w:tc>
        <w:tc>
          <w:tcPr>
            <w:tcW w:w="700" w:type="dxa"/>
            <w:tcBorders>
              <w:top w:val="nil"/>
              <w:left w:val="nil"/>
              <w:bottom w:val="single" w:sz="4" w:space="0" w:color="auto"/>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284</w:t>
            </w:r>
          </w:p>
        </w:tc>
        <w:tc>
          <w:tcPr>
            <w:tcW w:w="700" w:type="dxa"/>
            <w:tcBorders>
              <w:top w:val="nil"/>
              <w:left w:val="nil"/>
              <w:bottom w:val="single" w:sz="4" w:space="0" w:color="auto"/>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288</w:t>
            </w:r>
          </w:p>
        </w:tc>
        <w:tc>
          <w:tcPr>
            <w:tcW w:w="700" w:type="dxa"/>
            <w:tcBorders>
              <w:top w:val="nil"/>
              <w:left w:val="nil"/>
              <w:bottom w:val="single" w:sz="4" w:space="0" w:color="auto"/>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316</w:t>
            </w:r>
          </w:p>
        </w:tc>
        <w:tc>
          <w:tcPr>
            <w:tcW w:w="700" w:type="dxa"/>
            <w:tcBorders>
              <w:top w:val="nil"/>
              <w:left w:val="nil"/>
              <w:bottom w:val="single" w:sz="4" w:space="0" w:color="auto"/>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289</w:t>
            </w:r>
          </w:p>
        </w:tc>
        <w:tc>
          <w:tcPr>
            <w:tcW w:w="700" w:type="dxa"/>
            <w:tcBorders>
              <w:top w:val="nil"/>
              <w:left w:val="nil"/>
              <w:bottom w:val="single" w:sz="4" w:space="0" w:color="auto"/>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310</w:t>
            </w:r>
          </w:p>
        </w:tc>
        <w:tc>
          <w:tcPr>
            <w:tcW w:w="700" w:type="dxa"/>
            <w:tcBorders>
              <w:top w:val="nil"/>
              <w:left w:val="nil"/>
              <w:bottom w:val="single" w:sz="4" w:space="0" w:color="auto"/>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235</w:t>
            </w:r>
          </w:p>
        </w:tc>
        <w:tc>
          <w:tcPr>
            <w:tcW w:w="700" w:type="dxa"/>
            <w:tcBorders>
              <w:top w:val="nil"/>
              <w:left w:val="nil"/>
              <w:bottom w:val="single" w:sz="4" w:space="0" w:color="auto"/>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246</w:t>
            </w:r>
          </w:p>
        </w:tc>
        <w:tc>
          <w:tcPr>
            <w:tcW w:w="820" w:type="dxa"/>
            <w:tcBorders>
              <w:top w:val="nil"/>
              <w:left w:val="nil"/>
              <w:bottom w:val="single" w:sz="4" w:space="0" w:color="auto"/>
              <w:right w:val="nil"/>
            </w:tcBorders>
            <w:shd w:val="clear" w:color="auto" w:fill="auto"/>
            <w:noWrap/>
            <w:vAlign w:val="bottom"/>
            <w:hideMark/>
          </w:tcPr>
          <w:p w:rsidR="00647BDC" w:rsidRPr="006C2E43"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275</w:t>
            </w:r>
          </w:p>
        </w:tc>
      </w:tr>
    </w:tbl>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Heading3"/>
      </w:pPr>
      <w:bookmarkStart w:id="122" w:name="_Toc390955835"/>
      <w:r>
        <w:t>What is the impact on the GST distribution?</w:t>
      </w:r>
      <w:bookmarkEnd w:id="122"/>
    </w:p>
    <w:p w:rsidR="00647BDC" w:rsidRPr="00755429" w:rsidRDefault="00647BDC" w:rsidP="00647BDC">
      <w:pPr>
        <w:pStyle w:val="CGCNumberedPara"/>
        <w:numPr>
          <w:ilvl w:val="1"/>
          <w:numId w:val="2"/>
        </w:numPr>
      </w:pPr>
      <w:r w:rsidRPr="00755429">
        <w:fldChar w:fldCharType="begin"/>
      </w:r>
      <w:r w:rsidRPr="00755429">
        <w:instrText xml:space="preserve"> REF _Ref384801201 \h </w:instrText>
      </w:r>
      <w:r>
        <w:instrText xml:space="preserve"> \* MERGEFORMAT </w:instrText>
      </w:r>
      <w:r w:rsidRPr="00755429">
        <w:fldChar w:fldCharType="separate"/>
      </w:r>
      <w:r w:rsidR="005B69B1" w:rsidRPr="00755429">
        <w:t xml:space="preserve">Table </w:t>
      </w:r>
      <w:r w:rsidR="005B69B1">
        <w:rPr>
          <w:noProof/>
        </w:rPr>
        <w:t>8</w:t>
      </w:r>
      <w:r w:rsidRPr="00755429">
        <w:fldChar w:fldCharType="end"/>
      </w:r>
      <w:r w:rsidRPr="00755429">
        <w:t xml:space="preserve"> shows the extent to which the assessment for this category moves the recommended distribution of the GST revenue away from an equal per capita distribution in 2012</w:t>
      </w:r>
      <w:r w:rsidRPr="00755429">
        <w:noBreakHyphen/>
        <w:t>13. It shows GST revenue is redistributed from States assessed to have above average revenue raising capacities (Victoria, Queensland, Western Australia, South Australia and Tasmania) to States assessed to have below average revenue raising capacities (New South Wales, the ACT and the Northern Territory).</w:t>
      </w:r>
    </w:p>
    <w:p w:rsidR="00647BDC" w:rsidRPr="00755429" w:rsidRDefault="00647BDC" w:rsidP="00647BDC">
      <w:pPr>
        <w:pStyle w:val="CGCTableHeading"/>
      </w:pPr>
      <w:bookmarkStart w:id="123" w:name="_Ref384801201"/>
      <w:bookmarkStart w:id="124" w:name="_Ref384646531"/>
      <w:r w:rsidRPr="00755429">
        <w:t xml:space="preserve">Table </w:t>
      </w:r>
      <w:r w:rsidR="005B69B1">
        <w:fldChar w:fldCharType="begin"/>
      </w:r>
      <w:r w:rsidR="005B69B1">
        <w:instrText xml:space="preserve"> SEQ Table \* ARABIC </w:instrText>
      </w:r>
      <w:r w:rsidR="005B69B1">
        <w:fldChar w:fldCharType="separate"/>
      </w:r>
      <w:r w:rsidR="005B69B1">
        <w:rPr>
          <w:noProof/>
        </w:rPr>
        <w:t>8</w:t>
      </w:r>
      <w:r w:rsidR="005B69B1">
        <w:rPr>
          <w:noProof/>
        </w:rPr>
        <w:fldChar w:fldCharType="end"/>
      </w:r>
      <w:bookmarkEnd w:id="123"/>
      <w:r w:rsidRPr="00755429">
        <w:tab/>
        <w:t>Illustrative GST impact of the Motor taxes assessment</w:t>
      </w:r>
      <w:bookmarkEnd w:id="124"/>
      <w:r w:rsidRPr="00755429">
        <w:t>, 2012</w:t>
      </w:r>
      <w:r w:rsidRPr="00755429">
        <w:noBreakHyphen/>
        <w:t>13</w:t>
      </w:r>
    </w:p>
    <w:tbl>
      <w:tblPr>
        <w:tblW w:w="8920" w:type="dxa"/>
        <w:tblInd w:w="93" w:type="dxa"/>
        <w:tblLook w:val="04A0" w:firstRow="1" w:lastRow="0" w:firstColumn="1" w:lastColumn="0" w:noHBand="0" w:noVBand="1"/>
      </w:tblPr>
      <w:tblGrid>
        <w:gridCol w:w="2600"/>
        <w:gridCol w:w="780"/>
        <w:gridCol w:w="780"/>
        <w:gridCol w:w="780"/>
        <w:gridCol w:w="640"/>
        <w:gridCol w:w="640"/>
        <w:gridCol w:w="640"/>
        <w:gridCol w:w="640"/>
        <w:gridCol w:w="640"/>
        <w:gridCol w:w="780"/>
      </w:tblGrid>
      <w:tr w:rsidR="00647BDC" w:rsidRPr="006C2E43" w:rsidTr="00D07581">
        <w:trPr>
          <w:trHeight w:val="375"/>
        </w:trPr>
        <w:tc>
          <w:tcPr>
            <w:tcW w:w="260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 </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NSW</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Vic</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Qld</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WA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6C2E43">
              <w:rPr>
                <w:rFonts w:ascii="Calibri" w:eastAsia="Times New Roman" w:hAnsi="Calibri" w:cs="Times New Roman"/>
                <w:sz w:val="20"/>
                <w:szCs w:val="20"/>
                <w:lang w:eastAsia="en-AU"/>
              </w:rPr>
              <w:t>Tas</w:t>
            </w:r>
            <w:proofErr w:type="spellEnd"/>
          </w:p>
        </w:tc>
        <w:tc>
          <w:tcPr>
            <w:tcW w:w="64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NT</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Pr>
                <w:rFonts w:ascii="Calibri" w:eastAsia="Times New Roman" w:hAnsi="Calibri" w:cs="Times New Roman"/>
                <w:sz w:val="20"/>
                <w:szCs w:val="20"/>
                <w:lang w:eastAsia="en-AU"/>
              </w:rPr>
              <w:t>Redist</w:t>
            </w:r>
            <w:proofErr w:type="spellEnd"/>
          </w:p>
        </w:tc>
      </w:tr>
      <w:tr w:rsidR="00647BDC" w:rsidRPr="006C2E43" w:rsidTr="00D07581">
        <w:trPr>
          <w:trHeight w:val="255"/>
        </w:trPr>
        <w:tc>
          <w:tcPr>
            <w:tcW w:w="260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rPr>
                <w:rFonts w:ascii="Calibri" w:eastAsia="Times New Roman" w:hAnsi="Calibri" w:cs="Times New Roman"/>
                <w:sz w:val="20"/>
                <w:szCs w:val="20"/>
                <w:lang w:eastAsia="en-AU"/>
              </w:rPr>
            </w:pPr>
          </w:p>
        </w:tc>
        <w:tc>
          <w:tcPr>
            <w:tcW w:w="78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$m</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$m</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$m</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$m</w:t>
            </w:r>
          </w:p>
        </w:tc>
      </w:tr>
      <w:tr w:rsidR="00647BDC" w:rsidRPr="006C2E43" w:rsidTr="00D07581">
        <w:trPr>
          <w:trHeight w:val="315"/>
        </w:trPr>
        <w:tc>
          <w:tcPr>
            <w:tcW w:w="260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Light vehicle component</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145</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-48</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-34</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-41</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-19</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-15</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10</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157</w:t>
            </w:r>
          </w:p>
        </w:tc>
      </w:tr>
      <w:tr w:rsidR="00647BDC" w:rsidRPr="006C2E43" w:rsidTr="00D07581">
        <w:trPr>
          <w:trHeight w:val="315"/>
        </w:trPr>
        <w:tc>
          <w:tcPr>
            <w:tcW w:w="260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Heavy vehicle component</w:t>
            </w:r>
          </w:p>
        </w:tc>
        <w:tc>
          <w:tcPr>
            <w:tcW w:w="78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81</w:t>
            </w:r>
          </w:p>
        </w:tc>
        <w:tc>
          <w:tcPr>
            <w:tcW w:w="78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w:t>
            </w:r>
          </w:p>
        </w:tc>
        <w:tc>
          <w:tcPr>
            <w:tcW w:w="78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-23</w:t>
            </w:r>
          </w:p>
        </w:tc>
        <w:tc>
          <w:tcPr>
            <w:tcW w:w="64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-61</w:t>
            </w:r>
          </w:p>
        </w:tc>
        <w:tc>
          <w:tcPr>
            <w:tcW w:w="64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-3</w:t>
            </w:r>
          </w:p>
        </w:tc>
        <w:tc>
          <w:tcPr>
            <w:tcW w:w="64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-3</w:t>
            </w:r>
          </w:p>
        </w:tc>
        <w:tc>
          <w:tcPr>
            <w:tcW w:w="64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14</w:t>
            </w:r>
          </w:p>
        </w:tc>
        <w:tc>
          <w:tcPr>
            <w:tcW w:w="64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-3</w:t>
            </w:r>
          </w:p>
        </w:tc>
        <w:tc>
          <w:tcPr>
            <w:tcW w:w="78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96</w:t>
            </w:r>
          </w:p>
        </w:tc>
      </w:tr>
      <w:tr w:rsidR="00647BDC" w:rsidRPr="006C2E43" w:rsidTr="00D07581">
        <w:trPr>
          <w:trHeight w:val="315"/>
        </w:trPr>
        <w:tc>
          <w:tcPr>
            <w:tcW w:w="260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Category ($m)</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227</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-49</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-57</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-102</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-22</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-18</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15</w:t>
            </w:r>
          </w:p>
        </w:tc>
        <w:tc>
          <w:tcPr>
            <w:tcW w:w="64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7</w:t>
            </w:r>
          </w:p>
        </w:tc>
        <w:tc>
          <w:tcPr>
            <w:tcW w:w="780" w:type="dxa"/>
            <w:tcBorders>
              <w:top w:val="nil"/>
              <w:left w:val="nil"/>
              <w:bottom w:val="nil"/>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249</w:t>
            </w:r>
          </w:p>
        </w:tc>
      </w:tr>
      <w:tr w:rsidR="00647BDC" w:rsidRPr="006C2E43" w:rsidTr="00D07581">
        <w:trPr>
          <w:trHeight w:val="315"/>
        </w:trPr>
        <w:tc>
          <w:tcPr>
            <w:tcW w:w="260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Category ($pc)</w:t>
            </w:r>
          </w:p>
        </w:tc>
        <w:tc>
          <w:tcPr>
            <w:tcW w:w="78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31</w:t>
            </w:r>
          </w:p>
        </w:tc>
        <w:tc>
          <w:tcPr>
            <w:tcW w:w="78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-9</w:t>
            </w:r>
          </w:p>
        </w:tc>
        <w:tc>
          <w:tcPr>
            <w:tcW w:w="78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-12</w:t>
            </w:r>
          </w:p>
        </w:tc>
        <w:tc>
          <w:tcPr>
            <w:tcW w:w="64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-41</w:t>
            </w:r>
          </w:p>
        </w:tc>
        <w:tc>
          <w:tcPr>
            <w:tcW w:w="64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-13</w:t>
            </w:r>
          </w:p>
        </w:tc>
        <w:tc>
          <w:tcPr>
            <w:tcW w:w="64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-35</w:t>
            </w:r>
          </w:p>
        </w:tc>
        <w:tc>
          <w:tcPr>
            <w:tcW w:w="64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40</w:t>
            </w:r>
          </w:p>
        </w:tc>
        <w:tc>
          <w:tcPr>
            <w:tcW w:w="64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29</w:t>
            </w:r>
          </w:p>
        </w:tc>
        <w:tc>
          <w:tcPr>
            <w:tcW w:w="780" w:type="dxa"/>
            <w:tcBorders>
              <w:top w:val="nil"/>
              <w:left w:val="nil"/>
              <w:bottom w:val="single" w:sz="4" w:space="0" w:color="auto"/>
              <w:right w:val="nil"/>
            </w:tcBorders>
            <w:shd w:val="clear" w:color="auto" w:fill="auto"/>
            <w:noWrap/>
            <w:vAlign w:val="bottom"/>
            <w:hideMark/>
          </w:tcPr>
          <w:p w:rsidR="00647BDC" w:rsidRPr="006C2E43"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6C2E43">
              <w:rPr>
                <w:rFonts w:ascii="Calibri" w:eastAsia="Times New Roman" w:hAnsi="Calibri" w:cs="Times New Roman"/>
                <w:sz w:val="20"/>
                <w:szCs w:val="20"/>
                <w:lang w:eastAsia="en-AU"/>
              </w:rPr>
              <w:t>11</w:t>
            </w:r>
          </w:p>
        </w:tc>
      </w:tr>
    </w:tbl>
    <w:p w:rsidR="00647BDC" w:rsidRPr="00755429" w:rsidRDefault="00647BDC" w:rsidP="00647BDC">
      <w:pPr>
        <w:pStyle w:val="CGCTableFootnote"/>
      </w:pPr>
      <w:r w:rsidRPr="00755429">
        <w:t>Source:</w:t>
      </w:r>
      <w:r w:rsidRPr="00755429">
        <w:tab/>
        <w:t>Commission calculation.</w:t>
      </w:r>
    </w:p>
    <w:p w:rsidR="00647BDC" w:rsidRPr="00492682" w:rsidRDefault="00647BDC" w:rsidP="00647BDC">
      <w:pPr>
        <w:pStyle w:val="CGCNumberedPara"/>
        <w:numPr>
          <w:ilvl w:val="1"/>
          <w:numId w:val="2"/>
        </w:numPr>
      </w:pPr>
      <w:r w:rsidRPr="00755429">
        <w:rPr>
          <w:rStyle w:val="Heading6Char"/>
        </w:rPr>
        <w:t>Light vehicle registrations.</w:t>
      </w:r>
      <w:r w:rsidRPr="00755429">
        <w:t xml:space="preserve"> New South Wales, the ACT and the Northern Territory are assessed to require greater GST because they have a relatively low share of light vehicles. The low share for the Northern Territory may be due to its high proportion of Indigenous people living in remote areas and the associated low incomes.</w:t>
      </w:r>
    </w:p>
    <w:p w:rsidR="00647BDC" w:rsidRPr="00755429" w:rsidRDefault="00647BDC" w:rsidP="00647BDC">
      <w:pPr>
        <w:pStyle w:val="CGCNumberedPara"/>
        <w:numPr>
          <w:ilvl w:val="1"/>
          <w:numId w:val="2"/>
        </w:numPr>
      </w:pPr>
      <w:r w:rsidRPr="00755429">
        <w:rPr>
          <w:rStyle w:val="Heading6Char"/>
        </w:rPr>
        <w:t>Heavy vehicle registrations.</w:t>
      </w:r>
      <w:r w:rsidRPr="00755429">
        <w:t xml:space="preserve"> New South Wales and the ACT are assessed to require greater GST because they have a relatively low share of heavy vehicles. The low rate in the ACT in part reflects its low level of manufacturing and absence of mining.</w:t>
      </w:r>
    </w:p>
    <w:p w:rsidR="00647BDC" w:rsidRPr="00755429" w:rsidRDefault="00647BDC" w:rsidP="00647BDC">
      <w:pPr>
        <w:pStyle w:val="Heading3"/>
        <w:rPr>
          <w:rFonts w:eastAsiaTheme="minorHAnsi"/>
        </w:rPr>
      </w:pPr>
      <w:bookmarkStart w:id="125" w:name="_Toc390955836"/>
      <w:r>
        <w:rPr>
          <w:rFonts w:eastAsiaTheme="minorHAnsi"/>
          <w:bCs w:val="0"/>
          <w:caps w:val="0"/>
        </w:rPr>
        <w:lastRenderedPageBreak/>
        <w:t>Changes since the 2010 Review</w:t>
      </w:r>
      <w:bookmarkEnd w:id="125"/>
    </w:p>
    <w:p w:rsidR="00647BDC" w:rsidRPr="00755429" w:rsidRDefault="00647BDC" w:rsidP="00647BDC">
      <w:pPr>
        <w:pStyle w:val="CGCNumberedPara"/>
        <w:numPr>
          <w:ilvl w:val="1"/>
          <w:numId w:val="2"/>
        </w:numPr>
      </w:pPr>
      <w:r w:rsidRPr="00755429">
        <w:t xml:space="preserve">In this review, we have made one change. We have moved Stamp duty on vehicle sales to the Stamp duty on conveyances category. </w:t>
      </w:r>
    </w:p>
    <w:p w:rsidR="00647BDC" w:rsidRPr="00755429" w:rsidRDefault="00647BDC" w:rsidP="00647BDC">
      <w:pPr>
        <w:pStyle w:val="Heading3"/>
        <w:rPr>
          <w:rFonts w:eastAsiaTheme="minorHAnsi"/>
        </w:rPr>
      </w:pPr>
      <w:bookmarkStart w:id="126" w:name="_Toc390955837"/>
      <w:r>
        <w:rPr>
          <w:rFonts w:eastAsiaTheme="minorHAnsi"/>
        </w:rPr>
        <w:t>Ongoing issue</w:t>
      </w:r>
      <w:bookmarkEnd w:id="126"/>
    </w:p>
    <w:p w:rsidR="00647BDC" w:rsidRPr="00755429" w:rsidRDefault="00647BDC" w:rsidP="00647BDC">
      <w:pPr>
        <w:pStyle w:val="CGCNumberedPara"/>
        <w:numPr>
          <w:ilvl w:val="1"/>
          <w:numId w:val="2"/>
        </w:numPr>
      </w:pPr>
      <w:r w:rsidRPr="00755429">
        <w:t xml:space="preserve">The Commonwealth and States are discussing heavy vehicle reforms. If this leads to a reform process, the assessment may need to be amended. Any amendment will be undertaken in consultation with States. </w:t>
      </w:r>
    </w:p>
    <w:p w:rsidR="00647BDC" w:rsidRPr="00755429" w:rsidRDefault="00647BDC" w:rsidP="00647BDC">
      <w:pPr>
        <w:sectPr w:rsidR="00647BDC" w:rsidRPr="00755429" w:rsidSect="00D07581">
          <w:footerReference w:type="default" r:id="rId19"/>
          <w:footerReference w:type="first" r:id="rId20"/>
          <w:footnotePr>
            <w:numRestart w:val="eachSect"/>
          </w:footnotePr>
          <w:pgSz w:w="11906" w:h="16838" w:code="9"/>
          <w:pgMar w:top="1701" w:right="1474" w:bottom="1701" w:left="1474" w:header="709" w:footer="709" w:gutter="0"/>
          <w:cols w:space="708"/>
          <w:titlePg/>
          <w:docGrid w:linePitch="360"/>
        </w:sectPr>
      </w:pPr>
    </w:p>
    <w:p w:rsidR="00647BDC" w:rsidRPr="00755429" w:rsidRDefault="00647BDC" w:rsidP="00647BDC">
      <w:pPr>
        <w:pStyle w:val="Heading1"/>
      </w:pPr>
      <w:bookmarkStart w:id="127" w:name="_Toc390955838"/>
      <w:r>
        <w:lastRenderedPageBreak/>
        <w:t>ATTACHMENT</w:t>
      </w:r>
      <w:r w:rsidRPr="00755429">
        <w:t xml:space="preserve"> 7</w:t>
      </w:r>
      <w:bookmarkEnd w:id="127"/>
    </w:p>
    <w:p w:rsidR="00647BDC" w:rsidRPr="00755429" w:rsidRDefault="00647BDC" w:rsidP="00647BDC">
      <w:pPr>
        <w:pStyle w:val="Heading2"/>
      </w:pPr>
      <w:bookmarkStart w:id="128" w:name="_Toc390955839"/>
      <w:r w:rsidRPr="00755429">
        <w:t>MINING REVENUE</w:t>
      </w:r>
      <w:bookmarkEnd w:id="128"/>
    </w:p>
    <w:tbl>
      <w:tblPr>
        <w:tblStyle w:val="TableGrid"/>
        <w:tblW w:w="0" w:type="auto"/>
        <w:tblLook w:val="04A0" w:firstRow="1" w:lastRow="0" w:firstColumn="1" w:lastColumn="0" w:noHBand="0" w:noVBand="1"/>
      </w:tblPr>
      <w:tblGrid>
        <w:gridCol w:w="9167"/>
      </w:tblGrid>
      <w:tr w:rsidR="00647BDC" w:rsidRPr="00755429" w:rsidTr="00D07581">
        <w:tc>
          <w:tcPr>
            <w:tcW w:w="9167" w:type="dxa"/>
            <w:tcBorders>
              <w:top w:val="nil"/>
              <w:left w:val="nil"/>
              <w:bottom w:val="nil"/>
              <w:right w:val="nil"/>
            </w:tcBorders>
            <w:shd w:val="clear" w:color="auto" w:fill="D9F3E6"/>
          </w:tcPr>
          <w:p w:rsidR="00647BDC" w:rsidRPr="00755429" w:rsidRDefault="00647BDC" w:rsidP="00D07581">
            <w:pPr>
              <w:rPr>
                <w:b/>
              </w:rPr>
            </w:pPr>
            <w:r w:rsidRPr="00755429">
              <w:rPr>
                <w:b/>
              </w:rPr>
              <w:t>Summary of changes since the 2010 Review:</w:t>
            </w:r>
          </w:p>
          <w:p w:rsidR="00647BDC" w:rsidRDefault="00647BDC" w:rsidP="00D07581">
            <w:pPr>
              <w:pStyle w:val="CGCBulletlist"/>
            </w:pPr>
            <w:r w:rsidRPr="00755429">
              <w:t>There is now a mineral by mineral assessment with separate assessments of iron ore, coal, gold, onshore oil and gas, copper, bauxite, nickel and ‘all other minerals’. Grants in lieu of royalties are assessed APC in a separate component, as in the 2010 Review.</w:t>
            </w:r>
          </w:p>
          <w:p w:rsidR="00647BDC" w:rsidRDefault="00647BDC" w:rsidP="00D07581">
            <w:pPr>
              <w:pStyle w:val="CGCBulletlist"/>
            </w:pPr>
            <w:r w:rsidRPr="007357C3">
              <w:t>Subject to the results of further consultation, the impact of higher royalty rates on iron ore fines will be phased in over three years commencing from 2015-16.</w:t>
            </w:r>
          </w:p>
        </w:tc>
      </w:tr>
    </w:tbl>
    <w:p w:rsidR="00647BDC" w:rsidRDefault="00647BDC" w:rsidP="00647BDC">
      <w:pPr>
        <w:pStyle w:val="Heading3"/>
      </w:pPr>
      <w:bookmarkStart w:id="129" w:name="_Toc390955840"/>
      <w:r>
        <w:t>What is included in the mining revenue category?</w:t>
      </w:r>
      <w:bookmarkEnd w:id="129"/>
    </w:p>
    <w:p w:rsidR="00647BDC" w:rsidRPr="00755429" w:rsidRDefault="00647BDC" w:rsidP="00647BDC">
      <w:pPr>
        <w:pStyle w:val="CGCNumberedPara"/>
        <w:numPr>
          <w:ilvl w:val="1"/>
          <w:numId w:val="16"/>
        </w:numPr>
      </w:pPr>
      <w:r w:rsidRPr="00755429">
        <w:t>The Mining revenue category includes mining royalties levied on mining production. Royalties represent a payment to the owners of a resource for the right to sell, dispose of, or use the resource.</w:t>
      </w:r>
    </w:p>
    <w:p w:rsidR="00647BDC" w:rsidRPr="00755429" w:rsidRDefault="00647BDC" w:rsidP="00647BDC">
      <w:pPr>
        <w:pStyle w:val="CGCNumberedPara"/>
        <w:numPr>
          <w:ilvl w:val="1"/>
          <w:numId w:val="2"/>
        </w:numPr>
      </w:pPr>
      <w:r w:rsidRPr="00755429">
        <w:t>The category also includes grants in lieu of royalties. These are payments received under revenue sharing arrangements with the Commonwealth. Western Australia receives a payment in relation to royalties from offshore oil and gas production (predominantly from the North-West Shelf) and the Northern Territory receives a payment in relation to royalties on uranium.</w:t>
      </w:r>
    </w:p>
    <w:p w:rsidR="00647BDC" w:rsidRPr="00755429" w:rsidRDefault="00647BDC" w:rsidP="00647BDC">
      <w:pPr>
        <w:pStyle w:val="CGCNumberedPara"/>
        <w:numPr>
          <w:ilvl w:val="1"/>
          <w:numId w:val="2"/>
        </w:numPr>
      </w:pPr>
      <w:r>
        <w:fldChar w:fldCharType="begin"/>
      </w:r>
      <w:r>
        <w:instrText xml:space="preserve"> REF _Ref390875387 \h </w:instrText>
      </w:r>
      <w:r>
        <w:fldChar w:fldCharType="separate"/>
      </w:r>
      <w:r w:rsidR="005B69B1" w:rsidRPr="00755429">
        <w:t xml:space="preserve">Table </w:t>
      </w:r>
      <w:r w:rsidR="005B69B1">
        <w:rPr>
          <w:noProof/>
        </w:rPr>
        <w:t>1</w:t>
      </w:r>
      <w:r>
        <w:fldChar w:fldCharType="end"/>
      </w:r>
      <w:r>
        <w:t xml:space="preserve"> </w:t>
      </w:r>
      <w:r w:rsidRPr="00755429">
        <w:t>shows States raised $9.3 billion from mining royalties in 2012</w:t>
      </w:r>
      <w:r w:rsidRPr="00755429">
        <w:noBreakHyphen/>
        <w:t>13.</w:t>
      </w:r>
    </w:p>
    <w:p w:rsidR="00647BDC" w:rsidRPr="00755429" w:rsidRDefault="00647BDC" w:rsidP="00647BDC">
      <w:pPr>
        <w:pStyle w:val="Caption"/>
      </w:pPr>
      <w:bookmarkStart w:id="130" w:name="_Ref390875387"/>
      <w:r w:rsidRPr="00755429">
        <w:t xml:space="preserve">Table </w:t>
      </w:r>
      <w:r w:rsidR="005B69B1">
        <w:fldChar w:fldCharType="begin"/>
      </w:r>
      <w:r w:rsidR="005B69B1">
        <w:instrText xml:space="preserve"> SEQ Table \* ARABIC \r1 </w:instrText>
      </w:r>
      <w:r w:rsidR="005B69B1">
        <w:fldChar w:fldCharType="separate"/>
      </w:r>
      <w:r w:rsidR="005B69B1">
        <w:rPr>
          <w:noProof/>
        </w:rPr>
        <w:t>1</w:t>
      </w:r>
      <w:r w:rsidR="005B69B1">
        <w:rPr>
          <w:noProof/>
        </w:rPr>
        <w:fldChar w:fldCharType="end"/>
      </w:r>
      <w:bookmarkEnd w:id="130"/>
      <w:r w:rsidRPr="00755429">
        <w:tab/>
        <w:t>Revenue from mining royalties and grants in lieu of royalties, 2012</w:t>
      </w:r>
      <w:r w:rsidRPr="00755429">
        <w:noBreakHyphen/>
        <w:t>13</w:t>
      </w:r>
    </w:p>
    <w:tbl>
      <w:tblPr>
        <w:tblW w:w="8920" w:type="dxa"/>
        <w:tblInd w:w="93" w:type="dxa"/>
        <w:tblLook w:val="04A0" w:firstRow="1" w:lastRow="0" w:firstColumn="1" w:lastColumn="0" w:noHBand="0" w:noVBand="1"/>
      </w:tblPr>
      <w:tblGrid>
        <w:gridCol w:w="1660"/>
        <w:gridCol w:w="880"/>
        <w:gridCol w:w="700"/>
        <w:gridCol w:w="880"/>
        <w:gridCol w:w="880"/>
        <w:gridCol w:w="800"/>
        <w:gridCol w:w="720"/>
        <w:gridCol w:w="720"/>
        <w:gridCol w:w="800"/>
        <w:gridCol w:w="880"/>
      </w:tblGrid>
      <w:tr w:rsidR="00647BDC" w:rsidRPr="00755429" w:rsidTr="00D07581">
        <w:trPr>
          <w:trHeight w:val="379"/>
        </w:trPr>
        <w:tc>
          <w:tcPr>
            <w:tcW w:w="166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bookmarkStart w:id="131" w:name="RANGE!A2:J4"/>
            <w:r w:rsidRPr="00755429">
              <w:rPr>
                <w:rFonts w:ascii="Calibri" w:eastAsia="Times New Roman" w:hAnsi="Calibri" w:cs="Times New Roman"/>
                <w:sz w:val="20"/>
                <w:szCs w:val="20"/>
                <w:lang w:eastAsia="en-AU"/>
              </w:rPr>
              <w:t> </w:t>
            </w:r>
            <w:bookmarkEnd w:id="131"/>
          </w:p>
        </w:tc>
        <w:tc>
          <w:tcPr>
            <w:tcW w:w="88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NSW</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Vic</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Qld</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WA</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SA</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proofErr w:type="spellStart"/>
            <w:r w:rsidRPr="00755429">
              <w:rPr>
                <w:rFonts w:ascii="Calibri" w:eastAsia="Times New Roman" w:hAnsi="Calibri" w:cs="Times New Roman"/>
                <w:sz w:val="20"/>
                <w:szCs w:val="20"/>
                <w:lang w:eastAsia="en-AU"/>
              </w:rPr>
              <w:t>Tas</w:t>
            </w:r>
            <w:proofErr w:type="spellEnd"/>
          </w:p>
        </w:tc>
        <w:tc>
          <w:tcPr>
            <w:tcW w:w="7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ACT</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NT</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Total</w:t>
            </w:r>
          </w:p>
        </w:tc>
      </w:tr>
      <w:tr w:rsidR="00647BDC" w:rsidRPr="00755429" w:rsidTr="00D07581">
        <w:trPr>
          <w:trHeight w:val="259"/>
        </w:trPr>
        <w:tc>
          <w:tcPr>
            <w:tcW w:w="166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88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$m</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$m</w:t>
            </w:r>
          </w:p>
        </w:tc>
        <w:tc>
          <w:tcPr>
            <w:tcW w:w="80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$m</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$m</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$m</w:t>
            </w:r>
          </w:p>
        </w:tc>
        <w:tc>
          <w:tcPr>
            <w:tcW w:w="80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$m</w:t>
            </w:r>
          </w:p>
        </w:tc>
      </w:tr>
      <w:tr w:rsidR="00647BDC" w:rsidRPr="00755429" w:rsidTr="00D07581">
        <w:trPr>
          <w:trHeight w:val="315"/>
        </w:trPr>
        <w:tc>
          <w:tcPr>
            <w:tcW w:w="166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CGCTableStub"/>
              <w:rPr>
                <w:lang w:eastAsia="en-AU"/>
              </w:rPr>
            </w:pPr>
            <w:r w:rsidRPr="00755429">
              <w:rPr>
                <w:lang w:eastAsia="en-AU"/>
              </w:rPr>
              <w:t>Mining revenue</w:t>
            </w:r>
          </w:p>
        </w:tc>
        <w:tc>
          <w:tcPr>
            <w:tcW w:w="88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1 318</w:t>
            </w:r>
          </w:p>
        </w:tc>
        <w:tc>
          <w:tcPr>
            <w:tcW w:w="70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45</w:t>
            </w:r>
          </w:p>
        </w:tc>
        <w:tc>
          <w:tcPr>
            <w:tcW w:w="88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2 108</w:t>
            </w:r>
          </w:p>
        </w:tc>
        <w:tc>
          <w:tcPr>
            <w:tcW w:w="88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5 525</w:t>
            </w:r>
          </w:p>
        </w:tc>
        <w:tc>
          <w:tcPr>
            <w:tcW w:w="80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189</w:t>
            </w:r>
          </w:p>
        </w:tc>
        <w:tc>
          <w:tcPr>
            <w:tcW w:w="72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29</w:t>
            </w:r>
          </w:p>
        </w:tc>
        <w:tc>
          <w:tcPr>
            <w:tcW w:w="72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80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117</w:t>
            </w:r>
          </w:p>
        </w:tc>
        <w:tc>
          <w:tcPr>
            <w:tcW w:w="88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9 331</w:t>
            </w:r>
          </w:p>
        </w:tc>
      </w:tr>
    </w:tbl>
    <w:p w:rsidR="00647BDC" w:rsidRPr="00755429" w:rsidRDefault="00647BDC" w:rsidP="00647BDC">
      <w:pPr>
        <w:pStyle w:val="CGCTableFootnote"/>
      </w:pPr>
      <w:r w:rsidRPr="00755429">
        <w:t>Source:</w:t>
      </w:r>
      <w:r w:rsidRPr="00755429">
        <w:tab/>
        <w:t>ABS GFS data and State data.</w:t>
      </w:r>
    </w:p>
    <w:p w:rsidR="00647BDC" w:rsidRPr="00755429" w:rsidRDefault="00647BDC" w:rsidP="00647BDC">
      <w:pPr>
        <w:pStyle w:val="CGCNumberedPara"/>
        <w:numPr>
          <w:ilvl w:val="1"/>
          <w:numId w:val="2"/>
        </w:numPr>
      </w:pPr>
      <w:r>
        <w:fldChar w:fldCharType="begin"/>
      </w:r>
      <w:r>
        <w:instrText xml:space="preserve"> REF _Ref390875436 \h </w:instrText>
      </w:r>
      <w:r>
        <w:fldChar w:fldCharType="separate"/>
      </w:r>
      <w:r w:rsidR="005B69B1" w:rsidRPr="00755429">
        <w:t xml:space="preserve">Table </w:t>
      </w:r>
      <w:r w:rsidR="005B69B1">
        <w:rPr>
          <w:noProof/>
        </w:rPr>
        <w:t>2</w:t>
      </w:r>
      <w:r>
        <w:fldChar w:fldCharType="end"/>
      </w:r>
      <w:r>
        <w:t xml:space="preserve"> </w:t>
      </w:r>
      <w:r w:rsidRPr="00755429">
        <w:t>shows mining royalties contributed around 9% of State own-source revenue in 2012</w:t>
      </w:r>
      <w:r w:rsidRPr="00755429">
        <w:noBreakHyphen/>
        <w:t>13.</w:t>
      </w:r>
    </w:p>
    <w:p w:rsidR="00647BDC" w:rsidRPr="00755429" w:rsidRDefault="00647BDC" w:rsidP="00647BDC">
      <w:pPr>
        <w:pStyle w:val="Caption"/>
      </w:pPr>
      <w:bookmarkStart w:id="132" w:name="_Ref390875436"/>
      <w:r w:rsidRPr="00755429">
        <w:lastRenderedPageBreak/>
        <w:t xml:space="preserve">Table </w:t>
      </w:r>
      <w:r w:rsidR="005B69B1">
        <w:fldChar w:fldCharType="begin"/>
      </w:r>
      <w:r w:rsidR="005B69B1">
        <w:instrText xml:space="preserve"> SEQ Table \* ARABIC </w:instrText>
      </w:r>
      <w:r w:rsidR="005B69B1">
        <w:fldChar w:fldCharType="separate"/>
      </w:r>
      <w:r w:rsidR="005B69B1">
        <w:rPr>
          <w:noProof/>
        </w:rPr>
        <w:t>2</w:t>
      </w:r>
      <w:r w:rsidR="005B69B1">
        <w:rPr>
          <w:noProof/>
        </w:rPr>
        <w:fldChar w:fldCharType="end"/>
      </w:r>
      <w:bookmarkEnd w:id="132"/>
      <w:r w:rsidRPr="00755429">
        <w:tab/>
        <w:t xml:space="preserve">Mining revenue as a proportion of State own-source revenue </w:t>
      </w:r>
    </w:p>
    <w:tbl>
      <w:tblPr>
        <w:tblW w:w="8940" w:type="dxa"/>
        <w:tblInd w:w="93" w:type="dxa"/>
        <w:tblLook w:val="04A0" w:firstRow="1" w:lastRow="0" w:firstColumn="1" w:lastColumn="0" w:noHBand="0" w:noVBand="1"/>
      </w:tblPr>
      <w:tblGrid>
        <w:gridCol w:w="4180"/>
        <w:gridCol w:w="1180"/>
        <w:gridCol w:w="1180"/>
        <w:gridCol w:w="1180"/>
        <w:gridCol w:w="1220"/>
      </w:tblGrid>
      <w:tr w:rsidR="00647BDC" w:rsidRPr="007156CF" w:rsidTr="00D07581">
        <w:trPr>
          <w:trHeight w:val="375"/>
        </w:trPr>
        <w:tc>
          <w:tcPr>
            <w:tcW w:w="4180" w:type="dxa"/>
            <w:tcBorders>
              <w:top w:val="single" w:sz="4" w:space="0" w:color="auto"/>
              <w:left w:val="nil"/>
              <w:bottom w:val="single" w:sz="4" w:space="0" w:color="auto"/>
              <w:right w:val="nil"/>
            </w:tcBorders>
            <w:shd w:val="clear" w:color="auto" w:fill="auto"/>
            <w:noWrap/>
            <w:vAlign w:val="center"/>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 </w:t>
            </w:r>
          </w:p>
        </w:tc>
        <w:tc>
          <w:tcPr>
            <w:tcW w:w="1180" w:type="dxa"/>
            <w:tcBorders>
              <w:top w:val="single" w:sz="4" w:space="0" w:color="auto"/>
              <w:left w:val="nil"/>
              <w:bottom w:val="single" w:sz="4" w:space="0" w:color="auto"/>
              <w:right w:val="nil"/>
            </w:tcBorders>
            <w:shd w:val="clear" w:color="auto" w:fill="auto"/>
            <w:noWrap/>
            <w:vAlign w:val="center"/>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2009-10</w:t>
            </w:r>
          </w:p>
        </w:tc>
        <w:tc>
          <w:tcPr>
            <w:tcW w:w="1180" w:type="dxa"/>
            <w:tcBorders>
              <w:top w:val="single" w:sz="4" w:space="0" w:color="auto"/>
              <w:left w:val="nil"/>
              <w:bottom w:val="single" w:sz="4" w:space="0" w:color="auto"/>
              <w:right w:val="nil"/>
            </w:tcBorders>
            <w:shd w:val="clear" w:color="auto" w:fill="auto"/>
            <w:noWrap/>
            <w:vAlign w:val="center"/>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2010-11</w:t>
            </w:r>
          </w:p>
        </w:tc>
        <w:tc>
          <w:tcPr>
            <w:tcW w:w="1180" w:type="dxa"/>
            <w:tcBorders>
              <w:top w:val="single" w:sz="4" w:space="0" w:color="auto"/>
              <w:left w:val="nil"/>
              <w:bottom w:val="single" w:sz="4" w:space="0" w:color="auto"/>
              <w:right w:val="nil"/>
            </w:tcBorders>
            <w:shd w:val="clear" w:color="auto" w:fill="auto"/>
            <w:noWrap/>
            <w:vAlign w:val="center"/>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2011-12</w:t>
            </w:r>
          </w:p>
        </w:tc>
        <w:tc>
          <w:tcPr>
            <w:tcW w:w="1220" w:type="dxa"/>
            <w:tcBorders>
              <w:top w:val="single" w:sz="4" w:space="0" w:color="auto"/>
              <w:left w:val="nil"/>
              <w:bottom w:val="single" w:sz="4" w:space="0" w:color="auto"/>
              <w:right w:val="nil"/>
            </w:tcBorders>
            <w:shd w:val="clear" w:color="auto" w:fill="auto"/>
            <w:noWrap/>
            <w:vAlign w:val="center"/>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2012-13</w:t>
            </w:r>
          </w:p>
        </w:tc>
      </w:tr>
      <w:tr w:rsidR="00647BDC" w:rsidRPr="007156CF" w:rsidTr="00D07581">
        <w:trPr>
          <w:trHeight w:val="315"/>
        </w:trPr>
        <w:tc>
          <w:tcPr>
            <w:tcW w:w="4180" w:type="dxa"/>
            <w:tcBorders>
              <w:top w:val="nil"/>
              <w:left w:val="nil"/>
              <w:bottom w:val="nil"/>
              <w:right w:val="nil"/>
            </w:tcBorders>
            <w:shd w:val="clear" w:color="auto" w:fill="auto"/>
            <w:noWrap/>
            <w:vAlign w:val="bottom"/>
            <w:hideMark/>
          </w:tcPr>
          <w:p w:rsidR="00647BDC" w:rsidRPr="007156CF"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Total for category ($m)</w:t>
            </w:r>
          </w:p>
        </w:tc>
        <w:tc>
          <w:tcPr>
            <w:tcW w:w="1180" w:type="dxa"/>
            <w:tcBorders>
              <w:top w:val="nil"/>
              <w:left w:val="nil"/>
              <w:bottom w:val="nil"/>
              <w:right w:val="nil"/>
            </w:tcBorders>
            <w:shd w:val="clear" w:color="auto" w:fill="auto"/>
            <w:noWrap/>
            <w:vAlign w:val="bottom"/>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 xml:space="preserve"> 6 550</w:t>
            </w:r>
          </w:p>
        </w:tc>
        <w:tc>
          <w:tcPr>
            <w:tcW w:w="1180" w:type="dxa"/>
            <w:tcBorders>
              <w:top w:val="nil"/>
              <w:left w:val="nil"/>
              <w:bottom w:val="nil"/>
              <w:right w:val="nil"/>
            </w:tcBorders>
            <w:shd w:val="clear" w:color="auto" w:fill="auto"/>
            <w:noWrap/>
            <w:vAlign w:val="bottom"/>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 xml:space="preserve"> 9 565</w:t>
            </w:r>
          </w:p>
        </w:tc>
        <w:tc>
          <w:tcPr>
            <w:tcW w:w="1180" w:type="dxa"/>
            <w:tcBorders>
              <w:top w:val="nil"/>
              <w:left w:val="nil"/>
              <w:bottom w:val="nil"/>
              <w:right w:val="nil"/>
            </w:tcBorders>
            <w:shd w:val="clear" w:color="auto" w:fill="auto"/>
            <w:noWrap/>
            <w:vAlign w:val="bottom"/>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 xml:space="preserve"> 10 010</w:t>
            </w:r>
          </w:p>
        </w:tc>
        <w:tc>
          <w:tcPr>
            <w:tcW w:w="1220" w:type="dxa"/>
            <w:tcBorders>
              <w:top w:val="nil"/>
              <w:left w:val="nil"/>
              <w:bottom w:val="nil"/>
              <w:right w:val="nil"/>
            </w:tcBorders>
            <w:shd w:val="clear" w:color="auto" w:fill="auto"/>
            <w:noWrap/>
            <w:vAlign w:val="bottom"/>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 xml:space="preserve"> 9 331</w:t>
            </w:r>
          </w:p>
        </w:tc>
      </w:tr>
      <w:tr w:rsidR="00647BDC" w:rsidRPr="007156CF" w:rsidTr="00D07581">
        <w:trPr>
          <w:trHeight w:val="315"/>
        </w:trPr>
        <w:tc>
          <w:tcPr>
            <w:tcW w:w="4180" w:type="dxa"/>
            <w:tcBorders>
              <w:top w:val="nil"/>
              <w:left w:val="nil"/>
              <w:bottom w:val="nil"/>
              <w:right w:val="nil"/>
            </w:tcBorders>
            <w:shd w:val="clear" w:color="auto" w:fill="auto"/>
            <w:noWrap/>
            <w:vAlign w:val="bottom"/>
            <w:hideMark/>
          </w:tcPr>
          <w:p w:rsidR="00647BDC" w:rsidRPr="007156CF"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Total own source revenue ($m)</w:t>
            </w:r>
          </w:p>
        </w:tc>
        <w:tc>
          <w:tcPr>
            <w:tcW w:w="1180" w:type="dxa"/>
            <w:tcBorders>
              <w:top w:val="nil"/>
              <w:left w:val="nil"/>
              <w:bottom w:val="nil"/>
              <w:right w:val="nil"/>
            </w:tcBorders>
            <w:shd w:val="clear" w:color="auto" w:fill="auto"/>
            <w:noWrap/>
            <w:vAlign w:val="bottom"/>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 xml:space="preserve"> 86 388</w:t>
            </w:r>
          </w:p>
        </w:tc>
        <w:tc>
          <w:tcPr>
            <w:tcW w:w="1180" w:type="dxa"/>
            <w:tcBorders>
              <w:top w:val="nil"/>
              <w:left w:val="nil"/>
              <w:bottom w:val="nil"/>
              <w:right w:val="nil"/>
            </w:tcBorders>
            <w:shd w:val="clear" w:color="auto" w:fill="auto"/>
            <w:noWrap/>
            <w:vAlign w:val="bottom"/>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 xml:space="preserve"> 94 809</w:t>
            </w:r>
          </w:p>
        </w:tc>
        <w:tc>
          <w:tcPr>
            <w:tcW w:w="1180" w:type="dxa"/>
            <w:tcBorders>
              <w:top w:val="nil"/>
              <w:left w:val="nil"/>
              <w:bottom w:val="nil"/>
              <w:right w:val="nil"/>
            </w:tcBorders>
            <w:shd w:val="clear" w:color="auto" w:fill="auto"/>
            <w:noWrap/>
            <w:vAlign w:val="bottom"/>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 xml:space="preserve"> 98 699</w:t>
            </w:r>
          </w:p>
        </w:tc>
        <w:tc>
          <w:tcPr>
            <w:tcW w:w="1220" w:type="dxa"/>
            <w:tcBorders>
              <w:top w:val="nil"/>
              <w:left w:val="nil"/>
              <w:bottom w:val="nil"/>
              <w:right w:val="nil"/>
            </w:tcBorders>
            <w:shd w:val="clear" w:color="auto" w:fill="auto"/>
            <w:noWrap/>
            <w:vAlign w:val="bottom"/>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 xml:space="preserve"> 107 061</w:t>
            </w:r>
          </w:p>
        </w:tc>
      </w:tr>
      <w:tr w:rsidR="00647BDC" w:rsidRPr="007156CF" w:rsidTr="00D07581">
        <w:trPr>
          <w:trHeight w:val="315"/>
        </w:trPr>
        <w:tc>
          <w:tcPr>
            <w:tcW w:w="4180" w:type="dxa"/>
            <w:tcBorders>
              <w:top w:val="nil"/>
              <w:left w:val="nil"/>
              <w:bottom w:val="single" w:sz="4" w:space="0" w:color="auto"/>
              <w:right w:val="nil"/>
            </w:tcBorders>
            <w:shd w:val="clear" w:color="auto" w:fill="auto"/>
            <w:noWrap/>
            <w:vAlign w:val="bottom"/>
            <w:hideMark/>
          </w:tcPr>
          <w:p w:rsidR="00647BDC" w:rsidRPr="007156CF"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Proportion of total own source revenue (%)</w:t>
            </w:r>
          </w:p>
        </w:tc>
        <w:tc>
          <w:tcPr>
            <w:tcW w:w="1180" w:type="dxa"/>
            <w:tcBorders>
              <w:top w:val="nil"/>
              <w:left w:val="nil"/>
              <w:bottom w:val="single" w:sz="4" w:space="0" w:color="auto"/>
              <w:right w:val="nil"/>
            </w:tcBorders>
            <w:shd w:val="clear" w:color="auto" w:fill="auto"/>
            <w:noWrap/>
            <w:vAlign w:val="bottom"/>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 xml:space="preserve">  7.6</w:t>
            </w:r>
          </w:p>
        </w:tc>
        <w:tc>
          <w:tcPr>
            <w:tcW w:w="1180" w:type="dxa"/>
            <w:tcBorders>
              <w:top w:val="nil"/>
              <w:left w:val="nil"/>
              <w:bottom w:val="single" w:sz="4" w:space="0" w:color="auto"/>
              <w:right w:val="nil"/>
            </w:tcBorders>
            <w:shd w:val="clear" w:color="auto" w:fill="auto"/>
            <w:noWrap/>
            <w:vAlign w:val="bottom"/>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 xml:space="preserve">  10.1</w:t>
            </w:r>
          </w:p>
        </w:tc>
        <w:tc>
          <w:tcPr>
            <w:tcW w:w="1180" w:type="dxa"/>
            <w:tcBorders>
              <w:top w:val="nil"/>
              <w:left w:val="nil"/>
              <w:bottom w:val="single" w:sz="4" w:space="0" w:color="auto"/>
              <w:right w:val="nil"/>
            </w:tcBorders>
            <w:shd w:val="clear" w:color="auto" w:fill="auto"/>
            <w:noWrap/>
            <w:vAlign w:val="bottom"/>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 xml:space="preserve">  10.1</w:t>
            </w:r>
          </w:p>
        </w:tc>
        <w:tc>
          <w:tcPr>
            <w:tcW w:w="1220" w:type="dxa"/>
            <w:tcBorders>
              <w:top w:val="nil"/>
              <w:left w:val="nil"/>
              <w:bottom w:val="single" w:sz="4" w:space="0" w:color="auto"/>
              <w:right w:val="nil"/>
            </w:tcBorders>
            <w:shd w:val="clear" w:color="auto" w:fill="auto"/>
            <w:noWrap/>
            <w:vAlign w:val="bottom"/>
            <w:hideMark/>
          </w:tcPr>
          <w:p w:rsidR="00647BDC" w:rsidRPr="007156CF"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156CF">
              <w:rPr>
                <w:rFonts w:ascii="Calibri" w:eastAsia="Times New Roman" w:hAnsi="Calibri" w:cs="Times New Roman"/>
                <w:sz w:val="20"/>
                <w:szCs w:val="20"/>
                <w:lang w:eastAsia="en-AU"/>
              </w:rPr>
              <w:t xml:space="preserve">  8.7</w:t>
            </w:r>
          </w:p>
        </w:tc>
      </w:tr>
    </w:tbl>
    <w:p w:rsidR="00647BDC" w:rsidRPr="00755429" w:rsidRDefault="00647BDC" w:rsidP="00647BDC">
      <w:pPr>
        <w:pStyle w:val="CGCTableFootnote"/>
        <w:keepNext/>
      </w:pPr>
      <w:r w:rsidRPr="00755429">
        <w:t>Source:</w:t>
      </w:r>
      <w:r w:rsidRPr="00755429">
        <w:tab/>
        <w:t>ABS GFS data and State data.</w:t>
      </w:r>
    </w:p>
    <w:p w:rsidR="00647BDC" w:rsidRPr="00755429" w:rsidRDefault="00647BDC" w:rsidP="00647BDC">
      <w:pPr>
        <w:pStyle w:val="Heading4"/>
      </w:pPr>
      <w:r w:rsidRPr="00755429">
        <w:t>How are revenues raised?</w:t>
      </w:r>
    </w:p>
    <w:p w:rsidR="00647BDC" w:rsidRPr="00755429" w:rsidRDefault="00647BDC" w:rsidP="00647BDC">
      <w:pPr>
        <w:pStyle w:val="CGCNumberedPara"/>
        <w:numPr>
          <w:ilvl w:val="1"/>
          <w:numId w:val="2"/>
        </w:numPr>
      </w:pPr>
      <w:r w:rsidRPr="00755429">
        <w:t>In most States, mining royalties are based on a percentage of the value of mine production or an amount per tonne of production. In Tasmania, some royalties are based on mine profitability. In the Northern Territory, royalties are based wholly on profitability.</w:t>
      </w:r>
    </w:p>
    <w:p w:rsidR="00647BDC" w:rsidRPr="00755429" w:rsidRDefault="00647BDC" w:rsidP="00647BDC">
      <w:pPr>
        <w:pStyle w:val="CGCNumberedPara"/>
        <w:numPr>
          <w:ilvl w:val="1"/>
          <w:numId w:val="2"/>
        </w:numPr>
      </w:pPr>
      <w:r w:rsidRPr="00755429">
        <w:t>Royalty rates vary from State to State for most minerals. However, there is a common pattern across States:</w:t>
      </w:r>
    </w:p>
    <w:p w:rsidR="00647BDC" w:rsidRPr="00755429" w:rsidRDefault="00647BDC" w:rsidP="00D07581">
      <w:pPr>
        <w:pStyle w:val="CGCBulletlist"/>
      </w:pPr>
      <w:r w:rsidRPr="00755429">
        <w:t>Low value minerals such as salt, sand and gravel are subject to volume-based royalties.</w:t>
      </w:r>
    </w:p>
    <w:p w:rsidR="00647BDC" w:rsidRPr="00755429" w:rsidRDefault="00647BDC" w:rsidP="00D07581">
      <w:pPr>
        <w:pStyle w:val="CGCBulletlist"/>
      </w:pPr>
      <w:r w:rsidRPr="00755429">
        <w:t>Relatively low royalty rates are applied to ‘hard rock’ minerals such as nickel, copper and gold. Iron ore is an exception; it is a higher quality hard rock mineral and attracts relatively high royalty rates.</w:t>
      </w:r>
    </w:p>
    <w:p w:rsidR="00647BDC" w:rsidRPr="00755429" w:rsidRDefault="00647BDC" w:rsidP="00D07581">
      <w:pPr>
        <w:pStyle w:val="CGCBulletlist"/>
      </w:pPr>
      <w:r w:rsidRPr="00755429">
        <w:t>Relatively high royalty rates are applied to ‘soft rock’ or shallowly mined minerals such as bauxite and coal.</w:t>
      </w:r>
    </w:p>
    <w:p w:rsidR="00647BDC" w:rsidRPr="00755429" w:rsidRDefault="00647BDC" w:rsidP="00D07581">
      <w:pPr>
        <w:pStyle w:val="CGCBulletlist"/>
      </w:pPr>
      <w:r w:rsidRPr="00755429">
        <w:t>A high royalty rate is generally applied to oil and gas production.</w:t>
      </w:r>
    </w:p>
    <w:p w:rsidR="00647BDC" w:rsidRPr="00755429" w:rsidRDefault="00647BDC" w:rsidP="00647BDC">
      <w:pPr>
        <w:pStyle w:val="CGCNumberedPara"/>
        <w:numPr>
          <w:ilvl w:val="1"/>
          <w:numId w:val="2"/>
        </w:numPr>
      </w:pPr>
      <w:r>
        <w:fldChar w:fldCharType="begin"/>
      </w:r>
      <w:r>
        <w:instrText xml:space="preserve"> REF _Ref390875479 \h </w:instrText>
      </w:r>
      <w:r>
        <w:fldChar w:fldCharType="separate"/>
      </w:r>
      <w:r w:rsidR="005B69B1" w:rsidRPr="00755429">
        <w:t xml:space="preserve">Table </w:t>
      </w:r>
      <w:r w:rsidR="005B69B1">
        <w:rPr>
          <w:noProof/>
        </w:rPr>
        <w:t>3</w:t>
      </w:r>
      <w:r>
        <w:fldChar w:fldCharType="end"/>
      </w:r>
      <w:r>
        <w:t xml:space="preserve"> </w:t>
      </w:r>
      <w:r w:rsidRPr="00755429">
        <w:t>shows the effective royalty rates on selected minerals in 2012</w:t>
      </w:r>
      <w:r w:rsidRPr="00755429">
        <w:noBreakHyphen/>
        <w:t>13.</w:t>
      </w:r>
    </w:p>
    <w:p w:rsidR="00647BDC" w:rsidRPr="00755429" w:rsidRDefault="00647BDC" w:rsidP="00647BDC">
      <w:pPr>
        <w:pStyle w:val="Caption"/>
      </w:pPr>
      <w:bookmarkStart w:id="133" w:name="_Ref390875479"/>
      <w:r w:rsidRPr="00755429">
        <w:t xml:space="preserve">Table </w:t>
      </w:r>
      <w:r w:rsidR="005B69B1">
        <w:fldChar w:fldCharType="begin"/>
      </w:r>
      <w:r w:rsidR="005B69B1">
        <w:instrText xml:space="preserve"> SEQ Table \* ARABIC </w:instrText>
      </w:r>
      <w:r w:rsidR="005B69B1">
        <w:fldChar w:fldCharType="separate"/>
      </w:r>
      <w:r w:rsidR="005B69B1">
        <w:rPr>
          <w:noProof/>
        </w:rPr>
        <w:t>3</w:t>
      </w:r>
      <w:r w:rsidR="005B69B1">
        <w:rPr>
          <w:noProof/>
        </w:rPr>
        <w:fldChar w:fldCharType="end"/>
      </w:r>
      <w:bookmarkEnd w:id="133"/>
      <w:r w:rsidRPr="00755429">
        <w:tab/>
        <w:t>Effective royalty rates for selected minerals in 2012</w:t>
      </w:r>
      <w:r w:rsidRPr="00755429">
        <w:noBreakHyphen/>
        <w:t xml:space="preserve">13 </w:t>
      </w:r>
    </w:p>
    <w:tbl>
      <w:tblPr>
        <w:tblW w:w="8940" w:type="dxa"/>
        <w:tblInd w:w="93" w:type="dxa"/>
        <w:tblLook w:val="04A0" w:firstRow="1" w:lastRow="0" w:firstColumn="1" w:lastColumn="0" w:noHBand="0" w:noVBand="1"/>
      </w:tblPr>
      <w:tblGrid>
        <w:gridCol w:w="1380"/>
        <w:gridCol w:w="1200"/>
        <w:gridCol w:w="900"/>
        <w:gridCol w:w="900"/>
        <w:gridCol w:w="900"/>
        <w:gridCol w:w="900"/>
        <w:gridCol w:w="900"/>
        <w:gridCol w:w="900"/>
        <w:gridCol w:w="960"/>
      </w:tblGrid>
      <w:tr w:rsidR="00647BDC" w:rsidRPr="00755429" w:rsidTr="00D07581">
        <w:trPr>
          <w:trHeight w:val="555"/>
        </w:trPr>
        <w:tc>
          <w:tcPr>
            <w:tcW w:w="1380" w:type="dxa"/>
            <w:tcBorders>
              <w:top w:val="single" w:sz="4" w:space="0" w:color="auto"/>
              <w:left w:val="nil"/>
              <w:bottom w:val="single" w:sz="4" w:space="0" w:color="auto"/>
              <w:right w:val="nil"/>
            </w:tcBorders>
            <w:shd w:val="clear" w:color="auto" w:fill="auto"/>
            <w:noWrap/>
            <w:vAlign w:val="bottom"/>
            <w:hideMark/>
          </w:tcPr>
          <w:p w:rsidR="00647BDC" w:rsidRPr="00755429" w:rsidRDefault="00647BDC" w:rsidP="00D07581">
            <w:pPr>
              <w:tabs>
                <w:tab w:val="clear" w:pos="567"/>
              </w:tabs>
              <w:spacing w:after="0" w:line="240" w:lineRule="auto"/>
              <w:rPr>
                <w:rFonts w:ascii="Calibri" w:eastAsia="Times New Roman" w:hAnsi="Calibri" w:cs="Times New Roman"/>
                <w:sz w:val="20"/>
                <w:szCs w:val="20"/>
                <w:lang w:eastAsia="en-AU"/>
              </w:rPr>
            </w:pPr>
            <w:bookmarkStart w:id="134" w:name="RANGE!A3:I5"/>
            <w:r w:rsidRPr="00755429">
              <w:rPr>
                <w:rFonts w:ascii="Calibri" w:eastAsia="Times New Roman" w:hAnsi="Calibri" w:cs="Times New Roman"/>
                <w:sz w:val="20"/>
                <w:szCs w:val="20"/>
                <w:lang w:eastAsia="en-AU"/>
              </w:rPr>
              <w:t> </w:t>
            </w:r>
            <w:bookmarkEnd w:id="134"/>
          </w:p>
        </w:tc>
        <w:tc>
          <w:tcPr>
            <w:tcW w:w="1200" w:type="dxa"/>
            <w:tcBorders>
              <w:top w:val="single" w:sz="4" w:space="0" w:color="auto"/>
              <w:left w:val="nil"/>
              <w:bottom w:val="single" w:sz="4" w:space="0" w:color="auto"/>
              <w:right w:val="nil"/>
            </w:tcBorders>
            <w:shd w:val="clear" w:color="auto" w:fill="auto"/>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Onshore oil and gas</w:t>
            </w:r>
          </w:p>
        </w:tc>
        <w:tc>
          <w:tcPr>
            <w:tcW w:w="9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Coal</w:t>
            </w:r>
          </w:p>
        </w:tc>
        <w:tc>
          <w:tcPr>
            <w:tcW w:w="9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Bauxite</w:t>
            </w:r>
          </w:p>
        </w:tc>
        <w:tc>
          <w:tcPr>
            <w:tcW w:w="9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Iron ore</w:t>
            </w:r>
          </w:p>
        </w:tc>
        <w:tc>
          <w:tcPr>
            <w:tcW w:w="9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Nickel</w:t>
            </w:r>
          </w:p>
        </w:tc>
        <w:tc>
          <w:tcPr>
            <w:tcW w:w="9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Gold</w:t>
            </w:r>
          </w:p>
        </w:tc>
        <w:tc>
          <w:tcPr>
            <w:tcW w:w="9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Copper</w:t>
            </w:r>
          </w:p>
        </w:tc>
        <w:tc>
          <w:tcPr>
            <w:tcW w:w="960" w:type="dxa"/>
            <w:tcBorders>
              <w:top w:val="single" w:sz="4" w:space="0" w:color="auto"/>
              <w:left w:val="nil"/>
              <w:bottom w:val="single" w:sz="4" w:space="0" w:color="auto"/>
              <w:right w:val="nil"/>
            </w:tcBorders>
            <w:shd w:val="clear" w:color="auto" w:fill="auto"/>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Other minerals</w:t>
            </w:r>
          </w:p>
        </w:tc>
      </w:tr>
      <w:tr w:rsidR="00647BDC" w:rsidRPr="00755429" w:rsidTr="00D07581">
        <w:trPr>
          <w:trHeight w:val="259"/>
        </w:trPr>
        <w:tc>
          <w:tcPr>
            <w:tcW w:w="1380" w:type="dxa"/>
            <w:tcBorders>
              <w:top w:val="nil"/>
              <w:left w:val="nil"/>
              <w:bottom w:val="nil"/>
              <w:right w:val="nil"/>
            </w:tcBorders>
            <w:shd w:val="clear" w:color="auto" w:fill="auto"/>
            <w:noWrap/>
            <w:vAlign w:val="bottom"/>
            <w:hideMark/>
          </w:tcPr>
          <w:p w:rsidR="00647BDC" w:rsidRPr="00755429" w:rsidRDefault="00647BDC" w:rsidP="00D07581">
            <w:pPr>
              <w:pStyle w:val="TableRowUnits"/>
              <w:rPr>
                <w:lang w:eastAsia="en-AU"/>
              </w:rPr>
            </w:pPr>
          </w:p>
        </w:tc>
        <w:tc>
          <w:tcPr>
            <w:tcW w:w="1200" w:type="dxa"/>
            <w:tcBorders>
              <w:top w:val="nil"/>
              <w:left w:val="nil"/>
              <w:bottom w:val="nil"/>
              <w:right w:val="nil"/>
            </w:tcBorders>
            <w:shd w:val="clear" w:color="auto" w:fill="auto"/>
            <w:noWrap/>
            <w:vAlign w:val="bottom"/>
            <w:hideMark/>
          </w:tcPr>
          <w:p w:rsidR="00647BDC" w:rsidRPr="00755429" w:rsidRDefault="00647BDC" w:rsidP="00D07581">
            <w:pPr>
              <w:pStyle w:val="TableRowUnits"/>
              <w:rPr>
                <w:lang w:eastAsia="en-AU"/>
              </w:rPr>
            </w:pPr>
            <w:r w:rsidRPr="00755429">
              <w:rPr>
                <w:lang w:eastAsia="en-AU"/>
              </w:rPr>
              <w:t>%</w:t>
            </w:r>
          </w:p>
        </w:tc>
        <w:tc>
          <w:tcPr>
            <w:tcW w:w="900" w:type="dxa"/>
            <w:tcBorders>
              <w:top w:val="nil"/>
              <w:left w:val="nil"/>
              <w:bottom w:val="nil"/>
              <w:right w:val="nil"/>
            </w:tcBorders>
            <w:shd w:val="clear" w:color="auto" w:fill="auto"/>
            <w:noWrap/>
            <w:vAlign w:val="bottom"/>
            <w:hideMark/>
          </w:tcPr>
          <w:p w:rsidR="00647BDC" w:rsidRPr="00755429" w:rsidRDefault="00647BDC" w:rsidP="00D07581">
            <w:pPr>
              <w:pStyle w:val="TableRowUnits"/>
              <w:rPr>
                <w:lang w:eastAsia="en-AU"/>
              </w:rPr>
            </w:pPr>
            <w:r w:rsidRPr="00755429">
              <w:rPr>
                <w:lang w:eastAsia="en-AU"/>
              </w:rPr>
              <w:t>%</w:t>
            </w:r>
          </w:p>
        </w:tc>
        <w:tc>
          <w:tcPr>
            <w:tcW w:w="900" w:type="dxa"/>
            <w:tcBorders>
              <w:top w:val="nil"/>
              <w:left w:val="nil"/>
              <w:bottom w:val="nil"/>
              <w:right w:val="nil"/>
            </w:tcBorders>
            <w:shd w:val="clear" w:color="auto" w:fill="auto"/>
            <w:noWrap/>
            <w:vAlign w:val="bottom"/>
            <w:hideMark/>
          </w:tcPr>
          <w:p w:rsidR="00647BDC" w:rsidRPr="00755429" w:rsidRDefault="00647BDC" w:rsidP="00D07581">
            <w:pPr>
              <w:pStyle w:val="TableRowUnits"/>
              <w:rPr>
                <w:lang w:eastAsia="en-AU"/>
              </w:rPr>
            </w:pPr>
            <w:r w:rsidRPr="00755429">
              <w:rPr>
                <w:lang w:eastAsia="en-AU"/>
              </w:rPr>
              <w:t>%</w:t>
            </w:r>
          </w:p>
        </w:tc>
        <w:tc>
          <w:tcPr>
            <w:tcW w:w="900" w:type="dxa"/>
            <w:tcBorders>
              <w:top w:val="nil"/>
              <w:left w:val="nil"/>
              <w:bottom w:val="nil"/>
              <w:right w:val="nil"/>
            </w:tcBorders>
            <w:shd w:val="clear" w:color="auto" w:fill="auto"/>
            <w:noWrap/>
            <w:vAlign w:val="bottom"/>
            <w:hideMark/>
          </w:tcPr>
          <w:p w:rsidR="00647BDC" w:rsidRPr="00755429" w:rsidRDefault="00647BDC" w:rsidP="00D07581">
            <w:pPr>
              <w:pStyle w:val="TableRowUnits"/>
              <w:rPr>
                <w:lang w:eastAsia="en-AU"/>
              </w:rPr>
            </w:pPr>
            <w:r w:rsidRPr="00755429">
              <w:rPr>
                <w:lang w:eastAsia="en-AU"/>
              </w:rPr>
              <w:t>%</w:t>
            </w:r>
          </w:p>
        </w:tc>
        <w:tc>
          <w:tcPr>
            <w:tcW w:w="900" w:type="dxa"/>
            <w:tcBorders>
              <w:top w:val="nil"/>
              <w:left w:val="nil"/>
              <w:bottom w:val="nil"/>
              <w:right w:val="nil"/>
            </w:tcBorders>
            <w:shd w:val="clear" w:color="auto" w:fill="auto"/>
            <w:noWrap/>
            <w:vAlign w:val="bottom"/>
            <w:hideMark/>
          </w:tcPr>
          <w:p w:rsidR="00647BDC" w:rsidRPr="00755429" w:rsidRDefault="00647BDC" w:rsidP="00D07581">
            <w:pPr>
              <w:pStyle w:val="TableRowUnits"/>
              <w:rPr>
                <w:lang w:eastAsia="en-AU"/>
              </w:rPr>
            </w:pPr>
            <w:r w:rsidRPr="00755429">
              <w:rPr>
                <w:lang w:eastAsia="en-AU"/>
              </w:rPr>
              <w:t>%</w:t>
            </w:r>
          </w:p>
        </w:tc>
        <w:tc>
          <w:tcPr>
            <w:tcW w:w="900" w:type="dxa"/>
            <w:tcBorders>
              <w:top w:val="nil"/>
              <w:left w:val="nil"/>
              <w:bottom w:val="nil"/>
              <w:right w:val="nil"/>
            </w:tcBorders>
            <w:shd w:val="clear" w:color="auto" w:fill="auto"/>
            <w:noWrap/>
            <w:vAlign w:val="bottom"/>
            <w:hideMark/>
          </w:tcPr>
          <w:p w:rsidR="00647BDC" w:rsidRPr="00755429" w:rsidRDefault="00647BDC" w:rsidP="00D07581">
            <w:pPr>
              <w:pStyle w:val="TableRowUnits"/>
              <w:rPr>
                <w:lang w:eastAsia="en-AU"/>
              </w:rPr>
            </w:pPr>
            <w:r w:rsidRPr="00755429">
              <w:rPr>
                <w:lang w:eastAsia="en-AU"/>
              </w:rPr>
              <w:t>%</w:t>
            </w:r>
          </w:p>
        </w:tc>
        <w:tc>
          <w:tcPr>
            <w:tcW w:w="900" w:type="dxa"/>
            <w:tcBorders>
              <w:top w:val="nil"/>
              <w:left w:val="nil"/>
              <w:bottom w:val="nil"/>
              <w:right w:val="nil"/>
            </w:tcBorders>
            <w:shd w:val="clear" w:color="auto" w:fill="auto"/>
            <w:noWrap/>
            <w:vAlign w:val="bottom"/>
            <w:hideMark/>
          </w:tcPr>
          <w:p w:rsidR="00647BDC" w:rsidRPr="00755429" w:rsidRDefault="00647BDC" w:rsidP="00D07581">
            <w:pPr>
              <w:pStyle w:val="TableRowUnits"/>
              <w:rPr>
                <w:lang w:eastAsia="en-AU"/>
              </w:rPr>
            </w:pPr>
            <w:r w:rsidRPr="00755429">
              <w:rPr>
                <w:lang w:eastAsia="en-AU"/>
              </w:rPr>
              <w:t>%</w:t>
            </w:r>
          </w:p>
        </w:tc>
        <w:tc>
          <w:tcPr>
            <w:tcW w:w="960" w:type="dxa"/>
            <w:tcBorders>
              <w:top w:val="nil"/>
              <w:left w:val="nil"/>
              <w:bottom w:val="nil"/>
              <w:right w:val="nil"/>
            </w:tcBorders>
            <w:shd w:val="clear" w:color="auto" w:fill="auto"/>
            <w:noWrap/>
            <w:vAlign w:val="bottom"/>
            <w:hideMark/>
          </w:tcPr>
          <w:p w:rsidR="00647BDC" w:rsidRPr="00755429" w:rsidRDefault="00647BDC" w:rsidP="00D07581">
            <w:pPr>
              <w:pStyle w:val="TableRowUnits"/>
              <w:rPr>
                <w:lang w:eastAsia="en-AU"/>
              </w:rPr>
            </w:pPr>
            <w:r w:rsidRPr="00755429">
              <w:rPr>
                <w:lang w:eastAsia="en-AU"/>
              </w:rPr>
              <w:t>%</w:t>
            </w:r>
          </w:p>
        </w:tc>
      </w:tr>
      <w:tr w:rsidR="00647BDC" w:rsidRPr="00755429" w:rsidTr="00D07581">
        <w:trPr>
          <w:trHeight w:val="315"/>
        </w:trPr>
        <w:tc>
          <w:tcPr>
            <w:tcW w:w="1380" w:type="dxa"/>
            <w:tcBorders>
              <w:top w:val="nil"/>
              <w:left w:val="nil"/>
              <w:bottom w:val="single" w:sz="4" w:space="0" w:color="auto"/>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Effective rate</w:t>
            </w:r>
          </w:p>
        </w:tc>
        <w:tc>
          <w:tcPr>
            <w:tcW w:w="120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10 (a)</w:t>
            </w:r>
          </w:p>
        </w:tc>
        <w:tc>
          <w:tcPr>
            <w:tcW w:w="90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 xml:space="preserve">  7.6</w:t>
            </w:r>
          </w:p>
        </w:tc>
        <w:tc>
          <w:tcPr>
            <w:tcW w:w="90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 xml:space="preserve">  7.4</w:t>
            </w:r>
          </w:p>
        </w:tc>
        <w:tc>
          <w:tcPr>
            <w:tcW w:w="90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 xml:space="preserve">  6.7</w:t>
            </w:r>
          </w:p>
        </w:tc>
        <w:tc>
          <w:tcPr>
            <w:tcW w:w="90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 xml:space="preserve">  2.6</w:t>
            </w:r>
          </w:p>
        </w:tc>
        <w:tc>
          <w:tcPr>
            <w:tcW w:w="90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 xml:space="preserve">  2.3</w:t>
            </w:r>
          </w:p>
        </w:tc>
        <w:tc>
          <w:tcPr>
            <w:tcW w:w="90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 xml:space="preserve">  1.8</w:t>
            </w:r>
          </w:p>
        </w:tc>
        <w:tc>
          <w:tcPr>
            <w:tcW w:w="96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 xml:space="preserve">  5.5</w:t>
            </w:r>
          </w:p>
        </w:tc>
      </w:tr>
    </w:tbl>
    <w:p w:rsidR="00647BDC" w:rsidRPr="00755429" w:rsidRDefault="00647BDC" w:rsidP="00647BDC">
      <w:pPr>
        <w:pStyle w:val="CGCTableFootnote"/>
      </w:pPr>
      <w:r w:rsidRPr="00755429">
        <w:t>(a)</w:t>
      </w:r>
      <w:r w:rsidRPr="00755429">
        <w:tab/>
        <w:t>This figure has been rounded for confidentiality reasons.</w:t>
      </w:r>
    </w:p>
    <w:p w:rsidR="00647BDC" w:rsidRPr="00755429" w:rsidRDefault="00647BDC" w:rsidP="00647BDC">
      <w:pPr>
        <w:pStyle w:val="CGCTableFootnote"/>
      </w:pPr>
      <w:r w:rsidRPr="00755429">
        <w:t>Source:</w:t>
      </w:r>
      <w:r w:rsidRPr="00755429">
        <w:tab/>
        <w:t>Commission estimates using ABS data and State data.</w:t>
      </w:r>
    </w:p>
    <w:p w:rsidR="00647BDC" w:rsidRPr="00755429" w:rsidRDefault="00647BDC" w:rsidP="00647BDC">
      <w:pPr>
        <w:pStyle w:val="CGCNumberedPara"/>
        <w:numPr>
          <w:ilvl w:val="1"/>
          <w:numId w:val="2"/>
        </w:numPr>
      </w:pPr>
      <w:r w:rsidRPr="00755429">
        <w:rPr>
          <w:rStyle w:val="Heading6Char"/>
        </w:rPr>
        <w:t>Role of the Commonwealth.</w:t>
      </w:r>
      <w:r>
        <w:t xml:space="preserve"> S</w:t>
      </w:r>
      <w:r w:rsidRPr="00755429">
        <w:t>tate Governments own most minerals located on or below the surface of the land (a small proportion are privately owned) and onshore oil and gas. The value of production of these minerals is included in the mining assessment. In addition, the Commonwealth pays grants in lieu of royalties to two States. These grants are also included in the assessment.</w:t>
      </w:r>
    </w:p>
    <w:p w:rsidR="00647BDC" w:rsidRPr="00755429" w:rsidRDefault="00647BDC" w:rsidP="00647BDC">
      <w:pPr>
        <w:pStyle w:val="CGCNumberedPara"/>
        <w:numPr>
          <w:ilvl w:val="1"/>
          <w:numId w:val="2"/>
        </w:numPr>
      </w:pPr>
      <w:r w:rsidRPr="00755429">
        <w:t>The Commonwealth is responsible for imposing royalties on offsh</w:t>
      </w:r>
      <w:r>
        <w:t xml:space="preserve">ore production of oil and gas. </w:t>
      </w:r>
      <w:r w:rsidRPr="00755429">
        <w:t xml:space="preserve">From 1 July 2012, the Commonwealth commenced collecting a Minerals Resource Rent Tax (MRRT) on iron ore and coal. It also imposes a Petroleum Resource </w:t>
      </w:r>
      <w:r w:rsidRPr="00755429">
        <w:lastRenderedPageBreak/>
        <w:t>Rent Tax (PRRT) on offshore oil and gas, onshore oil and gas, oil shale and coal seam gas projects. State royalties are fully creditable against MRRT and PRRT liabilities. The revenue raised by the Commonwealth is excluded from the mining assessment.</w:t>
      </w:r>
    </w:p>
    <w:p w:rsidR="00647BDC" w:rsidRPr="00755429" w:rsidRDefault="00647BDC" w:rsidP="00647BDC">
      <w:pPr>
        <w:pStyle w:val="Heading3"/>
      </w:pPr>
      <w:bookmarkStart w:id="135" w:name="_Toc390955841"/>
      <w:r>
        <w:t>Assessment approach</w:t>
      </w:r>
      <w:bookmarkEnd w:id="135"/>
    </w:p>
    <w:p w:rsidR="00647BDC" w:rsidRPr="00755429" w:rsidRDefault="00647BDC" w:rsidP="00647BDC">
      <w:pPr>
        <w:pStyle w:val="Heading4"/>
      </w:pPr>
      <w:r w:rsidRPr="00755429">
        <w:t>Measuring the revenue base</w:t>
      </w:r>
    </w:p>
    <w:p w:rsidR="00647BDC" w:rsidRPr="00755429" w:rsidRDefault="00647BDC" w:rsidP="00647BDC">
      <w:pPr>
        <w:pStyle w:val="CGCNumberedPara"/>
        <w:numPr>
          <w:ilvl w:val="1"/>
          <w:numId w:val="2"/>
        </w:numPr>
      </w:pPr>
      <w:r w:rsidRPr="00755429">
        <w:t xml:space="preserve">Some States said we should use profitability as our measure of mining capacity. While States may take account of the profitability of different minerals when setting and adjusting their royalty rates, the majority of royalties are </w:t>
      </w:r>
      <w:r>
        <w:t xml:space="preserve">not imposed on a profit basis. </w:t>
      </w:r>
      <w:r w:rsidRPr="00755429">
        <w:t xml:space="preserve">Constructing a reliable mining profitability measure is </w:t>
      </w:r>
      <w:r>
        <w:t xml:space="preserve">also </w:t>
      </w:r>
      <w:r w:rsidRPr="00755429">
        <w:t xml:space="preserve">difficult; the Commission ceased constructing </w:t>
      </w:r>
      <w:r>
        <w:t>such a measure</w:t>
      </w:r>
      <w:r w:rsidRPr="00755429">
        <w:t xml:space="preserve"> when the number of adjustments and the data meant it had become too unreliable. Compared with value of production, which tracks royalty collections, profitability measures tend to fluctuate more with commodity cycles and so may not provide a reasonable estimate of revenue capacity in the short to medium-term.</w:t>
      </w:r>
    </w:p>
    <w:p w:rsidR="00647BDC" w:rsidRPr="00755429" w:rsidRDefault="00647BDC" w:rsidP="00647BDC">
      <w:pPr>
        <w:pStyle w:val="CGCNumberedPara"/>
        <w:numPr>
          <w:ilvl w:val="1"/>
          <w:numId w:val="2"/>
        </w:numPr>
      </w:pPr>
      <w:r w:rsidRPr="00755429">
        <w:t>We use value of production as our measure of mining revenue capacity. It best reflects what States do, is simple and is supported by reliable data.</w:t>
      </w:r>
    </w:p>
    <w:p w:rsidR="00647BDC" w:rsidRPr="00755429" w:rsidRDefault="00647BDC" w:rsidP="00647BDC">
      <w:pPr>
        <w:pStyle w:val="CGCNumberedPara"/>
        <w:numPr>
          <w:ilvl w:val="1"/>
          <w:numId w:val="2"/>
        </w:numPr>
      </w:pPr>
      <w:r w:rsidRPr="00755429">
        <w:t xml:space="preserve">While the majority of royalties are levied on the value of production, the point at which production is valued for royalty purposes can vary. For the two major minerals (coal and iron ore), royalties are generally calculated on ‘free on board’ (FOB) or sale values. To ensure </w:t>
      </w:r>
      <w:proofErr w:type="gramStart"/>
      <w:r w:rsidRPr="00755429">
        <w:t>value of production figures are</w:t>
      </w:r>
      <w:proofErr w:type="gramEnd"/>
      <w:r w:rsidRPr="00755429">
        <w:t xml:space="preserve"> comparable across States, we ask States to provide us with FOB values for all minerals.</w:t>
      </w:r>
    </w:p>
    <w:p w:rsidR="00647BDC" w:rsidRPr="00755429" w:rsidRDefault="00647BDC" w:rsidP="00647BDC">
      <w:pPr>
        <w:pStyle w:val="Heading4"/>
      </w:pPr>
      <w:r w:rsidRPr="00755429">
        <w:t>A mineral by mineral assessment</w:t>
      </w:r>
    </w:p>
    <w:p w:rsidR="00647BDC" w:rsidRPr="00755429" w:rsidRDefault="00647BDC" w:rsidP="00647BDC">
      <w:pPr>
        <w:pStyle w:val="CGCNumberedPara"/>
        <w:numPr>
          <w:ilvl w:val="1"/>
          <w:numId w:val="2"/>
        </w:numPr>
      </w:pPr>
      <w:r w:rsidRPr="00755429">
        <w:t xml:space="preserve">The biggest concern in developing a mining assessment is finding an appropriate balance between fiscal capacity, what States collectively do and policy neutrality. If policy neutrality were not an issue, we would adopt a mineral by mineral assessment, because it most accurately captures differences in States’ mining revenue capacities. If policy neutrality were the sole issue, we would group all minerals together, but that produces an assessment that would not reflect differences in States’ capacities. In the 2010 Review, the Commission found a balance by grouping minerals into two groups, muting the influence of </w:t>
      </w:r>
      <w:r>
        <w:t xml:space="preserve">individual </w:t>
      </w:r>
      <w:r w:rsidRPr="00755429">
        <w:t>State mining policies.</w:t>
      </w:r>
    </w:p>
    <w:p w:rsidR="00647BDC" w:rsidRPr="00755429" w:rsidRDefault="00647BDC" w:rsidP="00647BDC">
      <w:pPr>
        <w:pStyle w:val="CGCNumberedPara"/>
        <w:numPr>
          <w:ilvl w:val="1"/>
          <w:numId w:val="2"/>
        </w:numPr>
      </w:pPr>
      <w:r w:rsidRPr="00755429">
        <w:t>Some States said the Commission should give most weight to capturing differences in States’ revenue capacities. Other States said the concentration of minerals in a few States meant a State with a pre-dominance of a mineral could change its royalty rate and exert a significant influence on its GST distribution. For that reason, they favoured most weight being given to policy neutrality</w:t>
      </w:r>
      <w:r>
        <w:t xml:space="preserve"> and grouping</w:t>
      </w:r>
      <w:r w:rsidRPr="00755429">
        <w:t xml:space="preserve">. </w:t>
      </w:r>
    </w:p>
    <w:p w:rsidR="00647BDC" w:rsidRPr="00755429" w:rsidRDefault="00647BDC" w:rsidP="00647BDC">
      <w:pPr>
        <w:pStyle w:val="CGCNumberedPara"/>
        <w:numPr>
          <w:ilvl w:val="1"/>
          <w:numId w:val="2"/>
        </w:numPr>
      </w:pPr>
      <w:r w:rsidRPr="00755429">
        <w:lastRenderedPageBreak/>
        <w:t>We acknowledge developing a mining assessment which achieves HFE and which is also policy neutral is made more difficult by the dominance of the revenue base by two States. While we believe it is theoretically possible for State policies to affect GST distributions in this area, there is no strong evidence that this happens.</w:t>
      </w:r>
    </w:p>
    <w:p w:rsidR="00647BDC" w:rsidRPr="00755429" w:rsidRDefault="00647BDC" w:rsidP="00647BDC">
      <w:pPr>
        <w:pStyle w:val="CGCNumberedPara"/>
        <w:numPr>
          <w:ilvl w:val="1"/>
          <w:numId w:val="2"/>
        </w:numPr>
      </w:pPr>
      <w:r w:rsidRPr="00755429">
        <w:t xml:space="preserve">Our objective is to achieve HFE and primacy should be given to achieving that objective. The supporting principles </w:t>
      </w:r>
      <w:r w:rsidRPr="00755429">
        <w:noBreakHyphen/>
        <w:t xml:space="preserve"> what States do, policy neutrality, practicality and contemporaneity</w:t>
      </w:r>
      <w:r>
        <w:t>,</w:t>
      </w:r>
      <w:r w:rsidRPr="00755429">
        <w:t xml:space="preserve"> while important, should be subsidiary to </w:t>
      </w:r>
      <w:r>
        <w:t>this</w:t>
      </w:r>
      <w:r w:rsidRPr="00755429">
        <w:t xml:space="preserve"> objective. Therefore, in relation to the mining assessment, we have decided </w:t>
      </w:r>
      <w:r>
        <w:t>on</w:t>
      </w:r>
      <w:r w:rsidRPr="00755429">
        <w:t xml:space="preserve"> an approach which best achieves HFE</w:t>
      </w:r>
      <w:r>
        <w:t xml:space="preserve"> by</w:t>
      </w:r>
      <w:r w:rsidRPr="00755429">
        <w:t xml:space="preserve"> separately assess</w:t>
      </w:r>
      <w:r>
        <w:t>ing</w:t>
      </w:r>
      <w:r w:rsidRPr="00755429">
        <w:t xml:space="preserve"> minerals where it is material to do so. We propose to separately assess the minerals that generate most royalty revenue: iron ore, coal, gold, onshore oil and gas, copper, bauxite and nickel. We will assess the remaining minerals in one group. </w:t>
      </w:r>
      <w:r>
        <w:fldChar w:fldCharType="begin"/>
      </w:r>
      <w:r>
        <w:instrText xml:space="preserve"> REF _Ref390875506 \h </w:instrText>
      </w:r>
      <w:r>
        <w:fldChar w:fldCharType="separate"/>
      </w:r>
      <w:r w:rsidR="005B69B1" w:rsidRPr="00755429">
        <w:t xml:space="preserve">Table </w:t>
      </w:r>
      <w:r w:rsidR="005B69B1">
        <w:rPr>
          <w:noProof/>
        </w:rPr>
        <w:t>4</w:t>
      </w:r>
      <w:r>
        <w:fldChar w:fldCharType="end"/>
      </w:r>
      <w:r>
        <w:t xml:space="preserve"> </w:t>
      </w:r>
      <w:r w:rsidRPr="00755429">
        <w:t>shows State’s shares of the value of production of these minerals and the royalty collected for 2012</w:t>
      </w:r>
      <w:r w:rsidRPr="00755429">
        <w:noBreakHyphen/>
        <w:t>13.</w:t>
      </w:r>
    </w:p>
    <w:p w:rsidR="00647BDC" w:rsidRPr="00755429" w:rsidRDefault="00647BDC" w:rsidP="00647BDC">
      <w:pPr>
        <w:pStyle w:val="Caption"/>
      </w:pPr>
      <w:bookmarkStart w:id="136" w:name="_Ref390875506"/>
      <w:r w:rsidRPr="00755429">
        <w:t xml:space="preserve">Table </w:t>
      </w:r>
      <w:r w:rsidR="005B69B1">
        <w:fldChar w:fldCharType="begin"/>
      </w:r>
      <w:r w:rsidR="005B69B1">
        <w:instrText xml:space="preserve"> SEQ Table \* ARABIC </w:instrText>
      </w:r>
      <w:r w:rsidR="005B69B1">
        <w:fldChar w:fldCharType="separate"/>
      </w:r>
      <w:r w:rsidR="005B69B1">
        <w:rPr>
          <w:noProof/>
        </w:rPr>
        <w:t>4</w:t>
      </w:r>
      <w:r w:rsidR="005B69B1">
        <w:rPr>
          <w:noProof/>
        </w:rPr>
        <w:fldChar w:fldCharType="end"/>
      </w:r>
      <w:bookmarkEnd w:id="136"/>
      <w:r w:rsidRPr="00755429">
        <w:tab/>
        <w:t>State shares of value of production and mineral royalties, 2012</w:t>
      </w:r>
      <w:r w:rsidRPr="00755429">
        <w:noBreakHyphen/>
        <w:t>13</w:t>
      </w:r>
    </w:p>
    <w:tbl>
      <w:tblPr>
        <w:tblW w:w="8980" w:type="dxa"/>
        <w:tblInd w:w="93" w:type="dxa"/>
        <w:tblLook w:val="04A0" w:firstRow="1" w:lastRow="0" w:firstColumn="1" w:lastColumn="0" w:noHBand="0" w:noVBand="1"/>
      </w:tblPr>
      <w:tblGrid>
        <w:gridCol w:w="2300"/>
        <w:gridCol w:w="720"/>
        <w:gridCol w:w="640"/>
        <w:gridCol w:w="740"/>
        <w:gridCol w:w="820"/>
        <w:gridCol w:w="720"/>
        <w:gridCol w:w="640"/>
        <w:gridCol w:w="640"/>
        <w:gridCol w:w="720"/>
        <w:gridCol w:w="1040"/>
      </w:tblGrid>
      <w:tr w:rsidR="00647BDC" w:rsidRPr="00755429" w:rsidTr="00D07581">
        <w:trPr>
          <w:trHeight w:val="555"/>
        </w:trPr>
        <w:tc>
          <w:tcPr>
            <w:tcW w:w="23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bookmarkStart w:id="137" w:name="RANGE!A17:J26"/>
            <w:r w:rsidRPr="00755429">
              <w:rPr>
                <w:rFonts w:ascii="Calibri" w:eastAsia="Times New Roman" w:hAnsi="Calibri" w:cs="Times New Roman"/>
                <w:color w:val="000000"/>
                <w:sz w:val="20"/>
                <w:szCs w:val="20"/>
                <w:lang w:eastAsia="en-AU"/>
              </w:rPr>
              <w:t> </w:t>
            </w:r>
            <w:bookmarkEnd w:id="137"/>
          </w:p>
        </w:tc>
        <w:tc>
          <w:tcPr>
            <w:tcW w:w="7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NSW</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Vic</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Qld</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WA</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755429">
              <w:rPr>
                <w:rFonts w:ascii="Calibri" w:eastAsia="Times New Roman" w:hAnsi="Calibri" w:cs="Times New Roman"/>
                <w:color w:val="000000"/>
                <w:sz w:val="20"/>
                <w:szCs w:val="20"/>
                <w:lang w:eastAsia="en-AU"/>
              </w:rPr>
              <w:t>Tas</w:t>
            </w:r>
            <w:proofErr w:type="spellEnd"/>
          </w:p>
        </w:tc>
        <w:tc>
          <w:tcPr>
            <w:tcW w:w="64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ACT</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NT</w:t>
            </w:r>
          </w:p>
        </w:tc>
        <w:tc>
          <w:tcPr>
            <w:tcW w:w="1040" w:type="dxa"/>
            <w:tcBorders>
              <w:top w:val="single" w:sz="4" w:space="0" w:color="auto"/>
              <w:left w:val="nil"/>
              <w:bottom w:val="single" w:sz="4" w:space="0" w:color="auto"/>
              <w:right w:val="nil"/>
            </w:tcBorders>
            <w:shd w:val="clear" w:color="auto" w:fill="auto"/>
            <w:vAlign w:val="center"/>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Royalty revenue</w:t>
            </w:r>
          </w:p>
        </w:tc>
      </w:tr>
      <w:tr w:rsidR="00647BDC" w:rsidRPr="00755429" w:rsidTr="00D07581">
        <w:trPr>
          <w:trHeight w:val="259"/>
        </w:trPr>
        <w:tc>
          <w:tcPr>
            <w:tcW w:w="230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w:t>
            </w:r>
          </w:p>
        </w:tc>
        <w:tc>
          <w:tcPr>
            <w:tcW w:w="74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w:t>
            </w:r>
          </w:p>
        </w:tc>
        <w:tc>
          <w:tcPr>
            <w:tcW w:w="1040" w:type="dxa"/>
            <w:tcBorders>
              <w:top w:val="nil"/>
              <w:left w:val="nil"/>
              <w:bottom w:val="nil"/>
              <w:right w:val="nil"/>
            </w:tcBorders>
            <w:shd w:val="clear" w:color="auto" w:fill="auto"/>
            <w:noWrap/>
            <w:vAlign w:val="bottom"/>
            <w:hideMark/>
          </w:tcPr>
          <w:p w:rsidR="00647BDC" w:rsidRPr="00755429" w:rsidRDefault="00647BDC" w:rsidP="00D07581">
            <w:pPr>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r>
      <w:tr w:rsidR="00647BDC" w:rsidRPr="00755429" w:rsidTr="00D07581">
        <w:trPr>
          <w:trHeight w:val="315"/>
        </w:trPr>
        <w:tc>
          <w:tcPr>
            <w:tcW w:w="2300"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Iron ore</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7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96.9</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2.3</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0.4</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0.4</w:t>
            </w:r>
          </w:p>
        </w:tc>
        <w:tc>
          <w:tcPr>
            <w:tcW w:w="10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3 880</w:t>
            </w:r>
          </w:p>
        </w:tc>
      </w:tr>
      <w:tr w:rsidR="00647BDC" w:rsidRPr="00755429" w:rsidTr="00D07581">
        <w:trPr>
          <w:trHeight w:val="315"/>
        </w:trPr>
        <w:tc>
          <w:tcPr>
            <w:tcW w:w="2300"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Coal</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41.0</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1.3</w:t>
            </w:r>
          </w:p>
        </w:tc>
        <w:tc>
          <w:tcPr>
            <w:tcW w:w="7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56.7</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0.8</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0.2</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0.1</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10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3 011</w:t>
            </w:r>
          </w:p>
        </w:tc>
      </w:tr>
      <w:tr w:rsidR="00647BDC" w:rsidRPr="00755429" w:rsidTr="00D07581">
        <w:trPr>
          <w:trHeight w:val="315"/>
        </w:trPr>
        <w:tc>
          <w:tcPr>
            <w:tcW w:w="2300"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Gold</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11.5</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2.1</w:t>
            </w:r>
          </w:p>
        </w:tc>
        <w:tc>
          <w:tcPr>
            <w:tcW w:w="7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6.3</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71.6</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4.0</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1.0</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3.5</w:t>
            </w:r>
          </w:p>
        </w:tc>
        <w:tc>
          <w:tcPr>
            <w:tcW w:w="10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286</w:t>
            </w:r>
          </w:p>
        </w:tc>
      </w:tr>
      <w:tr w:rsidR="00647BDC" w:rsidRPr="00755429" w:rsidTr="00D07581">
        <w:trPr>
          <w:trHeight w:val="315"/>
        </w:trPr>
        <w:tc>
          <w:tcPr>
            <w:tcW w:w="2300"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Onshore oil and gas (a)</w:t>
            </w:r>
          </w:p>
        </w:tc>
        <w:tc>
          <w:tcPr>
            <w:tcW w:w="72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64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4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82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2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64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64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2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104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r>
      <w:tr w:rsidR="00647BDC" w:rsidRPr="00755429" w:rsidTr="00D07581">
        <w:trPr>
          <w:trHeight w:val="315"/>
        </w:trPr>
        <w:tc>
          <w:tcPr>
            <w:tcW w:w="2300"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Copper</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18.8</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7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28.6</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19.0</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30.8</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2.9</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10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136</w:t>
            </w:r>
          </w:p>
        </w:tc>
      </w:tr>
      <w:tr w:rsidR="00647BDC" w:rsidRPr="00755429" w:rsidTr="00D07581">
        <w:trPr>
          <w:trHeight w:val="315"/>
        </w:trPr>
        <w:tc>
          <w:tcPr>
            <w:tcW w:w="2300"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Bauxite</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7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44.5</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44.6</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10.8</w:t>
            </w:r>
          </w:p>
        </w:tc>
        <w:tc>
          <w:tcPr>
            <w:tcW w:w="10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115</w:t>
            </w:r>
          </w:p>
        </w:tc>
      </w:tr>
      <w:tr w:rsidR="00647BDC" w:rsidRPr="00755429" w:rsidTr="00D07581">
        <w:trPr>
          <w:trHeight w:val="315"/>
        </w:trPr>
        <w:tc>
          <w:tcPr>
            <w:tcW w:w="2300"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Nickel</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7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100.0</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6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7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104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93</w:t>
            </w:r>
          </w:p>
        </w:tc>
      </w:tr>
      <w:tr w:rsidR="00647BDC" w:rsidRPr="00755429" w:rsidTr="00D07581">
        <w:trPr>
          <w:trHeight w:val="315"/>
        </w:trPr>
        <w:tc>
          <w:tcPr>
            <w:tcW w:w="2300" w:type="dxa"/>
            <w:tcBorders>
              <w:top w:val="nil"/>
              <w:left w:val="nil"/>
              <w:bottom w:val="single" w:sz="4" w:space="0" w:color="auto"/>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Other minerals (a)</w:t>
            </w:r>
          </w:p>
        </w:tc>
        <w:tc>
          <w:tcPr>
            <w:tcW w:w="72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5.0</w:t>
            </w:r>
          </w:p>
        </w:tc>
        <w:tc>
          <w:tcPr>
            <w:tcW w:w="64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6.1</w:t>
            </w:r>
          </w:p>
        </w:tc>
        <w:tc>
          <w:tcPr>
            <w:tcW w:w="74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41.0</w:t>
            </w:r>
          </w:p>
        </w:tc>
        <w:tc>
          <w:tcPr>
            <w:tcW w:w="82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22.7</w:t>
            </w:r>
          </w:p>
        </w:tc>
        <w:tc>
          <w:tcPr>
            <w:tcW w:w="72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12.1</w:t>
            </w:r>
          </w:p>
        </w:tc>
        <w:tc>
          <w:tcPr>
            <w:tcW w:w="64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2.7</w:t>
            </w:r>
          </w:p>
        </w:tc>
        <w:tc>
          <w:tcPr>
            <w:tcW w:w="64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0.0</w:t>
            </w:r>
          </w:p>
        </w:tc>
        <w:tc>
          <w:tcPr>
            <w:tcW w:w="72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10.5</w:t>
            </w:r>
          </w:p>
        </w:tc>
        <w:tc>
          <w:tcPr>
            <w:tcW w:w="1040" w:type="dxa"/>
            <w:tcBorders>
              <w:top w:val="nil"/>
              <w:left w:val="nil"/>
              <w:bottom w:val="single" w:sz="4" w:space="0" w:color="auto"/>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692</w:t>
            </w:r>
          </w:p>
        </w:tc>
      </w:tr>
    </w:tbl>
    <w:p w:rsidR="00647BDC" w:rsidRPr="00755429" w:rsidRDefault="00647BDC" w:rsidP="00647BDC">
      <w:pPr>
        <w:pStyle w:val="CGCTableFootnote"/>
      </w:pPr>
      <w:r w:rsidRPr="00755429">
        <w:t xml:space="preserve">(a) </w:t>
      </w:r>
      <w:r w:rsidRPr="00755429">
        <w:tab/>
        <w:t>For confidentiality reasons we are not able to publish onshore oil and gas data. The combined result for onshore oil and gas and other minerals is shown as other minerals.</w:t>
      </w:r>
    </w:p>
    <w:p w:rsidR="00647BDC" w:rsidRPr="00755429" w:rsidRDefault="00647BDC" w:rsidP="00647BDC">
      <w:pPr>
        <w:pStyle w:val="CGCTableFootnote"/>
      </w:pPr>
      <w:r w:rsidRPr="00755429">
        <w:t>Source:</w:t>
      </w:r>
      <w:r w:rsidRPr="00755429">
        <w:tab/>
        <w:t>Commission estimates using ABS data and State data.</w:t>
      </w:r>
    </w:p>
    <w:p w:rsidR="00647BDC" w:rsidRDefault="00647BDC" w:rsidP="00647BDC">
      <w:pPr>
        <w:pStyle w:val="CGCNumberedPara"/>
        <w:numPr>
          <w:ilvl w:val="1"/>
          <w:numId w:val="2"/>
        </w:numPr>
      </w:pPr>
      <w:r w:rsidRPr="00755429">
        <w:t>Our intention is to keep this structure until the next review. However, if there is a major change in circumstances, such that another mineral becomes material or one of the material minerals becomes immaterial, we will exercise our judgment on whether HFE would be improved by changing the structure of the assessment.</w:t>
      </w:r>
    </w:p>
    <w:p w:rsidR="00647BDC" w:rsidRPr="007357C3" w:rsidRDefault="00647BDC" w:rsidP="00647BDC">
      <w:pPr>
        <w:pStyle w:val="Heading6"/>
      </w:pPr>
      <w:r w:rsidRPr="007357C3">
        <w:t xml:space="preserve">Iron </w:t>
      </w:r>
      <w:r>
        <w:t>o</w:t>
      </w:r>
      <w:r w:rsidRPr="007357C3">
        <w:t>re fines</w:t>
      </w:r>
    </w:p>
    <w:p w:rsidR="00647BDC" w:rsidRPr="007357C3" w:rsidRDefault="00647BDC" w:rsidP="00647BDC">
      <w:pPr>
        <w:pStyle w:val="CGCNumberedPara"/>
        <w:numPr>
          <w:ilvl w:val="1"/>
          <w:numId w:val="2"/>
        </w:numPr>
      </w:pPr>
      <w:r w:rsidRPr="007357C3">
        <w:t xml:space="preserve">Since the last methodology review Western Australia has progressively changed the royalty arrangements applying to iron ore fines and significantly increased the revenue it obtains from them. In the normal course of events the averaging processes adopted by the Commission would have phased in the GST distribution consequences of Western Australia’s decisions on iron ore fine royalty arrangements. </w:t>
      </w:r>
    </w:p>
    <w:p w:rsidR="00647BDC" w:rsidRPr="007357C3" w:rsidRDefault="00647BDC" w:rsidP="00647BDC">
      <w:pPr>
        <w:pStyle w:val="CGCNumberedPara"/>
        <w:numPr>
          <w:ilvl w:val="1"/>
          <w:numId w:val="2"/>
        </w:numPr>
      </w:pPr>
      <w:r w:rsidRPr="007357C3">
        <w:lastRenderedPageBreak/>
        <w:t>However, the Commission was directed in recent Update terms of reference (2011</w:t>
      </w:r>
      <w:r w:rsidRPr="007357C3">
        <w:noBreakHyphen/>
        <w:t>2014) to ensure that the full impact of those changes did not affect Western Australia’s GST distribution, but there is no similar direction in the terms of reference for this review.</w:t>
      </w:r>
    </w:p>
    <w:p w:rsidR="00647BDC" w:rsidRPr="007357C3" w:rsidRDefault="00647BDC" w:rsidP="00647BDC">
      <w:pPr>
        <w:pStyle w:val="CGCNumberedPara"/>
        <w:numPr>
          <w:ilvl w:val="1"/>
          <w:numId w:val="2"/>
        </w:numPr>
      </w:pPr>
      <w:r w:rsidRPr="007357C3">
        <w:t xml:space="preserve">A mineral by mineral assessment provides no special treatment for iron ore fines and, on introduction, would lead to a significant reduction in Western Australia’s GST revenue. In effect the impact of Western Australia’s decisions, which could have been phased over previous updates, </w:t>
      </w:r>
      <w:proofErr w:type="gramStart"/>
      <w:r w:rsidRPr="007357C3">
        <w:t>are</w:t>
      </w:r>
      <w:proofErr w:type="gramEnd"/>
      <w:r w:rsidRPr="007357C3">
        <w:t xml:space="preserve"> brought to book in a single year.</w:t>
      </w:r>
    </w:p>
    <w:p w:rsidR="00647BDC" w:rsidRPr="007357C3" w:rsidRDefault="00647BDC" w:rsidP="00647BDC">
      <w:pPr>
        <w:pStyle w:val="CGCNumberedPara"/>
        <w:numPr>
          <w:ilvl w:val="1"/>
          <w:numId w:val="2"/>
        </w:numPr>
      </w:pPr>
      <w:r w:rsidRPr="007357C3">
        <w:t xml:space="preserve">In past methodology reviews the Commission has not proposed any smoothing mechanisms for the impact of methodology changes and in general does not propose any for this review. However, we consider that in this particular case the large scale of the change arising from an explicit terms of reference change applied to past assessment years warrants careful consideration. Notwithstanding this, we appreciate that, because previous updates have not taken full account of Western Australia’s higher revenue capacity, when judged over a span of years, a one off adjustment in 2015-16 could be considered an appropriate correction. </w:t>
      </w:r>
    </w:p>
    <w:p w:rsidR="00647BDC" w:rsidRPr="007357C3" w:rsidRDefault="00647BDC" w:rsidP="00647BDC">
      <w:pPr>
        <w:pStyle w:val="CGCNumberedPara"/>
        <w:numPr>
          <w:ilvl w:val="1"/>
          <w:numId w:val="2"/>
        </w:numPr>
      </w:pPr>
      <w:r w:rsidRPr="007357C3">
        <w:t>We have given careful consideration to this issue because we believe it raises significant high level questions going to the practical application of fiscal equalisation. While we consider that it requires further consultation with the States and the Commonwealth in the course of this review, we have formed the view that there should be a phased introduction of the impact of higher effective royalty rates on iron ore fines on the GST distribution over th</w:t>
      </w:r>
      <w:r>
        <w:t>ree years starting in 2015-16.</w:t>
      </w:r>
    </w:p>
    <w:p w:rsidR="00647BDC" w:rsidRPr="007357C3" w:rsidRDefault="00647BDC" w:rsidP="00647BDC">
      <w:pPr>
        <w:pStyle w:val="CGCNumberedPara"/>
        <w:numPr>
          <w:ilvl w:val="1"/>
          <w:numId w:val="2"/>
        </w:numPr>
      </w:pPr>
      <w:r w:rsidRPr="007357C3">
        <w:t>As a placeholder in this draft we have estimated the impact of phasing based on the impact on Western Australia in 2012-13 of leaving iron ore fines in the low royalty rate group rather than moving it to the high royalty group. That would have reduced Western Australia’s assessed fiscal capacity by some $500m. Accordingly we have adjusted by some $340m the illustrative GST Impact of the Mining Revenue Assessment in Table 13, 14 and 15. We will consider options for giving effect to phasing in consultation with States in preparing our final report.</w:t>
      </w:r>
    </w:p>
    <w:p w:rsidR="00647BDC" w:rsidRPr="00755429" w:rsidRDefault="00647BDC" w:rsidP="00647BDC">
      <w:pPr>
        <w:pStyle w:val="Heading4"/>
      </w:pPr>
      <w:r w:rsidRPr="00755429">
        <w:t>Grants in lieu of royalties</w:t>
      </w:r>
    </w:p>
    <w:p w:rsidR="00647BDC" w:rsidRPr="00755429" w:rsidRDefault="00647BDC" w:rsidP="00647BDC">
      <w:pPr>
        <w:pStyle w:val="CGCNumberedPara"/>
        <w:numPr>
          <w:ilvl w:val="1"/>
          <w:numId w:val="2"/>
        </w:numPr>
      </w:pPr>
      <w:r w:rsidRPr="00755429">
        <w:t>These are payments received by States under the revenue sharing arrangements with the Commonwealth. We have decided to continue to assess grants in lieu of royalties as a separate component.</w:t>
      </w:r>
    </w:p>
    <w:p w:rsidR="00647BDC" w:rsidRPr="00755429" w:rsidRDefault="00647BDC" w:rsidP="00647BDC">
      <w:pPr>
        <w:pStyle w:val="CGCNumberedPara"/>
        <w:numPr>
          <w:ilvl w:val="1"/>
          <w:numId w:val="2"/>
        </w:numPr>
      </w:pPr>
      <w:r w:rsidRPr="00755429">
        <w:t>We will continue to assess these on an actual per capita basis because States’ shares of these payments are determined by the Commonwealth. All States support this approach.</w:t>
      </w:r>
    </w:p>
    <w:p w:rsidR="00647BDC" w:rsidRPr="00755429" w:rsidRDefault="00647BDC" w:rsidP="00647BDC">
      <w:pPr>
        <w:pStyle w:val="Heading3"/>
      </w:pPr>
      <w:bookmarkStart w:id="138" w:name="_Toc390955842"/>
      <w:r>
        <w:lastRenderedPageBreak/>
        <w:t>Bringing the assessment together</w:t>
      </w:r>
      <w:bookmarkEnd w:id="138"/>
    </w:p>
    <w:p w:rsidR="00647BDC" w:rsidRPr="00755429" w:rsidRDefault="00647BDC" w:rsidP="00647BDC">
      <w:pPr>
        <w:pStyle w:val="CGCNumberedPara"/>
        <w:numPr>
          <w:ilvl w:val="1"/>
          <w:numId w:val="2"/>
        </w:numPr>
      </w:pPr>
      <w:r>
        <w:fldChar w:fldCharType="begin"/>
      </w:r>
      <w:r>
        <w:instrText xml:space="preserve"> REF _Ref390875550 \h </w:instrText>
      </w:r>
      <w:r>
        <w:fldChar w:fldCharType="separate"/>
      </w:r>
      <w:r w:rsidR="005B69B1" w:rsidRPr="00755429">
        <w:t xml:space="preserve">Table </w:t>
      </w:r>
      <w:r w:rsidR="005B69B1">
        <w:rPr>
          <w:noProof/>
        </w:rPr>
        <w:t>5</w:t>
      </w:r>
      <w:r>
        <w:fldChar w:fldCharType="end"/>
      </w:r>
      <w:r>
        <w:t xml:space="preserve"> </w:t>
      </w:r>
      <w:r w:rsidRPr="00755429">
        <w:t xml:space="preserve">to </w:t>
      </w:r>
      <w:r>
        <w:fldChar w:fldCharType="begin"/>
      </w:r>
      <w:r>
        <w:instrText xml:space="preserve"> REF _Ref390875568 \h </w:instrText>
      </w:r>
      <w:r>
        <w:fldChar w:fldCharType="separate"/>
      </w:r>
      <w:r w:rsidR="005B69B1" w:rsidRPr="00755429">
        <w:t xml:space="preserve">Table </w:t>
      </w:r>
      <w:r w:rsidR="005B69B1">
        <w:rPr>
          <w:noProof/>
        </w:rPr>
        <w:t>12</w:t>
      </w:r>
      <w:r>
        <w:fldChar w:fldCharType="end"/>
      </w:r>
      <w:r>
        <w:t xml:space="preserve"> </w:t>
      </w:r>
      <w:r w:rsidRPr="00755429">
        <w:t>show each State’s value of production for each component and the calculation of assessed revenue. They also show States’ relative revenue raising capacities – their assessed revenue per capita divided by the average revenue per capita. These tables do not have revenue data by State. This is because States provide some mining data to us on a confidential basis and we are not able to publish some details of the mining assessment. We have had to estimate revenue and value of production for some components; we will seek State data to replace our estimates.</w:t>
      </w:r>
    </w:p>
    <w:p w:rsidR="00647BDC" w:rsidRPr="00755429" w:rsidRDefault="00647BDC" w:rsidP="00647BDC">
      <w:pPr>
        <w:pStyle w:val="Caption"/>
      </w:pPr>
      <w:bookmarkStart w:id="139" w:name="_Ref390875550"/>
      <w:r w:rsidRPr="00755429">
        <w:t xml:space="preserve">Table </w:t>
      </w:r>
      <w:r w:rsidR="005B69B1">
        <w:fldChar w:fldCharType="begin"/>
      </w:r>
      <w:r w:rsidR="005B69B1">
        <w:instrText xml:space="preserve"> SEQ Table \* ARABIC </w:instrText>
      </w:r>
      <w:r w:rsidR="005B69B1">
        <w:fldChar w:fldCharType="separate"/>
      </w:r>
      <w:r w:rsidR="005B69B1">
        <w:rPr>
          <w:noProof/>
        </w:rPr>
        <w:t>5</w:t>
      </w:r>
      <w:r w:rsidR="005B69B1">
        <w:rPr>
          <w:noProof/>
        </w:rPr>
        <w:fldChar w:fldCharType="end"/>
      </w:r>
      <w:bookmarkEnd w:id="139"/>
      <w:r w:rsidRPr="00755429">
        <w:tab/>
        <w:t>Illustrative assessed revenue and revenue raising capacity, iron ore component, 2012</w:t>
      </w:r>
      <w:r w:rsidRPr="00755429">
        <w:noBreakHyphen/>
        <w:t>13</w:t>
      </w:r>
    </w:p>
    <w:tbl>
      <w:tblPr>
        <w:tblW w:w="9064" w:type="dxa"/>
        <w:tblLayout w:type="fixed"/>
        <w:tblCellMar>
          <w:left w:w="0" w:type="dxa"/>
          <w:right w:w="0" w:type="dxa"/>
        </w:tblCellMar>
        <w:tblLook w:val="04A0" w:firstRow="1" w:lastRow="0" w:firstColumn="1" w:lastColumn="0" w:noHBand="0" w:noVBand="1"/>
      </w:tblPr>
      <w:tblGrid>
        <w:gridCol w:w="2220"/>
        <w:gridCol w:w="740"/>
        <w:gridCol w:w="672"/>
        <w:gridCol w:w="700"/>
        <w:gridCol w:w="900"/>
        <w:gridCol w:w="820"/>
        <w:gridCol w:w="720"/>
        <w:gridCol w:w="672"/>
        <w:gridCol w:w="720"/>
        <w:gridCol w:w="900"/>
      </w:tblGrid>
      <w:tr w:rsidR="00647BDC" w:rsidRPr="00755429" w:rsidTr="00D07581">
        <w:trPr>
          <w:trHeight w:val="379"/>
        </w:trPr>
        <w:tc>
          <w:tcPr>
            <w:tcW w:w="22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 </w:t>
            </w:r>
          </w:p>
        </w:tc>
        <w:tc>
          <w:tcPr>
            <w:tcW w:w="74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NSW</w:t>
            </w:r>
          </w:p>
        </w:tc>
        <w:tc>
          <w:tcPr>
            <w:tcW w:w="672"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Qld</w:t>
            </w:r>
          </w:p>
        </w:tc>
        <w:tc>
          <w:tcPr>
            <w:tcW w:w="9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WA</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SA</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755429">
              <w:rPr>
                <w:rFonts w:ascii="Calibri" w:eastAsia="Times New Roman" w:hAnsi="Calibri" w:cs="Times New Roman"/>
                <w:sz w:val="20"/>
                <w:szCs w:val="20"/>
                <w:lang w:eastAsia="en-AU"/>
              </w:rPr>
              <w:t>Tas</w:t>
            </w:r>
            <w:proofErr w:type="spellEnd"/>
          </w:p>
        </w:tc>
        <w:tc>
          <w:tcPr>
            <w:tcW w:w="672"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ACT</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NT</w:t>
            </w:r>
          </w:p>
        </w:tc>
        <w:tc>
          <w:tcPr>
            <w:tcW w:w="9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Total</w:t>
            </w:r>
          </w:p>
        </w:tc>
      </w:tr>
      <w:tr w:rsidR="00647BDC" w:rsidRPr="00755429" w:rsidTr="00D07581">
        <w:trPr>
          <w:trHeight w:val="315"/>
        </w:trPr>
        <w:tc>
          <w:tcPr>
            <w:tcW w:w="222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Actual revenue ($m)</w:t>
            </w:r>
          </w:p>
        </w:tc>
        <w:tc>
          <w:tcPr>
            <w:tcW w:w="74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9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82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2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2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9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3 880</w:t>
            </w:r>
          </w:p>
        </w:tc>
      </w:tr>
      <w:tr w:rsidR="00647BDC" w:rsidRPr="00755429" w:rsidTr="00D07581">
        <w:trPr>
          <w:trHeight w:val="315"/>
        </w:trPr>
        <w:tc>
          <w:tcPr>
            <w:tcW w:w="222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Revenue base ($m)</w:t>
            </w:r>
          </w:p>
        </w:tc>
        <w:tc>
          <w:tcPr>
            <w:tcW w:w="74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13</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14</w:t>
            </w:r>
          </w:p>
        </w:tc>
        <w:tc>
          <w:tcPr>
            <w:tcW w:w="9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56 369</w:t>
            </w:r>
          </w:p>
        </w:tc>
        <w:tc>
          <w:tcPr>
            <w:tcW w:w="82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1 341</w:t>
            </w:r>
          </w:p>
        </w:tc>
        <w:tc>
          <w:tcPr>
            <w:tcW w:w="72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236</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2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214</w:t>
            </w:r>
          </w:p>
        </w:tc>
        <w:tc>
          <w:tcPr>
            <w:tcW w:w="9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58 186</w:t>
            </w:r>
          </w:p>
        </w:tc>
      </w:tr>
      <w:tr w:rsidR="00647BDC" w:rsidRPr="00755429" w:rsidTr="00D07581">
        <w:trPr>
          <w:trHeight w:val="315"/>
        </w:trPr>
        <w:tc>
          <w:tcPr>
            <w:tcW w:w="2220" w:type="dxa"/>
            <w:tcBorders>
              <w:top w:val="nil"/>
              <w:left w:val="nil"/>
              <w:bottom w:val="nil"/>
              <w:right w:val="nil"/>
            </w:tcBorders>
            <w:shd w:val="clear" w:color="auto" w:fill="auto"/>
            <w:hideMark/>
          </w:tcPr>
          <w:p w:rsidR="00647BDC" w:rsidRPr="00755429" w:rsidRDefault="00647BDC" w:rsidP="00D07581">
            <w:pPr>
              <w:pStyle w:val="CGCTableStub"/>
              <w:rPr>
                <w:lang w:eastAsia="en-AU"/>
              </w:rPr>
            </w:pPr>
            <w:r w:rsidRPr="00755429">
              <w:rPr>
                <w:lang w:eastAsia="en-AU"/>
              </w:rPr>
              <w:t>Average royalty rate (%)</w:t>
            </w:r>
          </w:p>
        </w:tc>
        <w:tc>
          <w:tcPr>
            <w:tcW w:w="74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672"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9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82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2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672"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2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9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r w:rsidRPr="00755429">
              <w:rPr>
                <w:lang w:eastAsia="en-AU"/>
              </w:rPr>
              <w:t xml:space="preserve">  6.7</w:t>
            </w:r>
          </w:p>
        </w:tc>
      </w:tr>
      <w:tr w:rsidR="00647BDC" w:rsidRPr="00755429" w:rsidTr="00D07581">
        <w:trPr>
          <w:trHeight w:val="315"/>
        </w:trPr>
        <w:tc>
          <w:tcPr>
            <w:tcW w:w="222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Assessed revenue ($m)</w:t>
            </w:r>
          </w:p>
        </w:tc>
        <w:tc>
          <w:tcPr>
            <w:tcW w:w="74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w:t>
            </w:r>
          </w:p>
        </w:tc>
        <w:tc>
          <w:tcPr>
            <w:tcW w:w="9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3 759</w:t>
            </w:r>
          </w:p>
        </w:tc>
        <w:tc>
          <w:tcPr>
            <w:tcW w:w="82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89</w:t>
            </w:r>
          </w:p>
        </w:tc>
        <w:tc>
          <w:tcPr>
            <w:tcW w:w="72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16</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2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14</w:t>
            </w:r>
          </w:p>
        </w:tc>
        <w:tc>
          <w:tcPr>
            <w:tcW w:w="9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3 880</w:t>
            </w:r>
          </w:p>
        </w:tc>
      </w:tr>
      <w:tr w:rsidR="00647BDC" w:rsidRPr="00755429" w:rsidTr="00D07581">
        <w:trPr>
          <w:trHeight w:val="315"/>
        </w:trPr>
        <w:tc>
          <w:tcPr>
            <w:tcW w:w="222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Assessed revenue ($pc)</w:t>
            </w:r>
          </w:p>
        </w:tc>
        <w:tc>
          <w:tcPr>
            <w:tcW w:w="74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9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1 517</w:t>
            </w:r>
          </w:p>
        </w:tc>
        <w:tc>
          <w:tcPr>
            <w:tcW w:w="82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54</w:t>
            </w:r>
          </w:p>
        </w:tc>
        <w:tc>
          <w:tcPr>
            <w:tcW w:w="72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31</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2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60</w:t>
            </w:r>
          </w:p>
        </w:tc>
        <w:tc>
          <w:tcPr>
            <w:tcW w:w="9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169</w:t>
            </w:r>
          </w:p>
        </w:tc>
      </w:tr>
      <w:tr w:rsidR="00647BDC" w:rsidRPr="00755429" w:rsidTr="00D07581">
        <w:trPr>
          <w:trHeight w:val="315"/>
        </w:trPr>
        <w:tc>
          <w:tcPr>
            <w:tcW w:w="2220" w:type="dxa"/>
            <w:tcBorders>
              <w:top w:val="nil"/>
              <w:left w:val="nil"/>
              <w:bottom w:val="single" w:sz="4" w:space="0" w:color="auto"/>
              <w:right w:val="nil"/>
            </w:tcBorders>
            <w:shd w:val="clear" w:color="auto" w:fill="auto"/>
            <w:hideMark/>
          </w:tcPr>
          <w:p w:rsidR="00647BDC" w:rsidRPr="00755429" w:rsidRDefault="00647BDC" w:rsidP="00D07581">
            <w:pPr>
              <w:pStyle w:val="CGCTableStub"/>
              <w:rPr>
                <w:lang w:eastAsia="en-AU"/>
              </w:rPr>
            </w:pPr>
            <w:r w:rsidRPr="00755429">
              <w:rPr>
                <w:lang w:eastAsia="en-AU"/>
              </w:rPr>
              <w:t>Revenue raising capacity</w:t>
            </w:r>
          </w:p>
        </w:tc>
        <w:tc>
          <w:tcPr>
            <w:tcW w:w="74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0.001</w:t>
            </w:r>
          </w:p>
        </w:tc>
        <w:tc>
          <w:tcPr>
            <w:tcW w:w="672"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7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0.001</w:t>
            </w:r>
          </w:p>
        </w:tc>
        <w:tc>
          <w:tcPr>
            <w:tcW w:w="9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8.960</w:t>
            </w:r>
          </w:p>
        </w:tc>
        <w:tc>
          <w:tcPr>
            <w:tcW w:w="82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0.318</w:t>
            </w:r>
          </w:p>
        </w:tc>
        <w:tc>
          <w:tcPr>
            <w:tcW w:w="72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0.181</w:t>
            </w:r>
          </w:p>
        </w:tc>
        <w:tc>
          <w:tcPr>
            <w:tcW w:w="672"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72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0.354</w:t>
            </w:r>
          </w:p>
        </w:tc>
        <w:tc>
          <w:tcPr>
            <w:tcW w:w="9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1.000</w:t>
            </w:r>
          </w:p>
        </w:tc>
      </w:tr>
    </w:tbl>
    <w:p w:rsidR="00647BDC" w:rsidRPr="00755429" w:rsidRDefault="00647BDC" w:rsidP="00647BDC">
      <w:pPr>
        <w:pStyle w:val="CGCTableFootnote"/>
      </w:pPr>
      <w:r w:rsidRPr="00755429">
        <w:t>Source:</w:t>
      </w:r>
      <w:r w:rsidRPr="00755429">
        <w:tab/>
        <w:t>Commission estimates using State data.</w:t>
      </w:r>
    </w:p>
    <w:p w:rsidR="00647BDC" w:rsidRPr="00755429" w:rsidRDefault="00647BDC" w:rsidP="00647BDC">
      <w:pPr>
        <w:pStyle w:val="CGCTableFootnote"/>
      </w:pPr>
      <w:r w:rsidRPr="00755429">
        <w:t>Note:</w:t>
      </w:r>
      <w:r w:rsidRPr="00755429">
        <w:tab/>
      </w:r>
      <w:r>
        <w:t>No phase-in has been applied to iron ore fines</w:t>
      </w:r>
      <w:r w:rsidRPr="00BF6D35">
        <w:t xml:space="preserve"> </w:t>
      </w:r>
      <w:r>
        <w:t>in this table</w:t>
      </w:r>
      <w:r w:rsidRPr="00755429">
        <w:t>.</w:t>
      </w:r>
    </w:p>
    <w:p w:rsidR="00647BDC" w:rsidRPr="00755429" w:rsidRDefault="00647BDC" w:rsidP="00647BDC">
      <w:pPr>
        <w:pStyle w:val="CGCTableFootnote"/>
      </w:pPr>
      <w:r w:rsidRPr="00755429">
        <w:t>Note:</w:t>
      </w:r>
      <w:r w:rsidRPr="00755429">
        <w:tab/>
        <w:t>Each State’s relative revenue raising capacity is calculated by dividing its assessed revenue per capita by the average revenue per capita.</w:t>
      </w:r>
    </w:p>
    <w:p w:rsidR="00647BDC" w:rsidRPr="00755429" w:rsidRDefault="00647BDC" w:rsidP="00647BDC">
      <w:pPr>
        <w:pStyle w:val="Caption"/>
      </w:pPr>
      <w:r w:rsidRPr="00755429">
        <w:t xml:space="preserve">Table </w:t>
      </w:r>
      <w:r w:rsidR="005B69B1">
        <w:fldChar w:fldCharType="begin"/>
      </w:r>
      <w:r w:rsidR="005B69B1">
        <w:instrText xml:space="preserve"> SEQ Table \* ARABIC </w:instrText>
      </w:r>
      <w:r w:rsidR="005B69B1">
        <w:fldChar w:fldCharType="separate"/>
      </w:r>
      <w:r w:rsidR="005B69B1">
        <w:rPr>
          <w:noProof/>
        </w:rPr>
        <w:t>6</w:t>
      </w:r>
      <w:r w:rsidR="005B69B1">
        <w:rPr>
          <w:noProof/>
        </w:rPr>
        <w:fldChar w:fldCharType="end"/>
      </w:r>
      <w:r w:rsidRPr="00755429">
        <w:tab/>
        <w:t xml:space="preserve">Illustrative assessed revenue and revenue raising capacity, coal component, </w:t>
      </w:r>
      <w:proofErr w:type="gramStart"/>
      <w:r w:rsidRPr="00755429">
        <w:t>2012</w:t>
      </w:r>
      <w:proofErr w:type="gramEnd"/>
      <w:r w:rsidRPr="00755429">
        <w:noBreakHyphen/>
        <w:t>13</w:t>
      </w:r>
    </w:p>
    <w:tbl>
      <w:tblPr>
        <w:tblW w:w="9074" w:type="dxa"/>
        <w:tblLayout w:type="fixed"/>
        <w:tblCellMar>
          <w:left w:w="0" w:type="dxa"/>
          <w:right w:w="0" w:type="dxa"/>
        </w:tblCellMar>
        <w:tblLook w:val="04A0" w:firstRow="1" w:lastRow="0" w:firstColumn="1" w:lastColumn="0" w:noHBand="0" w:noVBand="1"/>
      </w:tblPr>
      <w:tblGrid>
        <w:gridCol w:w="2297"/>
        <w:gridCol w:w="893"/>
        <w:gridCol w:w="715"/>
        <w:gridCol w:w="893"/>
        <w:gridCol w:w="715"/>
        <w:gridCol w:w="667"/>
        <w:gridCol w:w="667"/>
        <w:gridCol w:w="667"/>
        <w:gridCol w:w="667"/>
        <w:gridCol w:w="893"/>
      </w:tblGrid>
      <w:tr w:rsidR="00647BDC" w:rsidRPr="00755429" w:rsidTr="00D07581">
        <w:trPr>
          <w:trHeight w:val="379"/>
        </w:trPr>
        <w:tc>
          <w:tcPr>
            <w:tcW w:w="2297"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 </w:t>
            </w:r>
          </w:p>
        </w:tc>
        <w:tc>
          <w:tcPr>
            <w:tcW w:w="893"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NSW</w:t>
            </w:r>
          </w:p>
        </w:tc>
        <w:tc>
          <w:tcPr>
            <w:tcW w:w="715"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Vic</w:t>
            </w:r>
          </w:p>
        </w:tc>
        <w:tc>
          <w:tcPr>
            <w:tcW w:w="893"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Qld</w:t>
            </w:r>
          </w:p>
        </w:tc>
        <w:tc>
          <w:tcPr>
            <w:tcW w:w="715"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WA</w:t>
            </w:r>
          </w:p>
        </w:tc>
        <w:tc>
          <w:tcPr>
            <w:tcW w:w="667"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SA</w:t>
            </w:r>
          </w:p>
        </w:tc>
        <w:tc>
          <w:tcPr>
            <w:tcW w:w="667"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755429">
              <w:rPr>
                <w:rFonts w:ascii="Calibri" w:eastAsia="Times New Roman" w:hAnsi="Calibri" w:cs="Times New Roman"/>
                <w:sz w:val="20"/>
                <w:szCs w:val="20"/>
                <w:lang w:eastAsia="en-AU"/>
              </w:rPr>
              <w:t>Tas</w:t>
            </w:r>
            <w:proofErr w:type="spellEnd"/>
          </w:p>
        </w:tc>
        <w:tc>
          <w:tcPr>
            <w:tcW w:w="667"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ACT</w:t>
            </w:r>
          </w:p>
        </w:tc>
        <w:tc>
          <w:tcPr>
            <w:tcW w:w="667"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NT</w:t>
            </w:r>
          </w:p>
        </w:tc>
        <w:tc>
          <w:tcPr>
            <w:tcW w:w="893"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Total</w:t>
            </w:r>
          </w:p>
        </w:tc>
      </w:tr>
      <w:tr w:rsidR="00647BDC" w:rsidRPr="00755429" w:rsidTr="00D07581">
        <w:trPr>
          <w:trHeight w:val="315"/>
        </w:trPr>
        <w:tc>
          <w:tcPr>
            <w:tcW w:w="2297"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Actual revenue ($m)</w:t>
            </w:r>
          </w:p>
        </w:tc>
        <w:tc>
          <w:tcPr>
            <w:tcW w:w="893"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15"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893"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15"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893"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3 011</w:t>
            </w:r>
          </w:p>
        </w:tc>
      </w:tr>
      <w:tr w:rsidR="00647BDC" w:rsidRPr="00755429" w:rsidTr="00D07581">
        <w:trPr>
          <w:trHeight w:val="315"/>
        </w:trPr>
        <w:tc>
          <w:tcPr>
            <w:tcW w:w="2297"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Revenue base ($m)</w:t>
            </w:r>
          </w:p>
        </w:tc>
        <w:tc>
          <w:tcPr>
            <w:tcW w:w="893"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16 353</w:t>
            </w:r>
          </w:p>
        </w:tc>
        <w:tc>
          <w:tcPr>
            <w:tcW w:w="715"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501</w:t>
            </w:r>
          </w:p>
        </w:tc>
        <w:tc>
          <w:tcPr>
            <w:tcW w:w="893"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22 603</w:t>
            </w:r>
          </w:p>
        </w:tc>
        <w:tc>
          <w:tcPr>
            <w:tcW w:w="715"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311</w:t>
            </w: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65</w:t>
            </w: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36</w:t>
            </w: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893"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39 868</w:t>
            </w:r>
          </w:p>
        </w:tc>
      </w:tr>
      <w:tr w:rsidR="00647BDC" w:rsidRPr="00755429" w:rsidTr="00D07581">
        <w:trPr>
          <w:trHeight w:val="315"/>
        </w:trPr>
        <w:tc>
          <w:tcPr>
            <w:tcW w:w="2297" w:type="dxa"/>
            <w:tcBorders>
              <w:top w:val="nil"/>
              <w:left w:val="nil"/>
              <w:bottom w:val="nil"/>
              <w:right w:val="nil"/>
            </w:tcBorders>
            <w:shd w:val="clear" w:color="auto" w:fill="auto"/>
            <w:hideMark/>
          </w:tcPr>
          <w:p w:rsidR="00647BDC" w:rsidRPr="00755429" w:rsidRDefault="00647BDC" w:rsidP="00D07581">
            <w:pPr>
              <w:pStyle w:val="CGCTableStub"/>
              <w:rPr>
                <w:lang w:eastAsia="en-AU"/>
              </w:rPr>
            </w:pPr>
            <w:r w:rsidRPr="00755429">
              <w:rPr>
                <w:lang w:eastAsia="en-AU"/>
              </w:rPr>
              <w:t>Average royalty rate (%)</w:t>
            </w:r>
          </w:p>
        </w:tc>
        <w:tc>
          <w:tcPr>
            <w:tcW w:w="893"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15"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893"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15"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667"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667"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667"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667"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893"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r w:rsidRPr="00755429">
              <w:rPr>
                <w:lang w:eastAsia="en-AU"/>
              </w:rPr>
              <w:t xml:space="preserve">  7.6</w:t>
            </w:r>
          </w:p>
        </w:tc>
      </w:tr>
      <w:tr w:rsidR="00647BDC" w:rsidRPr="00755429" w:rsidTr="00D07581">
        <w:trPr>
          <w:trHeight w:val="315"/>
        </w:trPr>
        <w:tc>
          <w:tcPr>
            <w:tcW w:w="2297"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Assessed revenue ($m)</w:t>
            </w:r>
          </w:p>
        </w:tc>
        <w:tc>
          <w:tcPr>
            <w:tcW w:w="893"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1 235</w:t>
            </w:r>
          </w:p>
        </w:tc>
        <w:tc>
          <w:tcPr>
            <w:tcW w:w="715"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38</w:t>
            </w:r>
          </w:p>
        </w:tc>
        <w:tc>
          <w:tcPr>
            <w:tcW w:w="893"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1 707</w:t>
            </w:r>
          </w:p>
        </w:tc>
        <w:tc>
          <w:tcPr>
            <w:tcW w:w="715"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23</w:t>
            </w: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5</w:t>
            </w: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w:t>
            </w: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893"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3 011</w:t>
            </w:r>
          </w:p>
        </w:tc>
      </w:tr>
      <w:tr w:rsidR="00647BDC" w:rsidRPr="00755429" w:rsidTr="00D07581">
        <w:trPr>
          <w:trHeight w:val="315"/>
        </w:trPr>
        <w:tc>
          <w:tcPr>
            <w:tcW w:w="2297"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Assessed revenue ($pc)</w:t>
            </w:r>
          </w:p>
        </w:tc>
        <w:tc>
          <w:tcPr>
            <w:tcW w:w="893"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168</w:t>
            </w:r>
          </w:p>
        </w:tc>
        <w:tc>
          <w:tcPr>
            <w:tcW w:w="715"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7</w:t>
            </w:r>
          </w:p>
        </w:tc>
        <w:tc>
          <w:tcPr>
            <w:tcW w:w="893"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370</w:t>
            </w:r>
          </w:p>
        </w:tc>
        <w:tc>
          <w:tcPr>
            <w:tcW w:w="715"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9</w:t>
            </w: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w:t>
            </w: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5</w:t>
            </w: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667"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893"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131</w:t>
            </w:r>
          </w:p>
        </w:tc>
      </w:tr>
      <w:tr w:rsidR="00647BDC" w:rsidRPr="00755429" w:rsidTr="00D07581">
        <w:trPr>
          <w:trHeight w:val="315"/>
        </w:trPr>
        <w:tc>
          <w:tcPr>
            <w:tcW w:w="2297" w:type="dxa"/>
            <w:tcBorders>
              <w:top w:val="nil"/>
              <w:left w:val="nil"/>
              <w:bottom w:val="single" w:sz="4" w:space="0" w:color="auto"/>
              <w:right w:val="nil"/>
            </w:tcBorders>
            <w:shd w:val="clear" w:color="auto" w:fill="auto"/>
            <w:hideMark/>
          </w:tcPr>
          <w:p w:rsidR="00647BDC" w:rsidRPr="00755429" w:rsidRDefault="00647BDC" w:rsidP="00D07581">
            <w:pPr>
              <w:pStyle w:val="CGCTableStub"/>
              <w:rPr>
                <w:lang w:eastAsia="en-AU"/>
              </w:rPr>
            </w:pPr>
            <w:r w:rsidRPr="00755429">
              <w:rPr>
                <w:lang w:eastAsia="en-AU"/>
              </w:rPr>
              <w:t>Revenue raising capacity</w:t>
            </w:r>
          </w:p>
        </w:tc>
        <w:tc>
          <w:tcPr>
            <w:tcW w:w="893"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1.278</w:t>
            </w:r>
          </w:p>
        </w:tc>
        <w:tc>
          <w:tcPr>
            <w:tcW w:w="715"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0.051</w:t>
            </w:r>
          </w:p>
        </w:tc>
        <w:tc>
          <w:tcPr>
            <w:tcW w:w="893"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2.817</w:t>
            </w:r>
          </w:p>
        </w:tc>
        <w:tc>
          <w:tcPr>
            <w:tcW w:w="715"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0.072</w:t>
            </w:r>
          </w:p>
        </w:tc>
        <w:tc>
          <w:tcPr>
            <w:tcW w:w="667"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0.022</w:t>
            </w:r>
          </w:p>
        </w:tc>
        <w:tc>
          <w:tcPr>
            <w:tcW w:w="667"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0.040</w:t>
            </w:r>
          </w:p>
        </w:tc>
        <w:tc>
          <w:tcPr>
            <w:tcW w:w="667"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667"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893"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1.000</w:t>
            </w:r>
          </w:p>
        </w:tc>
      </w:tr>
    </w:tbl>
    <w:p w:rsidR="00647BDC" w:rsidRPr="00755429" w:rsidRDefault="00647BDC" w:rsidP="00647BDC">
      <w:pPr>
        <w:pStyle w:val="CGCTableFootnote"/>
      </w:pPr>
      <w:r w:rsidRPr="00755429">
        <w:t>Source:</w:t>
      </w:r>
      <w:r w:rsidRPr="00755429">
        <w:tab/>
        <w:t>Commission estimates using State data.</w:t>
      </w:r>
    </w:p>
    <w:p w:rsidR="00647BDC" w:rsidRPr="00755429" w:rsidRDefault="00647BDC" w:rsidP="00647BDC">
      <w:pPr>
        <w:pStyle w:val="Caption"/>
      </w:pPr>
      <w:r w:rsidRPr="00755429">
        <w:lastRenderedPageBreak/>
        <w:t xml:space="preserve">Table </w:t>
      </w:r>
      <w:r w:rsidR="005B69B1">
        <w:fldChar w:fldCharType="begin"/>
      </w:r>
      <w:r w:rsidR="005B69B1">
        <w:instrText xml:space="preserve"> SEQ Table \* ARABIC </w:instrText>
      </w:r>
      <w:r w:rsidR="005B69B1">
        <w:fldChar w:fldCharType="separate"/>
      </w:r>
      <w:r w:rsidR="005B69B1">
        <w:rPr>
          <w:noProof/>
        </w:rPr>
        <w:t>7</w:t>
      </w:r>
      <w:r w:rsidR="005B69B1">
        <w:rPr>
          <w:noProof/>
        </w:rPr>
        <w:fldChar w:fldCharType="end"/>
      </w:r>
      <w:r w:rsidRPr="00755429">
        <w:tab/>
        <w:t xml:space="preserve">Illustrative assessed revenue and revenue raising capacity, gold component, </w:t>
      </w:r>
      <w:proofErr w:type="gramStart"/>
      <w:r w:rsidRPr="00755429">
        <w:t>2012</w:t>
      </w:r>
      <w:proofErr w:type="gramEnd"/>
      <w:r w:rsidRPr="00755429">
        <w:noBreakHyphen/>
        <w:t>13</w:t>
      </w:r>
    </w:p>
    <w:tbl>
      <w:tblPr>
        <w:tblW w:w="8972" w:type="dxa"/>
        <w:tblLayout w:type="fixed"/>
        <w:tblCellMar>
          <w:left w:w="0" w:type="dxa"/>
          <w:right w:w="0" w:type="dxa"/>
        </w:tblCellMar>
        <w:tblLook w:val="04A0" w:firstRow="1" w:lastRow="0" w:firstColumn="1" w:lastColumn="0" w:noHBand="0" w:noVBand="1"/>
      </w:tblPr>
      <w:tblGrid>
        <w:gridCol w:w="2320"/>
        <w:gridCol w:w="800"/>
        <w:gridCol w:w="700"/>
        <w:gridCol w:w="700"/>
        <w:gridCol w:w="800"/>
        <w:gridCol w:w="700"/>
        <w:gridCol w:w="700"/>
        <w:gridCol w:w="672"/>
        <w:gridCol w:w="700"/>
        <w:gridCol w:w="880"/>
      </w:tblGrid>
      <w:tr w:rsidR="00647BDC" w:rsidRPr="00755429" w:rsidTr="00D07581">
        <w:trPr>
          <w:trHeight w:val="379"/>
        </w:trPr>
        <w:tc>
          <w:tcPr>
            <w:tcW w:w="23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 </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NSW</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Qld</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WA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755429">
              <w:rPr>
                <w:rFonts w:ascii="Calibri" w:eastAsia="Times New Roman" w:hAnsi="Calibri" w:cs="Times New Roman"/>
                <w:sz w:val="20"/>
                <w:szCs w:val="20"/>
                <w:lang w:eastAsia="en-AU"/>
              </w:rPr>
              <w:t>Tas</w:t>
            </w:r>
            <w:proofErr w:type="spellEnd"/>
          </w:p>
        </w:tc>
        <w:tc>
          <w:tcPr>
            <w:tcW w:w="672"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ACT</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NT</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Total</w:t>
            </w:r>
          </w:p>
        </w:tc>
      </w:tr>
      <w:tr w:rsidR="00647BDC" w:rsidRPr="00755429" w:rsidTr="00D07581">
        <w:trPr>
          <w:trHeight w:val="315"/>
        </w:trPr>
        <w:tc>
          <w:tcPr>
            <w:tcW w:w="232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Actual revenue ($m)</w:t>
            </w:r>
          </w:p>
        </w:tc>
        <w:tc>
          <w:tcPr>
            <w:tcW w:w="8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8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8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286</w:t>
            </w:r>
          </w:p>
        </w:tc>
      </w:tr>
      <w:tr w:rsidR="00647BDC" w:rsidRPr="00755429" w:rsidTr="00D07581">
        <w:trPr>
          <w:trHeight w:val="315"/>
        </w:trPr>
        <w:tc>
          <w:tcPr>
            <w:tcW w:w="232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Revenue base ($m)</w:t>
            </w:r>
          </w:p>
        </w:tc>
        <w:tc>
          <w:tcPr>
            <w:tcW w:w="8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1 447</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269</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792</w:t>
            </w:r>
          </w:p>
        </w:tc>
        <w:tc>
          <w:tcPr>
            <w:tcW w:w="8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8 970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497</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120</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436</w:t>
            </w:r>
          </w:p>
        </w:tc>
        <w:tc>
          <w:tcPr>
            <w:tcW w:w="8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12 530</w:t>
            </w:r>
          </w:p>
        </w:tc>
      </w:tr>
      <w:tr w:rsidR="00647BDC" w:rsidRPr="00755429" w:rsidTr="00D07581">
        <w:trPr>
          <w:trHeight w:val="315"/>
        </w:trPr>
        <w:tc>
          <w:tcPr>
            <w:tcW w:w="2320" w:type="dxa"/>
            <w:tcBorders>
              <w:top w:val="nil"/>
              <w:left w:val="nil"/>
              <w:bottom w:val="nil"/>
              <w:right w:val="nil"/>
            </w:tcBorders>
            <w:shd w:val="clear" w:color="auto" w:fill="auto"/>
            <w:hideMark/>
          </w:tcPr>
          <w:p w:rsidR="00647BDC" w:rsidRPr="00755429" w:rsidRDefault="00647BDC" w:rsidP="00D07581">
            <w:pPr>
              <w:pStyle w:val="CGCTableStub"/>
              <w:rPr>
                <w:lang w:eastAsia="en-AU"/>
              </w:rPr>
            </w:pPr>
            <w:r w:rsidRPr="00755429">
              <w:rPr>
                <w:lang w:eastAsia="en-AU"/>
              </w:rPr>
              <w:t>Average royalty rate (%)</w:t>
            </w:r>
          </w:p>
        </w:tc>
        <w:tc>
          <w:tcPr>
            <w:tcW w:w="8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8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672"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88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r w:rsidRPr="00755429">
              <w:rPr>
                <w:lang w:eastAsia="en-AU"/>
              </w:rPr>
              <w:t xml:space="preserve">  2.3</w:t>
            </w:r>
          </w:p>
        </w:tc>
      </w:tr>
      <w:tr w:rsidR="00647BDC" w:rsidRPr="00755429" w:rsidTr="00D07581">
        <w:trPr>
          <w:trHeight w:val="315"/>
        </w:trPr>
        <w:tc>
          <w:tcPr>
            <w:tcW w:w="232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Assessed revenue ($m)</w:t>
            </w:r>
          </w:p>
        </w:tc>
        <w:tc>
          <w:tcPr>
            <w:tcW w:w="8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33</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6</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18</w:t>
            </w:r>
          </w:p>
        </w:tc>
        <w:tc>
          <w:tcPr>
            <w:tcW w:w="8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205</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11</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10</w:t>
            </w:r>
          </w:p>
        </w:tc>
        <w:tc>
          <w:tcPr>
            <w:tcW w:w="8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286</w:t>
            </w:r>
          </w:p>
        </w:tc>
      </w:tr>
      <w:tr w:rsidR="00647BDC" w:rsidRPr="00755429" w:rsidTr="00D07581">
        <w:trPr>
          <w:trHeight w:val="315"/>
        </w:trPr>
        <w:tc>
          <w:tcPr>
            <w:tcW w:w="232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Assessed revenue ($pc)</w:t>
            </w:r>
          </w:p>
        </w:tc>
        <w:tc>
          <w:tcPr>
            <w:tcW w:w="8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4</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4</w:t>
            </w:r>
          </w:p>
        </w:tc>
        <w:tc>
          <w:tcPr>
            <w:tcW w:w="8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83</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7</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5</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42</w:t>
            </w:r>
          </w:p>
        </w:tc>
        <w:tc>
          <w:tcPr>
            <w:tcW w:w="8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12</w:t>
            </w:r>
          </w:p>
        </w:tc>
      </w:tr>
      <w:tr w:rsidR="00647BDC" w:rsidRPr="00755429" w:rsidTr="00D07581">
        <w:trPr>
          <w:trHeight w:val="315"/>
        </w:trPr>
        <w:tc>
          <w:tcPr>
            <w:tcW w:w="2320" w:type="dxa"/>
            <w:tcBorders>
              <w:top w:val="nil"/>
              <w:left w:val="nil"/>
              <w:bottom w:val="single" w:sz="4" w:space="0" w:color="auto"/>
              <w:right w:val="nil"/>
            </w:tcBorders>
            <w:shd w:val="clear" w:color="auto" w:fill="auto"/>
            <w:hideMark/>
          </w:tcPr>
          <w:p w:rsidR="00647BDC" w:rsidRPr="00755429" w:rsidRDefault="00647BDC" w:rsidP="00D07581">
            <w:pPr>
              <w:pStyle w:val="CGCTableStub"/>
              <w:rPr>
                <w:lang w:eastAsia="en-AU"/>
              </w:rPr>
            </w:pPr>
            <w:r w:rsidRPr="00755429">
              <w:rPr>
                <w:lang w:eastAsia="en-AU"/>
              </w:rPr>
              <w:t>Revenue raising capacity</w:t>
            </w:r>
          </w:p>
        </w:tc>
        <w:tc>
          <w:tcPr>
            <w:tcW w:w="8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0.360</w:t>
            </w:r>
          </w:p>
        </w:tc>
        <w:tc>
          <w:tcPr>
            <w:tcW w:w="7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0.087</w:t>
            </w:r>
          </w:p>
        </w:tc>
        <w:tc>
          <w:tcPr>
            <w:tcW w:w="7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0.314</w:t>
            </w:r>
          </w:p>
        </w:tc>
        <w:tc>
          <w:tcPr>
            <w:tcW w:w="8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6.621</w:t>
            </w:r>
          </w:p>
        </w:tc>
        <w:tc>
          <w:tcPr>
            <w:tcW w:w="7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0.547</w:t>
            </w:r>
          </w:p>
        </w:tc>
        <w:tc>
          <w:tcPr>
            <w:tcW w:w="7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0.427</w:t>
            </w:r>
          </w:p>
        </w:tc>
        <w:tc>
          <w:tcPr>
            <w:tcW w:w="672"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7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3.347</w:t>
            </w:r>
          </w:p>
        </w:tc>
        <w:tc>
          <w:tcPr>
            <w:tcW w:w="88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1.000</w:t>
            </w:r>
          </w:p>
        </w:tc>
      </w:tr>
    </w:tbl>
    <w:p w:rsidR="00647BDC" w:rsidRPr="00755429" w:rsidRDefault="00647BDC" w:rsidP="00647BDC">
      <w:pPr>
        <w:pStyle w:val="CGCTableFootnote"/>
      </w:pPr>
      <w:r w:rsidRPr="00755429">
        <w:t>Source:</w:t>
      </w:r>
      <w:r w:rsidRPr="00755429">
        <w:tab/>
        <w:t>Commission estimates using State data.</w:t>
      </w:r>
    </w:p>
    <w:p w:rsidR="00647BDC" w:rsidRPr="00755429" w:rsidRDefault="00647BDC" w:rsidP="00647BDC">
      <w:pPr>
        <w:pStyle w:val="Caption"/>
      </w:pPr>
      <w:r w:rsidRPr="00755429">
        <w:t xml:space="preserve">Table </w:t>
      </w:r>
      <w:r w:rsidR="005B69B1">
        <w:fldChar w:fldCharType="begin"/>
      </w:r>
      <w:r w:rsidR="005B69B1">
        <w:instrText xml:space="preserve"> SEQ Table \* ARABIC </w:instrText>
      </w:r>
      <w:r w:rsidR="005B69B1">
        <w:fldChar w:fldCharType="separate"/>
      </w:r>
      <w:r w:rsidR="005B69B1">
        <w:rPr>
          <w:noProof/>
        </w:rPr>
        <w:t>8</w:t>
      </w:r>
      <w:r w:rsidR="005B69B1">
        <w:rPr>
          <w:noProof/>
        </w:rPr>
        <w:fldChar w:fldCharType="end"/>
      </w:r>
      <w:r w:rsidRPr="00755429">
        <w:tab/>
        <w:t xml:space="preserve">Illustrative assessed revenue and revenue raising capacity, copper component, </w:t>
      </w:r>
      <w:proofErr w:type="gramStart"/>
      <w:r w:rsidRPr="00755429">
        <w:t>2012</w:t>
      </w:r>
      <w:proofErr w:type="gramEnd"/>
      <w:r w:rsidRPr="00755429">
        <w:noBreakHyphen/>
        <w:t>13</w:t>
      </w:r>
    </w:p>
    <w:tbl>
      <w:tblPr>
        <w:tblW w:w="9074" w:type="dxa"/>
        <w:tblLayout w:type="fixed"/>
        <w:tblCellMar>
          <w:left w:w="0" w:type="dxa"/>
          <w:right w:w="0" w:type="dxa"/>
        </w:tblCellMar>
        <w:tblLook w:val="04A0" w:firstRow="1" w:lastRow="0" w:firstColumn="1" w:lastColumn="0" w:noHBand="0" w:noVBand="1"/>
      </w:tblPr>
      <w:tblGrid>
        <w:gridCol w:w="2322"/>
        <w:gridCol w:w="809"/>
        <w:gridCol w:w="664"/>
        <w:gridCol w:w="810"/>
        <w:gridCol w:w="810"/>
        <w:gridCol w:w="810"/>
        <w:gridCol w:w="711"/>
        <w:gridCol w:w="664"/>
        <w:gridCol w:w="664"/>
        <w:gridCol w:w="810"/>
      </w:tblGrid>
      <w:tr w:rsidR="00647BDC" w:rsidRPr="00755429" w:rsidTr="00D07581">
        <w:trPr>
          <w:trHeight w:val="379"/>
        </w:trPr>
        <w:tc>
          <w:tcPr>
            <w:tcW w:w="2322"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 </w:t>
            </w:r>
          </w:p>
        </w:tc>
        <w:tc>
          <w:tcPr>
            <w:tcW w:w="809"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NSW</w:t>
            </w:r>
          </w:p>
        </w:tc>
        <w:tc>
          <w:tcPr>
            <w:tcW w:w="664"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Vic</w:t>
            </w:r>
          </w:p>
        </w:tc>
        <w:tc>
          <w:tcPr>
            <w:tcW w:w="81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Qld</w:t>
            </w:r>
          </w:p>
        </w:tc>
        <w:tc>
          <w:tcPr>
            <w:tcW w:w="81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WA</w:t>
            </w:r>
          </w:p>
        </w:tc>
        <w:tc>
          <w:tcPr>
            <w:tcW w:w="81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SA</w:t>
            </w:r>
          </w:p>
        </w:tc>
        <w:tc>
          <w:tcPr>
            <w:tcW w:w="711"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755429">
              <w:rPr>
                <w:rFonts w:ascii="Calibri" w:eastAsia="Times New Roman" w:hAnsi="Calibri" w:cs="Times New Roman"/>
                <w:sz w:val="20"/>
                <w:szCs w:val="20"/>
                <w:lang w:eastAsia="en-AU"/>
              </w:rPr>
              <w:t>Tas</w:t>
            </w:r>
            <w:proofErr w:type="spellEnd"/>
          </w:p>
        </w:tc>
        <w:tc>
          <w:tcPr>
            <w:tcW w:w="664"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ACT</w:t>
            </w:r>
          </w:p>
        </w:tc>
        <w:tc>
          <w:tcPr>
            <w:tcW w:w="664"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NT</w:t>
            </w:r>
          </w:p>
        </w:tc>
        <w:tc>
          <w:tcPr>
            <w:tcW w:w="81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Total</w:t>
            </w:r>
          </w:p>
        </w:tc>
      </w:tr>
      <w:tr w:rsidR="00647BDC" w:rsidRPr="00755429" w:rsidTr="00D07581">
        <w:trPr>
          <w:trHeight w:val="315"/>
        </w:trPr>
        <w:tc>
          <w:tcPr>
            <w:tcW w:w="2322"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Actual revenue ($m)</w:t>
            </w:r>
          </w:p>
        </w:tc>
        <w:tc>
          <w:tcPr>
            <w:tcW w:w="809"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6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11"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6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6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136</w:t>
            </w:r>
          </w:p>
        </w:tc>
      </w:tr>
      <w:tr w:rsidR="00647BDC" w:rsidRPr="00755429" w:rsidTr="00D07581">
        <w:trPr>
          <w:trHeight w:val="315"/>
        </w:trPr>
        <w:tc>
          <w:tcPr>
            <w:tcW w:w="2322"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Revenue base ($m)</w:t>
            </w:r>
          </w:p>
        </w:tc>
        <w:tc>
          <w:tcPr>
            <w:tcW w:w="809"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1 425</w:t>
            </w:r>
          </w:p>
        </w:tc>
        <w:tc>
          <w:tcPr>
            <w:tcW w:w="66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2 170</w:t>
            </w: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1 441</w:t>
            </w: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2 335</w:t>
            </w:r>
          </w:p>
        </w:tc>
        <w:tc>
          <w:tcPr>
            <w:tcW w:w="711"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220</w:t>
            </w:r>
          </w:p>
        </w:tc>
        <w:tc>
          <w:tcPr>
            <w:tcW w:w="66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66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7 591</w:t>
            </w:r>
          </w:p>
        </w:tc>
      </w:tr>
      <w:tr w:rsidR="00647BDC" w:rsidRPr="00755429" w:rsidTr="00D07581">
        <w:trPr>
          <w:trHeight w:val="315"/>
        </w:trPr>
        <w:tc>
          <w:tcPr>
            <w:tcW w:w="2322" w:type="dxa"/>
            <w:tcBorders>
              <w:top w:val="nil"/>
              <w:left w:val="nil"/>
              <w:bottom w:val="nil"/>
              <w:right w:val="nil"/>
            </w:tcBorders>
            <w:shd w:val="clear" w:color="auto" w:fill="auto"/>
            <w:hideMark/>
          </w:tcPr>
          <w:p w:rsidR="00647BDC" w:rsidRPr="00755429" w:rsidRDefault="00647BDC" w:rsidP="00D07581">
            <w:pPr>
              <w:pStyle w:val="CGCTableStub"/>
              <w:rPr>
                <w:lang w:eastAsia="en-AU"/>
              </w:rPr>
            </w:pPr>
            <w:r w:rsidRPr="00755429">
              <w:rPr>
                <w:lang w:eastAsia="en-AU"/>
              </w:rPr>
              <w:t>Average royalty rate (%)</w:t>
            </w:r>
          </w:p>
        </w:tc>
        <w:tc>
          <w:tcPr>
            <w:tcW w:w="809"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664"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81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81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81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11"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664"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664"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81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r w:rsidRPr="00755429">
              <w:rPr>
                <w:lang w:eastAsia="en-AU"/>
              </w:rPr>
              <w:t xml:space="preserve">  1.8</w:t>
            </w:r>
          </w:p>
        </w:tc>
      </w:tr>
      <w:tr w:rsidR="00647BDC" w:rsidRPr="00755429" w:rsidTr="00D07581">
        <w:trPr>
          <w:trHeight w:val="315"/>
        </w:trPr>
        <w:tc>
          <w:tcPr>
            <w:tcW w:w="2322"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Assessed revenue ($m)</w:t>
            </w:r>
          </w:p>
        </w:tc>
        <w:tc>
          <w:tcPr>
            <w:tcW w:w="809"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26</w:t>
            </w:r>
          </w:p>
        </w:tc>
        <w:tc>
          <w:tcPr>
            <w:tcW w:w="66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39</w:t>
            </w: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26</w:t>
            </w: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42</w:t>
            </w:r>
          </w:p>
        </w:tc>
        <w:tc>
          <w:tcPr>
            <w:tcW w:w="711"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4</w:t>
            </w:r>
          </w:p>
        </w:tc>
        <w:tc>
          <w:tcPr>
            <w:tcW w:w="66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66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136</w:t>
            </w:r>
          </w:p>
        </w:tc>
      </w:tr>
      <w:tr w:rsidR="00647BDC" w:rsidRPr="00755429" w:rsidTr="00D07581">
        <w:trPr>
          <w:trHeight w:val="315"/>
        </w:trPr>
        <w:tc>
          <w:tcPr>
            <w:tcW w:w="2322"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Assessed revenue ($pc)</w:t>
            </w:r>
          </w:p>
        </w:tc>
        <w:tc>
          <w:tcPr>
            <w:tcW w:w="809"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w:t>
            </w:r>
          </w:p>
        </w:tc>
        <w:tc>
          <w:tcPr>
            <w:tcW w:w="66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8</w:t>
            </w: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10</w:t>
            </w: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25</w:t>
            </w:r>
          </w:p>
        </w:tc>
        <w:tc>
          <w:tcPr>
            <w:tcW w:w="711"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8</w:t>
            </w:r>
          </w:p>
        </w:tc>
        <w:tc>
          <w:tcPr>
            <w:tcW w:w="66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66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81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6</w:t>
            </w:r>
          </w:p>
        </w:tc>
      </w:tr>
      <w:tr w:rsidR="00647BDC" w:rsidRPr="00755429" w:rsidTr="00D07581">
        <w:trPr>
          <w:trHeight w:val="315"/>
        </w:trPr>
        <w:tc>
          <w:tcPr>
            <w:tcW w:w="2322" w:type="dxa"/>
            <w:tcBorders>
              <w:top w:val="nil"/>
              <w:left w:val="nil"/>
              <w:bottom w:val="single" w:sz="4" w:space="0" w:color="auto"/>
              <w:right w:val="nil"/>
            </w:tcBorders>
            <w:shd w:val="clear" w:color="auto" w:fill="auto"/>
            <w:hideMark/>
          </w:tcPr>
          <w:p w:rsidR="00647BDC" w:rsidRPr="00755429" w:rsidRDefault="00647BDC" w:rsidP="00D07581">
            <w:pPr>
              <w:pStyle w:val="CGCTableStub"/>
              <w:rPr>
                <w:lang w:eastAsia="en-AU"/>
              </w:rPr>
            </w:pPr>
            <w:r w:rsidRPr="00755429">
              <w:rPr>
                <w:lang w:eastAsia="en-AU"/>
              </w:rPr>
              <w:t>Revenue raising capacity</w:t>
            </w:r>
          </w:p>
        </w:tc>
        <w:tc>
          <w:tcPr>
            <w:tcW w:w="809"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0.585</w:t>
            </w:r>
          </w:p>
        </w:tc>
        <w:tc>
          <w:tcPr>
            <w:tcW w:w="664"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81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1.420</w:t>
            </w:r>
          </w:p>
        </w:tc>
        <w:tc>
          <w:tcPr>
            <w:tcW w:w="81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1.756</w:t>
            </w:r>
          </w:p>
        </w:tc>
        <w:tc>
          <w:tcPr>
            <w:tcW w:w="81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4.242</w:t>
            </w:r>
          </w:p>
        </w:tc>
        <w:tc>
          <w:tcPr>
            <w:tcW w:w="711"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1.296</w:t>
            </w:r>
          </w:p>
        </w:tc>
        <w:tc>
          <w:tcPr>
            <w:tcW w:w="664"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664"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81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1.000</w:t>
            </w:r>
          </w:p>
        </w:tc>
      </w:tr>
    </w:tbl>
    <w:p w:rsidR="00647BDC" w:rsidRPr="00755429" w:rsidRDefault="00647BDC" w:rsidP="00647BDC">
      <w:pPr>
        <w:pStyle w:val="CGCTableFootnote"/>
      </w:pPr>
      <w:r w:rsidRPr="00755429">
        <w:t>Source:</w:t>
      </w:r>
      <w:r w:rsidRPr="00755429">
        <w:tab/>
        <w:t>Commission estimates using State data.</w:t>
      </w:r>
    </w:p>
    <w:p w:rsidR="00647BDC" w:rsidRPr="00755429" w:rsidRDefault="00647BDC" w:rsidP="00647BDC">
      <w:pPr>
        <w:pStyle w:val="Caption"/>
      </w:pPr>
      <w:r w:rsidRPr="00755429">
        <w:t xml:space="preserve">Table </w:t>
      </w:r>
      <w:r w:rsidR="005B69B1">
        <w:fldChar w:fldCharType="begin"/>
      </w:r>
      <w:r w:rsidR="005B69B1">
        <w:instrText xml:space="preserve"> SEQ Table \* ARABIC </w:instrText>
      </w:r>
      <w:r w:rsidR="005B69B1">
        <w:fldChar w:fldCharType="separate"/>
      </w:r>
      <w:r w:rsidR="005B69B1">
        <w:rPr>
          <w:noProof/>
        </w:rPr>
        <w:t>9</w:t>
      </w:r>
      <w:r w:rsidR="005B69B1">
        <w:rPr>
          <w:noProof/>
        </w:rPr>
        <w:fldChar w:fldCharType="end"/>
      </w:r>
      <w:r w:rsidRPr="00755429">
        <w:tab/>
        <w:t xml:space="preserve">Illustrative assessed revenue and revenue raising capacity, bauxite component, </w:t>
      </w:r>
      <w:proofErr w:type="gramStart"/>
      <w:r w:rsidRPr="00755429">
        <w:t>2012</w:t>
      </w:r>
      <w:proofErr w:type="gramEnd"/>
      <w:r w:rsidRPr="00755429">
        <w:noBreakHyphen/>
        <w:t>13</w:t>
      </w:r>
    </w:p>
    <w:tbl>
      <w:tblPr>
        <w:tblW w:w="9058" w:type="dxa"/>
        <w:tblLayout w:type="fixed"/>
        <w:tblCellMar>
          <w:left w:w="0" w:type="dxa"/>
          <w:right w:w="0" w:type="dxa"/>
        </w:tblCellMar>
        <w:tblLook w:val="04A0" w:firstRow="1" w:lastRow="0" w:firstColumn="1" w:lastColumn="0" w:noHBand="0" w:noVBand="1"/>
      </w:tblPr>
      <w:tblGrid>
        <w:gridCol w:w="2380"/>
        <w:gridCol w:w="780"/>
        <w:gridCol w:w="672"/>
        <w:gridCol w:w="760"/>
        <w:gridCol w:w="760"/>
        <w:gridCol w:w="672"/>
        <w:gridCol w:w="700"/>
        <w:gridCol w:w="700"/>
        <w:gridCol w:w="774"/>
        <w:gridCol w:w="860"/>
      </w:tblGrid>
      <w:tr w:rsidR="00647BDC" w:rsidRPr="00755429" w:rsidTr="00D07581">
        <w:trPr>
          <w:trHeight w:val="379"/>
        </w:trPr>
        <w:tc>
          <w:tcPr>
            <w:tcW w:w="238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755429">
              <w:t xml:space="preserve"> </w:t>
            </w:r>
            <w:r w:rsidRPr="00755429">
              <w:rPr>
                <w:rFonts w:ascii="Calibri" w:eastAsia="Times New Roman" w:hAnsi="Calibri" w:cs="Times New Roman"/>
                <w:sz w:val="20"/>
                <w:szCs w:val="20"/>
                <w:lang w:eastAsia="en-AU"/>
              </w:rPr>
              <w:t> </w:t>
            </w:r>
          </w:p>
        </w:tc>
        <w:tc>
          <w:tcPr>
            <w:tcW w:w="78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NSW</w:t>
            </w:r>
          </w:p>
        </w:tc>
        <w:tc>
          <w:tcPr>
            <w:tcW w:w="672"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WA</w:t>
            </w:r>
          </w:p>
        </w:tc>
        <w:tc>
          <w:tcPr>
            <w:tcW w:w="672"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755429">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ACT</w:t>
            </w:r>
          </w:p>
        </w:tc>
        <w:tc>
          <w:tcPr>
            <w:tcW w:w="774"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NT</w:t>
            </w:r>
          </w:p>
        </w:tc>
        <w:tc>
          <w:tcPr>
            <w:tcW w:w="86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Total</w:t>
            </w:r>
          </w:p>
        </w:tc>
      </w:tr>
      <w:tr w:rsidR="00647BDC" w:rsidRPr="00755429" w:rsidTr="00D07581">
        <w:trPr>
          <w:trHeight w:val="315"/>
        </w:trPr>
        <w:tc>
          <w:tcPr>
            <w:tcW w:w="238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Actual revenue ($m)</w:t>
            </w:r>
          </w:p>
        </w:tc>
        <w:tc>
          <w:tcPr>
            <w:tcW w:w="7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7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8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115</w:t>
            </w:r>
          </w:p>
        </w:tc>
      </w:tr>
      <w:tr w:rsidR="00647BDC" w:rsidRPr="00755429" w:rsidTr="00D07581">
        <w:trPr>
          <w:trHeight w:val="315"/>
        </w:trPr>
        <w:tc>
          <w:tcPr>
            <w:tcW w:w="238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Revenue base ($m)</w:t>
            </w:r>
          </w:p>
        </w:tc>
        <w:tc>
          <w:tcPr>
            <w:tcW w:w="7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688</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690</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7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168</w:t>
            </w:r>
          </w:p>
        </w:tc>
        <w:tc>
          <w:tcPr>
            <w:tcW w:w="8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1 545</w:t>
            </w:r>
          </w:p>
        </w:tc>
      </w:tr>
      <w:tr w:rsidR="00647BDC" w:rsidRPr="00755429" w:rsidTr="00D07581">
        <w:trPr>
          <w:trHeight w:val="315"/>
        </w:trPr>
        <w:tc>
          <w:tcPr>
            <w:tcW w:w="2380" w:type="dxa"/>
            <w:tcBorders>
              <w:top w:val="nil"/>
              <w:left w:val="nil"/>
              <w:bottom w:val="nil"/>
              <w:right w:val="nil"/>
            </w:tcBorders>
            <w:shd w:val="clear" w:color="auto" w:fill="auto"/>
            <w:hideMark/>
          </w:tcPr>
          <w:p w:rsidR="00647BDC" w:rsidRPr="00755429" w:rsidRDefault="00647BDC" w:rsidP="00D07581">
            <w:pPr>
              <w:pStyle w:val="CGCTableStub"/>
              <w:rPr>
                <w:lang w:eastAsia="en-AU"/>
              </w:rPr>
            </w:pPr>
            <w:r w:rsidRPr="00755429">
              <w:rPr>
                <w:lang w:eastAsia="en-AU"/>
              </w:rPr>
              <w:t>Average royalty rate (%)</w:t>
            </w:r>
          </w:p>
        </w:tc>
        <w:tc>
          <w:tcPr>
            <w:tcW w:w="78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672"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6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6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672"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74"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86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r w:rsidRPr="00755429">
              <w:rPr>
                <w:lang w:eastAsia="en-AU"/>
              </w:rPr>
              <w:t xml:space="preserve">  7.4</w:t>
            </w:r>
          </w:p>
        </w:tc>
      </w:tr>
      <w:tr w:rsidR="00647BDC" w:rsidRPr="00755429" w:rsidTr="00D07581">
        <w:trPr>
          <w:trHeight w:val="315"/>
        </w:trPr>
        <w:tc>
          <w:tcPr>
            <w:tcW w:w="238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Assessed revenue ($m)</w:t>
            </w:r>
          </w:p>
        </w:tc>
        <w:tc>
          <w:tcPr>
            <w:tcW w:w="7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51</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51</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7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12</w:t>
            </w:r>
          </w:p>
        </w:tc>
        <w:tc>
          <w:tcPr>
            <w:tcW w:w="8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115</w:t>
            </w:r>
          </w:p>
        </w:tc>
      </w:tr>
      <w:tr w:rsidR="00647BDC" w:rsidRPr="00755429" w:rsidTr="00D07581">
        <w:trPr>
          <w:trHeight w:val="315"/>
        </w:trPr>
        <w:tc>
          <w:tcPr>
            <w:tcW w:w="238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Assessed revenue ($pc)</w:t>
            </w:r>
          </w:p>
        </w:tc>
        <w:tc>
          <w:tcPr>
            <w:tcW w:w="7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11</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21</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7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52</w:t>
            </w:r>
          </w:p>
        </w:tc>
        <w:tc>
          <w:tcPr>
            <w:tcW w:w="8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5</w:t>
            </w:r>
          </w:p>
        </w:tc>
      </w:tr>
      <w:tr w:rsidR="00647BDC" w:rsidRPr="00755429" w:rsidTr="00D07581">
        <w:trPr>
          <w:trHeight w:val="315"/>
        </w:trPr>
        <w:tc>
          <w:tcPr>
            <w:tcW w:w="2380" w:type="dxa"/>
            <w:tcBorders>
              <w:top w:val="nil"/>
              <w:left w:val="nil"/>
              <w:bottom w:val="single" w:sz="4" w:space="0" w:color="auto"/>
              <w:right w:val="nil"/>
            </w:tcBorders>
            <w:shd w:val="clear" w:color="auto" w:fill="auto"/>
            <w:hideMark/>
          </w:tcPr>
          <w:p w:rsidR="00647BDC" w:rsidRPr="00755429" w:rsidRDefault="00647BDC" w:rsidP="00D07581">
            <w:pPr>
              <w:pStyle w:val="CGCTableStub"/>
              <w:rPr>
                <w:lang w:eastAsia="en-AU"/>
              </w:rPr>
            </w:pPr>
            <w:r w:rsidRPr="00755429">
              <w:rPr>
                <w:lang w:eastAsia="en-AU"/>
              </w:rPr>
              <w:t>Revenue raising capacity</w:t>
            </w:r>
          </w:p>
        </w:tc>
        <w:tc>
          <w:tcPr>
            <w:tcW w:w="78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672"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76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2.213</w:t>
            </w:r>
          </w:p>
        </w:tc>
        <w:tc>
          <w:tcPr>
            <w:tcW w:w="76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4.127</w:t>
            </w:r>
          </w:p>
        </w:tc>
        <w:tc>
          <w:tcPr>
            <w:tcW w:w="672"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7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7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774"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10.437</w:t>
            </w:r>
          </w:p>
        </w:tc>
        <w:tc>
          <w:tcPr>
            <w:tcW w:w="86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1.000</w:t>
            </w:r>
          </w:p>
        </w:tc>
      </w:tr>
    </w:tbl>
    <w:p w:rsidR="00647BDC" w:rsidRPr="00755429" w:rsidRDefault="00647BDC" w:rsidP="00647BDC">
      <w:pPr>
        <w:pStyle w:val="CGCTableFootnote"/>
      </w:pPr>
      <w:r w:rsidRPr="00755429">
        <w:t>Source:</w:t>
      </w:r>
      <w:r w:rsidRPr="00755429">
        <w:tab/>
        <w:t>Commission estimates using State data.</w:t>
      </w:r>
    </w:p>
    <w:p w:rsidR="00647BDC" w:rsidRPr="00755429" w:rsidRDefault="00647BDC" w:rsidP="00647BDC">
      <w:pPr>
        <w:pStyle w:val="Caption"/>
      </w:pPr>
      <w:r w:rsidRPr="00755429">
        <w:lastRenderedPageBreak/>
        <w:t xml:space="preserve">Table </w:t>
      </w:r>
      <w:r w:rsidR="005B69B1">
        <w:fldChar w:fldCharType="begin"/>
      </w:r>
      <w:r w:rsidR="005B69B1">
        <w:instrText xml:space="preserve"> SEQ Table \* ARABIC </w:instrText>
      </w:r>
      <w:r w:rsidR="005B69B1">
        <w:fldChar w:fldCharType="separate"/>
      </w:r>
      <w:r w:rsidR="005B69B1">
        <w:rPr>
          <w:noProof/>
        </w:rPr>
        <w:t>10</w:t>
      </w:r>
      <w:r w:rsidR="005B69B1">
        <w:rPr>
          <w:noProof/>
        </w:rPr>
        <w:fldChar w:fldCharType="end"/>
      </w:r>
      <w:r w:rsidRPr="00755429">
        <w:tab/>
        <w:t>Illustrative assessed revenue and revenue raising capacity, nickel component, 2012</w:t>
      </w:r>
      <w:r w:rsidRPr="00755429">
        <w:noBreakHyphen/>
        <w:t>13</w:t>
      </w:r>
    </w:p>
    <w:tbl>
      <w:tblPr>
        <w:tblW w:w="9056" w:type="dxa"/>
        <w:tblLayout w:type="fixed"/>
        <w:tblCellMar>
          <w:left w:w="0" w:type="dxa"/>
          <w:right w:w="0" w:type="dxa"/>
        </w:tblCellMar>
        <w:tblLook w:val="04A0" w:firstRow="1" w:lastRow="0" w:firstColumn="1" w:lastColumn="0" w:noHBand="0" w:noVBand="1"/>
      </w:tblPr>
      <w:tblGrid>
        <w:gridCol w:w="2380"/>
        <w:gridCol w:w="800"/>
        <w:gridCol w:w="672"/>
        <w:gridCol w:w="700"/>
        <w:gridCol w:w="880"/>
        <w:gridCol w:w="672"/>
        <w:gridCol w:w="700"/>
        <w:gridCol w:w="700"/>
        <w:gridCol w:w="576"/>
        <w:gridCol w:w="976"/>
      </w:tblGrid>
      <w:tr w:rsidR="00647BDC" w:rsidRPr="00755429" w:rsidTr="00D07581">
        <w:trPr>
          <w:trHeight w:val="379"/>
        </w:trPr>
        <w:tc>
          <w:tcPr>
            <w:tcW w:w="238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755429">
              <w:t xml:space="preserve"> </w:t>
            </w:r>
            <w:r w:rsidRPr="00755429">
              <w:tab/>
            </w:r>
            <w:r w:rsidRPr="00755429">
              <w:rPr>
                <w:rFonts w:ascii="Calibri" w:eastAsia="Times New Roman" w:hAnsi="Calibri" w:cs="Times New Roman"/>
                <w:sz w:val="20"/>
                <w:szCs w:val="20"/>
                <w:lang w:eastAsia="en-AU"/>
              </w:rPr>
              <w:t> </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NSW</w:t>
            </w:r>
          </w:p>
        </w:tc>
        <w:tc>
          <w:tcPr>
            <w:tcW w:w="672"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Qld</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WA</w:t>
            </w:r>
          </w:p>
        </w:tc>
        <w:tc>
          <w:tcPr>
            <w:tcW w:w="672"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755429">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ACT</w:t>
            </w:r>
          </w:p>
        </w:tc>
        <w:tc>
          <w:tcPr>
            <w:tcW w:w="576"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NT</w:t>
            </w:r>
          </w:p>
        </w:tc>
        <w:tc>
          <w:tcPr>
            <w:tcW w:w="976"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Total</w:t>
            </w:r>
          </w:p>
        </w:tc>
      </w:tr>
      <w:tr w:rsidR="00647BDC" w:rsidRPr="00755429" w:rsidTr="00D07581">
        <w:trPr>
          <w:trHeight w:val="315"/>
        </w:trPr>
        <w:tc>
          <w:tcPr>
            <w:tcW w:w="238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Actual revenue ($m)</w:t>
            </w:r>
          </w:p>
        </w:tc>
        <w:tc>
          <w:tcPr>
            <w:tcW w:w="8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8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576"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976"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93</w:t>
            </w:r>
          </w:p>
        </w:tc>
      </w:tr>
      <w:tr w:rsidR="00647BDC" w:rsidRPr="00755429" w:rsidTr="00D07581">
        <w:trPr>
          <w:trHeight w:val="315"/>
        </w:trPr>
        <w:tc>
          <w:tcPr>
            <w:tcW w:w="238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Revenue base ($m)</w:t>
            </w:r>
          </w:p>
        </w:tc>
        <w:tc>
          <w:tcPr>
            <w:tcW w:w="8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8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3 625</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576"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976"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3 625</w:t>
            </w:r>
          </w:p>
        </w:tc>
      </w:tr>
      <w:tr w:rsidR="00647BDC" w:rsidRPr="00755429" w:rsidTr="00D07581">
        <w:trPr>
          <w:trHeight w:val="315"/>
        </w:trPr>
        <w:tc>
          <w:tcPr>
            <w:tcW w:w="2380" w:type="dxa"/>
            <w:tcBorders>
              <w:top w:val="nil"/>
              <w:left w:val="nil"/>
              <w:bottom w:val="nil"/>
              <w:right w:val="nil"/>
            </w:tcBorders>
            <w:shd w:val="clear" w:color="auto" w:fill="auto"/>
            <w:hideMark/>
          </w:tcPr>
          <w:p w:rsidR="00647BDC" w:rsidRPr="00755429" w:rsidRDefault="00647BDC" w:rsidP="00D07581">
            <w:pPr>
              <w:pStyle w:val="CGCTableStub"/>
              <w:rPr>
                <w:lang w:eastAsia="en-AU"/>
              </w:rPr>
            </w:pPr>
            <w:r w:rsidRPr="00755429">
              <w:rPr>
                <w:lang w:eastAsia="en-AU"/>
              </w:rPr>
              <w:t>Average royalty rate (%)</w:t>
            </w:r>
          </w:p>
        </w:tc>
        <w:tc>
          <w:tcPr>
            <w:tcW w:w="8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672"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88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672"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700"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576"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p>
        </w:tc>
        <w:tc>
          <w:tcPr>
            <w:tcW w:w="976" w:type="dxa"/>
            <w:tcBorders>
              <w:top w:val="nil"/>
              <w:left w:val="nil"/>
              <w:bottom w:val="nil"/>
              <w:right w:val="nil"/>
            </w:tcBorders>
            <w:shd w:val="clear" w:color="auto" w:fill="auto"/>
            <w:hideMark/>
          </w:tcPr>
          <w:p w:rsidR="00647BDC" w:rsidRPr="00755429" w:rsidRDefault="00647BDC" w:rsidP="00D07581">
            <w:pPr>
              <w:pStyle w:val="TableRowNormal"/>
              <w:rPr>
                <w:lang w:eastAsia="en-AU"/>
              </w:rPr>
            </w:pPr>
            <w:r w:rsidRPr="00755429">
              <w:rPr>
                <w:lang w:eastAsia="en-AU"/>
              </w:rPr>
              <w:t xml:space="preserve">  2.6</w:t>
            </w:r>
          </w:p>
        </w:tc>
      </w:tr>
      <w:tr w:rsidR="00647BDC" w:rsidRPr="00755429" w:rsidTr="00D07581">
        <w:trPr>
          <w:trHeight w:val="315"/>
        </w:trPr>
        <w:tc>
          <w:tcPr>
            <w:tcW w:w="238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Assessed revenue ($m)</w:t>
            </w:r>
          </w:p>
        </w:tc>
        <w:tc>
          <w:tcPr>
            <w:tcW w:w="8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8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93</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576"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976"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93</w:t>
            </w:r>
          </w:p>
        </w:tc>
      </w:tr>
      <w:tr w:rsidR="00647BDC" w:rsidRPr="00755429" w:rsidTr="00D07581">
        <w:trPr>
          <w:trHeight w:val="315"/>
        </w:trPr>
        <w:tc>
          <w:tcPr>
            <w:tcW w:w="238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Assessed revenue ($pc)</w:t>
            </w:r>
          </w:p>
        </w:tc>
        <w:tc>
          <w:tcPr>
            <w:tcW w:w="8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8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37</w:t>
            </w:r>
          </w:p>
        </w:tc>
        <w:tc>
          <w:tcPr>
            <w:tcW w:w="672"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576"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976"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4</w:t>
            </w:r>
          </w:p>
        </w:tc>
      </w:tr>
      <w:tr w:rsidR="00647BDC" w:rsidRPr="00755429" w:rsidTr="00D07581">
        <w:trPr>
          <w:trHeight w:val="315"/>
        </w:trPr>
        <w:tc>
          <w:tcPr>
            <w:tcW w:w="2380" w:type="dxa"/>
            <w:tcBorders>
              <w:top w:val="nil"/>
              <w:left w:val="nil"/>
              <w:bottom w:val="single" w:sz="4" w:space="0" w:color="auto"/>
              <w:right w:val="nil"/>
            </w:tcBorders>
            <w:shd w:val="clear" w:color="auto" w:fill="auto"/>
            <w:hideMark/>
          </w:tcPr>
          <w:p w:rsidR="00647BDC" w:rsidRPr="00755429" w:rsidRDefault="00647BDC" w:rsidP="00D07581">
            <w:pPr>
              <w:pStyle w:val="CGCTableStub"/>
              <w:rPr>
                <w:lang w:eastAsia="en-AU"/>
              </w:rPr>
            </w:pPr>
            <w:r w:rsidRPr="00755429">
              <w:rPr>
                <w:lang w:eastAsia="en-AU"/>
              </w:rPr>
              <w:t>Revenue raising capacity</w:t>
            </w:r>
          </w:p>
        </w:tc>
        <w:tc>
          <w:tcPr>
            <w:tcW w:w="8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672"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7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88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9.249</w:t>
            </w:r>
          </w:p>
        </w:tc>
        <w:tc>
          <w:tcPr>
            <w:tcW w:w="672"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7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70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576"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976"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1.000</w:t>
            </w:r>
          </w:p>
        </w:tc>
      </w:tr>
    </w:tbl>
    <w:p w:rsidR="00647BDC" w:rsidRPr="00755429" w:rsidRDefault="00647BDC" w:rsidP="00647BDC">
      <w:pPr>
        <w:pStyle w:val="CGCTableFootnote"/>
        <w:keepNext/>
      </w:pPr>
      <w:r w:rsidRPr="00755429">
        <w:t>Source:</w:t>
      </w:r>
      <w:r w:rsidRPr="00755429">
        <w:tab/>
        <w:t>Commission estimates using State data.</w:t>
      </w:r>
    </w:p>
    <w:p w:rsidR="00647BDC" w:rsidRPr="00755429" w:rsidRDefault="00647BDC" w:rsidP="00647BDC">
      <w:pPr>
        <w:pStyle w:val="Caption"/>
      </w:pPr>
      <w:r w:rsidRPr="00755429">
        <w:t xml:space="preserve">Table </w:t>
      </w:r>
      <w:r w:rsidR="005B69B1">
        <w:fldChar w:fldCharType="begin"/>
      </w:r>
      <w:r w:rsidR="005B69B1">
        <w:instrText xml:space="preserve"> SEQ Table \* ARABIC </w:instrText>
      </w:r>
      <w:r w:rsidR="005B69B1">
        <w:fldChar w:fldCharType="separate"/>
      </w:r>
      <w:r w:rsidR="005B69B1">
        <w:rPr>
          <w:noProof/>
        </w:rPr>
        <w:t>11</w:t>
      </w:r>
      <w:r w:rsidR="005B69B1">
        <w:rPr>
          <w:noProof/>
        </w:rPr>
        <w:fldChar w:fldCharType="end"/>
      </w:r>
      <w:r w:rsidRPr="00755429">
        <w:tab/>
        <w:t>Illustrative assessed revenue and revenue raising capacity, onshore oil and gas and other minerals components combined (a), 2012</w:t>
      </w:r>
      <w:r w:rsidRPr="00755429">
        <w:noBreakHyphen/>
        <w:t>13</w:t>
      </w:r>
    </w:p>
    <w:tbl>
      <w:tblPr>
        <w:tblW w:w="8954" w:type="dxa"/>
        <w:tblLayout w:type="fixed"/>
        <w:tblCellMar>
          <w:left w:w="0" w:type="dxa"/>
          <w:right w:w="0" w:type="dxa"/>
        </w:tblCellMar>
        <w:tblLook w:val="04A0" w:firstRow="1" w:lastRow="0" w:firstColumn="1" w:lastColumn="0" w:noHBand="0" w:noVBand="1"/>
      </w:tblPr>
      <w:tblGrid>
        <w:gridCol w:w="2260"/>
        <w:gridCol w:w="740"/>
        <w:gridCol w:w="680"/>
        <w:gridCol w:w="760"/>
        <w:gridCol w:w="760"/>
        <w:gridCol w:w="760"/>
        <w:gridCol w:w="680"/>
        <w:gridCol w:w="680"/>
        <w:gridCol w:w="774"/>
        <w:gridCol w:w="860"/>
      </w:tblGrid>
      <w:tr w:rsidR="00647BDC" w:rsidRPr="00755429" w:rsidTr="00D07581">
        <w:trPr>
          <w:trHeight w:val="379"/>
        </w:trPr>
        <w:tc>
          <w:tcPr>
            <w:tcW w:w="226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755429">
              <w:t xml:space="preserve"> </w:t>
            </w:r>
            <w:bookmarkStart w:id="140" w:name="RANGE!A3:J8"/>
            <w:r w:rsidRPr="00755429">
              <w:rPr>
                <w:rFonts w:ascii="Calibri" w:eastAsia="Times New Roman" w:hAnsi="Calibri" w:cs="Times New Roman"/>
                <w:sz w:val="20"/>
                <w:szCs w:val="20"/>
                <w:lang w:eastAsia="en-AU"/>
              </w:rPr>
              <w:t> </w:t>
            </w:r>
            <w:bookmarkEnd w:id="140"/>
          </w:p>
        </w:tc>
        <w:tc>
          <w:tcPr>
            <w:tcW w:w="74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NSW</w:t>
            </w:r>
          </w:p>
        </w:tc>
        <w:tc>
          <w:tcPr>
            <w:tcW w:w="68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WA</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SA</w:t>
            </w:r>
          </w:p>
        </w:tc>
        <w:tc>
          <w:tcPr>
            <w:tcW w:w="68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755429">
              <w:rPr>
                <w:rFonts w:ascii="Calibri" w:eastAsia="Times New Roman" w:hAnsi="Calibri" w:cs="Times New Roman"/>
                <w:sz w:val="20"/>
                <w:szCs w:val="20"/>
                <w:lang w:eastAsia="en-AU"/>
              </w:rPr>
              <w:t>Tas</w:t>
            </w:r>
            <w:proofErr w:type="spellEnd"/>
          </w:p>
        </w:tc>
        <w:tc>
          <w:tcPr>
            <w:tcW w:w="68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ACT</w:t>
            </w:r>
          </w:p>
        </w:tc>
        <w:tc>
          <w:tcPr>
            <w:tcW w:w="774"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NT</w:t>
            </w:r>
          </w:p>
        </w:tc>
        <w:tc>
          <w:tcPr>
            <w:tcW w:w="86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Total</w:t>
            </w:r>
          </w:p>
        </w:tc>
      </w:tr>
      <w:tr w:rsidR="00647BDC" w:rsidRPr="00755429" w:rsidTr="00D07581">
        <w:trPr>
          <w:trHeight w:val="315"/>
        </w:trPr>
        <w:tc>
          <w:tcPr>
            <w:tcW w:w="226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Actual revenue ($m)</w:t>
            </w:r>
          </w:p>
        </w:tc>
        <w:tc>
          <w:tcPr>
            <w:tcW w:w="74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6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77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p>
        </w:tc>
        <w:tc>
          <w:tcPr>
            <w:tcW w:w="8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692</w:t>
            </w:r>
          </w:p>
        </w:tc>
      </w:tr>
      <w:tr w:rsidR="00647BDC" w:rsidRPr="00755429" w:rsidTr="00D07581">
        <w:trPr>
          <w:trHeight w:val="315"/>
        </w:trPr>
        <w:tc>
          <w:tcPr>
            <w:tcW w:w="226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Revenue base share (%)</w:t>
            </w:r>
          </w:p>
        </w:tc>
        <w:tc>
          <w:tcPr>
            <w:tcW w:w="74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5.0</w:t>
            </w:r>
          </w:p>
        </w:tc>
        <w:tc>
          <w:tcPr>
            <w:tcW w:w="6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6.1</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41.0</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22.7</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12.1</w:t>
            </w:r>
          </w:p>
        </w:tc>
        <w:tc>
          <w:tcPr>
            <w:tcW w:w="6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2.7</w:t>
            </w:r>
          </w:p>
        </w:tc>
        <w:tc>
          <w:tcPr>
            <w:tcW w:w="6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0.0</w:t>
            </w:r>
          </w:p>
        </w:tc>
        <w:tc>
          <w:tcPr>
            <w:tcW w:w="77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10.5</w:t>
            </w:r>
          </w:p>
        </w:tc>
        <w:tc>
          <w:tcPr>
            <w:tcW w:w="8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100.0</w:t>
            </w:r>
          </w:p>
        </w:tc>
      </w:tr>
      <w:tr w:rsidR="00647BDC" w:rsidRPr="00755429" w:rsidTr="00D07581">
        <w:trPr>
          <w:trHeight w:val="315"/>
        </w:trPr>
        <w:tc>
          <w:tcPr>
            <w:tcW w:w="226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Assessed revenue ($m)</w:t>
            </w:r>
          </w:p>
        </w:tc>
        <w:tc>
          <w:tcPr>
            <w:tcW w:w="74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35</w:t>
            </w:r>
          </w:p>
        </w:tc>
        <w:tc>
          <w:tcPr>
            <w:tcW w:w="6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42</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283</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157</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84</w:t>
            </w:r>
          </w:p>
        </w:tc>
        <w:tc>
          <w:tcPr>
            <w:tcW w:w="6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18</w:t>
            </w:r>
          </w:p>
        </w:tc>
        <w:tc>
          <w:tcPr>
            <w:tcW w:w="6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7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73</w:t>
            </w:r>
          </w:p>
        </w:tc>
        <w:tc>
          <w:tcPr>
            <w:tcW w:w="8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692</w:t>
            </w:r>
          </w:p>
        </w:tc>
      </w:tr>
      <w:tr w:rsidR="00647BDC" w:rsidRPr="00755429" w:rsidTr="00D07581">
        <w:trPr>
          <w:trHeight w:val="315"/>
        </w:trPr>
        <w:tc>
          <w:tcPr>
            <w:tcW w:w="2260" w:type="dxa"/>
            <w:tcBorders>
              <w:top w:val="nil"/>
              <w:left w:val="nil"/>
              <w:bottom w:val="nil"/>
              <w:right w:val="nil"/>
            </w:tcBorders>
            <w:shd w:val="clear" w:color="auto" w:fill="auto"/>
            <w:noWrap/>
            <w:hideMark/>
          </w:tcPr>
          <w:p w:rsidR="00647BDC" w:rsidRPr="00755429" w:rsidRDefault="00647BDC" w:rsidP="00D07581">
            <w:pPr>
              <w:pStyle w:val="CGCTableStub"/>
              <w:rPr>
                <w:lang w:eastAsia="en-AU"/>
              </w:rPr>
            </w:pPr>
            <w:r w:rsidRPr="00755429">
              <w:rPr>
                <w:lang w:eastAsia="en-AU"/>
              </w:rPr>
              <w:t>Assessed revenue ($pc)</w:t>
            </w:r>
          </w:p>
        </w:tc>
        <w:tc>
          <w:tcPr>
            <w:tcW w:w="74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5</w:t>
            </w:r>
          </w:p>
        </w:tc>
        <w:tc>
          <w:tcPr>
            <w:tcW w:w="6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7</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61</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63</w:t>
            </w:r>
          </w:p>
        </w:tc>
        <w:tc>
          <w:tcPr>
            <w:tcW w:w="7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51</w:t>
            </w:r>
          </w:p>
        </w:tc>
        <w:tc>
          <w:tcPr>
            <w:tcW w:w="6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36</w:t>
            </w:r>
          </w:p>
        </w:tc>
        <w:tc>
          <w:tcPr>
            <w:tcW w:w="68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0</w:t>
            </w:r>
          </w:p>
        </w:tc>
        <w:tc>
          <w:tcPr>
            <w:tcW w:w="774"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305</w:t>
            </w:r>
          </w:p>
        </w:tc>
        <w:tc>
          <w:tcPr>
            <w:tcW w:w="860" w:type="dxa"/>
            <w:tcBorders>
              <w:top w:val="nil"/>
              <w:left w:val="nil"/>
              <w:bottom w:val="nil"/>
              <w:right w:val="nil"/>
            </w:tcBorders>
            <w:shd w:val="clear" w:color="auto" w:fill="auto"/>
            <w:noWrap/>
            <w:hideMark/>
          </w:tcPr>
          <w:p w:rsidR="00647BDC" w:rsidRPr="00755429" w:rsidRDefault="00647BDC" w:rsidP="00D07581">
            <w:pPr>
              <w:pStyle w:val="TableRowNormal"/>
              <w:rPr>
                <w:lang w:eastAsia="en-AU"/>
              </w:rPr>
            </w:pPr>
            <w:r w:rsidRPr="00755429">
              <w:rPr>
                <w:lang w:eastAsia="en-AU"/>
              </w:rPr>
              <w:t xml:space="preserve">  30</w:t>
            </w:r>
          </w:p>
        </w:tc>
      </w:tr>
      <w:tr w:rsidR="00647BDC" w:rsidRPr="00755429" w:rsidTr="00D07581">
        <w:trPr>
          <w:trHeight w:val="315"/>
        </w:trPr>
        <w:tc>
          <w:tcPr>
            <w:tcW w:w="2260" w:type="dxa"/>
            <w:tcBorders>
              <w:top w:val="nil"/>
              <w:left w:val="nil"/>
              <w:bottom w:val="single" w:sz="4" w:space="0" w:color="auto"/>
              <w:right w:val="nil"/>
            </w:tcBorders>
            <w:shd w:val="clear" w:color="auto" w:fill="auto"/>
            <w:hideMark/>
          </w:tcPr>
          <w:p w:rsidR="00647BDC" w:rsidRPr="00755429" w:rsidRDefault="00647BDC" w:rsidP="00D07581">
            <w:pPr>
              <w:pStyle w:val="CGCTableStub"/>
              <w:rPr>
                <w:lang w:eastAsia="en-AU"/>
              </w:rPr>
            </w:pPr>
            <w:r w:rsidRPr="00755429">
              <w:rPr>
                <w:lang w:eastAsia="en-AU"/>
              </w:rPr>
              <w:t>Revenue raising capacity</w:t>
            </w:r>
          </w:p>
        </w:tc>
        <w:tc>
          <w:tcPr>
            <w:tcW w:w="74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0.156</w:t>
            </w:r>
          </w:p>
        </w:tc>
        <w:tc>
          <w:tcPr>
            <w:tcW w:w="68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0.245</w:t>
            </w:r>
          </w:p>
        </w:tc>
        <w:tc>
          <w:tcPr>
            <w:tcW w:w="76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2.035</w:t>
            </w:r>
          </w:p>
        </w:tc>
        <w:tc>
          <w:tcPr>
            <w:tcW w:w="76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2.097</w:t>
            </w:r>
          </w:p>
        </w:tc>
        <w:tc>
          <w:tcPr>
            <w:tcW w:w="76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1.674</w:t>
            </w:r>
          </w:p>
        </w:tc>
        <w:tc>
          <w:tcPr>
            <w:tcW w:w="68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1.194</w:t>
            </w:r>
          </w:p>
        </w:tc>
        <w:tc>
          <w:tcPr>
            <w:tcW w:w="68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0.000</w:t>
            </w:r>
          </w:p>
        </w:tc>
        <w:tc>
          <w:tcPr>
            <w:tcW w:w="774"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10.107</w:t>
            </w:r>
          </w:p>
        </w:tc>
        <w:tc>
          <w:tcPr>
            <w:tcW w:w="860" w:type="dxa"/>
            <w:tcBorders>
              <w:top w:val="nil"/>
              <w:left w:val="nil"/>
              <w:bottom w:val="single" w:sz="4" w:space="0" w:color="auto"/>
              <w:right w:val="nil"/>
            </w:tcBorders>
            <w:shd w:val="clear" w:color="auto" w:fill="auto"/>
            <w:hideMark/>
          </w:tcPr>
          <w:p w:rsidR="00647BDC" w:rsidRPr="00755429" w:rsidRDefault="00647BDC" w:rsidP="00D07581">
            <w:pPr>
              <w:pStyle w:val="TableRowNormal"/>
              <w:rPr>
                <w:lang w:eastAsia="en-AU"/>
              </w:rPr>
            </w:pPr>
            <w:r w:rsidRPr="00755429">
              <w:rPr>
                <w:lang w:eastAsia="en-AU"/>
              </w:rPr>
              <w:t>1.000</w:t>
            </w:r>
          </w:p>
        </w:tc>
      </w:tr>
    </w:tbl>
    <w:p w:rsidR="00647BDC" w:rsidRPr="00755429" w:rsidRDefault="00647BDC" w:rsidP="00647BDC">
      <w:pPr>
        <w:pStyle w:val="CGCTableFootnote"/>
        <w:keepNext/>
      </w:pPr>
      <w:r w:rsidRPr="00755429">
        <w:t xml:space="preserve">(a) </w:t>
      </w:r>
      <w:r w:rsidRPr="00755429">
        <w:tab/>
        <w:t>For confidentiality reasons we are not able to publish onshore oil and gas data. Separate assessments have been made of onshore oil and gas and other minerals. The combined result is shown.</w:t>
      </w:r>
    </w:p>
    <w:p w:rsidR="00647BDC" w:rsidRPr="00755429" w:rsidRDefault="00647BDC" w:rsidP="00647BDC">
      <w:pPr>
        <w:pStyle w:val="CGCTableFootnote"/>
      </w:pPr>
      <w:r w:rsidRPr="00755429">
        <w:t>Source:</w:t>
      </w:r>
      <w:r w:rsidRPr="00755429">
        <w:tab/>
        <w:t>Commission estimates using State data.</w:t>
      </w:r>
    </w:p>
    <w:p w:rsidR="00647BDC" w:rsidRPr="00755429" w:rsidRDefault="00647BDC" w:rsidP="00647BDC">
      <w:pPr>
        <w:pStyle w:val="Caption"/>
      </w:pPr>
      <w:bookmarkStart w:id="141" w:name="_Ref390875568"/>
      <w:r w:rsidRPr="00755429">
        <w:t xml:space="preserve">Table </w:t>
      </w:r>
      <w:r w:rsidR="005B69B1">
        <w:fldChar w:fldCharType="begin"/>
      </w:r>
      <w:r w:rsidR="005B69B1">
        <w:instrText xml:space="preserve"> SEQ Table \* A</w:instrText>
      </w:r>
      <w:r w:rsidR="005B69B1">
        <w:instrText xml:space="preserve">RABIC </w:instrText>
      </w:r>
      <w:r w:rsidR="005B69B1">
        <w:fldChar w:fldCharType="separate"/>
      </w:r>
      <w:r w:rsidR="005B69B1">
        <w:rPr>
          <w:noProof/>
        </w:rPr>
        <w:t>12</w:t>
      </w:r>
      <w:r w:rsidR="005B69B1">
        <w:rPr>
          <w:noProof/>
        </w:rPr>
        <w:fldChar w:fldCharType="end"/>
      </w:r>
      <w:bookmarkEnd w:id="141"/>
      <w:r w:rsidRPr="00755429">
        <w:tab/>
        <w:t xml:space="preserve">Illustrative assessed revenue and revenue raising capacity, grants in lieu of </w:t>
      </w:r>
      <w:proofErr w:type="gramStart"/>
      <w:r w:rsidRPr="00755429">
        <w:t>royalties</w:t>
      </w:r>
      <w:proofErr w:type="gramEnd"/>
      <w:r w:rsidRPr="00755429">
        <w:t xml:space="preserve"> component, 2012</w:t>
      </w:r>
      <w:r w:rsidRPr="00755429">
        <w:noBreakHyphen/>
        <w:t>13</w:t>
      </w:r>
    </w:p>
    <w:tbl>
      <w:tblPr>
        <w:tblW w:w="8960" w:type="dxa"/>
        <w:tblInd w:w="93" w:type="dxa"/>
        <w:tblLook w:val="04A0" w:firstRow="1" w:lastRow="0" w:firstColumn="1" w:lastColumn="0" w:noHBand="0" w:noVBand="1"/>
      </w:tblPr>
      <w:tblGrid>
        <w:gridCol w:w="2320"/>
        <w:gridCol w:w="800"/>
        <w:gridCol w:w="672"/>
        <w:gridCol w:w="700"/>
        <w:gridCol w:w="880"/>
        <w:gridCol w:w="672"/>
        <w:gridCol w:w="700"/>
        <w:gridCol w:w="700"/>
        <w:gridCol w:w="700"/>
        <w:gridCol w:w="880"/>
      </w:tblGrid>
      <w:tr w:rsidR="00647BDC" w:rsidRPr="00755429" w:rsidTr="00D07581">
        <w:trPr>
          <w:trHeight w:val="379"/>
        </w:trPr>
        <w:tc>
          <w:tcPr>
            <w:tcW w:w="23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 </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NSW</w:t>
            </w:r>
          </w:p>
        </w:tc>
        <w:tc>
          <w:tcPr>
            <w:tcW w:w="66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Qld</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WA</w:t>
            </w:r>
          </w:p>
        </w:tc>
        <w:tc>
          <w:tcPr>
            <w:tcW w:w="6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755429">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ACT</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NT</w:t>
            </w:r>
          </w:p>
        </w:tc>
        <w:tc>
          <w:tcPr>
            <w:tcW w:w="88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755429">
              <w:rPr>
                <w:rFonts w:ascii="Calibri" w:eastAsia="Times New Roman" w:hAnsi="Calibri" w:cs="Times New Roman"/>
                <w:sz w:val="20"/>
                <w:szCs w:val="20"/>
                <w:lang w:eastAsia="en-AU"/>
              </w:rPr>
              <w:t>Total</w:t>
            </w:r>
          </w:p>
        </w:tc>
      </w:tr>
      <w:tr w:rsidR="00647BDC" w:rsidRPr="00755429" w:rsidTr="00D07581">
        <w:trPr>
          <w:trHeight w:val="315"/>
        </w:trPr>
        <w:tc>
          <w:tcPr>
            <w:tcW w:w="2320" w:type="dxa"/>
            <w:tcBorders>
              <w:top w:val="nil"/>
              <w:left w:val="nil"/>
              <w:bottom w:val="nil"/>
              <w:right w:val="nil"/>
            </w:tcBorders>
            <w:shd w:val="clear" w:color="auto" w:fill="auto"/>
            <w:noWrap/>
            <w:vAlign w:val="bottom"/>
            <w:hideMark/>
          </w:tcPr>
          <w:p w:rsidR="00647BDC" w:rsidRPr="00755429" w:rsidRDefault="00647BDC" w:rsidP="00D07581">
            <w:pPr>
              <w:pStyle w:val="CGCTableStub"/>
              <w:rPr>
                <w:lang w:eastAsia="en-AU"/>
              </w:rPr>
            </w:pPr>
            <w:r w:rsidRPr="00755429">
              <w:rPr>
                <w:lang w:eastAsia="en-AU"/>
              </w:rPr>
              <w:t>Actual revenue ($m)</w:t>
            </w:r>
          </w:p>
        </w:tc>
        <w:tc>
          <w:tcPr>
            <w:tcW w:w="8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6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88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1 114</w:t>
            </w:r>
          </w:p>
        </w:tc>
        <w:tc>
          <w:tcPr>
            <w:tcW w:w="6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5</w:t>
            </w:r>
          </w:p>
        </w:tc>
        <w:tc>
          <w:tcPr>
            <w:tcW w:w="88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1 120</w:t>
            </w:r>
          </w:p>
        </w:tc>
      </w:tr>
      <w:tr w:rsidR="00647BDC" w:rsidRPr="00755429" w:rsidTr="00D07581">
        <w:trPr>
          <w:trHeight w:val="315"/>
        </w:trPr>
        <w:tc>
          <w:tcPr>
            <w:tcW w:w="2320" w:type="dxa"/>
            <w:tcBorders>
              <w:top w:val="nil"/>
              <w:left w:val="nil"/>
              <w:bottom w:val="nil"/>
              <w:right w:val="nil"/>
            </w:tcBorders>
            <w:shd w:val="clear" w:color="auto" w:fill="auto"/>
            <w:noWrap/>
            <w:vAlign w:val="bottom"/>
            <w:hideMark/>
          </w:tcPr>
          <w:p w:rsidR="00647BDC" w:rsidRPr="00755429" w:rsidRDefault="00647BDC" w:rsidP="00D07581">
            <w:pPr>
              <w:pStyle w:val="CGCTableStub"/>
              <w:rPr>
                <w:lang w:eastAsia="en-AU"/>
              </w:rPr>
            </w:pPr>
            <w:r w:rsidRPr="00755429">
              <w:rPr>
                <w:lang w:eastAsia="en-AU"/>
              </w:rPr>
              <w:t>Assessed revenue ($m)</w:t>
            </w:r>
          </w:p>
        </w:tc>
        <w:tc>
          <w:tcPr>
            <w:tcW w:w="8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6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88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1 114</w:t>
            </w:r>
          </w:p>
        </w:tc>
        <w:tc>
          <w:tcPr>
            <w:tcW w:w="6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5</w:t>
            </w:r>
          </w:p>
        </w:tc>
        <w:tc>
          <w:tcPr>
            <w:tcW w:w="88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1 120</w:t>
            </w:r>
          </w:p>
        </w:tc>
      </w:tr>
      <w:tr w:rsidR="00647BDC" w:rsidRPr="00755429" w:rsidTr="00D07581">
        <w:trPr>
          <w:trHeight w:val="315"/>
        </w:trPr>
        <w:tc>
          <w:tcPr>
            <w:tcW w:w="2320" w:type="dxa"/>
            <w:tcBorders>
              <w:top w:val="nil"/>
              <w:left w:val="nil"/>
              <w:bottom w:val="nil"/>
              <w:right w:val="nil"/>
            </w:tcBorders>
            <w:shd w:val="clear" w:color="auto" w:fill="auto"/>
            <w:noWrap/>
            <w:vAlign w:val="bottom"/>
            <w:hideMark/>
          </w:tcPr>
          <w:p w:rsidR="00647BDC" w:rsidRPr="00755429" w:rsidRDefault="00647BDC" w:rsidP="00D07581">
            <w:pPr>
              <w:pStyle w:val="CGCTableStub"/>
              <w:rPr>
                <w:lang w:eastAsia="en-AU"/>
              </w:rPr>
            </w:pPr>
            <w:r w:rsidRPr="00755429">
              <w:rPr>
                <w:lang w:eastAsia="en-AU"/>
              </w:rPr>
              <w:t>Assessed revenue ($pc)</w:t>
            </w:r>
          </w:p>
        </w:tc>
        <w:tc>
          <w:tcPr>
            <w:tcW w:w="8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6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88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450</w:t>
            </w:r>
          </w:p>
        </w:tc>
        <w:tc>
          <w:tcPr>
            <w:tcW w:w="6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0</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22</w:t>
            </w:r>
          </w:p>
        </w:tc>
        <w:tc>
          <w:tcPr>
            <w:tcW w:w="88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49</w:t>
            </w:r>
          </w:p>
        </w:tc>
      </w:tr>
      <w:tr w:rsidR="00647BDC" w:rsidRPr="00755429" w:rsidTr="00D07581">
        <w:trPr>
          <w:trHeight w:val="315"/>
        </w:trPr>
        <w:tc>
          <w:tcPr>
            <w:tcW w:w="2320" w:type="dxa"/>
            <w:tcBorders>
              <w:top w:val="nil"/>
              <w:left w:val="nil"/>
              <w:bottom w:val="single" w:sz="4" w:space="0" w:color="auto"/>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Revenue raising capacity</w:t>
            </w:r>
          </w:p>
        </w:tc>
        <w:tc>
          <w:tcPr>
            <w:tcW w:w="80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0.000</w:t>
            </w:r>
          </w:p>
        </w:tc>
        <w:tc>
          <w:tcPr>
            <w:tcW w:w="66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0.000</w:t>
            </w:r>
          </w:p>
        </w:tc>
        <w:tc>
          <w:tcPr>
            <w:tcW w:w="70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0.000</w:t>
            </w:r>
          </w:p>
        </w:tc>
        <w:tc>
          <w:tcPr>
            <w:tcW w:w="88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9.205</w:t>
            </w:r>
          </w:p>
        </w:tc>
        <w:tc>
          <w:tcPr>
            <w:tcW w:w="62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0.000</w:t>
            </w:r>
          </w:p>
        </w:tc>
        <w:tc>
          <w:tcPr>
            <w:tcW w:w="70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0.000</w:t>
            </w:r>
          </w:p>
        </w:tc>
        <w:tc>
          <w:tcPr>
            <w:tcW w:w="70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0.000</w:t>
            </w:r>
          </w:p>
        </w:tc>
        <w:tc>
          <w:tcPr>
            <w:tcW w:w="70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0.457</w:t>
            </w:r>
          </w:p>
        </w:tc>
        <w:tc>
          <w:tcPr>
            <w:tcW w:w="880" w:type="dxa"/>
            <w:tcBorders>
              <w:top w:val="nil"/>
              <w:left w:val="nil"/>
              <w:bottom w:val="single" w:sz="4" w:space="0" w:color="auto"/>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1.000</w:t>
            </w:r>
          </w:p>
        </w:tc>
      </w:tr>
    </w:tbl>
    <w:p w:rsidR="00647BDC" w:rsidRPr="00755429" w:rsidRDefault="00647BDC" w:rsidP="00647BDC">
      <w:pPr>
        <w:pStyle w:val="CGCTableFootnote"/>
        <w:keepNext/>
        <w:keepLines/>
      </w:pPr>
      <w:r w:rsidRPr="00755429">
        <w:t>Source:</w:t>
      </w:r>
      <w:r w:rsidRPr="00755429">
        <w:tab/>
        <w:t>Budget Paper No 3 and State provided data.</w:t>
      </w:r>
    </w:p>
    <w:p w:rsidR="00647BDC" w:rsidRPr="00755429" w:rsidRDefault="00647BDC" w:rsidP="00647BDC">
      <w:pPr>
        <w:pStyle w:val="CGCNumberedPara"/>
        <w:numPr>
          <w:ilvl w:val="1"/>
          <w:numId w:val="2"/>
        </w:numPr>
      </w:pPr>
      <w:r>
        <w:fldChar w:fldCharType="begin"/>
      </w:r>
      <w:r>
        <w:instrText xml:space="preserve"> REF _Ref390875597 \h </w:instrText>
      </w:r>
      <w:r>
        <w:fldChar w:fldCharType="separate"/>
      </w:r>
      <w:r w:rsidR="005B69B1" w:rsidRPr="00755429">
        <w:t xml:space="preserve">Table </w:t>
      </w:r>
      <w:r w:rsidR="005B69B1">
        <w:rPr>
          <w:noProof/>
        </w:rPr>
        <w:t>13</w:t>
      </w:r>
      <w:r>
        <w:fldChar w:fldCharType="end"/>
      </w:r>
      <w:r>
        <w:t xml:space="preserve"> </w:t>
      </w:r>
      <w:r w:rsidRPr="00755429">
        <w:t>shows the assessed revenue raising capacity of the mining assessment</w:t>
      </w:r>
      <w:r>
        <w:t xml:space="preserve"> overall</w:t>
      </w:r>
      <w:r w:rsidRPr="00755429">
        <w:t>. The revenue raising capacities of Queensland, Western Australia and the Northern Territory are assessed to be above average. Queensland’s strong capacity is due to its dominance in coal production. Western Australia’s strong capacity is driven largely by iron ore and grants in lieu of royalties, although it also has a relatively strong capacity in a number of other minerals. The Northern Territory’s strong capacity is largely due to its above average share of production for the residual minerals.</w:t>
      </w:r>
    </w:p>
    <w:p w:rsidR="00647BDC" w:rsidRPr="00755429" w:rsidRDefault="00647BDC" w:rsidP="00647BDC">
      <w:pPr>
        <w:pStyle w:val="Caption"/>
      </w:pPr>
      <w:bookmarkStart w:id="142" w:name="_Ref390875597"/>
      <w:r w:rsidRPr="00755429">
        <w:lastRenderedPageBreak/>
        <w:t xml:space="preserve">Table </w:t>
      </w:r>
      <w:r w:rsidR="005B69B1">
        <w:fldChar w:fldCharType="begin"/>
      </w:r>
      <w:r w:rsidR="005B69B1">
        <w:instrText xml:space="preserve"> SEQ Table \* ARABIC </w:instrText>
      </w:r>
      <w:r w:rsidR="005B69B1">
        <w:fldChar w:fldCharType="separate"/>
      </w:r>
      <w:r w:rsidR="005B69B1">
        <w:rPr>
          <w:noProof/>
        </w:rPr>
        <w:t>13</w:t>
      </w:r>
      <w:r w:rsidR="005B69B1">
        <w:rPr>
          <w:noProof/>
        </w:rPr>
        <w:fldChar w:fldCharType="end"/>
      </w:r>
      <w:bookmarkEnd w:id="142"/>
      <w:r w:rsidRPr="00755429">
        <w:tab/>
        <w:t>Illustrative assessed revenue and revenue raising capacity, 2012</w:t>
      </w:r>
      <w:r w:rsidRPr="00755429">
        <w:noBreakHyphen/>
        <w:t>13</w:t>
      </w:r>
    </w:p>
    <w:tbl>
      <w:tblPr>
        <w:tblW w:w="9048" w:type="dxa"/>
        <w:tblInd w:w="93" w:type="dxa"/>
        <w:tblLayout w:type="fixed"/>
        <w:tblLook w:val="04A0" w:firstRow="1" w:lastRow="0" w:firstColumn="1" w:lastColumn="0" w:noHBand="0" w:noVBand="1"/>
      </w:tblPr>
      <w:tblGrid>
        <w:gridCol w:w="2283"/>
        <w:gridCol w:w="751"/>
        <w:gridCol w:w="752"/>
        <w:gridCol w:w="752"/>
        <w:gridCol w:w="751"/>
        <w:gridCol w:w="752"/>
        <w:gridCol w:w="752"/>
        <w:gridCol w:w="751"/>
        <w:gridCol w:w="752"/>
        <w:gridCol w:w="752"/>
      </w:tblGrid>
      <w:tr w:rsidR="00647BDC" w:rsidRPr="00755429" w:rsidTr="00D07581">
        <w:trPr>
          <w:trHeight w:val="379"/>
        </w:trPr>
        <w:tc>
          <w:tcPr>
            <w:tcW w:w="2283"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bookmarkStart w:id="143" w:name="RANGE!A2:J15"/>
            <w:r w:rsidRPr="00755429">
              <w:rPr>
                <w:rFonts w:ascii="Calibri" w:eastAsia="Times New Roman" w:hAnsi="Calibri" w:cs="Times New Roman"/>
                <w:color w:val="000000"/>
                <w:sz w:val="20"/>
                <w:szCs w:val="20"/>
                <w:lang w:eastAsia="en-AU"/>
              </w:rPr>
              <w:t> </w:t>
            </w:r>
            <w:bookmarkEnd w:id="143"/>
          </w:p>
        </w:tc>
        <w:tc>
          <w:tcPr>
            <w:tcW w:w="751"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NSW</w:t>
            </w:r>
          </w:p>
        </w:tc>
        <w:tc>
          <w:tcPr>
            <w:tcW w:w="752"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Vic</w:t>
            </w:r>
          </w:p>
        </w:tc>
        <w:tc>
          <w:tcPr>
            <w:tcW w:w="752"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Qld</w:t>
            </w:r>
          </w:p>
        </w:tc>
        <w:tc>
          <w:tcPr>
            <w:tcW w:w="751"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WA</w:t>
            </w:r>
          </w:p>
        </w:tc>
        <w:tc>
          <w:tcPr>
            <w:tcW w:w="752"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SA</w:t>
            </w:r>
          </w:p>
        </w:tc>
        <w:tc>
          <w:tcPr>
            <w:tcW w:w="752"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755429">
              <w:rPr>
                <w:rFonts w:ascii="Calibri" w:eastAsia="Times New Roman" w:hAnsi="Calibri" w:cs="Times New Roman"/>
                <w:color w:val="000000"/>
                <w:sz w:val="20"/>
                <w:szCs w:val="20"/>
                <w:lang w:eastAsia="en-AU"/>
              </w:rPr>
              <w:t>Tas</w:t>
            </w:r>
            <w:proofErr w:type="spellEnd"/>
          </w:p>
        </w:tc>
        <w:tc>
          <w:tcPr>
            <w:tcW w:w="751"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ACT</w:t>
            </w:r>
          </w:p>
        </w:tc>
        <w:tc>
          <w:tcPr>
            <w:tcW w:w="752"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NT</w:t>
            </w:r>
          </w:p>
        </w:tc>
        <w:tc>
          <w:tcPr>
            <w:tcW w:w="752"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Total</w:t>
            </w:r>
          </w:p>
        </w:tc>
      </w:tr>
      <w:tr w:rsidR="00647BDC" w:rsidRPr="00755429" w:rsidTr="00D07581">
        <w:trPr>
          <w:trHeight w:val="259"/>
        </w:trPr>
        <w:tc>
          <w:tcPr>
            <w:tcW w:w="2283"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p>
        </w:tc>
        <w:tc>
          <w:tcPr>
            <w:tcW w:w="751"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r>
      <w:tr w:rsidR="00647BDC" w:rsidRPr="00755429" w:rsidTr="00D07581">
        <w:trPr>
          <w:trHeight w:val="315"/>
        </w:trPr>
        <w:tc>
          <w:tcPr>
            <w:tcW w:w="2283"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Iron ore</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3 759</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89</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16</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14</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3 880</w:t>
            </w:r>
          </w:p>
        </w:tc>
      </w:tr>
      <w:tr w:rsidR="00647BDC" w:rsidRPr="00755429" w:rsidTr="00D07581">
        <w:trPr>
          <w:trHeight w:val="315"/>
        </w:trPr>
        <w:tc>
          <w:tcPr>
            <w:tcW w:w="2283"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Coal</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1 235</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38</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1 707</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23</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5</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 xml:space="preserve"> 3 011</w:t>
            </w:r>
          </w:p>
        </w:tc>
      </w:tr>
      <w:tr w:rsidR="00647BDC" w:rsidRPr="00755429" w:rsidTr="00D07581">
        <w:trPr>
          <w:trHeight w:val="315"/>
        </w:trPr>
        <w:tc>
          <w:tcPr>
            <w:tcW w:w="2283"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Gold</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33</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6</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18</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205</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11</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286</w:t>
            </w:r>
          </w:p>
        </w:tc>
      </w:tr>
      <w:tr w:rsidR="00647BDC" w:rsidRPr="00755429" w:rsidTr="00D07581">
        <w:trPr>
          <w:trHeight w:val="315"/>
        </w:trPr>
        <w:tc>
          <w:tcPr>
            <w:tcW w:w="2283"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Onshore oil and gas (a)</w:t>
            </w:r>
          </w:p>
        </w:tc>
        <w:tc>
          <w:tcPr>
            <w:tcW w:w="751"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52"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52"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51"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52"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52"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51"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52"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52"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r>
      <w:tr w:rsidR="00647BDC" w:rsidRPr="00755429" w:rsidTr="00D07581">
        <w:trPr>
          <w:trHeight w:val="315"/>
        </w:trPr>
        <w:tc>
          <w:tcPr>
            <w:tcW w:w="2283"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Copper</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26</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39</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26</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42</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4</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136</w:t>
            </w:r>
          </w:p>
        </w:tc>
      </w:tr>
      <w:tr w:rsidR="00647BDC" w:rsidRPr="00755429" w:rsidTr="00D07581">
        <w:trPr>
          <w:trHeight w:val="315"/>
        </w:trPr>
        <w:tc>
          <w:tcPr>
            <w:tcW w:w="2283"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Bauxite</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51</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51</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12</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115</w:t>
            </w:r>
          </w:p>
        </w:tc>
      </w:tr>
      <w:tr w:rsidR="00647BDC" w:rsidRPr="00755429" w:rsidTr="00D07581">
        <w:trPr>
          <w:trHeight w:val="315"/>
        </w:trPr>
        <w:tc>
          <w:tcPr>
            <w:tcW w:w="2283"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Nickel</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93</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1"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93</w:t>
            </w:r>
          </w:p>
        </w:tc>
      </w:tr>
      <w:tr w:rsidR="00647BDC" w:rsidRPr="00755429" w:rsidTr="00D07581">
        <w:trPr>
          <w:trHeight w:val="315"/>
        </w:trPr>
        <w:tc>
          <w:tcPr>
            <w:tcW w:w="2283" w:type="dxa"/>
            <w:tcBorders>
              <w:top w:val="nil"/>
              <w:left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Other minerals (a)</w:t>
            </w:r>
          </w:p>
        </w:tc>
        <w:tc>
          <w:tcPr>
            <w:tcW w:w="751" w:type="dxa"/>
            <w:tcBorders>
              <w:top w:val="nil"/>
              <w:left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35</w:t>
            </w:r>
          </w:p>
        </w:tc>
        <w:tc>
          <w:tcPr>
            <w:tcW w:w="752" w:type="dxa"/>
            <w:tcBorders>
              <w:top w:val="nil"/>
              <w:left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42</w:t>
            </w:r>
          </w:p>
        </w:tc>
        <w:tc>
          <w:tcPr>
            <w:tcW w:w="752" w:type="dxa"/>
            <w:tcBorders>
              <w:top w:val="nil"/>
              <w:left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283</w:t>
            </w:r>
          </w:p>
        </w:tc>
        <w:tc>
          <w:tcPr>
            <w:tcW w:w="751" w:type="dxa"/>
            <w:tcBorders>
              <w:top w:val="nil"/>
              <w:left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157</w:t>
            </w:r>
          </w:p>
        </w:tc>
        <w:tc>
          <w:tcPr>
            <w:tcW w:w="752" w:type="dxa"/>
            <w:tcBorders>
              <w:top w:val="nil"/>
              <w:left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84</w:t>
            </w:r>
          </w:p>
        </w:tc>
        <w:tc>
          <w:tcPr>
            <w:tcW w:w="752" w:type="dxa"/>
            <w:tcBorders>
              <w:top w:val="nil"/>
              <w:left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18</w:t>
            </w:r>
          </w:p>
        </w:tc>
        <w:tc>
          <w:tcPr>
            <w:tcW w:w="751" w:type="dxa"/>
            <w:tcBorders>
              <w:top w:val="nil"/>
              <w:left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73</w:t>
            </w:r>
          </w:p>
        </w:tc>
        <w:tc>
          <w:tcPr>
            <w:tcW w:w="752" w:type="dxa"/>
            <w:tcBorders>
              <w:top w:val="nil"/>
              <w:left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692</w:t>
            </w:r>
          </w:p>
        </w:tc>
      </w:tr>
      <w:tr w:rsidR="00647BDC" w:rsidRPr="00755429" w:rsidTr="00D07581">
        <w:trPr>
          <w:trHeight w:val="315"/>
        </w:trPr>
        <w:tc>
          <w:tcPr>
            <w:tcW w:w="2283" w:type="dxa"/>
            <w:tcBorders>
              <w:top w:val="nil"/>
              <w:left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Grants in lieu of royalties</w:t>
            </w:r>
          </w:p>
        </w:tc>
        <w:tc>
          <w:tcPr>
            <w:tcW w:w="751"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0</w:t>
            </w:r>
          </w:p>
        </w:tc>
        <w:tc>
          <w:tcPr>
            <w:tcW w:w="751"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 xml:space="preserve"> 1 114</w:t>
            </w:r>
          </w:p>
        </w:tc>
        <w:tc>
          <w:tcPr>
            <w:tcW w:w="752"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0</w:t>
            </w:r>
          </w:p>
        </w:tc>
        <w:tc>
          <w:tcPr>
            <w:tcW w:w="751"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0</w:t>
            </w:r>
          </w:p>
        </w:tc>
        <w:tc>
          <w:tcPr>
            <w:tcW w:w="752"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5</w:t>
            </w:r>
          </w:p>
        </w:tc>
        <w:tc>
          <w:tcPr>
            <w:tcW w:w="752"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 xml:space="preserve"> 1 120</w:t>
            </w:r>
          </w:p>
        </w:tc>
      </w:tr>
      <w:tr w:rsidR="00647BDC" w:rsidRPr="00755429" w:rsidTr="00D07581">
        <w:trPr>
          <w:trHeight w:val="315"/>
        </w:trPr>
        <w:tc>
          <w:tcPr>
            <w:tcW w:w="2283" w:type="dxa"/>
            <w:tcBorders>
              <w:left w:val="nil"/>
              <w:bottom w:val="nil"/>
              <w:right w:val="nil"/>
            </w:tcBorders>
            <w:shd w:val="clear" w:color="auto" w:fill="auto"/>
            <w:vAlign w:val="bottom"/>
          </w:tcPr>
          <w:p w:rsidR="00647BDC" w:rsidRPr="00755429" w:rsidRDefault="00647BDC" w:rsidP="00D07581">
            <w:pPr>
              <w:pStyle w:val="CGCTableStub"/>
              <w:rPr>
                <w:lang w:eastAsia="en-AU"/>
              </w:rPr>
            </w:pPr>
            <w:r w:rsidRPr="001A6328">
              <w:rPr>
                <w:lang w:eastAsia="en-AU"/>
              </w:rPr>
              <w:t>Phase-in iron</w:t>
            </w:r>
            <w:r>
              <w:rPr>
                <w:lang w:eastAsia="en-AU"/>
              </w:rPr>
              <w:t xml:space="preserve"> ore fines</w:t>
            </w:r>
          </w:p>
        </w:tc>
        <w:tc>
          <w:tcPr>
            <w:tcW w:w="751" w:type="dxa"/>
            <w:tcBorders>
              <w:left w:val="nil"/>
              <w:bottom w:val="single" w:sz="4" w:space="0" w:color="auto"/>
              <w:right w:val="nil"/>
            </w:tcBorders>
            <w:shd w:val="clear" w:color="auto" w:fill="auto"/>
          </w:tcPr>
          <w:p w:rsidR="00647BDC" w:rsidRPr="00755429" w:rsidRDefault="00647BDC" w:rsidP="00D07581">
            <w:pPr>
              <w:pStyle w:val="TableRowNormal"/>
              <w:rPr>
                <w:lang w:eastAsia="en-AU"/>
              </w:rPr>
            </w:pPr>
            <w:r>
              <w:rPr>
                <w:rFonts w:ascii="Calibri" w:hAnsi="Calibri" w:cs="Calibri"/>
                <w:color w:val="000000"/>
              </w:rPr>
              <w:t>122</w:t>
            </w:r>
          </w:p>
        </w:tc>
        <w:tc>
          <w:tcPr>
            <w:tcW w:w="752" w:type="dxa"/>
            <w:tcBorders>
              <w:left w:val="nil"/>
              <w:bottom w:val="single" w:sz="4" w:space="0" w:color="auto"/>
              <w:right w:val="nil"/>
            </w:tcBorders>
            <w:shd w:val="clear" w:color="auto" w:fill="auto"/>
          </w:tcPr>
          <w:p w:rsidR="00647BDC" w:rsidRPr="00755429" w:rsidRDefault="00647BDC" w:rsidP="00D07581">
            <w:pPr>
              <w:pStyle w:val="TableRowNormal"/>
              <w:rPr>
                <w:lang w:eastAsia="en-AU"/>
              </w:rPr>
            </w:pPr>
            <w:r>
              <w:rPr>
                <w:rFonts w:ascii="Calibri" w:hAnsi="Calibri" w:cs="Calibri"/>
                <w:color w:val="000000"/>
              </w:rPr>
              <w:t>95</w:t>
            </w:r>
          </w:p>
        </w:tc>
        <w:tc>
          <w:tcPr>
            <w:tcW w:w="752" w:type="dxa"/>
            <w:tcBorders>
              <w:left w:val="nil"/>
              <w:bottom w:val="single" w:sz="4" w:space="0" w:color="auto"/>
              <w:right w:val="nil"/>
            </w:tcBorders>
            <w:shd w:val="clear" w:color="auto" w:fill="auto"/>
          </w:tcPr>
          <w:p w:rsidR="00647BDC" w:rsidRPr="00755429" w:rsidRDefault="00647BDC" w:rsidP="00D07581">
            <w:pPr>
              <w:pStyle w:val="TableRowNormal"/>
              <w:rPr>
                <w:lang w:eastAsia="en-AU"/>
              </w:rPr>
            </w:pPr>
            <w:r>
              <w:rPr>
                <w:rFonts w:ascii="Calibri" w:hAnsi="Calibri" w:cs="Calibri"/>
                <w:color w:val="000000"/>
              </w:rPr>
              <w:t>77</w:t>
            </w:r>
          </w:p>
        </w:tc>
        <w:tc>
          <w:tcPr>
            <w:tcW w:w="751" w:type="dxa"/>
            <w:tcBorders>
              <w:left w:val="nil"/>
              <w:bottom w:val="single" w:sz="4" w:space="0" w:color="auto"/>
              <w:right w:val="nil"/>
            </w:tcBorders>
            <w:shd w:val="clear" w:color="auto" w:fill="auto"/>
          </w:tcPr>
          <w:p w:rsidR="00647BDC" w:rsidRPr="00755429" w:rsidRDefault="00647BDC" w:rsidP="00D07581">
            <w:pPr>
              <w:pStyle w:val="TableRowNormal"/>
              <w:rPr>
                <w:lang w:eastAsia="en-AU"/>
              </w:rPr>
            </w:pPr>
            <w:r>
              <w:rPr>
                <w:rFonts w:ascii="Calibri" w:hAnsi="Calibri" w:cs="Calibri"/>
                <w:color w:val="000000"/>
              </w:rPr>
              <w:t>-340</w:t>
            </w:r>
          </w:p>
        </w:tc>
        <w:tc>
          <w:tcPr>
            <w:tcW w:w="752" w:type="dxa"/>
            <w:tcBorders>
              <w:left w:val="nil"/>
              <w:bottom w:val="single" w:sz="4" w:space="0" w:color="auto"/>
              <w:right w:val="nil"/>
            </w:tcBorders>
            <w:shd w:val="clear" w:color="auto" w:fill="auto"/>
          </w:tcPr>
          <w:p w:rsidR="00647BDC" w:rsidRPr="00755429" w:rsidRDefault="00647BDC" w:rsidP="00D07581">
            <w:pPr>
              <w:pStyle w:val="TableRowNormal"/>
              <w:rPr>
                <w:lang w:eastAsia="en-AU"/>
              </w:rPr>
            </w:pPr>
            <w:r>
              <w:rPr>
                <w:rFonts w:ascii="Calibri" w:hAnsi="Calibri" w:cs="Calibri"/>
                <w:color w:val="000000"/>
              </w:rPr>
              <w:t>28</w:t>
            </w:r>
          </w:p>
        </w:tc>
        <w:tc>
          <w:tcPr>
            <w:tcW w:w="752" w:type="dxa"/>
            <w:tcBorders>
              <w:left w:val="nil"/>
              <w:bottom w:val="single" w:sz="4" w:space="0" w:color="auto"/>
              <w:right w:val="nil"/>
            </w:tcBorders>
            <w:shd w:val="clear" w:color="auto" w:fill="auto"/>
          </w:tcPr>
          <w:p w:rsidR="00647BDC" w:rsidRPr="00755429" w:rsidRDefault="00647BDC" w:rsidP="00D07581">
            <w:pPr>
              <w:pStyle w:val="TableRowNormal"/>
              <w:rPr>
                <w:lang w:eastAsia="en-AU"/>
              </w:rPr>
            </w:pPr>
            <w:r>
              <w:rPr>
                <w:rFonts w:ascii="Calibri" w:hAnsi="Calibri" w:cs="Calibri"/>
                <w:color w:val="000000"/>
              </w:rPr>
              <w:t>9</w:t>
            </w:r>
          </w:p>
        </w:tc>
        <w:tc>
          <w:tcPr>
            <w:tcW w:w="751" w:type="dxa"/>
            <w:tcBorders>
              <w:left w:val="nil"/>
              <w:bottom w:val="single" w:sz="4" w:space="0" w:color="auto"/>
              <w:right w:val="nil"/>
            </w:tcBorders>
            <w:shd w:val="clear" w:color="auto" w:fill="auto"/>
          </w:tcPr>
          <w:p w:rsidR="00647BDC" w:rsidRPr="00755429" w:rsidRDefault="00647BDC" w:rsidP="00D07581">
            <w:pPr>
              <w:pStyle w:val="TableRowNormal"/>
              <w:rPr>
                <w:lang w:eastAsia="en-AU"/>
              </w:rPr>
            </w:pPr>
            <w:r>
              <w:rPr>
                <w:rFonts w:ascii="Calibri" w:hAnsi="Calibri" w:cs="Calibri"/>
                <w:color w:val="000000"/>
              </w:rPr>
              <w:t>6</w:t>
            </w:r>
          </w:p>
        </w:tc>
        <w:tc>
          <w:tcPr>
            <w:tcW w:w="752" w:type="dxa"/>
            <w:tcBorders>
              <w:left w:val="nil"/>
              <w:bottom w:val="single" w:sz="4" w:space="0" w:color="auto"/>
              <w:right w:val="nil"/>
            </w:tcBorders>
            <w:shd w:val="clear" w:color="auto" w:fill="auto"/>
          </w:tcPr>
          <w:p w:rsidR="00647BDC" w:rsidRPr="00755429" w:rsidRDefault="00647BDC" w:rsidP="00D07581">
            <w:pPr>
              <w:pStyle w:val="TableRowNormal"/>
              <w:rPr>
                <w:lang w:eastAsia="en-AU"/>
              </w:rPr>
            </w:pPr>
            <w:r>
              <w:rPr>
                <w:rFonts w:ascii="Calibri" w:hAnsi="Calibri" w:cs="Calibri"/>
                <w:color w:val="000000"/>
              </w:rPr>
              <w:t>4</w:t>
            </w:r>
          </w:p>
        </w:tc>
        <w:tc>
          <w:tcPr>
            <w:tcW w:w="752" w:type="dxa"/>
            <w:tcBorders>
              <w:left w:val="nil"/>
              <w:bottom w:val="single" w:sz="4" w:space="0" w:color="auto"/>
              <w:right w:val="nil"/>
            </w:tcBorders>
            <w:shd w:val="clear" w:color="auto" w:fill="auto"/>
          </w:tcPr>
          <w:p w:rsidR="00647BDC" w:rsidRPr="00755429" w:rsidRDefault="00647BDC" w:rsidP="00D07581">
            <w:pPr>
              <w:pStyle w:val="TableRowNormal"/>
              <w:rPr>
                <w:lang w:eastAsia="en-AU"/>
              </w:rPr>
            </w:pPr>
            <w:r>
              <w:rPr>
                <w:rFonts w:ascii="Calibri" w:hAnsi="Calibri" w:cs="Calibri"/>
                <w:color w:val="000000"/>
              </w:rPr>
              <w:t>0</w:t>
            </w:r>
          </w:p>
        </w:tc>
      </w:tr>
      <w:tr w:rsidR="00647BDC" w:rsidRPr="00755429" w:rsidTr="00D07581">
        <w:trPr>
          <w:trHeight w:val="315"/>
        </w:trPr>
        <w:tc>
          <w:tcPr>
            <w:tcW w:w="2283"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 xml:space="preserve">Total assessed </w:t>
            </w:r>
            <w:r>
              <w:rPr>
                <w:lang w:eastAsia="en-AU"/>
              </w:rPr>
              <w:br/>
            </w:r>
            <w:r w:rsidRPr="00755429">
              <w:rPr>
                <w:lang w:eastAsia="en-AU"/>
              </w:rPr>
              <w:t>revenue ($m)</w:t>
            </w:r>
          </w:p>
        </w:tc>
        <w:tc>
          <w:tcPr>
            <w:tcW w:w="751" w:type="dxa"/>
            <w:tcBorders>
              <w:top w:val="single" w:sz="4" w:space="0" w:color="auto"/>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1 451</w:t>
            </w:r>
          </w:p>
        </w:tc>
        <w:tc>
          <w:tcPr>
            <w:tcW w:w="752" w:type="dxa"/>
            <w:tcBorders>
              <w:top w:val="single" w:sz="4" w:space="0" w:color="auto"/>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180</w:t>
            </w:r>
          </w:p>
        </w:tc>
        <w:tc>
          <w:tcPr>
            <w:tcW w:w="752" w:type="dxa"/>
            <w:tcBorders>
              <w:top w:val="single" w:sz="4" w:space="0" w:color="auto"/>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2 176</w:t>
            </w:r>
          </w:p>
        </w:tc>
        <w:tc>
          <w:tcPr>
            <w:tcW w:w="751" w:type="dxa"/>
            <w:tcBorders>
              <w:top w:val="single" w:sz="4" w:space="0" w:color="auto"/>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5 088</w:t>
            </w:r>
          </w:p>
        </w:tc>
        <w:tc>
          <w:tcPr>
            <w:tcW w:w="752" w:type="dxa"/>
            <w:tcBorders>
              <w:top w:val="single" w:sz="4" w:space="0" w:color="auto"/>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259</w:t>
            </w:r>
          </w:p>
        </w:tc>
        <w:tc>
          <w:tcPr>
            <w:tcW w:w="752" w:type="dxa"/>
            <w:tcBorders>
              <w:top w:val="single" w:sz="4" w:space="0" w:color="auto"/>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52</w:t>
            </w:r>
          </w:p>
        </w:tc>
        <w:tc>
          <w:tcPr>
            <w:tcW w:w="751" w:type="dxa"/>
            <w:tcBorders>
              <w:top w:val="single" w:sz="4" w:space="0" w:color="auto"/>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6</w:t>
            </w:r>
          </w:p>
        </w:tc>
        <w:tc>
          <w:tcPr>
            <w:tcW w:w="752" w:type="dxa"/>
            <w:tcBorders>
              <w:top w:val="single" w:sz="4" w:space="0" w:color="auto"/>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119</w:t>
            </w:r>
          </w:p>
        </w:tc>
        <w:tc>
          <w:tcPr>
            <w:tcW w:w="752" w:type="dxa"/>
            <w:tcBorders>
              <w:top w:val="single" w:sz="4" w:space="0" w:color="auto"/>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9 331</w:t>
            </w:r>
          </w:p>
        </w:tc>
      </w:tr>
      <w:tr w:rsidR="00647BDC" w:rsidRPr="00755429" w:rsidTr="00D07581">
        <w:trPr>
          <w:trHeight w:val="315"/>
        </w:trPr>
        <w:tc>
          <w:tcPr>
            <w:tcW w:w="2283" w:type="dxa"/>
            <w:tcBorders>
              <w:top w:val="nil"/>
              <w:left w:val="nil"/>
              <w:bottom w:val="nil"/>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 xml:space="preserve">Total assessed </w:t>
            </w:r>
            <w:r>
              <w:rPr>
                <w:lang w:eastAsia="en-AU"/>
              </w:rPr>
              <w:br/>
            </w:r>
            <w:r w:rsidRPr="00755429">
              <w:rPr>
                <w:lang w:eastAsia="en-AU"/>
              </w:rPr>
              <w:t>revenue ($pc)</w:t>
            </w:r>
          </w:p>
        </w:tc>
        <w:tc>
          <w:tcPr>
            <w:tcW w:w="751" w:type="dxa"/>
            <w:tcBorders>
              <w:top w:val="nil"/>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197</w:t>
            </w:r>
          </w:p>
        </w:tc>
        <w:tc>
          <w:tcPr>
            <w:tcW w:w="752" w:type="dxa"/>
            <w:tcBorders>
              <w:top w:val="nil"/>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32</w:t>
            </w:r>
          </w:p>
        </w:tc>
        <w:tc>
          <w:tcPr>
            <w:tcW w:w="752" w:type="dxa"/>
            <w:tcBorders>
              <w:top w:val="nil"/>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472</w:t>
            </w:r>
          </w:p>
        </w:tc>
        <w:tc>
          <w:tcPr>
            <w:tcW w:w="751" w:type="dxa"/>
            <w:tcBorders>
              <w:top w:val="nil"/>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2 053</w:t>
            </w:r>
          </w:p>
        </w:tc>
        <w:tc>
          <w:tcPr>
            <w:tcW w:w="752" w:type="dxa"/>
            <w:tcBorders>
              <w:top w:val="nil"/>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156</w:t>
            </w:r>
          </w:p>
        </w:tc>
        <w:tc>
          <w:tcPr>
            <w:tcW w:w="752" w:type="dxa"/>
            <w:tcBorders>
              <w:top w:val="nil"/>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102</w:t>
            </w:r>
          </w:p>
        </w:tc>
        <w:tc>
          <w:tcPr>
            <w:tcW w:w="751" w:type="dxa"/>
            <w:tcBorders>
              <w:top w:val="nil"/>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17</w:t>
            </w:r>
          </w:p>
        </w:tc>
        <w:tc>
          <w:tcPr>
            <w:tcW w:w="752" w:type="dxa"/>
            <w:tcBorders>
              <w:top w:val="nil"/>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498</w:t>
            </w:r>
          </w:p>
        </w:tc>
        <w:tc>
          <w:tcPr>
            <w:tcW w:w="752" w:type="dxa"/>
            <w:tcBorders>
              <w:top w:val="nil"/>
              <w:left w:val="nil"/>
              <w:bottom w:val="nil"/>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407</w:t>
            </w:r>
          </w:p>
        </w:tc>
      </w:tr>
      <w:tr w:rsidR="00647BDC" w:rsidRPr="00755429" w:rsidTr="00D07581">
        <w:trPr>
          <w:trHeight w:val="315"/>
        </w:trPr>
        <w:tc>
          <w:tcPr>
            <w:tcW w:w="2283" w:type="dxa"/>
            <w:tcBorders>
              <w:top w:val="nil"/>
              <w:left w:val="nil"/>
              <w:bottom w:val="single" w:sz="4" w:space="0" w:color="auto"/>
              <w:right w:val="nil"/>
            </w:tcBorders>
            <w:shd w:val="clear" w:color="auto" w:fill="auto"/>
            <w:vAlign w:val="bottom"/>
            <w:hideMark/>
          </w:tcPr>
          <w:p w:rsidR="00647BDC" w:rsidRPr="00755429" w:rsidRDefault="00647BDC" w:rsidP="00D07581">
            <w:pPr>
              <w:pStyle w:val="CGCTableStub"/>
              <w:rPr>
                <w:lang w:eastAsia="en-AU"/>
              </w:rPr>
            </w:pPr>
            <w:r w:rsidRPr="00755429">
              <w:rPr>
                <w:lang w:eastAsia="en-AU"/>
              </w:rPr>
              <w:t>Revenue raising capacity</w:t>
            </w:r>
          </w:p>
        </w:tc>
        <w:tc>
          <w:tcPr>
            <w:tcW w:w="751" w:type="dxa"/>
            <w:tcBorders>
              <w:top w:val="nil"/>
              <w:left w:val="nil"/>
              <w:bottom w:val="single" w:sz="4" w:space="0" w:color="auto"/>
              <w:right w:val="nil"/>
            </w:tcBorders>
            <w:shd w:val="clear" w:color="auto" w:fill="auto"/>
            <w:vAlign w:val="bottom"/>
          </w:tcPr>
          <w:p w:rsidR="00647BDC" w:rsidRPr="00755429" w:rsidRDefault="00647BDC" w:rsidP="00D07581">
            <w:pPr>
              <w:pStyle w:val="TableRowNormal"/>
              <w:rPr>
                <w:lang w:eastAsia="en-AU"/>
              </w:rPr>
            </w:pPr>
            <w:r w:rsidRPr="00D643BC">
              <w:rPr>
                <w:rFonts w:ascii="Calibri" w:eastAsia="Times New Roman" w:hAnsi="Calibri" w:cs="Times New Roman"/>
                <w:color w:val="000000"/>
                <w:lang w:eastAsia="en-AU"/>
              </w:rPr>
              <w:t>0.</w:t>
            </w:r>
            <w:r>
              <w:rPr>
                <w:rFonts w:ascii="Calibri" w:eastAsia="Times New Roman" w:hAnsi="Calibri" w:cs="Times New Roman"/>
                <w:color w:val="000000"/>
                <w:lang w:eastAsia="en-AU"/>
              </w:rPr>
              <w:t>785</w:t>
            </w:r>
          </w:p>
        </w:tc>
        <w:tc>
          <w:tcPr>
            <w:tcW w:w="752" w:type="dxa"/>
            <w:tcBorders>
              <w:top w:val="nil"/>
              <w:left w:val="nil"/>
              <w:bottom w:val="single" w:sz="4" w:space="0" w:color="auto"/>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0.078</w:t>
            </w:r>
          </w:p>
        </w:tc>
        <w:tc>
          <w:tcPr>
            <w:tcW w:w="752" w:type="dxa"/>
            <w:tcBorders>
              <w:top w:val="nil"/>
              <w:left w:val="nil"/>
              <w:bottom w:val="single" w:sz="4" w:space="0" w:color="auto"/>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1.159</w:t>
            </w:r>
          </w:p>
        </w:tc>
        <w:tc>
          <w:tcPr>
            <w:tcW w:w="751" w:type="dxa"/>
            <w:tcBorders>
              <w:top w:val="nil"/>
              <w:left w:val="nil"/>
              <w:bottom w:val="single" w:sz="4" w:space="0" w:color="auto"/>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5.043</w:t>
            </w:r>
          </w:p>
        </w:tc>
        <w:tc>
          <w:tcPr>
            <w:tcW w:w="752" w:type="dxa"/>
            <w:tcBorders>
              <w:top w:val="nil"/>
              <w:left w:val="nil"/>
              <w:bottom w:val="single" w:sz="4" w:space="0" w:color="auto"/>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0.383</w:t>
            </w:r>
          </w:p>
        </w:tc>
        <w:tc>
          <w:tcPr>
            <w:tcW w:w="752" w:type="dxa"/>
            <w:tcBorders>
              <w:top w:val="nil"/>
              <w:left w:val="nil"/>
              <w:bottom w:val="single" w:sz="4" w:space="0" w:color="auto"/>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0.250</w:t>
            </w:r>
          </w:p>
        </w:tc>
        <w:tc>
          <w:tcPr>
            <w:tcW w:w="751" w:type="dxa"/>
            <w:tcBorders>
              <w:top w:val="nil"/>
              <w:left w:val="nil"/>
              <w:bottom w:val="single" w:sz="4" w:space="0" w:color="auto"/>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0.041</w:t>
            </w:r>
          </w:p>
        </w:tc>
        <w:tc>
          <w:tcPr>
            <w:tcW w:w="752" w:type="dxa"/>
            <w:tcBorders>
              <w:top w:val="nil"/>
              <w:left w:val="nil"/>
              <w:bottom w:val="single" w:sz="4" w:space="0" w:color="auto"/>
              <w:right w:val="nil"/>
            </w:tcBorders>
            <w:shd w:val="clear" w:color="auto" w:fill="auto"/>
            <w:vAlign w:val="bottom"/>
          </w:tcPr>
          <w:p w:rsidR="00647BDC" w:rsidRPr="00755429" w:rsidRDefault="00647BDC" w:rsidP="00D07581">
            <w:pPr>
              <w:pStyle w:val="TableRowNormal"/>
              <w:rPr>
                <w:lang w:eastAsia="en-AU"/>
              </w:rPr>
            </w:pPr>
            <w:r>
              <w:rPr>
                <w:rFonts w:ascii="Calibri" w:eastAsia="Times New Roman" w:hAnsi="Calibri" w:cs="Times New Roman"/>
                <w:color w:val="000000"/>
                <w:lang w:eastAsia="en-AU"/>
              </w:rPr>
              <w:t>1.223</w:t>
            </w:r>
          </w:p>
        </w:tc>
        <w:tc>
          <w:tcPr>
            <w:tcW w:w="752" w:type="dxa"/>
            <w:tcBorders>
              <w:top w:val="nil"/>
              <w:left w:val="nil"/>
              <w:bottom w:val="single" w:sz="4" w:space="0" w:color="auto"/>
              <w:right w:val="nil"/>
            </w:tcBorders>
            <w:shd w:val="clear" w:color="auto" w:fill="auto"/>
            <w:vAlign w:val="bottom"/>
          </w:tcPr>
          <w:p w:rsidR="00647BDC" w:rsidRPr="00755429" w:rsidRDefault="00647BDC" w:rsidP="00D07581">
            <w:pPr>
              <w:pStyle w:val="TableRowNormal"/>
              <w:rPr>
                <w:lang w:eastAsia="en-AU"/>
              </w:rPr>
            </w:pPr>
            <w:r w:rsidRPr="00D643BC">
              <w:rPr>
                <w:rFonts w:ascii="Calibri" w:eastAsia="Times New Roman" w:hAnsi="Calibri" w:cs="Times New Roman"/>
                <w:color w:val="000000"/>
                <w:lang w:eastAsia="en-AU"/>
              </w:rPr>
              <w:t>1.000</w:t>
            </w:r>
          </w:p>
        </w:tc>
      </w:tr>
    </w:tbl>
    <w:p w:rsidR="00647BDC" w:rsidRPr="00755429" w:rsidRDefault="00647BDC" w:rsidP="00647BDC">
      <w:pPr>
        <w:pStyle w:val="CGCTableFootnote"/>
        <w:keepNext/>
      </w:pPr>
      <w:r w:rsidRPr="00755429">
        <w:t xml:space="preserve">(a) </w:t>
      </w:r>
      <w:r w:rsidRPr="00755429">
        <w:tab/>
        <w:t>For confidentiality reasons we are not able to publish onshore oil and gas data. The combined result for onshore oil and gas and other minerals is shown as other minerals.</w:t>
      </w:r>
    </w:p>
    <w:p w:rsidR="00647BDC" w:rsidRPr="00755429" w:rsidRDefault="00647BDC" w:rsidP="00647BDC">
      <w:pPr>
        <w:pStyle w:val="CGCTableFootnote"/>
      </w:pPr>
      <w:r w:rsidRPr="00755429">
        <w:t>Source:</w:t>
      </w:r>
      <w:r w:rsidRPr="00755429">
        <w:tab/>
      </w:r>
      <w:r>
        <w:fldChar w:fldCharType="begin"/>
      </w:r>
      <w:r>
        <w:instrText xml:space="preserve"> REF _Ref390875550 \h </w:instrText>
      </w:r>
      <w:r>
        <w:fldChar w:fldCharType="separate"/>
      </w:r>
      <w:r w:rsidR="005B69B1" w:rsidRPr="00755429">
        <w:t xml:space="preserve">Table </w:t>
      </w:r>
      <w:r w:rsidR="005B69B1">
        <w:rPr>
          <w:noProof/>
        </w:rPr>
        <w:t>5</w:t>
      </w:r>
      <w:r>
        <w:fldChar w:fldCharType="end"/>
      </w:r>
      <w:r>
        <w:t xml:space="preserve"> </w:t>
      </w:r>
      <w:r w:rsidRPr="00755429">
        <w:t>to</w:t>
      </w:r>
      <w:r>
        <w:t xml:space="preserve"> </w:t>
      </w:r>
      <w:r>
        <w:fldChar w:fldCharType="begin"/>
      </w:r>
      <w:r>
        <w:instrText xml:space="preserve"> REF _Ref390875568 \h </w:instrText>
      </w:r>
      <w:r>
        <w:fldChar w:fldCharType="separate"/>
      </w:r>
      <w:r w:rsidR="005B69B1" w:rsidRPr="00755429">
        <w:t xml:space="preserve">Table </w:t>
      </w:r>
      <w:r w:rsidR="005B69B1">
        <w:rPr>
          <w:noProof/>
        </w:rPr>
        <w:t>12</w:t>
      </w:r>
      <w:r>
        <w:fldChar w:fldCharType="end"/>
      </w:r>
      <w:r w:rsidRPr="00755429">
        <w:t>.</w:t>
      </w:r>
    </w:p>
    <w:p w:rsidR="00647BDC" w:rsidRPr="00755429" w:rsidRDefault="00647BDC" w:rsidP="00647BDC">
      <w:pPr>
        <w:pStyle w:val="CGCNumberedPara"/>
        <w:numPr>
          <w:ilvl w:val="1"/>
          <w:numId w:val="2"/>
        </w:numPr>
      </w:pPr>
      <w:r>
        <w:fldChar w:fldCharType="begin"/>
      </w:r>
      <w:r>
        <w:instrText xml:space="preserve"> REF _Ref390875647 \h </w:instrText>
      </w:r>
      <w:r>
        <w:fldChar w:fldCharType="separate"/>
      </w:r>
      <w:r w:rsidR="005B69B1" w:rsidRPr="00755429">
        <w:t xml:space="preserve">Table </w:t>
      </w:r>
      <w:r w:rsidR="005B69B1">
        <w:rPr>
          <w:noProof/>
        </w:rPr>
        <w:t>14</w:t>
      </w:r>
      <w:r>
        <w:fldChar w:fldCharType="end"/>
      </w:r>
      <w:r>
        <w:t xml:space="preserve"> </w:t>
      </w:r>
      <w:r w:rsidRPr="00755429">
        <w:t>shows the assessed revenue raising capacity for each mineral on a per capita basis. Comparing this with the national average for each mineral will show the GST impact in 2012</w:t>
      </w:r>
      <w:r w:rsidRPr="00755429">
        <w:noBreakHyphen/>
        <w:t>13</w:t>
      </w:r>
      <w:r>
        <w:t>.</w:t>
      </w:r>
    </w:p>
    <w:p w:rsidR="00647BDC" w:rsidRPr="00755429" w:rsidRDefault="00647BDC" w:rsidP="00647BDC">
      <w:pPr>
        <w:pStyle w:val="CGCTableHeading"/>
      </w:pPr>
      <w:bookmarkStart w:id="144" w:name="_Ref390875647"/>
      <w:r w:rsidRPr="00755429">
        <w:lastRenderedPageBreak/>
        <w:t xml:space="preserve">Table </w:t>
      </w:r>
      <w:r w:rsidR="005B69B1">
        <w:fldChar w:fldCharType="begin"/>
      </w:r>
      <w:r w:rsidR="005B69B1">
        <w:instrText xml:space="preserve"> SEQ</w:instrText>
      </w:r>
      <w:r w:rsidR="005B69B1">
        <w:instrText xml:space="preserve"> Table \* ARABIC </w:instrText>
      </w:r>
      <w:r w:rsidR="005B69B1">
        <w:fldChar w:fldCharType="separate"/>
      </w:r>
      <w:r w:rsidR="005B69B1">
        <w:rPr>
          <w:noProof/>
        </w:rPr>
        <w:t>14</w:t>
      </w:r>
      <w:r w:rsidR="005B69B1">
        <w:rPr>
          <w:noProof/>
        </w:rPr>
        <w:fldChar w:fldCharType="end"/>
      </w:r>
      <w:bookmarkEnd w:id="144"/>
      <w:r w:rsidRPr="00755429">
        <w:tab/>
        <w:t>Illustrative assessed revenue per capita, 2012</w:t>
      </w:r>
      <w:r w:rsidRPr="00755429">
        <w:noBreakHyphen/>
        <w:t>13</w:t>
      </w:r>
    </w:p>
    <w:tbl>
      <w:tblPr>
        <w:tblW w:w="9456" w:type="dxa"/>
        <w:tblLayout w:type="fixed"/>
        <w:tblCellMar>
          <w:left w:w="0" w:type="dxa"/>
          <w:right w:w="0" w:type="dxa"/>
        </w:tblCellMar>
        <w:tblLook w:val="0000" w:firstRow="0" w:lastRow="0" w:firstColumn="0" w:lastColumn="0" w:noHBand="0" w:noVBand="0"/>
      </w:tblPr>
      <w:tblGrid>
        <w:gridCol w:w="2311"/>
        <w:gridCol w:w="579"/>
        <w:gridCol w:w="820"/>
        <w:gridCol w:w="821"/>
        <w:gridCol w:w="821"/>
        <w:gridCol w:w="821"/>
        <w:gridCol w:w="821"/>
        <w:gridCol w:w="820"/>
        <w:gridCol w:w="821"/>
        <w:gridCol w:w="821"/>
      </w:tblGrid>
      <w:tr w:rsidR="00647BDC" w:rsidRPr="00755429" w:rsidTr="00D07581">
        <w:trPr>
          <w:trHeight w:val="374"/>
        </w:trPr>
        <w:tc>
          <w:tcPr>
            <w:tcW w:w="2311" w:type="dxa"/>
            <w:tcBorders>
              <w:top w:val="single" w:sz="6" w:space="0" w:color="auto"/>
              <w:left w:val="nil"/>
              <w:bottom w:val="single" w:sz="6" w:space="0" w:color="auto"/>
              <w:right w:val="nil"/>
            </w:tcBorders>
            <w:vAlign w:val="center"/>
          </w:tcPr>
          <w:p w:rsidR="00647BDC" w:rsidRPr="00755429" w:rsidRDefault="00647BDC" w:rsidP="00D07581">
            <w:pPr>
              <w:keepNext/>
              <w:keepLines/>
              <w:tabs>
                <w:tab w:val="clear" w:pos="567"/>
              </w:tabs>
              <w:autoSpaceDE w:val="0"/>
              <w:autoSpaceDN w:val="0"/>
              <w:adjustRightInd w:val="0"/>
              <w:spacing w:after="0" w:line="240" w:lineRule="auto"/>
              <w:ind w:left="193" w:hanging="142"/>
              <w:jc w:val="right"/>
              <w:rPr>
                <w:rFonts w:ascii="Calibri" w:hAnsi="Calibri" w:cs="Calibri"/>
                <w:color w:val="000000"/>
                <w:sz w:val="20"/>
                <w:szCs w:val="20"/>
              </w:rPr>
            </w:pPr>
          </w:p>
        </w:tc>
        <w:tc>
          <w:tcPr>
            <w:tcW w:w="579" w:type="dxa"/>
            <w:tcBorders>
              <w:top w:val="single" w:sz="6" w:space="0" w:color="auto"/>
              <w:left w:val="nil"/>
              <w:bottom w:val="single" w:sz="6" w:space="0" w:color="auto"/>
              <w:right w:val="nil"/>
            </w:tcBorders>
            <w:vAlign w:val="center"/>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NSW</w:t>
            </w:r>
          </w:p>
        </w:tc>
        <w:tc>
          <w:tcPr>
            <w:tcW w:w="820" w:type="dxa"/>
            <w:tcBorders>
              <w:top w:val="single" w:sz="6" w:space="0" w:color="auto"/>
              <w:left w:val="nil"/>
              <w:bottom w:val="single" w:sz="6" w:space="0" w:color="auto"/>
              <w:right w:val="nil"/>
            </w:tcBorders>
            <w:vAlign w:val="center"/>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Vic</w:t>
            </w:r>
          </w:p>
        </w:tc>
        <w:tc>
          <w:tcPr>
            <w:tcW w:w="821" w:type="dxa"/>
            <w:tcBorders>
              <w:top w:val="single" w:sz="6" w:space="0" w:color="auto"/>
              <w:left w:val="nil"/>
              <w:bottom w:val="single" w:sz="6" w:space="0" w:color="auto"/>
              <w:right w:val="nil"/>
            </w:tcBorders>
            <w:vAlign w:val="center"/>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Qld</w:t>
            </w:r>
          </w:p>
        </w:tc>
        <w:tc>
          <w:tcPr>
            <w:tcW w:w="821" w:type="dxa"/>
            <w:tcBorders>
              <w:top w:val="single" w:sz="6" w:space="0" w:color="auto"/>
              <w:left w:val="nil"/>
              <w:bottom w:val="single" w:sz="6" w:space="0" w:color="auto"/>
              <w:right w:val="nil"/>
            </w:tcBorders>
            <w:vAlign w:val="center"/>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WA</w:t>
            </w:r>
          </w:p>
        </w:tc>
        <w:tc>
          <w:tcPr>
            <w:tcW w:w="821" w:type="dxa"/>
            <w:tcBorders>
              <w:top w:val="single" w:sz="6" w:space="0" w:color="auto"/>
              <w:left w:val="nil"/>
              <w:bottom w:val="single" w:sz="6" w:space="0" w:color="auto"/>
              <w:right w:val="nil"/>
            </w:tcBorders>
            <w:vAlign w:val="center"/>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SA</w:t>
            </w:r>
          </w:p>
        </w:tc>
        <w:tc>
          <w:tcPr>
            <w:tcW w:w="821" w:type="dxa"/>
            <w:tcBorders>
              <w:top w:val="single" w:sz="6" w:space="0" w:color="auto"/>
              <w:left w:val="nil"/>
              <w:bottom w:val="single" w:sz="6" w:space="0" w:color="auto"/>
              <w:right w:val="nil"/>
            </w:tcBorders>
            <w:vAlign w:val="center"/>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roofErr w:type="spellStart"/>
            <w:r w:rsidRPr="00755429">
              <w:rPr>
                <w:rFonts w:ascii="Calibri" w:hAnsi="Calibri" w:cs="Calibri"/>
                <w:color w:val="000000"/>
                <w:sz w:val="20"/>
                <w:szCs w:val="20"/>
              </w:rPr>
              <w:t>Tas</w:t>
            </w:r>
            <w:proofErr w:type="spellEnd"/>
          </w:p>
        </w:tc>
        <w:tc>
          <w:tcPr>
            <w:tcW w:w="820" w:type="dxa"/>
            <w:tcBorders>
              <w:top w:val="single" w:sz="6" w:space="0" w:color="auto"/>
              <w:left w:val="nil"/>
              <w:bottom w:val="single" w:sz="6" w:space="0" w:color="auto"/>
              <w:right w:val="nil"/>
            </w:tcBorders>
            <w:vAlign w:val="center"/>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ACT</w:t>
            </w:r>
          </w:p>
        </w:tc>
        <w:tc>
          <w:tcPr>
            <w:tcW w:w="821" w:type="dxa"/>
            <w:tcBorders>
              <w:top w:val="single" w:sz="6" w:space="0" w:color="auto"/>
              <w:left w:val="nil"/>
              <w:bottom w:val="single" w:sz="6" w:space="0" w:color="auto"/>
              <w:right w:val="nil"/>
            </w:tcBorders>
            <w:vAlign w:val="center"/>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NT</w:t>
            </w:r>
          </w:p>
        </w:tc>
        <w:tc>
          <w:tcPr>
            <w:tcW w:w="821" w:type="dxa"/>
            <w:tcBorders>
              <w:top w:val="single" w:sz="6" w:space="0" w:color="auto"/>
              <w:left w:val="nil"/>
              <w:bottom w:val="single" w:sz="6" w:space="0" w:color="auto"/>
              <w:right w:val="nil"/>
            </w:tcBorders>
            <w:vAlign w:val="center"/>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Total</w:t>
            </w:r>
          </w:p>
        </w:tc>
      </w:tr>
      <w:tr w:rsidR="00647BDC" w:rsidRPr="00755429" w:rsidTr="00D07581">
        <w:trPr>
          <w:trHeight w:val="254"/>
        </w:trPr>
        <w:tc>
          <w:tcPr>
            <w:tcW w:w="231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ind w:left="193" w:hanging="142"/>
              <w:jc w:val="right"/>
              <w:rPr>
                <w:rFonts w:ascii="Calibri" w:hAnsi="Calibri" w:cs="Calibri"/>
                <w:color w:val="000000"/>
                <w:sz w:val="20"/>
                <w:szCs w:val="20"/>
              </w:rPr>
            </w:pPr>
          </w:p>
        </w:tc>
        <w:tc>
          <w:tcPr>
            <w:tcW w:w="579"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$pc</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$pc</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$pc</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$pc</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$pc</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$pc</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$pc</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$pc</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$pc</w:t>
            </w:r>
          </w:p>
        </w:tc>
      </w:tr>
      <w:tr w:rsidR="00647BDC" w:rsidRPr="00755429" w:rsidTr="00D07581">
        <w:trPr>
          <w:trHeight w:val="312"/>
        </w:trPr>
        <w:tc>
          <w:tcPr>
            <w:tcW w:w="231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ind w:left="193" w:hanging="142"/>
              <w:rPr>
                <w:rFonts w:ascii="Calibri" w:hAnsi="Calibri" w:cs="Calibri"/>
                <w:color w:val="000000"/>
                <w:sz w:val="20"/>
                <w:szCs w:val="20"/>
              </w:rPr>
            </w:pPr>
            <w:r w:rsidRPr="00755429">
              <w:rPr>
                <w:rFonts w:ascii="Calibri" w:hAnsi="Calibri" w:cs="Calibri"/>
                <w:color w:val="000000"/>
                <w:sz w:val="20"/>
                <w:szCs w:val="20"/>
              </w:rPr>
              <w:t>Iron ore</w:t>
            </w:r>
          </w:p>
        </w:tc>
        <w:tc>
          <w:tcPr>
            <w:tcW w:w="579"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1</w:t>
            </w:r>
            <w:r w:rsidR="005242B3">
              <w:rPr>
                <w:rFonts w:ascii="Calibri" w:hAnsi="Calibri" w:cs="Calibri"/>
                <w:color w:val="000000"/>
                <w:sz w:val="20"/>
                <w:szCs w:val="20"/>
              </w:rPr>
              <w:t xml:space="preserve"> </w:t>
            </w:r>
            <w:r w:rsidRPr="00755429">
              <w:rPr>
                <w:rFonts w:ascii="Calibri" w:hAnsi="Calibri" w:cs="Calibri"/>
                <w:color w:val="000000"/>
                <w:sz w:val="20"/>
                <w:szCs w:val="20"/>
              </w:rPr>
              <w:t>517</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54</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31</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60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169</w:t>
            </w:r>
          </w:p>
        </w:tc>
      </w:tr>
      <w:tr w:rsidR="00647BDC" w:rsidRPr="00755429" w:rsidTr="00D07581">
        <w:trPr>
          <w:trHeight w:val="312"/>
        </w:trPr>
        <w:tc>
          <w:tcPr>
            <w:tcW w:w="231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ind w:left="193" w:hanging="142"/>
              <w:rPr>
                <w:rFonts w:ascii="Calibri" w:hAnsi="Calibri" w:cs="Calibri"/>
                <w:color w:val="000000"/>
                <w:sz w:val="20"/>
                <w:szCs w:val="20"/>
              </w:rPr>
            </w:pPr>
            <w:r w:rsidRPr="00755429">
              <w:rPr>
                <w:rFonts w:ascii="Calibri" w:hAnsi="Calibri" w:cs="Calibri"/>
                <w:color w:val="000000"/>
                <w:sz w:val="20"/>
                <w:szCs w:val="20"/>
              </w:rPr>
              <w:t>Coal</w:t>
            </w:r>
          </w:p>
        </w:tc>
        <w:tc>
          <w:tcPr>
            <w:tcW w:w="579"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168</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7</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370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9</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3</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5</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131</w:t>
            </w:r>
          </w:p>
        </w:tc>
      </w:tr>
      <w:tr w:rsidR="00647BDC" w:rsidRPr="00755429" w:rsidTr="00D07581">
        <w:trPr>
          <w:trHeight w:val="312"/>
        </w:trPr>
        <w:tc>
          <w:tcPr>
            <w:tcW w:w="231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ind w:left="193" w:hanging="142"/>
              <w:rPr>
                <w:rFonts w:ascii="Calibri" w:hAnsi="Calibri" w:cs="Calibri"/>
                <w:color w:val="000000"/>
                <w:sz w:val="20"/>
                <w:szCs w:val="20"/>
              </w:rPr>
            </w:pPr>
            <w:r w:rsidRPr="00755429">
              <w:rPr>
                <w:rFonts w:ascii="Calibri" w:hAnsi="Calibri" w:cs="Calibri"/>
                <w:color w:val="000000"/>
                <w:sz w:val="20"/>
                <w:szCs w:val="20"/>
              </w:rPr>
              <w:t>Gold</w:t>
            </w:r>
          </w:p>
        </w:tc>
        <w:tc>
          <w:tcPr>
            <w:tcW w:w="579"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4</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1</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4</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83</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7</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5</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42</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12</w:t>
            </w:r>
          </w:p>
        </w:tc>
      </w:tr>
      <w:tr w:rsidR="00647BDC" w:rsidRPr="00755429" w:rsidTr="00D07581">
        <w:trPr>
          <w:trHeight w:val="312"/>
        </w:trPr>
        <w:tc>
          <w:tcPr>
            <w:tcW w:w="231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ind w:left="193" w:hanging="142"/>
              <w:rPr>
                <w:rFonts w:ascii="Calibri" w:hAnsi="Calibri" w:cs="Calibri"/>
                <w:color w:val="000000"/>
                <w:sz w:val="20"/>
                <w:szCs w:val="20"/>
              </w:rPr>
            </w:pPr>
            <w:r w:rsidRPr="00755429">
              <w:rPr>
                <w:rFonts w:ascii="Calibri" w:hAnsi="Calibri" w:cs="Calibri"/>
                <w:color w:val="000000"/>
                <w:sz w:val="20"/>
                <w:szCs w:val="20"/>
              </w:rPr>
              <w:t>Onshore oil and gas (a)</w:t>
            </w:r>
          </w:p>
        </w:tc>
        <w:tc>
          <w:tcPr>
            <w:tcW w:w="579"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w:t>
            </w:r>
          </w:p>
        </w:tc>
      </w:tr>
      <w:tr w:rsidR="00647BDC" w:rsidRPr="00755429" w:rsidTr="00D07581">
        <w:trPr>
          <w:trHeight w:val="312"/>
        </w:trPr>
        <w:tc>
          <w:tcPr>
            <w:tcW w:w="231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ind w:left="193" w:hanging="142"/>
              <w:rPr>
                <w:rFonts w:ascii="Calibri" w:hAnsi="Calibri" w:cs="Calibri"/>
                <w:color w:val="000000"/>
                <w:sz w:val="20"/>
                <w:szCs w:val="20"/>
              </w:rPr>
            </w:pPr>
            <w:r w:rsidRPr="00755429">
              <w:rPr>
                <w:rFonts w:ascii="Calibri" w:hAnsi="Calibri" w:cs="Calibri"/>
                <w:color w:val="000000"/>
                <w:sz w:val="20"/>
                <w:szCs w:val="20"/>
              </w:rPr>
              <w:t>Copper</w:t>
            </w:r>
          </w:p>
        </w:tc>
        <w:tc>
          <w:tcPr>
            <w:tcW w:w="579"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3</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8</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10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25</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8</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6</w:t>
            </w:r>
          </w:p>
        </w:tc>
      </w:tr>
      <w:tr w:rsidR="00647BDC" w:rsidRPr="00755429" w:rsidTr="00D07581">
        <w:trPr>
          <w:trHeight w:val="312"/>
        </w:trPr>
        <w:tc>
          <w:tcPr>
            <w:tcW w:w="231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ind w:left="193" w:hanging="142"/>
              <w:rPr>
                <w:rFonts w:ascii="Calibri" w:hAnsi="Calibri" w:cs="Calibri"/>
                <w:color w:val="000000"/>
                <w:sz w:val="20"/>
                <w:szCs w:val="20"/>
              </w:rPr>
            </w:pPr>
            <w:r w:rsidRPr="00755429">
              <w:rPr>
                <w:rFonts w:ascii="Calibri" w:hAnsi="Calibri" w:cs="Calibri"/>
                <w:color w:val="000000"/>
                <w:sz w:val="20"/>
                <w:szCs w:val="20"/>
              </w:rPr>
              <w:t>Bauxite</w:t>
            </w:r>
          </w:p>
        </w:tc>
        <w:tc>
          <w:tcPr>
            <w:tcW w:w="579"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11</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21</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52</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5</w:t>
            </w:r>
          </w:p>
        </w:tc>
      </w:tr>
      <w:tr w:rsidR="00647BDC" w:rsidRPr="00755429" w:rsidTr="00D07581">
        <w:trPr>
          <w:trHeight w:val="312"/>
        </w:trPr>
        <w:tc>
          <w:tcPr>
            <w:tcW w:w="231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ind w:left="193" w:hanging="142"/>
              <w:rPr>
                <w:rFonts w:ascii="Calibri" w:hAnsi="Calibri" w:cs="Calibri"/>
                <w:color w:val="000000"/>
                <w:sz w:val="20"/>
                <w:szCs w:val="20"/>
              </w:rPr>
            </w:pPr>
            <w:r w:rsidRPr="00755429">
              <w:rPr>
                <w:rFonts w:ascii="Calibri" w:hAnsi="Calibri" w:cs="Calibri"/>
                <w:color w:val="000000"/>
                <w:sz w:val="20"/>
                <w:szCs w:val="20"/>
              </w:rPr>
              <w:t>Nickel</w:t>
            </w:r>
          </w:p>
        </w:tc>
        <w:tc>
          <w:tcPr>
            <w:tcW w:w="579"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37</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4</w:t>
            </w:r>
          </w:p>
        </w:tc>
      </w:tr>
      <w:tr w:rsidR="00647BDC" w:rsidRPr="00755429" w:rsidTr="00D07581">
        <w:trPr>
          <w:trHeight w:val="312"/>
        </w:trPr>
        <w:tc>
          <w:tcPr>
            <w:tcW w:w="231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ind w:left="193" w:hanging="142"/>
              <w:rPr>
                <w:rFonts w:ascii="Calibri" w:hAnsi="Calibri" w:cs="Calibri"/>
                <w:color w:val="000000"/>
                <w:sz w:val="20"/>
                <w:szCs w:val="20"/>
              </w:rPr>
            </w:pPr>
            <w:r w:rsidRPr="00755429">
              <w:rPr>
                <w:rFonts w:ascii="Calibri" w:hAnsi="Calibri" w:cs="Calibri"/>
                <w:color w:val="000000"/>
                <w:sz w:val="20"/>
                <w:szCs w:val="20"/>
              </w:rPr>
              <w:t>Other minerals (a)</w:t>
            </w:r>
          </w:p>
        </w:tc>
        <w:tc>
          <w:tcPr>
            <w:tcW w:w="579"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5</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7</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61</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63</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51</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36</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305</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30</w:t>
            </w:r>
          </w:p>
        </w:tc>
      </w:tr>
      <w:tr w:rsidR="00647BDC" w:rsidRPr="00755429" w:rsidTr="00D07581">
        <w:trPr>
          <w:trHeight w:val="312"/>
        </w:trPr>
        <w:tc>
          <w:tcPr>
            <w:tcW w:w="231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ind w:left="193" w:hanging="142"/>
              <w:rPr>
                <w:rFonts w:ascii="Calibri" w:hAnsi="Calibri" w:cs="Calibri"/>
                <w:color w:val="000000"/>
                <w:sz w:val="20"/>
                <w:szCs w:val="20"/>
              </w:rPr>
            </w:pPr>
            <w:r w:rsidRPr="00755429">
              <w:rPr>
                <w:rFonts w:ascii="Calibri" w:hAnsi="Calibri" w:cs="Calibri"/>
                <w:color w:val="000000"/>
                <w:sz w:val="20"/>
                <w:szCs w:val="20"/>
              </w:rPr>
              <w:t>Grants in lieu of royalties</w:t>
            </w:r>
          </w:p>
        </w:tc>
        <w:tc>
          <w:tcPr>
            <w:tcW w:w="579"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450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0</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22</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55429">
              <w:rPr>
                <w:rFonts w:ascii="Calibri" w:hAnsi="Calibri" w:cs="Calibri"/>
                <w:color w:val="000000"/>
                <w:sz w:val="20"/>
                <w:szCs w:val="20"/>
              </w:rPr>
              <w:t>49</w:t>
            </w:r>
          </w:p>
        </w:tc>
      </w:tr>
      <w:tr w:rsidR="00647BDC" w:rsidRPr="00755429" w:rsidTr="00D07581">
        <w:trPr>
          <w:trHeight w:val="312"/>
        </w:trPr>
        <w:tc>
          <w:tcPr>
            <w:tcW w:w="231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ind w:left="193" w:hanging="142"/>
              <w:rPr>
                <w:rFonts w:ascii="Calibri" w:hAnsi="Calibri" w:cs="Calibri"/>
                <w:color w:val="000000"/>
                <w:sz w:val="20"/>
                <w:szCs w:val="20"/>
              </w:rPr>
            </w:pPr>
            <w:r w:rsidRPr="001A6328">
              <w:rPr>
                <w:rFonts w:ascii="Calibri" w:hAnsi="Calibri" w:cs="Calibri"/>
                <w:color w:val="000000"/>
                <w:sz w:val="20"/>
                <w:szCs w:val="20"/>
              </w:rPr>
              <w:t>Phase-in iron</w:t>
            </w:r>
            <w:r>
              <w:rPr>
                <w:rFonts w:ascii="Calibri" w:hAnsi="Calibri" w:cs="Calibri"/>
                <w:color w:val="000000"/>
                <w:sz w:val="20"/>
                <w:szCs w:val="20"/>
              </w:rPr>
              <w:t xml:space="preserve"> ore fines</w:t>
            </w:r>
          </w:p>
        </w:tc>
        <w:tc>
          <w:tcPr>
            <w:tcW w:w="579"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-137</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w:t>
            </w:r>
          </w:p>
        </w:tc>
        <w:tc>
          <w:tcPr>
            <w:tcW w:w="820"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w:t>
            </w:r>
          </w:p>
        </w:tc>
        <w:tc>
          <w:tcPr>
            <w:tcW w:w="821" w:type="dxa"/>
            <w:tcBorders>
              <w:top w:val="nil"/>
              <w:left w:val="nil"/>
              <w:bottom w:val="nil"/>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w:t>
            </w:r>
          </w:p>
        </w:tc>
      </w:tr>
      <w:tr w:rsidR="00647BDC" w:rsidRPr="00755429" w:rsidTr="00D07581">
        <w:trPr>
          <w:trHeight w:val="312"/>
        </w:trPr>
        <w:tc>
          <w:tcPr>
            <w:tcW w:w="2311" w:type="dxa"/>
            <w:tcBorders>
              <w:top w:val="nil"/>
              <w:left w:val="nil"/>
              <w:bottom w:val="single" w:sz="6" w:space="0" w:color="auto"/>
              <w:right w:val="nil"/>
            </w:tcBorders>
          </w:tcPr>
          <w:p w:rsidR="00647BDC" w:rsidRPr="00755429" w:rsidRDefault="00647BDC" w:rsidP="00D07581">
            <w:pPr>
              <w:keepNext/>
              <w:keepLines/>
              <w:tabs>
                <w:tab w:val="clear" w:pos="567"/>
              </w:tabs>
              <w:autoSpaceDE w:val="0"/>
              <w:autoSpaceDN w:val="0"/>
              <w:adjustRightInd w:val="0"/>
              <w:spacing w:after="0" w:line="240" w:lineRule="auto"/>
              <w:ind w:left="193" w:hanging="142"/>
              <w:rPr>
                <w:rFonts w:ascii="Calibri" w:hAnsi="Calibri" w:cs="Calibri"/>
                <w:color w:val="000000"/>
                <w:sz w:val="20"/>
                <w:szCs w:val="20"/>
              </w:rPr>
            </w:pPr>
            <w:r w:rsidRPr="00755429">
              <w:rPr>
                <w:rFonts w:ascii="Calibri" w:hAnsi="Calibri" w:cs="Calibri"/>
                <w:color w:val="000000"/>
                <w:sz w:val="20"/>
                <w:szCs w:val="20"/>
              </w:rPr>
              <w:t>Total category</w:t>
            </w:r>
          </w:p>
        </w:tc>
        <w:tc>
          <w:tcPr>
            <w:tcW w:w="579" w:type="dxa"/>
            <w:tcBorders>
              <w:top w:val="nil"/>
              <w:left w:val="nil"/>
              <w:bottom w:val="single" w:sz="6" w:space="0" w:color="auto"/>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197</w:t>
            </w:r>
          </w:p>
        </w:tc>
        <w:tc>
          <w:tcPr>
            <w:tcW w:w="820" w:type="dxa"/>
            <w:tcBorders>
              <w:top w:val="nil"/>
              <w:left w:val="nil"/>
              <w:bottom w:val="single" w:sz="6" w:space="0" w:color="auto"/>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32</w:t>
            </w:r>
          </w:p>
        </w:tc>
        <w:tc>
          <w:tcPr>
            <w:tcW w:w="821" w:type="dxa"/>
            <w:tcBorders>
              <w:top w:val="nil"/>
              <w:left w:val="nil"/>
              <w:bottom w:val="single" w:sz="6" w:space="0" w:color="auto"/>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472</w:t>
            </w:r>
          </w:p>
        </w:tc>
        <w:tc>
          <w:tcPr>
            <w:tcW w:w="821" w:type="dxa"/>
            <w:tcBorders>
              <w:top w:val="nil"/>
              <w:left w:val="nil"/>
              <w:bottom w:val="single" w:sz="6" w:space="0" w:color="auto"/>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2 053</w:t>
            </w:r>
          </w:p>
        </w:tc>
        <w:tc>
          <w:tcPr>
            <w:tcW w:w="821" w:type="dxa"/>
            <w:tcBorders>
              <w:top w:val="nil"/>
              <w:left w:val="nil"/>
              <w:bottom w:val="single" w:sz="6" w:space="0" w:color="auto"/>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156</w:t>
            </w:r>
          </w:p>
        </w:tc>
        <w:tc>
          <w:tcPr>
            <w:tcW w:w="821" w:type="dxa"/>
            <w:tcBorders>
              <w:top w:val="nil"/>
              <w:left w:val="nil"/>
              <w:bottom w:val="single" w:sz="6" w:space="0" w:color="auto"/>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102</w:t>
            </w:r>
          </w:p>
        </w:tc>
        <w:tc>
          <w:tcPr>
            <w:tcW w:w="820" w:type="dxa"/>
            <w:tcBorders>
              <w:top w:val="nil"/>
              <w:left w:val="nil"/>
              <w:bottom w:val="single" w:sz="6" w:space="0" w:color="auto"/>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w:t>
            </w:r>
          </w:p>
        </w:tc>
        <w:tc>
          <w:tcPr>
            <w:tcW w:w="821" w:type="dxa"/>
            <w:tcBorders>
              <w:top w:val="nil"/>
              <w:left w:val="nil"/>
              <w:bottom w:val="single" w:sz="6" w:space="0" w:color="auto"/>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498</w:t>
            </w:r>
          </w:p>
        </w:tc>
        <w:tc>
          <w:tcPr>
            <w:tcW w:w="821" w:type="dxa"/>
            <w:tcBorders>
              <w:top w:val="nil"/>
              <w:left w:val="nil"/>
              <w:bottom w:val="single" w:sz="6" w:space="0" w:color="auto"/>
              <w:right w:val="nil"/>
            </w:tcBorders>
          </w:tcPr>
          <w:p w:rsidR="00647BDC" w:rsidRPr="00755429" w:rsidRDefault="00647BDC" w:rsidP="00D0758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407</w:t>
            </w:r>
          </w:p>
        </w:tc>
      </w:tr>
    </w:tbl>
    <w:p w:rsidR="00647BDC" w:rsidRPr="00755429" w:rsidRDefault="00647BDC" w:rsidP="00647BDC">
      <w:pPr>
        <w:pStyle w:val="CGCTableFootnote"/>
        <w:keepNext/>
      </w:pPr>
      <w:r w:rsidRPr="00755429">
        <w:t xml:space="preserve">(a) </w:t>
      </w:r>
      <w:r w:rsidRPr="00755429">
        <w:tab/>
        <w:t>For confidentiality reasons we are not able to publish onshore oil and gas data. The combined result for onshore oil and gas and other minerals is shown as other minerals.</w:t>
      </w:r>
    </w:p>
    <w:p w:rsidR="00647BDC" w:rsidRPr="00755429" w:rsidRDefault="00647BDC" w:rsidP="00647BDC">
      <w:pPr>
        <w:pStyle w:val="CGCTableFootnote"/>
      </w:pPr>
      <w:r w:rsidRPr="00755429">
        <w:t>Source:</w:t>
      </w:r>
      <w:r w:rsidRPr="00755429">
        <w:tab/>
      </w:r>
      <w:r>
        <w:fldChar w:fldCharType="begin"/>
      </w:r>
      <w:r>
        <w:instrText xml:space="preserve"> REF _Ref390875550 \h </w:instrText>
      </w:r>
      <w:r>
        <w:fldChar w:fldCharType="separate"/>
      </w:r>
      <w:r w:rsidR="005B69B1" w:rsidRPr="00755429">
        <w:t xml:space="preserve">Table </w:t>
      </w:r>
      <w:r w:rsidR="005B69B1">
        <w:rPr>
          <w:noProof/>
        </w:rPr>
        <w:t>5</w:t>
      </w:r>
      <w:r>
        <w:fldChar w:fldCharType="end"/>
      </w:r>
      <w:r>
        <w:t xml:space="preserve"> </w:t>
      </w:r>
      <w:r w:rsidRPr="00755429">
        <w:t xml:space="preserve">to </w:t>
      </w:r>
      <w:r>
        <w:fldChar w:fldCharType="begin"/>
      </w:r>
      <w:r>
        <w:instrText xml:space="preserve"> REF _Ref390875568 \h </w:instrText>
      </w:r>
      <w:r>
        <w:fldChar w:fldCharType="separate"/>
      </w:r>
      <w:r w:rsidR="005B69B1" w:rsidRPr="00755429">
        <w:t xml:space="preserve">Table </w:t>
      </w:r>
      <w:r w:rsidR="005B69B1">
        <w:rPr>
          <w:noProof/>
        </w:rPr>
        <w:t>12</w:t>
      </w:r>
      <w:r>
        <w:fldChar w:fldCharType="end"/>
      </w:r>
      <w:r>
        <w:t xml:space="preserve"> </w:t>
      </w:r>
      <w:r w:rsidRPr="00962724">
        <w:rPr>
          <w:szCs w:val="20"/>
        </w:rPr>
        <w:t>and ABS population data</w:t>
      </w:r>
      <w:r>
        <w:rPr>
          <w:szCs w:val="20"/>
        </w:rPr>
        <w:t>.</w:t>
      </w:r>
    </w:p>
    <w:p w:rsidR="00647BDC" w:rsidRDefault="00647BDC" w:rsidP="00647BDC">
      <w:pPr>
        <w:pStyle w:val="Heading3"/>
      </w:pPr>
      <w:bookmarkStart w:id="145" w:name="_Toc390955843"/>
      <w:r>
        <w:t>Issues not assessed in this category</w:t>
      </w:r>
      <w:bookmarkEnd w:id="145"/>
    </w:p>
    <w:p w:rsidR="00647BDC" w:rsidRPr="00755429" w:rsidRDefault="00647BDC" w:rsidP="00647BDC">
      <w:pPr>
        <w:pStyle w:val="CGCNumberedPara"/>
        <w:numPr>
          <w:ilvl w:val="1"/>
          <w:numId w:val="2"/>
        </w:numPr>
      </w:pPr>
      <w:r w:rsidRPr="00755429">
        <w:t xml:space="preserve">Based largely on State comments, we have considered four other issues, but have not made adjustments in the category to reflect them. </w:t>
      </w:r>
    </w:p>
    <w:p w:rsidR="00647BDC" w:rsidRPr="00755429" w:rsidRDefault="00647BDC" w:rsidP="00D07581">
      <w:pPr>
        <w:pStyle w:val="CGCBulletlist"/>
      </w:pPr>
      <w:r w:rsidRPr="00755429">
        <w:t>Should we use an external standard for measuring royalty rates?</w:t>
      </w:r>
    </w:p>
    <w:p w:rsidR="00647BDC" w:rsidRPr="00755429" w:rsidRDefault="00647BDC" w:rsidP="00D07581">
      <w:pPr>
        <w:pStyle w:val="CGCBulletlist"/>
      </w:pPr>
      <w:r w:rsidRPr="00755429">
        <w:t>Should mining royalties be treated as the sale of a State asset?</w:t>
      </w:r>
    </w:p>
    <w:p w:rsidR="00647BDC" w:rsidRPr="00755429" w:rsidRDefault="00647BDC" w:rsidP="00D07581">
      <w:pPr>
        <w:pStyle w:val="CGCBulletlist"/>
      </w:pPr>
      <w:r w:rsidRPr="00755429">
        <w:t>Should the mining assessment provide an incentive for resource States to develop and expand their mining sectors?</w:t>
      </w:r>
    </w:p>
    <w:p w:rsidR="00647BDC" w:rsidRPr="00755429" w:rsidRDefault="00647BDC" w:rsidP="00D07581">
      <w:pPr>
        <w:pStyle w:val="CGCBulletlist"/>
      </w:pPr>
      <w:r w:rsidRPr="00755429">
        <w:t>Should the mining assessment be discounted?</w:t>
      </w:r>
    </w:p>
    <w:p w:rsidR="00647BDC" w:rsidRPr="00755429" w:rsidRDefault="00647BDC" w:rsidP="00647BDC">
      <w:pPr>
        <w:pStyle w:val="Heading5"/>
      </w:pPr>
      <w:r w:rsidRPr="00755429">
        <w:t>An external standard</w:t>
      </w:r>
    </w:p>
    <w:p w:rsidR="00647BDC" w:rsidRPr="00755429" w:rsidRDefault="00647BDC" w:rsidP="00647BDC">
      <w:pPr>
        <w:pStyle w:val="CGCNumberedPara"/>
        <w:numPr>
          <w:ilvl w:val="1"/>
          <w:numId w:val="2"/>
        </w:numPr>
      </w:pPr>
      <w:r w:rsidRPr="00755429">
        <w:t xml:space="preserve">We did consider another option for improving the policy neutrality of the mining assessment — the use of an external standard. We considered both historical State royalty rates and international royalty rates as a way of making the assessment less prone to State influence. </w:t>
      </w:r>
    </w:p>
    <w:p w:rsidR="00647BDC" w:rsidRPr="00755429" w:rsidRDefault="00647BDC" w:rsidP="00647BDC">
      <w:pPr>
        <w:pStyle w:val="CGCNumberedPara"/>
        <w:numPr>
          <w:ilvl w:val="1"/>
          <w:numId w:val="2"/>
        </w:numPr>
      </w:pPr>
      <w:r w:rsidRPr="00755429">
        <w:t>No State supported an external standard. Most said international royalty rates would represent a major departure from usual Commission practice and it would move away from ‘what States collectively do’. Some States also queried whether using historical State royalty rates was a way of addressing policy neutrality concerns or merely delaying them.</w:t>
      </w:r>
    </w:p>
    <w:p w:rsidR="00647BDC" w:rsidRPr="00755429" w:rsidRDefault="00647BDC" w:rsidP="00647BDC">
      <w:pPr>
        <w:pStyle w:val="CGCNumberedPara"/>
        <w:numPr>
          <w:ilvl w:val="1"/>
          <w:numId w:val="2"/>
        </w:numPr>
      </w:pPr>
      <w:r w:rsidRPr="00755429">
        <w:lastRenderedPageBreak/>
        <w:t>Differences between Australia and other countries in royalty policies and mining operating costs mean that a reliable external standard is difficult to construct. Nor do we believe that assessment based on historical royalty rates can adequately capture States fiscal capacities when mineral prices and value of production vary substantially from year to year. For these reasons we have not adopted an external standard at this time.</w:t>
      </w:r>
    </w:p>
    <w:p w:rsidR="00647BDC" w:rsidRPr="00755429" w:rsidRDefault="00647BDC" w:rsidP="00647BDC">
      <w:pPr>
        <w:pStyle w:val="Heading5"/>
      </w:pPr>
      <w:r w:rsidRPr="00755429">
        <w:t>Should mining royalties be treated as the sale of a State asset?</w:t>
      </w:r>
    </w:p>
    <w:p w:rsidR="00647BDC" w:rsidRPr="00755429" w:rsidRDefault="00647BDC" w:rsidP="00647BDC">
      <w:pPr>
        <w:pStyle w:val="CGCNumberedPara"/>
        <w:numPr>
          <w:ilvl w:val="1"/>
          <w:numId w:val="2"/>
        </w:numPr>
      </w:pPr>
      <w:r w:rsidRPr="00755429">
        <w:t xml:space="preserve">Queensland said mining revenue was more like the sale of a State asset than a State tax. It said mining revenue should be treated like other State asset sales. Western Australia acknowledged the theoretical merit of this approach, but it noted its impracticalities. </w:t>
      </w:r>
    </w:p>
    <w:p w:rsidR="00647BDC" w:rsidRPr="00755429" w:rsidRDefault="00647BDC" w:rsidP="00647BDC">
      <w:pPr>
        <w:pStyle w:val="CGCNumberedPara"/>
        <w:numPr>
          <w:ilvl w:val="1"/>
          <w:numId w:val="2"/>
        </w:numPr>
      </w:pPr>
      <w:r w:rsidRPr="00755429">
        <w:t>A problem with treating royalties as the sale of a State asset is that we would need to treat the value of mineral assets as a financial asset subject to equalisation. We would equalise the mineral assets of new mines even before royalties had been earned.</w:t>
      </w:r>
    </w:p>
    <w:p w:rsidR="00647BDC" w:rsidRPr="00755429" w:rsidRDefault="00647BDC" w:rsidP="00647BDC">
      <w:pPr>
        <w:pStyle w:val="CGCNumberedPara"/>
        <w:numPr>
          <w:ilvl w:val="1"/>
          <w:numId w:val="2"/>
        </w:numPr>
      </w:pPr>
      <w:r w:rsidRPr="00755429">
        <w:t xml:space="preserve">The GST Distribution Review considered this issue. The panel concluded the case had not been made that mining revenue should be treated differently to States’ other own-source revenue. </w:t>
      </w:r>
    </w:p>
    <w:p w:rsidR="00647BDC" w:rsidRPr="00755429" w:rsidRDefault="00647BDC" w:rsidP="00647BDC">
      <w:pPr>
        <w:pStyle w:val="CGCNumberedPara"/>
        <w:numPr>
          <w:ilvl w:val="1"/>
          <w:numId w:val="2"/>
        </w:numPr>
      </w:pPr>
      <w:r w:rsidRPr="00755429">
        <w:t>The States and the Australian Statistician treat mining revenue like other State revenue and most States support treating royalties like other State revenues.</w:t>
      </w:r>
    </w:p>
    <w:p w:rsidR="00647BDC" w:rsidRPr="00755429" w:rsidRDefault="00647BDC" w:rsidP="00647BDC">
      <w:pPr>
        <w:pStyle w:val="CGCNumberedPara"/>
        <w:numPr>
          <w:ilvl w:val="1"/>
          <w:numId w:val="2"/>
        </w:numPr>
      </w:pPr>
      <w:r>
        <w:t>Based on the above, we will</w:t>
      </w:r>
      <w:r w:rsidRPr="00755429">
        <w:t xml:space="preserve"> continue to treat </w:t>
      </w:r>
      <w:r>
        <w:t>mining revenue</w:t>
      </w:r>
      <w:r w:rsidRPr="00755429">
        <w:t xml:space="preserve"> like other State revenue.</w:t>
      </w:r>
    </w:p>
    <w:p w:rsidR="00647BDC" w:rsidRPr="00755429" w:rsidRDefault="00647BDC" w:rsidP="00647BDC">
      <w:pPr>
        <w:pStyle w:val="Heading5"/>
      </w:pPr>
      <w:r w:rsidRPr="00755429">
        <w:t>Should the mining assessment provide an incentive for resource States to develop and expand their mining sectors?</w:t>
      </w:r>
    </w:p>
    <w:p w:rsidR="00647BDC" w:rsidRPr="00755429" w:rsidRDefault="00647BDC" w:rsidP="00647BDC">
      <w:pPr>
        <w:pStyle w:val="CGCNumberedPara"/>
        <w:numPr>
          <w:ilvl w:val="1"/>
          <w:numId w:val="2"/>
        </w:numPr>
      </w:pPr>
      <w:r w:rsidRPr="00755429">
        <w:t>Two States said the mining assessment should provide an incentive for States to develop their mining sectors. Other States said providing incentives for development of the industry would be contrary to the equalisation objective and policy neutrality.</w:t>
      </w:r>
    </w:p>
    <w:p w:rsidR="00647BDC" w:rsidRPr="00755429" w:rsidRDefault="00647BDC" w:rsidP="00647BDC">
      <w:pPr>
        <w:pStyle w:val="CGCNumberedPara"/>
        <w:numPr>
          <w:ilvl w:val="1"/>
          <w:numId w:val="2"/>
        </w:numPr>
      </w:pPr>
      <w:r w:rsidRPr="00755429">
        <w:t xml:space="preserve">We are not asked to pursue objectives other than HFE. </w:t>
      </w:r>
      <w:r>
        <w:t>For this reason, our</w:t>
      </w:r>
      <w:r w:rsidRPr="00755429">
        <w:t xml:space="preserve"> approach to the mining assessment is not designed to provide either an incentive or a disincentive for resource States to develop and expand their mining sectors.</w:t>
      </w:r>
    </w:p>
    <w:p w:rsidR="00647BDC" w:rsidRPr="00755429" w:rsidRDefault="00647BDC" w:rsidP="00647BDC">
      <w:pPr>
        <w:pStyle w:val="Heading5"/>
      </w:pPr>
      <w:r w:rsidRPr="00755429">
        <w:t>Should the mining assessment be discounted?</w:t>
      </w:r>
    </w:p>
    <w:p w:rsidR="00647BDC" w:rsidRPr="00755429" w:rsidRDefault="00647BDC" w:rsidP="00647BDC">
      <w:pPr>
        <w:pStyle w:val="CGCNumberedPara"/>
        <w:numPr>
          <w:ilvl w:val="1"/>
          <w:numId w:val="2"/>
        </w:numPr>
      </w:pPr>
      <w:r w:rsidRPr="00755429">
        <w:t>Some States said the mining assessment should be discounted because:</w:t>
      </w:r>
    </w:p>
    <w:p w:rsidR="00647BDC" w:rsidRPr="00755429" w:rsidRDefault="00647BDC" w:rsidP="00D07581">
      <w:pPr>
        <w:pStyle w:val="CGCBulletlist"/>
      </w:pPr>
      <w:r w:rsidRPr="00755429">
        <w:t>the assessment does not recognise mining related expenses, including previously unequalised expenses</w:t>
      </w:r>
    </w:p>
    <w:p w:rsidR="00647BDC" w:rsidRPr="00755429" w:rsidRDefault="00647BDC" w:rsidP="00D07581">
      <w:pPr>
        <w:pStyle w:val="CGCBulletlist"/>
      </w:pPr>
      <w:r w:rsidRPr="00755429">
        <w:t>policy non-neutralities exist</w:t>
      </w:r>
    </w:p>
    <w:p w:rsidR="00647BDC" w:rsidRPr="00755429" w:rsidRDefault="00647BDC" w:rsidP="00647BDC">
      <w:pPr>
        <w:pStyle w:val="CGCSubbulletlist"/>
        <w:numPr>
          <w:ilvl w:val="0"/>
          <w:numId w:val="3"/>
        </w:numPr>
        <w:tabs>
          <w:tab w:val="clear" w:pos="927"/>
        </w:tabs>
        <w:ind w:left="1701" w:hanging="567"/>
      </w:pPr>
      <w:r w:rsidRPr="00755429">
        <w:t>State’s revenue bases are sensitive to their industry policies</w:t>
      </w:r>
    </w:p>
    <w:p w:rsidR="00647BDC" w:rsidRPr="00755429" w:rsidRDefault="00647BDC" w:rsidP="00647BDC">
      <w:pPr>
        <w:pStyle w:val="CGCSubbulletlist"/>
        <w:numPr>
          <w:ilvl w:val="0"/>
          <w:numId w:val="3"/>
        </w:numPr>
        <w:tabs>
          <w:tab w:val="clear" w:pos="927"/>
        </w:tabs>
        <w:ind w:left="1701" w:hanging="567"/>
      </w:pPr>
      <w:r w:rsidRPr="00755429">
        <w:lastRenderedPageBreak/>
        <w:t>there are large GST impacts when royalty rates change</w:t>
      </w:r>
    </w:p>
    <w:p w:rsidR="00647BDC" w:rsidRPr="00755429" w:rsidRDefault="00647BDC" w:rsidP="00D07581">
      <w:pPr>
        <w:pStyle w:val="CGCBulletlist"/>
      </w:pPr>
      <w:r w:rsidRPr="00755429">
        <w:t>the Commission needs to exercise judgment</w:t>
      </w:r>
    </w:p>
    <w:p w:rsidR="00647BDC" w:rsidRPr="00755429" w:rsidRDefault="00647BDC" w:rsidP="00D07581">
      <w:pPr>
        <w:pStyle w:val="CGCBulletlist"/>
      </w:pPr>
      <w:proofErr w:type="gramStart"/>
      <w:r w:rsidRPr="00755429">
        <w:t>there</w:t>
      </w:r>
      <w:proofErr w:type="gramEnd"/>
      <w:r w:rsidRPr="00755429">
        <w:t xml:space="preserve"> are intergenerational risks from future changes to HFE.</w:t>
      </w:r>
    </w:p>
    <w:p w:rsidR="00647BDC" w:rsidRPr="00755429" w:rsidRDefault="00647BDC" w:rsidP="00647BDC">
      <w:pPr>
        <w:pStyle w:val="CGCNumberedPara"/>
        <w:numPr>
          <w:ilvl w:val="1"/>
          <w:numId w:val="2"/>
        </w:numPr>
      </w:pPr>
      <w:r w:rsidRPr="00755429">
        <w:rPr>
          <w:rStyle w:val="Heading6Char"/>
        </w:rPr>
        <w:t>Mining-related expenses.</w:t>
      </w:r>
      <w:r w:rsidRPr="00755429">
        <w:t xml:space="preserve"> We have assessed mining-related expenses where we can do so reliably. We do not believe there are other material mining-related expenses or previous expenses that are unassessed. We do not, therefore, believe a discount is warranted for this reason.</w:t>
      </w:r>
      <w:r>
        <w:t xml:space="preserve"> However, as noted elsewhere we continue to seek State views on whether our current approach adequately captures mining-related expenses.</w:t>
      </w:r>
    </w:p>
    <w:p w:rsidR="00647BDC" w:rsidRPr="00755429" w:rsidRDefault="00647BDC" w:rsidP="00647BDC">
      <w:pPr>
        <w:pStyle w:val="CGCNumberedPara"/>
        <w:numPr>
          <w:ilvl w:val="1"/>
          <w:numId w:val="2"/>
        </w:numPr>
      </w:pPr>
      <w:r w:rsidRPr="00755429">
        <w:rPr>
          <w:rStyle w:val="Heading6Char"/>
        </w:rPr>
        <w:t>Policy non-neutrality.</w:t>
      </w:r>
      <w:r w:rsidRPr="00755429">
        <w:t xml:space="preserve"> Western Australia said States put different effort into developing their mining industries and their different efforts should be removed from the revenue base. While it acknowledged it was not possible to determine what each States’ production would have been under average policies, it said it would be reasonable to conclude Western Australia’s production would be lower. </w:t>
      </w:r>
    </w:p>
    <w:p w:rsidR="00647BDC" w:rsidRPr="00755429" w:rsidRDefault="00647BDC" w:rsidP="00647BDC">
      <w:pPr>
        <w:pStyle w:val="CGCNumberedPara"/>
        <w:numPr>
          <w:ilvl w:val="1"/>
          <w:numId w:val="2"/>
        </w:numPr>
      </w:pPr>
      <w:r w:rsidRPr="00755429">
        <w:t>We recognise there may be differences in State efforts and there is a conceptual case that any differences in efforts should be removed. However, it is not clear to us how we would quantify those differences. In the case of mining, any differences in efforts would be confounded by the differences in mineral endowments. It would be difficult to untangle these influences and make judgments about the impact of State efforts on production levels. For example, Western Australia said its 60% share of production exceeded its 39% share of known economic reserves for Bauxite and suggested this was evidence it made a more pro-mining effort than other States. Other people attribute the difference to other reasons. The Australian Mines Atlas attributes this not to differences in government policy but because ‘despite the low grade, the mines … have low reactive silica, making the bauxite relatively easy t</w:t>
      </w:r>
      <w:r>
        <w:t xml:space="preserve">o refine’. </w:t>
      </w:r>
      <w:r w:rsidRPr="00755429">
        <w:t>Disentangling the net impact of policy in specific cases appears daunting.</w:t>
      </w:r>
    </w:p>
    <w:p w:rsidR="00647BDC" w:rsidRPr="00755429" w:rsidRDefault="00647BDC" w:rsidP="00647BDC">
      <w:pPr>
        <w:pStyle w:val="CGCNumberedPara"/>
        <w:numPr>
          <w:ilvl w:val="1"/>
          <w:numId w:val="2"/>
        </w:numPr>
      </w:pPr>
      <w:r w:rsidRPr="00755429">
        <w:t>There are many differences in the reserves between States:</w:t>
      </w:r>
    </w:p>
    <w:p w:rsidR="00647BDC" w:rsidRPr="00755429" w:rsidRDefault="00647BDC" w:rsidP="00D07581">
      <w:pPr>
        <w:pStyle w:val="CGCBulletlist"/>
      </w:pPr>
      <w:r w:rsidRPr="00755429">
        <w:t>the quality and grade of mineral</w:t>
      </w:r>
    </w:p>
    <w:p w:rsidR="00647BDC" w:rsidRPr="00755429" w:rsidRDefault="00647BDC" w:rsidP="00D07581">
      <w:pPr>
        <w:pStyle w:val="CGCBulletlist"/>
      </w:pPr>
      <w:r w:rsidRPr="00755429">
        <w:t>social, economic and environmental values of mine area</w:t>
      </w:r>
    </w:p>
    <w:p w:rsidR="00647BDC" w:rsidRPr="00755429" w:rsidRDefault="00647BDC" w:rsidP="00D07581">
      <w:pPr>
        <w:pStyle w:val="CGCBulletlist"/>
      </w:pPr>
      <w:proofErr w:type="gramStart"/>
      <w:r w:rsidRPr="00755429">
        <w:t>access</w:t>
      </w:r>
      <w:proofErr w:type="gramEnd"/>
      <w:r w:rsidRPr="00755429">
        <w:t xml:space="preserve"> to infrastructure and associated cost of developing the mine.</w:t>
      </w:r>
    </w:p>
    <w:p w:rsidR="00647BDC" w:rsidRPr="00755429" w:rsidRDefault="00647BDC" w:rsidP="00647BDC">
      <w:pPr>
        <w:pStyle w:val="CGCNumberedPara"/>
        <w:numPr>
          <w:ilvl w:val="1"/>
          <w:numId w:val="2"/>
        </w:numPr>
      </w:pPr>
      <w:r w:rsidRPr="00755429">
        <w:t>These differences make it very difficult to determine whether one State is developing its resources at a faster rate than another.</w:t>
      </w:r>
    </w:p>
    <w:p w:rsidR="00647BDC" w:rsidRPr="00755429" w:rsidRDefault="00647BDC" w:rsidP="00647BDC">
      <w:pPr>
        <w:pStyle w:val="CGCNumberedPara"/>
        <w:numPr>
          <w:ilvl w:val="1"/>
          <w:numId w:val="2"/>
        </w:numPr>
      </w:pPr>
      <w:r w:rsidRPr="00755429">
        <w:t xml:space="preserve">We are not convinced a discount is appropriate. Aside from the difficulties of trying to untangle the impact of differences in State efforts on production levels, a discount would imply States with relatively higher production are all pro-development States; this may not be the case. Applying a discount here would also mean we would have to consider whether States with relatively larger tourism industries or education </w:t>
      </w:r>
      <w:r w:rsidRPr="00755429">
        <w:lastRenderedPageBreak/>
        <w:t>sectors require a discount because the size of their sector implies a difference in policy effort.</w:t>
      </w:r>
    </w:p>
    <w:p w:rsidR="00647BDC" w:rsidRPr="00755429" w:rsidRDefault="00647BDC" w:rsidP="00647BDC">
      <w:pPr>
        <w:pStyle w:val="CGCNumberedPara"/>
        <w:numPr>
          <w:ilvl w:val="1"/>
          <w:numId w:val="2"/>
        </w:numPr>
      </w:pPr>
      <w:r w:rsidRPr="00755429">
        <w:t xml:space="preserve">We will continue to monitor </w:t>
      </w:r>
      <w:r>
        <w:t>developments in State mining policies</w:t>
      </w:r>
      <w:r w:rsidRPr="00755429">
        <w:t>. It is possible that the impact of differences in policy effort in some areas could become clearer, for example, if coal seam gas (where States appear to have different policies) became material.</w:t>
      </w:r>
    </w:p>
    <w:p w:rsidR="00647BDC" w:rsidRPr="00755429" w:rsidRDefault="00647BDC" w:rsidP="00647BDC">
      <w:pPr>
        <w:pStyle w:val="CGCNumberedPara"/>
        <w:numPr>
          <w:ilvl w:val="1"/>
          <w:numId w:val="2"/>
        </w:numPr>
      </w:pPr>
      <w:r w:rsidRPr="00755429">
        <w:t xml:space="preserve">Western Australia was also concerned that an assessment based on States’ actual royalty rates had the potential to generate large GST impacts when those rates change. It said a reasonable incentive for States would be to retain one third of any royalty rate increase after GST impacts. </w:t>
      </w:r>
      <w:r>
        <w:t xml:space="preserve">The Commission has decided to take a mineral by mineral approach giving primacy to HFE considerations and it would not be consistent with this, nor with our discounting guidelines, to apply a discount to any changes in rates. </w:t>
      </w:r>
      <w:r w:rsidRPr="00755429">
        <w:t>The terms of reference do not ask us to limit HFE to a percentage of the increase in State royalty revenue.</w:t>
      </w:r>
      <w:r>
        <w:t xml:space="preserve"> Based on the discussion above, at</w:t>
      </w:r>
      <w:r w:rsidRPr="00755429" w:rsidDel="00DF3CA1">
        <w:t xml:space="preserve"> </w:t>
      </w:r>
      <w:r w:rsidRPr="00755429">
        <w:t xml:space="preserve">this stage, we do not consider a discount is warranted </w:t>
      </w:r>
      <w:r>
        <w:t>for possible</w:t>
      </w:r>
      <w:r w:rsidRPr="00755429">
        <w:t xml:space="preserve"> policy non-neutrality </w:t>
      </w:r>
      <w:r>
        <w:t>considerations</w:t>
      </w:r>
      <w:r w:rsidRPr="00755429">
        <w:t>.</w:t>
      </w:r>
    </w:p>
    <w:p w:rsidR="00647BDC" w:rsidRPr="00755429" w:rsidRDefault="00647BDC" w:rsidP="00647BDC">
      <w:pPr>
        <w:pStyle w:val="CGCNumberedPara"/>
        <w:numPr>
          <w:ilvl w:val="1"/>
          <w:numId w:val="2"/>
        </w:numPr>
      </w:pPr>
      <w:r w:rsidRPr="00755429">
        <w:rPr>
          <w:rStyle w:val="Heading6Char"/>
        </w:rPr>
        <w:t>Need to exercise judgment.</w:t>
      </w:r>
      <w:r w:rsidRPr="00755429">
        <w:t xml:space="preserve"> When we were considering grouping minerals, we intimated we might need to exercise a large degree of judgment in deciding the mining assessment. However, we have decided not to group minerals. Consequently, we do not believe the mining assessment requires us to exercise a large degree of judgment. As such, this is not a justification for a discount. </w:t>
      </w:r>
    </w:p>
    <w:p w:rsidR="00647BDC" w:rsidRPr="00755429" w:rsidRDefault="00647BDC" w:rsidP="00647BDC">
      <w:pPr>
        <w:pStyle w:val="CGCNumberedPara"/>
        <w:numPr>
          <w:ilvl w:val="1"/>
          <w:numId w:val="2"/>
        </w:numPr>
      </w:pPr>
      <w:r w:rsidRPr="00755429">
        <w:rPr>
          <w:rStyle w:val="Heading6Char"/>
        </w:rPr>
        <w:t xml:space="preserve">Intergenerational risks. </w:t>
      </w:r>
      <w:r w:rsidRPr="00755429">
        <w:t>Western Australia said HFE currently equalises mining revenues but there is no guarantee that the future form of HFE will appropriately support States whose resources have been depleted. Consequently, the current form of HFE creates a future adjustment risk for resource States.</w:t>
      </w:r>
    </w:p>
    <w:p w:rsidR="00647BDC" w:rsidRPr="00755429" w:rsidRDefault="00647BDC" w:rsidP="00647BDC">
      <w:pPr>
        <w:pStyle w:val="CGCNumberedPara"/>
        <w:numPr>
          <w:ilvl w:val="1"/>
          <w:numId w:val="2"/>
        </w:numPr>
      </w:pPr>
      <w:r w:rsidRPr="00755429">
        <w:t xml:space="preserve">We are asked to devise methods in accordance with the principle of fiscal equalisation alone and to do </w:t>
      </w:r>
      <w:proofErr w:type="gramStart"/>
      <w:r w:rsidRPr="00755429">
        <w:t>so on</w:t>
      </w:r>
      <w:proofErr w:type="gramEnd"/>
      <w:r w:rsidRPr="00755429">
        <w:t xml:space="preserve"> the basis of current policy settings. While future policy changes might impact on State fiscal capacities, we do not consider that we should speculate on what policy changes might eventuate nor design a methodology to internalise those speculations. We do not, therefore, believe a discount is needed because of intergenerational risk.</w:t>
      </w:r>
    </w:p>
    <w:p w:rsidR="00647BDC" w:rsidRPr="00755429" w:rsidRDefault="00647BDC" w:rsidP="00647BDC">
      <w:pPr>
        <w:pStyle w:val="CGCNumberedPara"/>
        <w:numPr>
          <w:ilvl w:val="1"/>
          <w:numId w:val="2"/>
        </w:numPr>
      </w:pPr>
      <w:r w:rsidRPr="00755429">
        <w:rPr>
          <w:rStyle w:val="Heading6Char"/>
        </w:rPr>
        <w:t>Conclusion.</w:t>
      </w:r>
      <w:r w:rsidRPr="00755429">
        <w:t xml:space="preserve"> Most States opposed the application of a discount. </w:t>
      </w:r>
      <w:r>
        <w:t xml:space="preserve">We consider </w:t>
      </w:r>
      <w:r w:rsidRPr="004043E8">
        <w:t xml:space="preserve">discounting </w:t>
      </w:r>
      <w:r>
        <w:t>appropriate when it helps us achieve a better HFE outcome, for example, when we are concerned about data quality (see discussion of discounting in Chapter 3). We do not think this is the case with our proposed mining assessment. We do not propose applying a discount to the mining assessment</w:t>
      </w:r>
      <w:r w:rsidRPr="00755429">
        <w:t>.</w:t>
      </w:r>
    </w:p>
    <w:p w:rsidR="00647BDC" w:rsidRPr="00755429" w:rsidRDefault="00647BDC" w:rsidP="00647BDC">
      <w:pPr>
        <w:pStyle w:val="Heading4"/>
      </w:pPr>
      <w:r>
        <w:lastRenderedPageBreak/>
        <w:t>What is the impact on the GST distribution?</w:t>
      </w:r>
    </w:p>
    <w:p w:rsidR="00647BDC" w:rsidRPr="00755429" w:rsidRDefault="00647BDC" w:rsidP="00647BDC">
      <w:pPr>
        <w:pStyle w:val="CGCNumberedPara"/>
        <w:numPr>
          <w:ilvl w:val="1"/>
          <w:numId w:val="2"/>
        </w:numPr>
      </w:pPr>
      <w:r>
        <w:fldChar w:fldCharType="begin"/>
      </w:r>
      <w:r>
        <w:instrText xml:space="preserve"> REF _Ref390875750 \h </w:instrText>
      </w:r>
      <w:r>
        <w:fldChar w:fldCharType="separate"/>
      </w:r>
      <w:r w:rsidR="005B69B1" w:rsidRPr="00755429">
        <w:t xml:space="preserve">Table </w:t>
      </w:r>
      <w:r w:rsidR="005B69B1">
        <w:rPr>
          <w:noProof/>
        </w:rPr>
        <w:t>15</w:t>
      </w:r>
      <w:r>
        <w:fldChar w:fldCharType="end"/>
      </w:r>
      <w:r>
        <w:t xml:space="preserve"> </w:t>
      </w:r>
      <w:r w:rsidRPr="00755429">
        <w:t>shows the extent to which the assessment for this category moves the distribution of GST away from an equal per capita distribution in 2012</w:t>
      </w:r>
      <w:r w:rsidRPr="00755429">
        <w:noBreakHyphen/>
        <w:t>13. It shows GST revenue is redistributed from States assessed to have above average revenue raising capacities (Queensland, Western Australia and the Northern Territory) to States with below average revenue capacity (New South Wales, Victoria, South Australia, Tasmania and the ACT).</w:t>
      </w:r>
    </w:p>
    <w:p w:rsidR="00647BDC" w:rsidRDefault="00647BDC" w:rsidP="00647BDC">
      <w:pPr>
        <w:pStyle w:val="CGCNumberedPara"/>
        <w:numPr>
          <w:ilvl w:val="1"/>
          <w:numId w:val="2"/>
        </w:numPr>
      </w:pPr>
      <w:r w:rsidRPr="00755429">
        <w:t>This redistribution is dominated by the redistribution arising from iron ore ($3.3 billion), coal ($1.4 billion), other minerals ($0.3 billion) and Grants in lieu of royalties ($1.0 billion).</w:t>
      </w:r>
    </w:p>
    <w:p w:rsidR="00647BDC" w:rsidRPr="00755429" w:rsidRDefault="00647BDC" w:rsidP="00647BDC">
      <w:pPr>
        <w:pStyle w:val="CGCNumberedPara"/>
        <w:numPr>
          <w:ilvl w:val="1"/>
          <w:numId w:val="2"/>
        </w:numPr>
      </w:pPr>
      <w:r w:rsidRPr="00755429">
        <w:t>The ACT has no mineral production, which means it receives its population share of all mineral royalties ($407 per capita).</w:t>
      </w:r>
    </w:p>
    <w:p w:rsidR="00647BDC" w:rsidRPr="00755429" w:rsidRDefault="00647BDC" w:rsidP="00647BDC">
      <w:pPr>
        <w:pStyle w:val="Caption"/>
      </w:pPr>
      <w:bookmarkStart w:id="146" w:name="_Ref390875750"/>
      <w:r w:rsidRPr="00755429">
        <w:t xml:space="preserve">Table </w:t>
      </w:r>
      <w:r w:rsidR="005B69B1">
        <w:fldChar w:fldCharType="begin"/>
      </w:r>
      <w:r w:rsidR="005B69B1">
        <w:instrText xml:space="preserve"> SEQ Table \* ARABIC </w:instrText>
      </w:r>
      <w:r w:rsidR="005B69B1">
        <w:fldChar w:fldCharType="separate"/>
      </w:r>
      <w:r w:rsidR="005B69B1">
        <w:rPr>
          <w:noProof/>
        </w:rPr>
        <w:t>15</w:t>
      </w:r>
      <w:r w:rsidR="005B69B1">
        <w:rPr>
          <w:noProof/>
        </w:rPr>
        <w:fldChar w:fldCharType="end"/>
      </w:r>
      <w:bookmarkEnd w:id="146"/>
      <w:r w:rsidRPr="00755429">
        <w:tab/>
        <w:t>Illustrative GST impacts, Mining revenue assessment, 2012</w:t>
      </w:r>
      <w:r w:rsidRPr="00755429">
        <w:noBreakHyphen/>
        <w:t>13</w:t>
      </w:r>
    </w:p>
    <w:tbl>
      <w:tblPr>
        <w:tblW w:w="8980" w:type="dxa"/>
        <w:tblInd w:w="93" w:type="dxa"/>
        <w:tblLook w:val="04A0" w:firstRow="1" w:lastRow="0" w:firstColumn="1" w:lastColumn="0" w:noHBand="0" w:noVBand="1"/>
      </w:tblPr>
      <w:tblGrid>
        <w:gridCol w:w="2120"/>
        <w:gridCol w:w="800"/>
        <w:gridCol w:w="760"/>
        <w:gridCol w:w="860"/>
        <w:gridCol w:w="860"/>
        <w:gridCol w:w="700"/>
        <w:gridCol w:w="700"/>
        <w:gridCol w:w="700"/>
        <w:gridCol w:w="660"/>
        <w:gridCol w:w="820"/>
      </w:tblGrid>
      <w:tr w:rsidR="00647BDC" w:rsidRPr="00755429" w:rsidTr="00D07581">
        <w:trPr>
          <w:trHeight w:val="379"/>
        </w:trPr>
        <w:tc>
          <w:tcPr>
            <w:tcW w:w="21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 </w:t>
            </w:r>
          </w:p>
        </w:tc>
        <w:tc>
          <w:tcPr>
            <w:tcW w:w="8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Vic</w:t>
            </w:r>
          </w:p>
        </w:tc>
        <w:tc>
          <w:tcPr>
            <w:tcW w:w="86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Qld</w:t>
            </w:r>
          </w:p>
        </w:tc>
        <w:tc>
          <w:tcPr>
            <w:tcW w:w="86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WA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755429">
              <w:rPr>
                <w:rFonts w:ascii="Calibri" w:eastAsia="Times New Roman" w:hAnsi="Calibri" w:cs="Times New Roman"/>
                <w:color w:val="000000"/>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ACT</w:t>
            </w:r>
          </w:p>
        </w:tc>
        <w:tc>
          <w:tcPr>
            <w:tcW w:w="66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755429">
              <w:rPr>
                <w:rFonts w:ascii="Calibri" w:eastAsia="Times New Roman" w:hAnsi="Calibri" w:cs="Times New Roman"/>
                <w:color w:val="000000"/>
                <w:sz w:val="20"/>
                <w:szCs w:val="20"/>
                <w:lang w:eastAsia="en-AU"/>
              </w:rPr>
              <w:t>Redist</w:t>
            </w:r>
            <w:proofErr w:type="spellEnd"/>
          </w:p>
        </w:tc>
      </w:tr>
      <w:tr w:rsidR="00647BDC" w:rsidRPr="00755429" w:rsidTr="00D07581">
        <w:trPr>
          <w:trHeight w:val="259"/>
        </w:trPr>
        <w:tc>
          <w:tcPr>
            <w:tcW w:w="2120"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p>
        </w:tc>
        <w:tc>
          <w:tcPr>
            <w:tcW w:w="800"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760"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660"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keepNext/>
              <w:tabs>
                <w:tab w:val="clear" w:pos="567"/>
              </w:tabs>
              <w:spacing w:after="0" w:line="240" w:lineRule="auto"/>
              <w:jc w:val="right"/>
              <w:rPr>
                <w:rFonts w:ascii="Calibri" w:eastAsia="Times New Roman" w:hAnsi="Calibri" w:cs="Times New Roman"/>
                <w:color w:val="000000"/>
                <w:sz w:val="20"/>
                <w:szCs w:val="20"/>
                <w:lang w:eastAsia="en-AU"/>
              </w:rPr>
            </w:pPr>
            <w:r w:rsidRPr="00755429">
              <w:rPr>
                <w:rFonts w:ascii="Calibri" w:eastAsia="Times New Roman" w:hAnsi="Calibri" w:cs="Times New Roman"/>
                <w:color w:val="000000"/>
                <w:sz w:val="20"/>
                <w:szCs w:val="20"/>
                <w:lang w:eastAsia="en-AU"/>
              </w:rPr>
              <w:t>$m</w:t>
            </w:r>
          </w:p>
        </w:tc>
      </w:tr>
      <w:tr w:rsidR="00647BDC" w:rsidRPr="00755429" w:rsidTr="00D07581">
        <w:trPr>
          <w:trHeight w:val="315"/>
        </w:trPr>
        <w:tc>
          <w:tcPr>
            <w:tcW w:w="2120" w:type="dxa"/>
            <w:tcBorders>
              <w:top w:val="nil"/>
              <w:left w:val="nil"/>
              <w:bottom w:val="nil"/>
              <w:right w:val="nil"/>
            </w:tcBorders>
            <w:shd w:val="clear" w:color="auto" w:fill="auto"/>
            <w:noWrap/>
            <w:vAlign w:val="bottom"/>
            <w:hideMark/>
          </w:tcPr>
          <w:p w:rsidR="00647BDC" w:rsidRPr="00012E9B" w:rsidRDefault="00647BDC" w:rsidP="00D07581">
            <w:pPr>
              <w:pStyle w:val="CGCTableStub"/>
              <w:rPr>
                <w:rFonts w:ascii="Calibri" w:hAnsi="Calibri"/>
                <w:lang w:eastAsia="en-AU"/>
              </w:rPr>
            </w:pPr>
            <w:r w:rsidRPr="00012E9B">
              <w:rPr>
                <w:rFonts w:ascii="Calibri" w:hAnsi="Calibri"/>
                <w:lang w:eastAsia="en-AU"/>
              </w:rPr>
              <w:t>Iron ore</w:t>
            </w:r>
          </w:p>
        </w:tc>
        <w:tc>
          <w:tcPr>
            <w:tcW w:w="8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1 244</w:t>
            </w:r>
          </w:p>
        </w:tc>
        <w:tc>
          <w:tcPr>
            <w:tcW w:w="7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962</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780</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-3 339</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192</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71</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64</w:t>
            </w:r>
          </w:p>
        </w:tc>
        <w:tc>
          <w:tcPr>
            <w:tcW w:w="6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26</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3 339</w:t>
            </w:r>
          </w:p>
        </w:tc>
      </w:tr>
      <w:tr w:rsidR="00647BDC" w:rsidRPr="00755429" w:rsidTr="00D07581">
        <w:trPr>
          <w:trHeight w:val="315"/>
        </w:trPr>
        <w:tc>
          <w:tcPr>
            <w:tcW w:w="2120" w:type="dxa"/>
            <w:tcBorders>
              <w:top w:val="nil"/>
              <w:left w:val="nil"/>
              <w:bottom w:val="nil"/>
              <w:right w:val="nil"/>
            </w:tcBorders>
            <w:shd w:val="clear" w:color="auto" w:fill="auto"/>
            <w:noWrap/>
            <w:vAlign w:val="bottom"/>
            <w:hideMark/>
          </w:tcPr>
          <w:p w:rsidR="00647BDC" w:rsidRPr="00012E9B" w:rsidRDefault="00647BDC" w:rsidP="00D07581">
            <w:pPr>
              <w:pStyle w:val="CGCTableStub"/>
              <w:rPr>
                <w:rFonts w:ascii="Calibri" w:hAnsi="Calibri"/>
                <w:lang w:eastAsia="en-AU"/>
              </w:rPr>
            </w:pPr>
            <w:r w:rsidRPr="00012E9B">
              <w:rPr>
                <w:rFonts w:ascii="Calibri" w:hAnsi="Calibri"/>
                <w:lang w:eastAsia="en-AU"/>
              </w:rPr>
              <w:t>Coal</w:t>
            </w:r>
          </w:p>
        </w:tc>
        <w:tc>
          <w:tcPr>
            <w:tcW w:w="8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-269</w:t>
            </w:r>
          </w:p>
        </w:tc>
        <w:tc>
          <w:tcPr>
            <w:tcW w:w="7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709</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-1 101</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302</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213</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65</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50</w:t>
            </w:r>
          </w:p>
        </w:tc>
        <w:tc>
          <w:tcPr>
            <w:tcW w:w="6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31</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1 370</w:t>
            </w:r>
          </w:p>
        </w:tc>
      </w:tr>
      <w:tr w:rsidR="00647BDC" w:rsidRPr="00755429" w:rsidTr="00D07581">
        <w:trPr>
          <w:trHeight w:val="315"/>
        </w:trPr>
        <w:tc>
          <w:tcPr>
            <w:tcW w:w="2120" w:type="dxa"/>
            <w:tcBorders>
              <w:top w:val="nil"/>
              <w:left w:val="nil"/>
              <w:bottom w:val="nil"/>
              <w:right w:val="nil"/>
            </w:tcBorders>
            <w:shd w:val="clear" w:color="auto" w:fill="auto"/>
            <w:noWrap/>
            <w:vAlign w:val="bottom"/>
            <w:hideMark/>
          </w:tcPr>
          <w:p w:rsidR="00647BDC" w:rsidRPr="00012E9B" w:rsidRDefault="00647BDC" w:rsidP="00D07581">
            <w:pPr>
              <w:pStyle w:val="CGCTableStub"/>
              <w:rPr>
                <w:rFonts w:ascii="Calibri" w:hAnsi="Calibri"/>
                <w:lang w:eastAsia="en-AU"/>
              </w:rPr>
            </w:pPr>
            <w:r w:rsidRPr="00012E9B">
              <w:rPr>
                <w:rFonts w:ascii="Calibri" w:hAnsi="Calibri"/>
                <w:lang w:eastAsia="en-AU"/>
              </w:rPr>
              <w:t>Gold</w:t>
            </w:r>
          </w:p>
        </w:tc>
        <w:tc>
          <w:tcPr>
            <w:tcW w:w="8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59</w:t>
            </w:r>
          </w:p>
        </w:tc>
        <w:tc>
          <w:tcPr>
            <w:tcW w:w="7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65</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39</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-174</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9</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4</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5</w:t>
            </w:r>
          </w:p>
        </w:tc>
        <w:tc>
          <w:tcPr>
            <w:tcW w:w="6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-7</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181</w:t>
            </w:r>
          </w:p>
        </w:tc>
      </w:tr>
      <w:tr w:rsidR="00647BDC" w:rsidRPr="00755429" w:rsidTr="00D07581">
        <w:trPr>
          <w:trHeight w:val="315"/>
        </w:trPr>
        <w:tc>
          <w:tcPr>
            <w:tcW w:w="2120" w:type="dxa"/>
            <w:tcBorders>
              <w:top w:val="nil"/>
              <w:left w:val="nil"/>
              <w:bottom w:val="nil"/>
              <w:right w:val="nil"/>
            </w:tcBorders>
            <w:shd w:val="clear" w:color="auto" w:fill="auto"/>
            <w:vAlign w:val="bottom"/>
            <w:hideMark/>
          </w:tcPr>
          <w:p w:rsidR="00647BDC" w:rsidRPr="00012E9B" w:rsidRDefault="00647BDC" w:rsidP="00D07581">
            <w:pPr>
              <w:pStyle w:val="CGCTableStub"/>
              <w:rPr>
                <w:rFonts w:ascii="Calibri" w:hAnsi="Calibri"/>
                <w:lang w:eastAsia="en-AU"/>
              </w:rPr>
            </w:pPr>
            <w:r w:rsidRPr="00012E9B">
              <w:rPr>
                <w:rFonts w:ascii="Calibri" w:hAnsi="Calibri"/>
                <w:lang w:eastAsia="en-AU"/>
              </w:rPr>
              <w:t>Onshore oil and gas (a)</w:t>
            </w:r>
          </w:p>
        </w:tc>
        <w:tc>
          <w:tcPr>
            <w:tcW w:w="80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6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86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86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0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0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70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66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c>
          <w:tcPr>
            <w:tcW w:w="820" w:type="dxa"/>
            <w:tcBorders>
              <w:top w:val="nil"/>
              <w:left w:val="nil"/>
              <w:bottom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w:t>
            </w:r>
          </w:p>
        </w:tc>
      </w:tr>
      <w:tr w:rsidR="00647BDC" w:rsidRPr="00755429" w:rsidTr="00D07581">
        <w:trPr>
          <w:trHeight w:val="315"/>
        </w:trPr>
        <w:tc>
          <w:tcPr>
            <w:tcW w:w="2120" w:type="dxa"/>
            <w:tcBorders>
              <w:top w:val="nil"/>
              <w:left w:val="nil"/>
              <w:bottom w:val="nil"/>
              <w:right w:val="nil"/>
            </w:tcBorders>
            <w:shd w:val="clear" w:color="auto" w:fill="auto"/>
            <w:noWrap/>
            <w:vAlign w:val="bottom"/>
            <w:hideMark/>
          </w:tcPr>
          <w:p w:rsidR="00647BDC" w:rsidRPr="00012E9B" w:rsidRDefault="00647BDC" w:rsidP="00D07581">
            <w:pPr>
              <w:pStyle w:val="CGCTableStub"/>
              <w:rPr>
                <w:rFonts w:ascii="Calibri" w:hAnsi="Calibri"/>
                <w:lang w:eastAsia="en-AU"/>
              </w:rPr>
            </w:pPr>
            <w:r w:rsidRPr="00012E9B">
              <w:rPr>
                <w:rFonts w:ascii="Calibri" w:hAnsi="Calibri"/>
                <w:lang w:eastAsia="en-AU"/>
              </w:rPr>
              <w:t>Copper</w:t>
            </w:r>
          </w:p>
        </w:tc>
        <w:tc>
          <w:tcPr>
            <w:tcW w:w="8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18</w:t>
            </w:r>
          </w:p>
        </w:tc>
        <w:tc>
          <w:tcPr>
            <w:tcW w:w="7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34</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-11</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-11</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-32</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w:t>
            </w:r>
          </w:p>
        </w:tc>
        <w:tc>
          <w:tcPr>
            <w:tcW w:w="6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55</w:t>
            </w:r>
          </w:p>
        </w:tc>
      </w:tr>
      <w:tr w:rsidR="00647BDC" w:rsidRPr="00755429" w:rsidTr="00D07581">
        <w:trPr>
          <w:trHeight w:val="315"/>
        </w:trPr>
        <w:tc>
          <w:tcPr>
            <w:tcW w:w="2120" w:type="dxa"/>
            <w:tcBorders>
              <w:top w:val="nil"/>
              <w:left w:val="nil"/>
              <w:bottom w:val="nil"/>
              <w:right w:val="nil"/>
            </w:tcBorders>
            <w:shd w:val="clear" w:color="auto" w:fill="auto"/>
            <w:noWrap/>
            <w:vAlign w:val="bottom"/>
            <w:hideMark/>
          </w:tcPr>
          <w:p w:rsidR="00647BDC" w:rsidRPr="00012E9B" w:rsidRDefault="00647BDC" w:rsidP="00D07581">
            <w:pPr>
              <w:pStyle w:val="CGCTableStub"/>
              <w:rPr>
                <w:rFonts w:ascii="Calibri" w:hAnsi="Calibri"/>
                <w:lang w:eastAsia="en-AU"/>
              </w:rPr>
            </w:pPr>
            <w:r w:rsidRPr="00012E9B">
              <w:rPr>
                <w:rFonts w:ascii="Calibri" w:hAnsi="Calibri"/>
                <w:lang w:eastAsia="en-AU"/>
              </w:rPr>
              <w:t>Bauxite</w:t>
            </w:r>
          </w:p>
        </w:tc>
        <w:tc>
          <w:tcPr>
            <w:tcW w:w="8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37</w:t>
            </w:r>
          </w:p>
        </w:tc>
        <w:tc>
          <w:tcPr>
            <w:tcW w:w="7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29</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-28</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-39</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8</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w:t>
            </w:r>
          </w:p>
        </w:tc>
        <w:tc>
          <w:tcPr>
            <w:tcW w:w="6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-11</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78</w:t>
            </w:r>
          </w:p>
        </w:tc>
      </w:tr>
      <w:tr w:rsidR="00647BDC" w:rsidRPr="00755429" w:rsidTr="00D07581">
        <w:trPr>
          <w:trHeight w:val="315"/>
        </w:trPr>
        <w:tc>
          <w:tcPr>
            <w:tcW w:w="2120" w:type="dxa"/>
            <w:tcBorders>
              <w:top w:val="nil"/>
              <w:left w:val="nil"/>
              <w:bottom w:val="nil"/>
              <w:right w:val="nil"/>
            </w:tcBorders>
            <w:shd w:val="clear" w:color="auto" w:fill="auto"/>
            <w:noWrap/>
            <w:vAlign w:val="bottom"/>
            <w:hideMark/>
          </w:tcPr>
          <w:p w:rsidR="00647BDC" w:rsidRPr="00012E9B" w:rsidRDefault="00647BDC" w:rsidP="00D07581">
            <w:pPr>
              <w:pStyle w:val="CGCTableStub"/>
              <w:rPr>
                <w:rFonts w:ascii="Calibri" w:hAnsi="Calibri"/>
                <w:lang w:eastAsia="en-AU"/>
              </w:rPr>
            </w:pPr>
            <w:r w:rsidRPr="00012E9B">
              <w:rPr>
                <w:rFonts w:ascii="Calibri" w:hAnsi="Calibri"/>
                <w:lang w:eastAsia="en-AU"/>
              </w:rPr>
              <w:t>Nickel</w:t>
            </w:r>
          </w:p>
        </w:tc>
        <w:tc>
          <w:tcPr>
            <w:tcW w:w="8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30</w:t>
            </w:r>
          </w:p>
        </w:tc>
        <w:tc>
          <w:tcPr>
            <w:tcW w:w="7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23</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19</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-83</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7</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2</w:t>
            </w:r>
          </w:p>
        </w:tc>
        <w:tc>
          <w:tcPr>
            <w:tcW w:w="6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83</w:t>
            </w:r>
          </w:p>
        </w:tc>
      </w:tr>
      <w:tr w:rsidR="00647BDC" w:rsidRPr="00755429" w:rsidTr="00D07581">
        <w:trPr>
          <w:trHeight w:val="315"/>
        </w:trPr>
        <w:tc>
          <w:tcPr>
            <w:tcW w:w="2120" w:type="dxa"/>
            <w:tcBorders>
              <w:top w:val="nil"/>
              <w:left w:val="nil"/>
              <w:bottom w:val="nil"/>
              <w:right w:val="nil"/>
            </w:tcBorders>
            <w:shd w:val="clear" w:color="auto" w:fill="auto"/>
            <w:noWrap/>
            <w:vAlign w:val="bottom"/>
            <w:hideMark/>
          </w:tcPr>
          <w:p w:rsidR="00647BDC" w:rsidRPr="00012E9B" w:rsidRDefault="00647BDC" w:rsidP="00D07581">
            <w:pPr>
              <w:pStyle w:val="CGCTableStub"/>
              <w:rPr>
                <w:rFonts w:ascii="Calibri" w:hAnsi="Calibri"/>
                <w:lang w:eastAsia="en-AU"/>
              </w:rPr>
            </w:pPr>
            <w:r w:rsidRPr="00012E9B">
              <w:rPr>
                <w:rFonts w:ascii="Calibri" w:hAnsi="Calibri"/>
                <w:lang w:eastAsia="en-AU"/>
              </w:rPr>
              <w:t>Other minerals (a)</w:t>
            </w:r>
          </w:p>
        </w:tc>
        <w:tc>
          <w:tcPr>
            <w:tcW w:w="8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187</w:t>
            </w:r>
          </w:p>
        </w:tc>
        <w:tc>
          <w:tcPr>
            <w:tcW w:w="7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130</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-144</w:t>
            </w:r>
          </w:p>
        </w:tc>
        <w:tc>
          <w:tcPr>
            <w:tcW w:w="8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-82</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-34</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w:t>
            </w:r>
          </w:p>
        </w:tc>
        <w:tc>
          <w:tcPr>
            <w:tcW w:w="70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11</w:t>
            </w:r>
          </w:p>
        </w:tc>
        <w:tc>
          <w:tcPr>
            <w:tcW w:w="66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-65</w:t>
            </w:r>
          </w:p>
        </w:tc>
        <w:tc>
          <w:tcPr>
            <w:tcW w:w="820" w:type="dxa"/>
            <w:tcBorders>
              <w:top w:val="nil"/>
              <w:left w:val="nil"/>
              <w:bottom w:val="nil"/>
              <w:right w:val="nil"/>
            </w:tcBorders>
            <w:shd w:val="clear" w:color="auto" w:fill="auto"/>
            <w:noWrap/>
            <w:vAlign w:val="bottom"/>
            <w:hideMark/>
          </w:tcPr>
          <w:p w:rsidR="00647BDC" w:rsidRPr="00755429" w:rsidRDefault="00647BDC" w:rsidP="00D07581">
            <w:pPr>
              <w:pStyle w:val="TableRowNormal"/>
              <w:rPr>
                <w:lang w:eastAsia="en-AU"/>
              </w:rPr>
            </w:pPr>
            <w:r w:rsidRPr="00755429">
              <w:rPr>
                <w:lang w:eastAsia="en-AU"/>
              </w:rPr>
              <w:t>328</w:t>
            </w:r>
          </w:p>
        </w:tc>
      </w:tr>
      <w:tr w:rsidR="00647BDC" w:rsidRPr="00755429" w:rsidTr="00D07581">
        <w:trPr>
          <w:trHeight w:val="555"/>
        </w:trPr>
        <w:tc>
          <w:tcPr>
            <w:tcW w:w="2120" w:type="dxa"/>
            <w:tcBorders>
              <w:top w:val="nil"/>
              <w:left w:val="nil"/>
              <w:right w:val="nil"/>
            </w:tcBorders>
            <w:shd w:val="clear" w:color="auto" w:fill="auto"/>
            <w:vAlign w:val="bottom"/>
            <w:hideMark/>
          </w:tcPr>
          <w:p w:rsidR="00647BDC" w:rsidRPr="00012E9B" w:rsidRDefault="00647BDC" w:rsidP="00D07581">
            <w:pPr>
              <w:pStyle w:val="CGCTableStub"/>
              <w:rPr>
                <w:rFonts w:ascii="Calibri" w:hAnsi="Calibri"/>
                <w:lang w:eastAsia="en-AU"/>
              </w:rPr>
            </w:pPr>
            <w:r w:rsidRPr="00012E9B">
              <w:rPr>
                <w:rFonts w:ascii="Calibri" w:hAnsi="Calibri"/>
                <w:lang w:eastAsia="en-AU"/>
              </w:rPr>
              <w:t>Grants in lieu of royalties</w:t>
            </w:r>
          </w:p>
        </w:tc>
        <w:tc>
          <w:tcPr>
            <w:tcW w:w="800"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359</w:t>
            </w:r>
          </w:p>
        </w:tc>
        <w:tc>
          <w:tcPr>
            <w:tcW w:w="760"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278</w:t>
            </w:r>
          </w:p>
        </w:tc>
        <w:tc>
          <w:tcPr>
            <w:tcW w:w="860"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225</w:t>
            </w:r>
          </w:p>
        </w:tc>
        <w:tc>
          <w:tcPr>
            <w:tcW w:w="860"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-993</w:t>
            </w:r>
          </w:p>
        </w:tc>
        <w:tc>
          <w:tcPr>
            <w:tcW w:w="700"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81</w:t>
            </w:r>
          </w:p>
        </w:tc>
        <w:tc>
          <w:tcPr>
            <w:tcW w:w="700"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25</w:t>
            </w:r>
          </w:p>
        </w:tc>
        <w:tc>
          <w:tcPr>
            <w:tcW w:w="700"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18</w:t>
            </w:r>
          </w:p>
        </w:tc>
        <w:tc>
          <w:tcPr>
            <w:tcW w:w="660"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6</w:t>
            </w:r>
          </w:p>
        </w:tc>
        <w:tc>
          <w:tcPr>
            <w:tcW w:w="820" w:type="dxa"/>
            <w:tcBorders>
              <w:top w:val="nil"/>
              <w:left w:val="nil"/>
              <w:right w:val="nil"/>
            </w:tcBorders>
            <w:shd w:val="clear" w:color="auto" w:fill="auto"/>
            <w:vAlign w:val="bottom"/>
            <w:hideMark/>
          </w:tcPr>
          <w:p w:rsidR="00647BDC" w:rsidRPr="00755429" w:rsidRDefault="00647BDC" w:rsidP="00D07581">
            <w:pPr>
              <w:pStyle w:val="TableRowNormal"/>
              <w:rPr>
                <w:lang w:eastAsia="en-AU"/>
              </w:rPr>
            </w:pPr>
            <w:r w:rsidRPr="00755429">
              <w:rPr>
                <w:lang w:eastAsia="en-AU"/>
              </w:rPr>
              <w:t>993</w:t>
            </w:r>
          </w:p>
        </w:tc>
      </w:tr>
      <w:tr w:rsidR="00647BDC" w:rsidRPr="00755429" w:rsidTr="00D07581">
        <w:trPr>
          <w:trHeight w:val="315"/>
        </w:trPr>
        <w:tc>
          <w:tcPr>
            <w:tcW w:w="2120" w:type="dxa"/>
            <w:tcBorders>
              <w:top w:val="nil"/>
              <w:left w:val="nil"/>
              <w:right w:val="nil"/>
            </w:tcBorders>
            <w:shd w:val="clear" w:color="auto" w:fill="auto"/>
            <w:noWrap/>
            <w:vAlign w:val="bottom"/>
          </w:tcPr>
          <w:p w:rsidR="00647BDC" w:rsidRPr="00012E9B" w:rsidRDefault="00647BDC" w:rsidP="00D07581">
            <w:pPr>
              <w:pStyle w:val="CGCTableStub"/>
              <w:rPr>
                <w:rFonts w:ascii="Calibri" w:hAnsi="Calibri"/>
                <w:lang w:eastAsia="en-AU"/>
              </w:rPr>
            </w:pPr>
            <w:r w:rsidRPr="00012E9B">
              <w:rPr>
                <w:rFonts w:ascii="Calibri" w:hAnsi="Calibri"/>
                <w:lang w:eastAsia="en-AU"/>
              </w:rPr>
              <w:t>Phase-in iron ore fines</w:t>
            </w:r>
          </w:p>
        </w:tc>
        <w:tc>
          <w:tcPr>
            <w:tcW w:w="800" w:type="dxa"/>
            <w:tcBorders>
              <w:top w:val="nil"/>
              <w:left w:val="nil"/>
              <w:bottom w:val="single" w:sz="4" w:space="0" w:color="auto"/>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-122</w:t>
            </w:r>
          </w:p>
        </w:tc>
        <w:tc>
          <w:tcPr>
            <w:tcW w:w="760" w:type="dxa"/>
            <w:tcBorders>
              <w:top w:val="nil"/>
              <w:left w:val="nil"/>
              <w:bottom w:val="single" w:sz="4" w:space="0" w:color="auto"/>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-95</w:t>
            </w:r>
          </w:p>
        </w:tc>
        <w:tc>
          <w:tcPr>
            <w:tcW w:w="860" w:type="dxa"/>
            <w:tcBorders>
              <w:top w:val="nil"/>
              <w:left w:val="nil"/>
              <w:bottom w:val="single" w:sz="4" w:space="0" w:color="auto"/>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-77</w:t>
            </w:r>
          </w:p>
        </w:tc>
        <w:tc>
          <w:tcPr>
            <w:tcW w:w="860" w:type="dxa"/>
            <w:tcBorders>
              <w:top w:val="nil"/>
              <w:left w:val="nil"/>
              <w:bottom w:val="single" w:sz="4" w:space="0" w:color="auto"/>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340</w:t>
            </w:r>
          </w:p>
        </w:tc>
        <w:tc>
          <w:tcPr>
            <w:tcW w:w="700" w:type="dxa"/>
            <w:tcBorders>
              <w:top w:val="nil"/>
              <w:left w:val="nil"/>
              <w:bottom w:val="single" w:sz="4" w:space="0" w:color="auto"/>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-28</w:t>
            </w:r>
          </w:p>
        </w:tc>
        <w:tc>
          <w:tcPr>
            <w:tcW w:w="700" w:type="dxa"/>
            <w:tcBorders>
              <w:top w:val="nil"/>
              <w:left w:val="nil"/>
              <w:bottom w:val="single" w:sz="4" w:space="0" w:color="auto"/>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-9</w:t>
            </w:r>
          </w:p>
        </w:tc>
        <w:tc>
          <w:tcPr>
            <w:tcW w:w="700" w:type="dxa"/>
            <w:tcBorders>
              <w:top w:val="nil"/>
              <w:left w:val="nil"/>
              <w:bottom w:val="single" w:sz="4" w:space="0" w:color="auto"/>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-6</w:t>
            </w:r>
          </w:p>
        </w:tc>
        <w:tc>
          <w:tcPr>
            <w:tcW w:w="660" w:type="dxa"/>
            <w:tcBorders>
              <w:top w:val="nil"/>
              <w:left w:val="nil"/>
              <w:bottom w:val="single" w:sz="4" w:space="0" w:color="auto"/>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-4</w:t>
            </w:r>
          </w:p>
        </w:tc>
        <w:tc>
          <w:tcPr>
            <w:tcW w:w="820" w:type="dxa"/>
            <w:tcBorders>
              <w:top w:val="nil"/>
              <w:left w:val="nil"/>
              <w:bottom w:val="single" w:sz="4" w:space="0" w:color="auto"/>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340</w:t>
            </w:r>
          </w:p>
        </w:tc>
      </w:tr>
      <w:tr w:rsidR="00647BDC" w:rsidRPr="00755429" w:rsidTr="00D07581">
        <w:trPr>
          <w:trHeight w:val="315"/>
        </w:trPr>
        <w:tc>
          <w:tcPr>
            <w:tcW w:w="2120" w:type="dxa"/>
            <w:tcBorders>
              <w:left w:val="nil"/>
              <w:right w:val="nil"/>
            </w:tcBorders>
            <w:shd w:val="clear" w:color="auto" w:fill="auto"/>
            <w:noWrap/>
            <w:vAlign w:val="bottom"/>
            <w:hideMark/>
          </w:tcPr>
          <w:p w:rsidR="00647BDC" w:rsidRPr="00012E9B" w:rsidRDefault="00647BDC" w:rsidP="00D07581">
            <w:pPr>
              <w:pStyle w:val="CGCTableStub"/>
              <w:rPr>
                <w:rFonts w:ascii="Calibri" w:hAnsi="Calibri"/>
                <w:lang w:eastAsia="en-AU"/>
              </w:rPr>
            </w:pPr>
            <w:r w:rsidRPr="00012E9B">
              <w:rPr>
                <w:rFonts w:ascii="Calibri" w:hAnsi="Calibri"/>
                <w:lang w:eastAsia="en-AU"/>
              </w:rPr>
              <w:t>Category ($m)</w:t>
            </w:r>
          </w:p>
        </w:tc>
        <w:tc>
          <w:tcPr>
            <w:tcW w:w="800" w:type="dxa"/>
            <w:tcBorders>
              <w:top w:val="single" w:sz="4" w:space="0" w:color="auto"/>
              <w:left w:val="nil"/>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1 544</w:t>
            </w:r>
          </w:p>
        </w:tc>
        <w:tc>
          <w:tcPr>
            <w:tcW w:w="760" w:type="dxa"/>
            <w:tcBorders>
              <w:top w:val="single" w:sz="4" w:space="0" w:color="auto"/>
              <w:left w:val="nil"/>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2 133</w:t>
            </w:r>
          </w:p>
        </w:tc>
        <w:tc>
          <w:tcPr>
            <w:tcW w:w="860" w:type="dxa"/>
            <w:tcBorders>
              <w:top w:val="single" w:sz="4" w:space="0" w:color="auto"/>
              <w:left w:val="nil"/>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-298</w:t>
            </w:r>
          </w:p>
        </w:tc>
        <w:tc>
          <w:tcPr>
            <w:tcW w:w="860" w:type="dxa"/>
            <w:tcBorders>
              <w:top w:val="single" w:sz="4" w:space="0" w:color="auto"/>
              <w:left w:val="nil"/>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-4 079</w:t>
            </w:r>
          </w:p>
        </w:tc>
        <w:tc>
          <w:tcPr>
            <w:tcW w:w="700" w:type="dxa"/>
            <w:tcBorders>
              <w:top w:val="single" w:sz="4" w:space="0" w:color="auto"/>
              <w:left w:val="nil"/>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418</w:t>
            </w:r>
          </w:p>
        </w:tc>
        <w:tc>
          <w:tcPr>
            <w:tcW w:w="700" w:type="dxa"/>
            <w:tcBorders>
              <w:top w:val="single" w:sz="4" w:space="0" w:color="auto"/>
              <w:left w:val="nil"/>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157</w:t>
            </w:r>
          </w:p>
        </w:tc>
        <w:tc>
          <w:tcPr>
            <w:tcW w:w="700" w:type="dxa"/>
            <w:tcBorders>
              <w:top w:val="single" w:sz="4" w:space="0" w:color="auto"/>
              <w:left w:val="nil"/>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148</w:t>
            </w:r>
          </w:p>
        </w:tc>
        <w:tc>
          <w:tcPr>
            <w:tcW w:w="660" w:type="dxa"/>
            <w:tcBorders>
              <w:top w:val="single" w:sz="4" w:space="0" w:color="auto"/>
              <w:left w:val="nil"/>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-22</w:t>
            </w:r>
          </w:p>
        </w:tc>
        <w:tc>
          <w:tcPr>
            <w:tcW w:w="820" w:type="dxa"/>
            <w:tcBorders>
              <w:top w:val="single" w:sz="4" w:space="0" w:color="auto"/>
              <w:left w:val="nil"/>
              <w:right w:val="nil"/>
            </w:tcBorders>
            <w:shd w:val="clear" w:color="auto" w:fill="auto"/>
            <w:noWrap/>
            <w:vAlign w:val="bottom"/>
          </w:tcPr>
          <w:p w:rsidR="00647BDC" w:rsidRPr="00755429" w:rsidRDefault="00647BDC" w:rsidP="00D07581">
            <w:pPr>
              <w:pStyle w:val="TableRowNormal"/>
              <w:rPr>
                <w:lang w:eastAsia="en-AU"/>
              </w:rPr>
            </w:pPr>
            <w:r w:rsidRPr="00F345AD">
              <w:rPr>
                <w:rFonts w:ascii="Calibri" w:eastAsia="Times New Roman" w:hAnsi="Calibri" w:cs="Times New Roman"/>
                <w:color w:val="000000"/>
                <w:lang w:eastAsia="en-AU"/>
              </w:rPr>
              <w:t>4 399</w:t>
            </w:r>
          </w:p>
        </w:tc>
      </w:tr>
      <w:tr w:rsidR="00647BDC" w:rsidRPr="00755429" w:rsidTr="00D07581">
        <w:trPr>
          <w:trHeight w:val="315"/>
        </w:trPr>
        <w:tc>
          <w:tcPr>
            <w:tcW w:w="2120" w:type="dxa"/>
            <w:tcBorders>
              <w:left w:val="nil"/>
              <w:bottom w:val="single" w:sz="4" w:space="0" w:color="auto"/>
              <w:right w:val="nil"/>
            </w:tcBorders>
            <w:shd w:val="clear" w:color="auto" w:fill="auto"/>
            <w:noWrap/>
            <w:vAlign w:val="bottom"/>
          </w:tcPr>
          <w:p w:rsidR="00647BDC" w:rsidRPr="00012E9B" w:rsidRDefault="00647BDC" w:rsidP="00D07581">
            <w:pPr>
              <w:pStyle w:val="CGCTableStub"/>
              <w:rPr>
                <w:rFonts w:ascii="Calibri" w:hAnsi="Calibri"/>
                <w:lang w:eastAsia="en-AU"/>
              </w:rPr>
            </w:pPr>
            <w:r w:rsidRPr="00012E9B">
              <w:rPr>
                <w:rFonts w:ascii="Calibri" w:hAnsi="Calibri"/>
                <w:lang w:eastAsia="en-AU"/>
              </w:rPr>
              <w:t>Category ($pc)</w:t>
            </w:r>
          </w:p>
        </w:tc>
        <w:tc>
          <w:tcPr>
            <w:tcW w:w="800" w:type="dxa"/>
            <w:tcBorders>
              <w:left w:val="nil"/>
              <w:bottom w:val="single" w:sz="4" w:space="0" w:color="auto"/>
              <w:right w:val="nil"/>
            </w:tcBorders>
            <w:shd w:val="clear" w:color="auto" w:fill="auto"/>
            <w:noWrap/>
            <w:vAlign w:val="bottom"/>
          </w:tcPr>
          <w:p w:rsidR="00647BDC" w:rsidRDefault="00647BDC" w:rsidP="00D07581">
            <w:pPr>
              <w:pStyle w:val="TableRowNormal"/>
              <w:rPr>
                <w:rFonts w:ascii="Calibri" w:eastAsia="Times New Roman" w:hAnsi="Calibri" w:cs="Times New Roman"/>
                <w:color w:val="000000"/>
                <w:lang w:eastAsia="en-AU"/>
              </w:rPr>
            </w:pPr>
            <w:r w:rsidRPr="00F345AD">
              <w:rPr>
                <w:rFonts w:ascii="Calibri" w:eastAsia="Times New Roman" w:hAnsi="Calibri" w:cs="Times New Roman"/>
                <w:color w:val="000000"/>
                <w:lang w:eastAsia="en-AU"/>
              </w:rPr>
              <w:t xml:space="preserve"> 210</w:t>
            </w:r>
          </w:p>
        </w:tc>
        <w:tc>
          <w:tcPr>
            <w:tcW w:w="760" w:type="dxa"/>
            <w:tcBorders>
              <w:left w:val="nil"/>
              <w:bottom w:val="single" w:sz="4" w:space="0" w:color="auto"/>
              <w:right w:val="nil"/>
            </w:tcBorders>
            <w:shd w:val="clear" w:color="auto" w:fill="auto"/>
            <w:noWrap/>
            <w:vAlign w:val="bottom"/>
          </w:tcPr>
          <w:p w:rsidR="00647BDC" w:rsidRDefault="00647BDC" w:rsidP="00D07581">
            <w:pPr>
              <w:pStyle w:val="TableRowNormal"/>
              <w:rPr>
                <w:rFonts w:ascii="Calibri" w:eastAsia="Times New Roman" w:hAnsi="Calibri" w:cs="Times New Roman"/>
                <w:color w:val="000000"/>
                <w:lang w:eastAsia="en-AU"/>
              </w:rPr>
            </w:pPr>
            <w:r w:rsidRPr="00F345AD">
              <w:rPr>
                <w:rFonts w:ascii="Calibri" w:eastAsia="Times New Roman" w:hAnsi="Calibri" w:cs="Times New Roman"/>
                <w:color w:val="000000"/>
                <w:lang w:eastAsia="en-AU"/>
              </w:rPr>
              <w:t xml:space="preserve"> 375</w:t>
            </w:r>
          </w:p>
        </w:tc>
        <w:tc>
          <w:tcPr>
            <w:tcW w:w="860" w:type="dxa"/>
            <w:tcBorders>
              <w:left w:val="nil"/>
              <w:bottom w:val="single" w:sz="4" w:space="0" w:color="auto"/>
              <w:right w:val="nil"/>
            </w:tcBorders>
            <w:shd w:val="clear" w:color="auto" w:fill="auto"/>
            <w:noWrap/>
            <w:vAlign w:val="bottom"/>
          </w:tcPr>
          <w:p w:rsidR="00647BDC" w:rsidRDefault="00647BDC" w:rsidP="00D07581">
            <w:pPr>
              <w:pStyle w:val="TableRowNormal"/>
              <w:rPr>
                <w:rFonts w:ascii="Calibri" w:eastAsia="Times New Roman" w:hAnsi="Calibri" w:cs="Times New Roman"/>
                <w:color w:val="000000"/>
                <w:lang w:eastAsia="en-AU"/>
              </w:rPr>
            </w:pPr>
            <w:r w:rsidRPr="00F345AD">
              <w:rPr>
                <w:rFonts w:ascii="Calibri" w:eastAsia="Times New Roman" w:hAnsi="Calibri" w:cs="Times New Roman"/>
                <w:color w:val="000000"/>
                <w:lang w:eastAsia="en-AU"/>
              </w:rPr>
              <w:t>-65</w:t>
            </w:r>
          </w:p>
        </w:tc>
        <w:tc>
          <w:tcPr>
            <w:tcW w:w="860" w:type="dxa"/>
            <w:tcBorders>
              <w:left w:val="nil"/>
              <w:bottom w:val="single" w:sz="4" w:space="0" w:color="auto"/>
              <w:right w:val="nil"/>
            </w:tcBorders>
            <w:shd w:val="clear" w:color="auto" w:fill="auto"/>
            <w:noWrap/>
            <w:vAlign w:val="bottom"/>
          </w:tcPr>
          <w:p w:rsidR="00647BDC" w:rsidRDefault="00647BDC" w:rsidP="005242B3">
            <w:pPr>
              <w:pStyle w:val="TableRowNormal"/>
              <w:rPr>
                <w:rFonts w:ascii="Calibri" w:eastAsia="Times New Roman" w:hAnsi="Calibri" w:cs="Times New Roman"/>
                <w:color w:val="000000"/>
                <w:lang w:eastAsia="en-AU"/>
              </w:rPr>
            </w:pPr>
            <w:r w:rsidRPr="00F345AD">
              <w:rPr>
                <w:rFonts w:ascii="Calibri" w:eastAsia="Times New Roman" w:hAnsi="Calibri" w:cs="Times New Roman"/>
                <w:color w:val="000000"/>
                <w:lang w:eastAsia="en-AU"/>
              </w:rPr>
              <w:t>-1 646</w:t>
            </w:r>
          </w:p>
        </w:tc>
        <w:tc>
          <w:tcPr>
            <w:tcW w:w="700" w:type="dxa"/>
            <w:tcBorders>
              <w:left w:val="nil"/>
              <w:bottom w:val="single" w:sz="4" w:space="0" w:color="auto"/>
              <w:right w:val="nil"/>
            </w:tcBorders>
            <w:shd w:val="clear" w:color="auto" w:fill="auto"/>
            <w:noWrap/>
            <w:vAlign w:val="bottom"/>
          </w:tcPr>
          <w:p w:rsidR="00647BDC" w:rsidRDefault="00647BDC" w:rsidP="00D07581">
            <w:pPr>
              <w:pStyle w:val="TableRowNormal"/>
              <w:rPr>
                <w:rFonts w:ascii="Calibri" w:eastAsia="Times New Roman" w:hAnsi="Calibri" w:cs="Times New Roman"/>
                <w:color w:val="000000"/>
                <w:lang w:eastAsia="en-AU"/>
              </w:rPr>
            </w:pPr>
            <w:r w:rsidRPr="00F345AD">
              <w:rPr>
                <w:rFonts w:ascii="Calibri" w:eastAsia="Times New Roman" w:hAnsi="Calibri" w:cs="Times New Roman"/>
                <w:color w:val="000000"/>
                <w:lang w:eastAsia="en-AU"/>
              </w:rPr>
              <w:t>251</w:t>
            </w:r>
          </w:p>
        </w:tc>
        <w:tc>
          <w:tcPr>
            <w:tcW w:w="700" w:type="dxa"/>
            <w:tcBorders>
              <w:left w:val="nil"/>
              <w:bottom w:val="single" w:sz="4" w:space="0" w:color="auto"/>
              <w:right w:val="nil"/>
            </w:tcBorders>
            <w:shd w:val="clear" w:color="auto" w:fill="auto"/>
            <w:noWrap/>
            <w:vAlign w:val="bottom"/>
          </w:tcPr>
          <w:p w:rsidR="00647BDC" w:rsidRDefault="00647BDC" w:rsidP="00D07581">
            <w:pPr>
              <w:pStyle w:val="TableRowNormal"/>
              <w:rPr>
                <w:rFonts w:ascii="Calibri" w:eastAsia="Times New Roman" w:hAnsi="Calibri" w:cs="Times New Roman"/>
                <w:color w:val="000000"/>
                <w:lang w:eastAsia="en-AU"/>
              </w:rPr>
            </w:pPr>
            <w:r w:rsidRPr="00F345AD">
              <w:rPr>
                <w:rFonts w:ascii="Calibri" w:eastAsia="Times New Roman" w:hAnsi="Calibri" w:cs="Times New Roman"/>
                <w:color w:val="000000"/>
                <w:lang w:eastAsia="en-AU"/>
              </w:rPr>
              <w:t>305</w:t>
            </w:r>
          </w:p>
        </w:tc>
        <w:tc>
          <w:tcPr>
            <w:tcW w:w="700" w:type="dxa"/>
            <w:tcBorders>
              <w:left w:val="nil"/>
              <w:bottom w:val="single" w:sz="4" w:space="0" w:color="auto"/>
              <w:right w:val="nil"/>
            </w:tcBorders>
            <w:shd w:val="clear" w:color="auto" w:fill="auto"/>
            <w:noWrap/>
            <w:vAlign w:val="bottom"/>
          </w:tcPr>
          <w:p w:rsidR="00647BDC" w:rsidRDefault="00647BDC" w:rsidP="00D07581">
            <w:pPr>
              <w:pStyle w:val="TableRowNormal"/>
              <w:rPr>
                <w:rFonts w:ascii="Calibri" w:eastAsia="Times New Roman" w:hAnsi="Calibri" w:cs="Times New Roman"/>
                <w:color w:val="000000"/>
                <w:lang w:eastAsia="en-AU"/>
              </w:rPr>
            </w:pPr>
            <w:r w:rsidRPr="00F345AD">
              <w:rPr>
                <w:rFonts w:ascii="Calibri" w:eastAsia="Times New Roman" w:hAnsi="Calibri" w:cs="Times New Roman"/>
                <w:color w:val="000000"/>
                <w:lang w:eastAsia="en-AU"/>
              </w:rPr>
              <w:t>390</w:t>
            </w:r>
          </w:p>
        </w:tc>
        <w:tc>
          <w:tcPr>
            <w:tcW w:w="660" w:type="dxa"/>
            <w:tcBorders>
              <w:left w:val="nil"/>
              <w:bottom w:val="single" w:sz="4" w:space="0" w:color="auto"/>
              <w:right w:val="nil"/>
            </w:tcBorders>
            <w:shd w:val="clear" w:color="auto" w:fill="auto"/>
            <w:noWrap/>
            <w:vAlign w:val="bottom"/>
          </w:tcPr>
          <w:p w:rsidR="00647BDC" w:rsidRDefault="00647BDC" w:rsidP="00D07581">
            <w:pPr>
              <w:pStyle w:val="TableRowNormal"/>
              <w:rPr>
                <w:rFonts w:ascii="Calibri" w:eastAsia="Times New Roman" w:hAnsi="Calibri" w:cs="Times New Roman"/>
                <w:color w:val="000000"/>
                <w:lang w:eastAsia="en-AU"/>
              </w:rPr>
            </w:pPr>
            <w:r w:rsidRPr="00F345AD">
              <w:rPr>
                <w:rFonts w:ascii="Calibri" w:eastAsia="Times New Roman" w:hAnsi="Calibri" w:cs="Times New Roman"/>
                <w:color w:val="000000"/>
                <w:lang w:eastAsia="en-AU"/>
              </w:rPr>
              <w:t>-91</w:t>
            </w:r>
          </w:p>
        </w:tc>
        <w:tc>
          <w:tcPr>
            <w:tcW w:w="820" w:type="dxa"/>
            <w:tcBorders>
              <w:left w:val="nil"/>
              <w:bottom w:val="single" w:sz="4" w:space="0" w:color="auto"/>
              <w:right w:val="nil"/>
            </w:tcBorders>
            <w:shd w:val="clear" w:color="auto" w:fill="auto"/>
            <w:noWrap/>
            <w:vAlign w:val="bottom"/>
          </w:tcPr>
          <w:p w:rsidR="00647BDC" w:rsidRDefault="00647BDC" w:rsidP="00D07581">
            <w:pPr>
              <w:pStyle w:val="TableRowNormal"/>
              <w:rPr>
                <w:rFonts w:ascii="Calibri" w:eastAsia="Times New Roman" w:hAnsi="Calibri" w:cs="Times New Roman"/>
                <w:color w:val="000000"/>
                <w:lang w:eastAsia="en-AU"/>
              </w:rPr>
            </w:pPr>
            <w:r w:rsidRPr="00F345AD">
              <w:rPr>
                <w:rFonts w:ascii="Calibri" w:eastAsia="Times New Roman" w:hAnsi="Calibri" w:cs="Times New Roman"/>
                <w:color w:val="000000"/>
                <w:lang w:eastAsia="en-AU"/>
              </w:rPr>
              <w:t xml:space="preserve"> 192</w:t>
            </w:r>
          </w:p>
        </w:tc>
      </w:tr>
    </w:tbl>
    <w:p w:rsidR="00647BDC" w:rsidRPr="00755429" w:rsidRDefault="00647BDC" w:rsidP="00647BDC">
      <w:pPr>
        <w:pStyle w:val="CGCTableFootnote"/>
        <w:keepNext/>
      </w:pPr>
      <w:r w:rsidRPr="00755429">
        <w:t xml:space="preserve">(a) </w:t>
      </w:r>
      <w:r w:rsidRPr="00755429">
        <w:tab/>
        <w:t>For confidentiality reasons we are not able to publish onshore oil and gas data. The combined result for onshore oil and gas and other minerals is shown as other minerals.</w:t>
      </w:r>
    </w:p>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Heading4"/>
      </w:pPr>
      <w:r>
        <w:t>Changes since the 2010 Review</w:t>
      </w:r>
    </w:p>
    <w:p w:rsidR="00647BDC" w:rsidRPr="00755429" w:rsidRDefault="00647BDC" w:rsidP="00647BDC">
      <w:pPr>
        <w:pStyle w:val="CGCNumberedPara"/>
        <w:numPr>
          <w:ilvl w:val="1"/>
          <w:numId w:val="2"/>
        </w:numPr>
      </w:pPr>
      <w:r w:rsidRPr="00755429">
        <w:t>The 2010 Review method assessed mining revenues in three components:</w:t>
      </w:r>
    </w:p>
    <w:p w:rsidR="00647BDC" w:rsidRPr="00755429" w:rsidRDefault="00647BDC" w:rsidP="00D07581">
      <w:pPr>
        <w:pStyle w:val="CGCBulletlist"/>
      </w:pPr>
      <w:r w:rsidRPr="00755429">
        <w:t>high royalty minerals — comprising onshore oil and gas, export coal, lump iron ore and bauxite</w:t>
      </w:r>
    </w:p>
    <w:p w:rsidR="00647BDC" w:rsidRPr="00755429" w:rsidRDefault="00647BDC" w:rsidP="00D07581">
      <w:pPr>
        <w:pStyle w:val="CGCBulletlist"/>
      </w:pPr>
      <w:r w:rsidRPr="00755429">
        <w:t>low royalty minerals — the remaining minerals</w:t>
      </w:r>
    </w:p>
    <w:p w:rsidR="00647BDC" w:rsidRPr="00755429" w:rsidRDefault="00647BDC" w:rsidP="00D07581">
      <w:pPr>
        <w:pStyle w:val="CGCBulletlist"/>
      </w:pPr>
      <w:proofErr w:type="gramStart"/>
      <w:r w:rsidRPr="00755429">
        <w:lastRenderedPageBreak/>
        <w:t>grants</w:t>
      </w:r>
      <w:proofErr w:type="gramEnd"/>
      <w:r w:rsidRPr="00755429">
        <w:t xml:space="preserve"> in lieu of royalties.</w:t>
      </w:r>
    </w:p>
    <w:p w:rsidR="00647BDC" w:rsidRPr="00755429" w:rsidRDefault="00647BDC" w:rsidP="00647BDC">
      <w:pPr>
        <w:pStyle w:val="CGCNumberedPara"/>
        <w:numPr>
          <w:ilvl w:val="1"/>
          <w:numId w:val="2"/>
        </w:numPr>
      </w:pPr>
      <w:r w:rsidRPr="00755429">
        <w:t>In the 2015 Review, we propose a mineral by mineral assessment with separate assessments of iron ore, coal, gold, onshore oil and gas, copper, bauxite, nickel and ‘all other minerals’. We propose to continue to assess grants in lieu of royalties on an actual per capita basis in a separate component.</w:t>
      </w:r>
    </w:p>
    <w:p w:rsidR="00647BDC" w:rsidRPr="00A2375E" w:rsidRDefault="00647BDC" w:rsidP="00647BDC">
      <w:pPr>
        <w:pStyle w:val="CGCNumberedPara"/>
        <w:numPr>
          <w:ilvl w:val="1"/>
          <w:numId w:val="2"/>
        </w:numPr>
      </w:pPr>
      <w:r w:rsidRPr="00A2375E">
        <w:t>Subject to consultation we propose to phase in the full impact on GST shares of</w:t>
      </w:r>
      <w:r w:rsidRPr="00A2375E">
        <w:rPr>
          <w:sz w:val="23"/>
          <w:szCs w:val="23"/>
        </w:rPr>
        <w:t xml:space="preserve"> increases in the effective rate of royalty on iron ore fines previously excluded from assessment by update terms of reference. This phasing would commence in 2015-16. </w:t>
      </w:r>
    </w:p>
    <w:p w:rsidR="00647BDC" w:rsidRPr="00755429" w:rsidRDefault="00647BDC" w:rsidP="00647BDC">
      <w:pPr>
        <w:pStyle w:val="CGCNumberedPara"/>
        <w:numPr>
          <w:ilvl w:val="0"/>
          <w:numId w:val="0"/>
        </w:numPr>
        <w:ind w:left="567" w:hanging="567"/>
      </w:pPr>
    </w:p>
    <w:p w:rsidR="00647BDC" w:rsidRPr="00755429" w:rsidRDefault="00647BDC" w:rsidP="00647BDC">
      <w:pPr>
        <w:pStyle w:val="Heading2"/>
        <w:sectPr w:rsidR="00647BDC" w:rsidRPr="00755429" w:rsidSect="00D07581">
          <w:footerReference w:type="default" r:id="rId21"/>
          <w:footerReference w:type="first" r:id="rId22"/>
          <w:footnotePr>
            <w:numRestart w:val="eachSect"/>
          </w:footnotePr>
          <w:pgSz w:w="11906" w:h="16838" w:code="9"/>
          <w:pgMar w:top="1701" w:right="1474" w:bottom="1701" w:left="1474" w:header="709" w:footer="709" w:gutter="0"/>
          <w:cols w:space="708"/>
          <w:titlePg/>
          <w:docGrid w:linePitch="360"/>
        </w:sectPr>
      </w:pPr>
    </w:p>
    <w:p w:rsidR="00647BDC" w:rsidRPr="00755429" w:rsidRDefault="00647BDC" w:rsidP="00647BDC">
      <w:pPr>
        <w:pStyle w:val="Heading1"/>
        <w:spacing w:before="1600"/>
      </w:pPr>
      <w:bookmarkStart w:id="147" w:name="_Toc390955844"/>
      <w:r>
        <w:lastRenderedPageBreak/>
        <w:t>ATTACHMENT</w:t>
      </w:r>
      <w:r w:rsidRPr="00755429">
        <w:t xml:space="preserve"> 8</w:t>
      </w:r>
      <w:bookmarkEnd w:id="147"/>
    </w:p>
    <w:p w:rsidR="00647BDC" w:rsidRPr="00755429" w:rsidRDefault="00647BDC" w:rsidP="00647BDC">
      <w:pPr>
        <w:pStyle w:val="Heading2"/>
      </w:pPr>
      <w:bookmarkStart w:id="148" w:name="_Toc390955845"/>
      <w:r w:rsidRPr="00755429">
        <w:rPr>
          <w:caps w:val="0"/>
        </w:rPr>
        <w:t>OTHER REVENUE</w:t>
      </w:r>
      <w:bookmarkEnd w:id="148"/>
    </w:p>
    <w:tbl>
      <w:tblPr>
        <w:tblStyle w:val="TableGrid"/>
        <w:tblW w:w="0" w:type="auto"/>
        <w:tblLook w:val="04A0" w:firstRow="1" w:lastRow="0" w:firstColumn="1" w:lastColumn="0" w:noHBand="0" w:noVBand="1"/>
      </w:tblPr>
      <w:tblGrid>
        <w:gridCol w:w="9167"/>
      </w:tblGrid>
      <w:tr w:rsidR="00647BDC" w:rsidRPr="00755429" w:rsidTr="00D07581">
        <w:tc>
          <w:tcPr>
            <w:tcW w:w="9167" w:type="dxa"/>
            <w:tcBorders>
              <w:top w:val="nil"/>
              <w:left w:val="nil"/>
              <w:bottom w:val="nil"/>
              <w:right w:val="nil"/>
            </w:tcBorders>
            <w:shd w:val="clear" w:color="auto" w:fill="D9F3E6"/>
          </w:tcPr>
          <w:p w:rsidR="00647BDC" w:rsidRPr="00755429" w:rsidRDefault="00647BDC" w:rsidP="00D07581">
            <w:pPr>
              <w:pStyle w:val="ListParagraph"/>
              <w:ind w:left="0"/>
              <w:rPr>
                <w:b/>
              </w:rPr>
            </w:pPr>
            <w:r w:rsidRPr="00755429">
              <w:rPr>
                <w:b/>
              </w:rPr>
              <w:t>Summary of changes since the 2010 Review</w:t>
            </w:r>
          </w:p>
          <w:p w:rsidR="00647BDC" w:rsidRPr="00755429" w:rsidRDefault="00647BDC" w:rsidP="00D07581">
            <w:pPr>
              <w:pStyle w:val="CGCBulletlist"/>
            </w:pPr>
            <w:r w:rsidRPr="00755429">
              <w:t>The assessment method is unchanged. Revenue from fire and emergency levies ha</w:t>
            </w:r>
            <w:r>
              <w:t>s</w:t>
            </w:r>
            <w:r w:rsidRPr="00755429">
              <w:t xml:space="preserve"> been moved from this category to the Land tax, Insurance tax and Motor taxes categories. </w:t>
            </w:r>
          </w:p>
        </w:tc>
      </w:tr>
    </w:tbl>
    <w:p w:rsidR="00647BDC" w:rsidRDefault="00647BDC" w:rsidP="00647BDC">
      <w:pPr>
        <w:pStyle w:val="Heading3"/>
      </w:pPr>
      <w:bookmarkStart w:id="149" w:name="_Toc390955846"/>
      <w:r>
        <w:t>What is included in the other revenue category?</w:t>
      </w:r>
      <w:bookmarkEnd w:id="149"/>
    </w:p>
    <w:p w:rsidR="00647BDC" w:rsidRPr="00755429" w:rsidRDefault="00647BDC" w:rsidP="00647BDC">
      <w:pPr>
        <w:pStyle w:val="CGCNumberedPara"/>
        <w:numPr>
          <w:ilvl w:val="1"/>
          <w:numId w:val="17"/>
        </w:numPr>
      </w:pPr>
      <w:r w:rsidRPr="00755429">
        <w:t>The Other revenue category is a residual revenue category. It includes revenues for which:</w:t>
      </w:r>
    </w:p>
    <w:p w:rsidR="00647BDC" w:rsidRPr="00755429" w:rsidRDefault="00647BDC" w:rsidP="00D07581">
      <w:pPr>
        <w:pStyle w:val="CGCBulletlist"/>
      </w:pPr>
      <w:r w:rsidRPr="00755429">
        <w:t>a conceptual case for a differential assessment does not exist</w:t>
      </w:r>
    </w:p>
    <w:p w:rsidR="00647BDC" w:rsidRPr="00755429" w:rsidRDefault="00647BDC" w:rsidP="00D07581">
      <w:pPr>
        <w:pStyle w:val="CGCBulletlist"/>
      </w:pPr>
      <w:r w:rsidRPr="00755429">
        <w:t xml:space="preserve">data to support a reliable assessment method is not available or </w:t>
      </w:r>
    </w:p>
    <w:p w:rsidR="00647BDC" w:rsidRPr="00755429" w:rsidRDefault="00647BDC" w:rsidP="00D07581">
      <w:pPr>
        <w:pStyle w:val="CGCBulletlist"/>
      </w:pPr>
      <w:proofErr w:type="gramStart"/>
      <w:r w:rsidRPr="00755429">
        <w:t>a</w:t>
      </w:r>
      <w:proofErr w:type="gramEnd"/>
      <w:r w:rsidRPr="00755429">
        <w:t xml:space="preserve"> differential assessment would not have a material effect on State GST requirements. </w:t>
      </w:r>
    </w:p>
    <w:p w:rsidR="00647BDC" w:rsidRPr="00755429" w:rsidRDefault="00647BDC" w:rsidP="00647BDC">
      <w:pPr>
        <w:pStyle w:val="CGCNumberedPara"/>
        <w:numPr>
          <w:ilvl w:val="1"/>
          <w:numId w:val="2"/>
        </w:numPr>
      </w:pPr>
      <w:r w:rsidRPr="00755429">
        <w:t>The category covers the revenues that are left after those which are assessed differentially have been identified and classified to specific revenue categories.</w:t>
      </w:r>
    </w:p>
    <w:p w:rsidR="00647BDC" w:rsidRPr="00755429" w:rsidRDefault="00647BDC" w:rsidP="00647BDC">
      <w:pPr>
        <w:pStyle w:val="CGCNumberedPara"/>
        <w:numPr>
          <w:ilvl w:val="1"/>
          <w:numId w:val="2"/>
        </w:numPr>
      </w:pPr>
      <w:r w:rsidRPr="00755429">
        <w:t>The revenues include:</w:t>
      </w:r>
    </w:p>
    <w:p w:rsidR="00647BDC" w:rsidRPr="00755429" w:rsidRDefault="00647BDC" w:rsidP="00D07581">
      <w:pPr>
        <w:pStyle w:val="CGCBulletlist"/>
      </w:pPr>
      <w:r w:rsidRPr="00755429">
        <w:t>taxes that are to be abolished under the Intergovernmental Agreement and are not differentially assessed</w:t>
      </w:r>
    </w:p>
    <w:p w:rsidR="00647BDC" w:rsidRPr="00755429" w:rsidRDefault="00647BDC" w:rsidP="00D07581">
      <w:pPr>
        <w:pStyle w:val="CGCBulletlist"/>
      </w:pPr>
      <w:r w:rsidRPr="00755429">
        <w:t>gambling revenue</w:t>
      </w:r>
    </w:p>
    <w:p w:rsidR="00647BDC" w:rsidRPr="00755429" w:rsidRDefault="00647BDC" w:rsidP="00D07581">
      <w:pPr>
        <w:pStyle w:val="CGCBulletlist"/>
      </w:pPr>
      <w:r w:rsidRPr="00755429">
        <w:t>fees and fines</w:t>
      </w:r>
    </w:p>
    <w:p w:rsidR="00647BDC" w:rsidRPr="00755429" w:rsidRDefault="00647BDC" w:rsidP="00D07581">
      <w:pPr>
        <w:pStyle w:val="CGCBulletlist"/>
      </w:pPr>
      <w:r w:rsidRPr="00755429">
        <w:t>user charges (such as property titles user charges and public safety user charges) but not those associated with admitted patients, housing and functions usually performed by public trading enterprises</w:t>
      </w:r>
    </w:p>
    <w:p w:rsidR="00647BDC" w:rsidRPr="00755429" w:rsidRDefault="00647BDC" w:rsidP="00D07581">
      <w:pPr>
        <w:pStyle w:val="CGCBulletlist"/>
      </w:pPr>
      <w:r w:rsidRPr="00755429">
        <w:t>contributions by trading enterprises</w:t>
      </w:r>
    </w:p>
    <w:p w:rsidR="00647BDC" w:rsidRPr="00755429" w:rsidRDefault="00647BDC" w:rsidP="00D07581">
      <w:pPr>
        <w:pStyle w:val="CGCBulletlist"/>
      </w:pPr>
      <w:proofErr w:type="gramStart"/>
      <w:r w:rsidRPr="00755429">
        <w:t>interest</w:t>
      </w:r>
      <w:proofErr w:type="gramEnd"/>
      <w:r w:rsidRPr="00755429">
        <w:t xml:space="preserve"> and dividend income.</w:t>
      </w:r>
    </w:p>
    <w:p w:rsidR="00647BDC" w:rsidRPr="00755429" w:rsidRDefault="00647BDC" w:rsidP="00647BDC">
      <w:pPr>
        <w:pStyle w:val="CGCNumberedPara"/>
        <w:numPr>
          <w:ilvl w:val="1"/>
          <w:numId w:val="2"/>
        </w:numPr>
      </w:pPr>
      <w:r w:rsidRPr="00755429">
        <w:fldChar w:fldCharType="begin"/>
      </w:r>
      <w:r w:rsidRPr="00755429">
        <w:instrText xml:space="preserve"> REF _Ref389636954 \h </w:instrText>
      </w:r>
      <w:r>
        <w:instrText xml:space="preserve"> \* MERGEFORMAT </w:instrText>
      </w:r>
      <w:r w:rsidRPr="00755429">
        <w:fldChar w:fldCharType="separate"/>
      </w:r>
      <w:r w:rsidR="005B69B1" w:rsidRPr="00755429">
        <w:t xml:space="preserve">Table </w:t>
      </w:r>
      <w:r w:rsidR="005B69B1">
        <w:rPr>
          <w:noProof/>
        </w:rPr>
        <w:t>1</w:t>
      </w:r>
      <w:r w:rsidRPr="00755429">
        <w:fldChar w:fldCharType="end"/>
      </w:r>
      <w:r w:rsidRPr="00755429">
        <w:t xml:space="preserve"> shows States raised $</w:t>
      </w:r>
      <w:r>
        <w:t>43.1</w:t>
      </w:r>
      <w:r w:rsidRPr="00755429">
        <w:t xml:space="preserve"> billion from other revenues in 2012</w:t>
      </w:r>
      <w:r>
        <w:t>-</w:t>
      </w:r>
      <w:r w:rsidRPr="00755429">
        <w:t>13.</w:t>
      </w:r>
    </w:p>
    <w:p w:rsidR="00647BDC" w:rsidRPr="00755429" w:rsidRDefault="00647BDC" w:rsidP="00647BDC">
      <w:pPr>
        <w:pStyle w:val="CGCTableHeading"/>
      </w:pPr>
      <w:bookmarkStart w:id="150" w:name="_Ref389126817"/>
      <w:bookmarkStart w:id="151" w:name="_Ref389636954"/>
      <w:r w:rsidRPr="00755429">
        <w:lastRenderedPageBreak/>
        <w:t xml:space="preserve">Table </w:t>
      </w:r>
      <w:bookmarkEnd w:id="150"/>
      <w:r w:rsidRPr="00755429">
        <w:fldChar w:fldCharType="begin"/>
      </w:r>
      <w:r w:rsidRPr="00755429">
        <w:instrText xml:space="preserve"> SEQ Table \* ARABIC \r1 </w:instrText>
      </w:r>
      <w:r w:rsidRPr="00755429">
        <w:fldChar w:fldCharType="separate"/>
      </w:r>
      <w:r w:rsidR="005B69B1">
        <w:rPr>
          <w:noProof/>
        </w:rPr>
        <w:t>1</w:t>
      </w:r>
      <w:r w:rsidRPr="00755429">
        <w:fldChar w:fldCharType="end"/>
      </w:r>
      <w:bookmarkEnd w:id="151"/>
      <w:r w:rsidRPr="00755429">
        <w:tab/>
        <w:t>Other revenue, 2012</w:t>
      </w:r>
      <w:r>
        <w:t>-</w:t>
      </w:r>
      <w:r w:rsidRPr="00755429">
        <w:t>13</w:t>
      </w:r>
    </w:p>
    <w:tbl>
      <w:tblPr>
        <w:tblW w:w="8940" w:type="dxa"/>
        <w:tblLayout w:type="fixed"/>
        <w:tblCellMar>
          <w:left w:w="0" w:type="dxa"/>
          <w:right w:w="0" w:type="dxa"/>
        </w:tblCellMar>
        <w:tblLook w:val="04A0" w:firstRow="1" w:lastRow="0" w:firstColumn="1" w:lastColumn="0" w:noHBand="0" w:noVBand="1"/>
      </w:tblPr>
      <w:tblGrid>
        <w:gridCol w:w="2440"/>
        <w:gridCol w:w="820"/>
        <w:gridCol w:w="820"/>
        <w:gridCol w:w="720"/>
        <w:gridCol w:w="720"/>
        <w:gridCol w:w="720"/>
        <w:gridCol w:w="580"/>
        <w:gridCol w:w="720"/>
        <w:gridCol w:w="580"/>
        <w:gridCol w:w="820"/>
      </w:tblGrid>
      <w:tr w:rsidR="00647BDC" w:rsidRPr="00FF2F98" w:rsidTr="00D07581">
        <w:trPr>
          <w:trHeight w:val="379"/>
        </w:trPr>
        <w:tc>
          <w:tcPr>
            <w:tcW w:w="244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NSW</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Vic</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Qld</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WA</w:t>
            </w:r>
          </w:p>
        </w:tc>
        <w:tc>
          <w:tcPr>
            <w:tcW w:w="72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SA</w:t>
            </w:r>
          </w:p>
        </w:tc>
        <w:tc>
          <w:tcPr>
            <w:tcW w:w="58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FF2F98">
              <w:rPr>
                <w:rFonts w:ascii="Calibri" w:eastAsia="Times New Roman" w:hAnsi="Calibri" w:cs="Times New Roman"/>
                <w:sz w:val="20"/>
                <w:szCs w:val="20"/>
                <w:lang w:eastAsia="en-AU"/>
              </w:rPr>
              <w:t>Tas</w:t>
            </w:r>
            <w:proofErr w:type="spellEnd"/>
          </w:p>
        </w:tc>
        <w:tc>
          <w:tcPr>
            <w:tcW w:w="72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ACT</w:t>
            </w:r>
          </w:p>
        </w:tc>
        <w:tc>
          <w:tcPr>
            <w:tcW w:w="58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Total</w:t>
            </w:r>
          </w:p>
        </w:tc>
      </w:tr>
      <w:tr w:rsidR="00647BDC" w:rsidRPr="00FF2F98" w:rsidTr="00D07581">
        <w:trPr>
          <w:trHeight w:val="259"/>
        </w:trPr>
        <w:tc>
          <w:tcPr>
            <w:tcW w:w="244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$m</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$m</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$m</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$m</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$m</w:t>
            </w:r>
          </w:p>
        </w:tc>
        <w:tc>
          <w:tcPr>
            <w:tcW w:w="58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$m</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$m</w:t>
            </w:r>
          </w:p>
        </w:tc>
        <w:tc>
          <w:tcPr>
            <w:tcW w:w="58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$m</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$m</w:t>
            </w:r>
          </w:p>
        </w:tc>
      </w:tr>
      <w:tr w:rsidR="00647BDC" w:rsidRPr="00FF2F98" w:rsidTr="00D07581">
        <w:trPr>
          <w:trHeight w:val="315"/>
        </w:trPr>
        <w:tc>
          <w:tcPr>
            <w:tcW w:w="2440" w:type="dxa"/>
            <w:tcBorders>
              <w:top w:val="nil"/>
              <w:left w:val="nil"/>
              <w:bottom w:val="nil"/>
              <w:right w:val="nil"/>
            </w:tcBorders>
            <w:shd w:val="clear" w:color="auto" w:fill="auto"/>
            <w:vAlign w:val="bottom"/>
            <w:hideMark/>
          </w:tcPr>
          <w:p w:rsidR="00647BDC" w:rsidRPr="00FF2F98"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Gambling revenue</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1 873</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1 745</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1 034</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218</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421</w:t>
            </w:r>
          </w:p>
        </w:tc>
        <w:tc>
          <w:tcPr>
            <w:tcW w:w="58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93</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54</w:t>
            </w:r>
          </w:p>
        </w:tc>
        <w:tc>
          <w:tcPr>
            <w:tcW w:w="58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55</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5 493</w:t>
            </w:r>
          </w:p>
        </w:tc>
      </w:tr>
      <w:tr w:rsidR="00647BDC" w:rsidRPr="00FF2F98" w:rsidTr="00D07581">
        <w:trPr>
          <w:trHeight w:val="315"/>
        </w:trPr>
        <w:tc>
          <w:tcPr>
            <w:tcW w:w="2440" w:type="dxa"/>
            <w:tcBorders>
              <w:top w:val="nil"/>
              <w:left w:val="nil"/>
              <w:bottom w:val="nil"/>
              <w:right w:val="nil"/>
            </w:tcBorders>
            <w:shd w:val="clear" w:color="auto" w:fill="auto"/>
            <w:vAlign w:val="bottom"/>
            <w:hideMark/>
          </w:tcPr>
          <w:p w:rsidR="00647BDC" w:rsidRPr="00FF2F98"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Fees and fines</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499</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700</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401</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157</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102</w:t>
            </w:r>
          </w:p>
        </w:tc>
        <w:tc>
          <w:tcPr>
            <w:tcW w:w="58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20</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28</w:t>
            </w:r>
          </w:p>
        </w:tc>
        <w:tc>
          <w:tcPr>
            <w:tcW w:w="58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13</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1 920</w:t>
            </w:r>
          </w:p>
        </w:tc>
      </w:tr>
      <w:tr w:rsidR="00647BDC" w:rsidRPr="00FF2F98" w:rsidTr="00D07581">
        <w:trPr>
          <w:trHeight w:val="315"/>
        </w:trPr>
        <w:tc>
          <w:tcPr>
            <w:tcW w:w="2440" w:type="dxa"/>
            <w:tcBorders>
              <w:top w:val="nil"/>
              <w:left w:val="nil"/>
              <w:bottom w:val="nil"/>
              <w:right w:val="nil"/>
            </w:tcBorders>
            <w:shd w:val="clear" w:color="auto" w:fill="auto"/>
            <w:vAlign w:val="bottom"/>
            <w:hideMark/>
          </w:tcPr>
          <w:p w:rsidR="00647BDC" w:rsidRPr="00FF2F98"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Other user charges</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3 611</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4 428</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3 268</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1 755</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890</w:t>
            </w:r>
          </w:p>
        </w:tc>
        <w:tc>
          <w:tcPr>
            <w:tcW w:w="58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268</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300</w:t>
            </w:r>
          </w:p>
        </w:tc>
        <w:tc>
          <w:tcPr>
            <w:tcW w:w="58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145</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14 665</w:t>
            </w:r>
          </w:p>
        </w:tc>
      </w:tr>
      <w:tr w:rsidR="00647BDC" w:rsidRPr="00FF2F98" w:rsidTr="00D07581">
        <w:trPr>
          <w:trHeight w:val="555"/>
        </w:trPr>
        <w:tc>
          <w:tcPr>
            <w:tcW w:w="2440" w:type="dxa"/>
            <w:tcBorders>
              <w:top w:val="nil"/>
              <w:left w:val="nil"/>
              <w:bottom w:val="nil"/>
              <w:right w:val="nil"/>
            </w:tcBorders>
            <w:shd w:val="clear" w:color="auto" w:fill="auto"/>
            <w:vAlign w:val="bottom"/>
            <w:hideMark/>
          </w:tcPr>
          <w:p w:rsidR="00647BDC" w:rsidRPr="00FF2F98"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Contributions by trading enterprises</w:t>
            </w:r>
          </w:p>
        </w:tc>
        <w:tc>
          <w:tcPr>
            <w:tcW w:w="820" w:type="dxa"/>
            <w:tcBorders>
              <w:top w:val="nil"/>
              <w:left w:val="nil"/>
              <w:bottom w:val="nil"/>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954</w:t>
            </w:r>
          </w:p>
        </w:tc>
        <w:tc>
          <w:tcPr>
            <w:tcW w:w="820" w:type="dxa"/>
            <w:tcBorders>
              <w:top w:val="nil"/>
              <w:left w:val="nil"/>
              <w:bottom w:val="nil"/>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174</w:t>
            </w:r>
          </w:p>
        </w:tc>
        <w:tc>
          <w:tcPr>
            <w:tcW w:w="720" w:type="dxa"/>
            <w:tcBorders>
              <w:top w:val="nil"/>
              <w:left w:val="nil"/>
              <w:bottom w:val="nil"/>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291</w:t>
            </w:r>
          </w:p>
        </w:tc>
        <w:tc>
          <w:tcPr>
            <w:tcW w:w="720" w:type="dxa"/>
            <w:tcBorders>
              <w:top w:val="nil"/>
              <w:left w:val="nil"/>
              <w:bottom w:val="nil"/>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378</w:t>
            </w:r>
          </w:p>
        </w:tc>
        <w:tc>
          <w:tcPr>
            <w:tcW w:w="720" w:type="dxa"/>
            <w:tcBorders>
              <w:top w:val="nil"/>
              <w:left w:val="nil"/>
              <w:bottom w:val="nil"/>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157</w:t>
            </w:r>
          </w:p>
        </w:tc>
        <w:tc>
          <w:tcPr>
            <w:tcW w:w="580" w:type="dxa"/>
            <w:tcBorders>
              <w:top w:val="nil"/>
              <w:left w:val="nil"/>
              <w:bottom w:val="nil"/>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133</w:t>
            </w:r>
          </w:p>
        </w:tc>
        <w:tc>
          <w:tcPr>
            <w:tcW w:w="720" w:type="dxa"/>
            <w:tcBorders>
              <w:top w:val="nil"/>
              <w:left w:val="nil"/>
              <w:bottom w:val="nil"/>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84</w:t>
            </w:r>
          </w:p>
        </w:tc>
        <w:tc>
          <w:tcPr>
            <w:tcW w:w="580" w:type="dxa"/>
            <w:tcBorders>
              <w:top w:val="nil"/>
              <w:left w:val="nil"/>
              <w:bottom w:val="nil"/>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15</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2 186</w:t>
            </w:r>
          </w:p>
        </w:tc>
      </w:tr>
      <w:tr w:rsidR="00647BDC" w:rsidRPr="00FF2F98" w:rsidTr="00D07581">
        <w:trPr>
          <w:trHeight w:val="315"/>
        </w:trPr>
        <w:tc>
          <w:tcPr>
            <w:tcW w:w="2440" w:type="dxa"/>
            <w:tcBorders>
              <w:top w:val="nil"/>
              <w:left w:val="nil"/>
              <w:right w:val="nil"/>
            </w:tcBorders>
            <w:shd w:val="clear" w:color="auto" w:fill="auto"/>
            <w:vAlign w:val="bottom"/>
          </w:tcPr>
          <w:p w:rsidR="00647BDC" w:rsidRPr="00FF2F98"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Interest and dividend income</w:t>
            </w:r>
          </w:p>
        </w:tc>
        <w:tc>
          <w:tcPr>
            <w:tcW w:w="820" w:type="dxa"/>
            <w:tcBorders>
              <w:top w:val="nil"/>
              <w:left w:val="nil"/>
              <w:right w:val="nil"/>
            </w:tcBorders>
            <w:shd w:val="clear" w:color="auto" w:fill="auto"/>
            <w:noWrap/>
            <w:vAlign w:val="bottom"/>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2 709</w:t>
            </w:r>
          </w:p>
        </w:tc>
        <w:tc>
          <w:tcPr>
            <w:tcW w:w="820" w:type="dxa"/>
            <w:tcBorders>
              <w:top w:val="nil"/>
              <w:left w:val="nil"/>
              <w:right w:val="nil"/>
            </w:tcBorders>
            <w:shd w:val="clear" w:color="auto" w:fill="auto"/>
            <w:noWrap/>
            <w:vAlign w:val="bottom"/>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1 845</w:t>
            </w:r>
          </w:p>
        </w:tc>
        <w:tc>
          <w:tcPr>
            <w:tcW w:w="720" w:type="dxa"/>
            <w:tcBorders>
              <w:top w:val="nil"/>
              <w:left w:val="nil"/>
              <w:right w:val="nil"/>
            </w:tcBorders>
            <w:shd w:val="clear" w:color="auto" w:fill="auto"/>
            <w:noWrap/>
            <w:vAlign w:val="bottom"/>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3 700</w:t>
            </w:r>
          </w:p>
        </w:tc>
        <w:tc>
          <w:tcPr>
            <w:tcW w:w="720" w:type="dxa"/>
            <w:tcBorders>
              <w:top w:val="nil"/>
              <w:left w:val="nil"/>
              <w:right w:val="nil"/>
            </w:tcBorders>
            <w:shd w:val="clear" w:color="auto" w:fill="auto"/>
            <w:noWrap/>
            <w:vAlign w:val="bottom"/>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1 051</w:t>
            </w:r>
          </w:p>
        </w:tc>
        <w:tc>
          <w:tcPr>
            <w:tcW w:w="720" w:type="dxa"/>
            <w:tcBorders>
              <w:top w:val="nil"/>
              <w:left w:val="nil"/>
              <w:right w:val="nil"/>
            </w:tcBorders>
            <w:shd w:val="clear" w:color="auto" w:fill="auto"/>
            <w:noWrap/>
            <w:vAlign w:val="bottom"/>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433</w:t>
            </w:r>
          </w:p>
        </w:tc>
        <w:tc>
          <w:tcPr>
            <w:tcW w:w="580" w:type="dxa"/>
            <w:tcBorders>
              <w:top w:val="nil"/>
              <w:left w:val="nil"/>
              <w:right w:val="nil"/>
            </w:tcBorders>
            <w:shd w:val="clear" w:color="auto" w:fill="auto"/>
            <w:noWrap/>
            <w:vAlign w:val="bottom"/>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127</w:t>
            </w:r>
          </w:p>
        </w:tc>
        <w:tc>
          <w:tcPr>
            <w:tcW w:w="720" w:type="dxa"/>
            <w:tcBorders>
              <w:top w:val="nil"/>
              <w:left w:val="nil"/>
              <w:right w:val="nil"/>
            </w:tcBorders>
            <w:shd w:val="clear" w:color="auto" w:fill="auto"/>
            <w:noWrap/>
            <w:vAlign w:val="bottom"/>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416</w:t>
            </w:r>
          </w:p>
        </w:tc>
        <w:tc>
          <w:tcPr>
            <w:tcW w:w="580" w:type="dxa"/>
            <w:tcBorders>
              <w:top w:val="nil"/>
              <w:left w:val="nil"/>
              <w:right w:val="nil"/>
            </w:tcBorders>
            <w:shd w:val="clear" w:color="auto" w:fill="auto"/>
            <w:noWrap/>
            <w:vAlign w:val="bottom"/>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83</w:t>
            </w:r>
          </w:p>
        </w:tc>
        <w:tc>
          <w:tcPr>
            <w:tcW w:w="820" w:type="dxa"/>
            <w:tcBorders>
              <w:top w:val="nil"/>
              <w:left w:val="nil"/>
              <w:right w:val="nil"/>
            </w:tcBorders>
            <w:shd w:val="clear" w:color="auto" w:fill="auto"/>
            <w:noWrap/>
            <w:vAlign w:val="bottom"/>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10 364</w:t>
            </w:r>
          </w:p>
        </w:tc>
      </w:tr>
      <w:tr w:rsidR="00647BDC" w:rsidRPr="00FF2F98" w:rsidTr="00D07581">
        <w:trPr>
          <w:trHeight w:val="315"/>
        </w:trPr>
        <w:tc>
          <w:tcPr>
            <w:tcW w:w="2440" w:type="dxa"/>
            <w:tcBorders>
              <w:left w:val="nil"/>
              <w:bottom w:val="nil"/>
              <w:right w:val="nil"/>
            </w:tcBorders>
            <w:shd w:val="clear" w:color="auto" w:fill="auto"/>
            <w:vAlign w:val="bottom"/>
            <w:hideMark/>
          </w:tcPr>
          <w:p w:rsidR="00647BDC" w:rsidRPr="00FF2F98"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Other</w:t>
            </w:r>
          </w:p>
        </w:tc>
        <w:tc>
          <w:tcPr>
            <w:tcW w:w="820" w:type="dxa"/>
            <w:tcBorders>
              <w:left w:val="nil"/>
              <w:bottom w:val="single" w:sz="4" w:space="0" w:color="auto"/>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3 258</w:t>
            </w:r>
          </w:p>
        </w:tc>
        <w:tc>
          <w:tcPr>
            <w:tcW w:w="820" w:type="dxa"/>
            <w:tcBorders>
              <w:left w:val="nil"/>
              <w:bottom w:val="single" w:sz="4" w:space="0" w:color="auto"/>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1 953</w:t>
            </w:r>
          </w:p>
        </w:tc>
        <w:tc>
          <w:tcPr>
            <w:tcW w:w="720" w:type="dxa"/>
            <w:tcBorders>
              <w:left w:val="nil"/>
              <w:bottom w:val="single" w:sz="4" w:space="0" w:color="auto"/>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1052</w:t>
            </w:r>
          </w:p>
        </w:tc>
        <w:tc>
          <w:tcPr>
            <w:tcW w:w="720" w:type="dxa"/>
            <w:tcBorders>
              <w:left w:val="nil"/>
              <w:bottom w:val="single" w:sz="4" w:space="0" w:color="auto"/>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427</w:t>
            </w:r>
          </w:p>
        </w:tc>
        <w:tc>
          <w:tcPr>
            <w:tcW w:w="720" w:type="dxa"/>
            <w:tcBorders>
              <w:left w:val="nil"/>
              <w:bottom w:val="single" w:sz="4" w:space="0" w:color="auto"/>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1310</w:t>
            </w:r>
          </w:p>
        </w:tc>
        <w:tc>
          <w:tcPr>
            <w:tcW w:w="580" w:type="dxa"/>
            <w:tcBorders>
              <w:left w:val="nil"/>
              <w:bottom w:val="single" w:sz="4" w:space="0" w:color="auto"/>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80</w:t>
            </w:r>
          </w:p>
        </w:tc>
        <w:tc>
          <w:tcPr>
            <w:tcW w:w="720" w:type="dxa"/>
            <w:tcBorders>
              <w:left w:val="nil"/>
              <w:bottom w:val="single" w:sz="4" w:space="0" w:color="auto"/>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423</w:t>
            </w:r>
          </w:p>
        </w:tc>
        <w:tc>
          <w:tcPr>
            <w:tcW w:w="580" w:type="dxa"/>
            <w:tcBorders>
              <w:left w:val="nil"/>
              <w:bottom w:val="single" w:sz="4" w:space="0" w:color="auto"/>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14</w:t>
            </w:r>
          </w:p>
        </w:tc>
        <w:tc>
          <w:tcPr>
            <w:tcW w:w="820" w:type="dxa"/>
            <w:tcBorders>
              <w:left w:val="nil"/>
              <w:bottom w:val="single" w:sz="4" w:space="0" w:color="auto"/>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8 517</w:t>
            </w:r>
          </w:p>
        </w:tc>
      </w:tr>
      <w:tr w:rsidR="00647BDC" w:rsidRPr="00FF2F98" w:rsidTr="00D07581">
        <w:trPr>
          <w:trHeight w:val="315"/>
        </w:trPr>
        <w:tc>
          <w:tcPr>
            <w:tcW w:w="244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Category revenue</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12 904</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10 845</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9 746</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3 986</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3 313</w:t>
            </w:r>
          </w:p>
        </w:tc>
        <w:tc>
          <w:tcPr>
            <w:tcW w:w="58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721</w:t>
            </w:r>
          </w:p>
        </w:tc>
        <w:tc>
          <w:tcPr>
            <w:tcW w:w="7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1 305</w:t>
            </w:r>
          </w:p>
        </w:tc>
        <w:tc>
          <w:tcPr>
            <w:tcW w:w="58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325</w:t>
            </w:r>
          </w:p>
        </w:tc>
        <w:tc>
          <w:tcPr>
            <w:tcW w:w="820" w:type="dxa"/>
            <w:tcBorders>
              <w:top w:val="nil"/>
              <w:left w:val="nil"/>
              <w:bottom w:val="nil"/>
              <w:right w:val="nil"/>
            </w:tcBorders>
            <w:shd w:val="clear" w:color="auto" w:fill="auto"/>
            <w:noWrap/>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43 145</w:t>
            </w:r>
          </w:p>
        </w:tc>
      </w:tr>
      <w:tr w:rsidR="00647BDC" w:rsidRPr="00FF2F98" w:rsidTr="00D07581">
        <w:trPr>
          <w:trHeight w:val="315"/>
        </w:trPr>
        <w:tc>
          <w:tcPr>
            <w:tcW w:w="2440" w:type="dxa"/>
            <w:tcBorders>
              <w:top w:val="nil"/>
              <w:left w:val="nil"/>
              <w:bottom w:val="single" w:sz="4" w:space="0" w:color="auto"/>
              <w:right w:val="nil"/>
            </w:tcBorders>
            <w:shd w:val="clear" w:color="auto" w:fill="auto"/>
            <w:vAlign w:val="bottom"/>
            <w:hideMark/>
          </w:tcPr>
          <w:p w:rsidR="00647BDC" w:rsidRPr="00FF2F98"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Share of total revenue (%)</w:t>
            </w:r>
          </w:p>
        </w:tc>
        <w:tc>
          <w:tcPr>
            <w:tcW w:w="820" w:type="dxa"/>
            <w:tcBorders>
              <w:top w:val="nil"/>
              <w:left w:val="nil"/>
              <w:bottom w:val="single" w:sz="4" w:space="0" w:color="auto"/>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39.5</w:t>
            </w:r>
          </w:p>
        </w:tc>
        <w:tc>
          <w:tcPr>
            <w:tcW w:w="820" w:type="dxa"/>
            <w:tcBorders>
              <w:top w:val="nil"/>
              <w:left w:val="nil"/>
              <w:bottom w:val="single" w:sz="4" w:space="0" w:color="auto"/>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44.7</w:t>
            </w:r>
          </w:p>
        </w:tc>
        <w:tc>
          <w:tcPr>
            <w:tcW w:w="720" w:type="dxa"/>
            <w:tcBorders>
              <w:top w:val="nil"/>
              <w:left w:val="nil"/>
              <w:bottom w:val="single" w:sz="4" w:space="0" w:color="auto"/>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45.3</w:t>
            </w:r>
          </w:p>
        </w:tc>
        <w:tc>
          <w:tcPr>
            <w:tcW w:w="720" w:type="dxa"/>
            <w:tcBorders>
              <w:top w:val="nil"/>
              <w:left w:val="nil"/>
              <w:bottom w:val="single" w:sz="4" w:space="0" w:color="auto"/>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23.1</w:t>
            </w:r>
          </w:p>
        </w:tc>
        <w:tc>
          <w:tcPr>
            <w:tcW w:w="720" w:type="dxa"/>
            <w:tcBorders>
              <w:top w:val="nil"/>
              <w:left w:val="nil"/>
              <w:bottom w:val="single" w:sz="4" w:space="0" w:color="auto"/>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48.6</w:t>
            </w:r>
          </w:p>
        </w:tc>
        <w:tc>
          <w:tcPr>
            <w:tcW w:w="580" w:type="dxa"/>
            <w:tcBorders>
              <w:top w:val="nil"/>
              <w:left w:val="nil"/>
              <w:bottom w:val="single" w:sz="4" w:space="0" w:color="auto"/>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46.4</w:t>
            </w:r>
          </w:p>
        </w:tc>
        <w:tc>
          <w:tcPr>
            <w:tcW w:w="720" w:type="dxa"/>
            <w:tcBorders>
              <w:top w:val="nil"/>
              <w:left w:val="nil"/>
              <w:bottom w:val="single" w:sz="4" w:space="0" w:color="auto"/>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61.2</w:t>
            </w:r>
          </w:p>
        </w:tc>
        <w:tc>
          <w:tcPr>
            <w:tcW w:w="580" w:type="dxa"/>
            <w:tcBorders>
              <w:top w:val="nil"/>
              <w:left w:val="nil"/>
              <w:bottom w:val="single" w:sz="4" w:space="0" w:color="auto"/>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37.1</w:t>
            </w:r>
          </w:p>
        </w:tc>
        <w:tc>
          <w:tcPr>
            <w:tcW w:w="820" w:type="dxa"/>
            <w:tcBorders>
              <w:top w:val="nil"/>
              <w:left w:val="nil"/>
              <w:bottom w:val="single" w:sz="4" w:space="0" w:color="auto"/>
              <w:right w:val="nil"/>
            </w:tcBorders>
            <w:shd w:val="clear" w:color="auto" w:fill="auto"/>
            <w:vAlign w:val="bottom"/>
            <w:hideMark/>
          </w:tcPr>
          <w:p w:rsidR="00647BDC" w:rsidRPr="00FF2F98" w:rsidRDefault="00647BDC" w:rsidP="00D07581">
            <w:pPr>
              <w:keepNext/>
              <w:keepLines/>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40.3</w:t>
            </w:r>
          </w:p>
        </w:tc>
      </w:tr>
    </w:tbl>
    <w:p w:rsidR="00647BDC" w:rsidRDefault="00647BDC" w:rsidP="00647BDC">
      <w:pPr>
        <w:pStyle w:val="CGCTableFootnote"/>
      </w:pPr>
      <w:r w:rsidRPr="00755429">
        <w:t>Source:</w:t>
      </w:r>
      <w:r w:rsidRPr="00755429">
        <w:tab/>
        <w:t xml:space="preserve">Commission calculation using ABS </w:t>
      </w:r>
      <w:r>
        <w:t>Government Finance Statistics (</w:t>
      </w:r>
      <w:r w:rsidRPr="00921958">
        <w:t>GFS</w:t>
      </w:r>
      <w:r>
        <w:t>)</w:t>
      </w:r>
      <w:r w:rsidRPr="00921958">
        <w:t xml:space="preserve"> </w:t>
      </w:r>
      <w:r w:rsidRPr="00755429">
        <w:t>data.</w:t>
      </w:r>
    </w:p>
    <w:p w:rsidR="00647BDC" w:rsidRPr="00755429" w:rsidRDefault="00647BDC" w:rsidP="00647BDC">
      <w:pPr>
        <w:pStyle w:val="CGCNumberedPara"/>
        <w:numPr>
          <w:ilvl w:val="1"/>
          <w:numId w:val="2"/>
        </w:numPr>
      </w:pPr>
      <w:r w:rsidRPr="00755429">
        <w:fldChar w:fldCharType="begin"/>
      </w:r>
      <w:r w:rsidRPr="00755429">
        <w:instrText xml:space="preserve"> REF _Ref384652518 \h </w:instrText>
      </w:r>
      <w:r>
        <w:instrText xml:space="preserve"> \* MERGEFORMAT </w:instrText>
      </w:r>
      <w:r w:rsidRPr="00755429">
        <w:fldChar w:fldCharType="separate"/>
      </w:r>
      <w:r w:rsidR="005B69B1" w:rsidRPr="00755429">
        <w:t xml:space="preserve">Table </w:t>
      </w:r>
      <w:r w:rsidR="005B69B1">
        <w:rPr>
          <w:noProof/>
        </w:rPr>
        <w:t>2</w:t>
      </w:r>
      <w:r w:rsidRPr="00755429">
        <w:fldChar w:fldCharType="end"/>
      </w:r>
      <w:r w:rsidRPr="00755429">
        <w:t xml:space="preserve"> shows other revenues contributed around </w:t>
      </w:r>
      <w:r>
        <w:t>40</w:t>
      </w:r>
      <w:r w:rsidRPr="00755429">
        <w:t>% of State own-source revenue in 2012</w:t>
      </w:r>
      <w:r>
        <w:t>-</w:t>
      </w:r>
      <w:r w:rsidRPr="00755429">
        <w:t>13.</w:t>
      </w:r>
    </w:p>
    <w:p w:rsidR="00647BDC" w:rsidRPr="00755429" w:rsidRDefault="00647BDC" w:rsidP="00647BDC">
      <w:pPr>
        <w:pStyle w:val="CGCTableHeading"/>
        <w:ind w:left="0" w:firstLine="0"/>
      </w:pPr>
      <w:r w:rsidRPr="00755429">
        <w:t xml:space="preserve">Table </w:t>
      </w:r>
      <w:r w:rsidR="005B69B1">
        <w:fldChar w:fldCharType="begin"/>
      </w:r>
      <w:r w:rsidR="005B69B1">
        <w:instrText xml:space="preserve"> SEQ Table \* ARABIC </w:instrText>
      </w:r>
      <w:r w:rsidR="005B69B1">
        <w:fldChar w:fldCharType="separate"/>
      </w:r>
      <w:r w:rsidR="005B69B1">
        <w:rPr>
          <w:noProof/>
        </w:rPr>
        <w:t>2</w:t>
      </w:r>
      <w:r w:rsidR="005B69B1">
        <w:rPr>
          <w:noProof/>
        </w:rPr>
        <w:fldChar w:fldCharType="end"/>
      </w:r>
      <w:r w:rsidRPr="00755429">
        <w:tab/>
        <w:t>Other revenue as a proportion of State own</w:t>
      </w:r>
      <w:r w:rsidRPr="00755429">
        <w:noBreakHyphen/>
        <w:t>source revenue</w:t>
      </w:r>
    </w:p>
    <w:tbl>
      <w:tblPr>
        <w:tblW w:w="8980" w:type="dxa"/>
        <w:tblInd w:w="93" w:type="dxa"/>
        <w:tblLook w:val="04A0" w:firstRow="1" w:lastRow="0" w:firstColumn="1" w:lastColumn="0" w:noHBand="0" w:noVBand="1"/>
      </w:tblPr>
      <w:tblGrid>
        <w:gridCol w:w="3540"/>
        <w:gridCol w:w="1360"/>
        <w:gridCol w:w="1360"/>
        <w:gridCol w:w="1360"/>
        <w:gridCol w:w="1360"/>
      </w:tblGrid>
      <w:tr w:rsidR="00647BDC" w:rsidRPr="00FF2F98" w:rsidTr="00D07581">
        <w:trPr>
          <w:trHeight w:val="360"/>
        </w:trPr>
        <w:tc>
          <w:tcPr>
            <w:tcW w:w="354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tabs>
                <w:tab w:val="clear" w:pos="567"/>
              </w:tabs>
              <w:spacing w:after="0" w:line="240" w:lineRule="auto"/>
              <w:rPr>
                <w:rFonts w:ascii="Calibri" w:eastAsia="Times New Roman" w:hAnsi="Calibri" w:cs="Times New Roman"/>
                <w:sz w:val="20"/>
                <w:szCs w:val="20"/>
                <w:lang w:eastAsia="en-AU"/>
              </w:rPr>
            </w:pPr>
          </w:p>
        </w:tc>
        <w:tc>
          <w:tcPr>
            <w:tcW w:w="136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2009-10</w:t>
            </w:r>
          </w:p>
        </w:tc>
        <w:tc>
          <w:tcPr>
            <w:tcW w:w="136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2010-11</w:t>
            </w:r>
          </w:p>
        </w:tc>
        <w:tc>
          <w:tcPr>
            <w:tcW w:w="136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2011-12</w:t>
            </w:r>
          </w:p>
        </w:tc>
        <w:tc>
          <w:tcPr>
            <w:tcW w:w="1360" w:type="dxa"/>
            <w:tcBorders>
              <w:top w:val="single" w:sz="4" w:space="0" w:color="auto"/>
              <w:left w:val="nil"/>
              <w:bottom w:val="single" w:sz="4" w:space="0" w:color="auto"/>
              <w:right w:val="nil"/>
            </w:tcBorders>
            <w:shd w:val="clear" w:color="auto" w:fill="auto"/>
            <w:noWrap/>
            <w:vAlign w:val="center"/>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2012-13</w:t>
            </w:r>
          </w:p>
        </w:tc>
      </w:tr>
      <w:tr w:rsidR="00647BDC" w:rsidRPr="00FF2F98" w:rsidTr="00D07581">
        <w:trPr>
          <w:trHeight w:val="315"/>
        </w:trPr>
        <w:tc>
          <w:tcPr>
            <w:tcW w:w="3540" w:type="dxa"/>
            <w:tcBorders>
              <w:top w:val="nil"/>
              <w:left w:val="nil"/>
              <w:bottom w:val="nil"/>
              <w:right w:val="nil"/>
            </w:tcBorders>
            <w:shd w:val="clear" w:color="auto" w:fill="auto"/>
            <w:noWrap/>
            <w:vAlign w:val="bottom"/>
            <w:hideMark/>
          </w:tcPr>
          <w:p w:rsidR="00647BDC" w:rsidRPr="00FF2F98" w:rsidRDefault="00647BDC" w:rsidP="00D07581">
            <w:pPr>
              <w:tabs>
                <w:tab w:val="clear" w:pos="567"/>
              </w:tabs>
              <w:spacing w:after="0" w:line="240" w:lineRule="auto"/>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Total for category ($m)</w:t>
            </w:r>
          </w:p>
        </w:tc>
        <w:tc>
          <w:tcPr>
            <w:tcW w:w="1360" w:type="dxa"/>
            <w:tcBorders>
              <w:top w:val="nil"/>
              <w:left w:val="nil"/>
              <w:bottom w:val="nil"/>
              <w:right w:val="nil"/>
            </w:tcBorders>
            <w:shd w:val="clear" w:color="auto" w:fill="auto"/>
            <w:vAlign w:val="bottom"/>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32 841</w:t>
            </w:r>
          </w:p>
        </w:tc>
        <w:tc>
          <w:tcPr>
            <w:tcW w:w="1360" w:type="dxa"/>
            <w:tcBorders>
              <w:top w:val="nil"/>
              <w:left w:val="nil"/>
              <w:bottom w:val="nil"/>
              <w:right w:val="nil"/>
            </w:tcBorders>
            <w:shd w:val="clear" w:color="auto" w:fill="auto"/>
            <w:vAlign w:val="bottom"/>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35 771</w:t>
            </w:r>
          </w:p>
        </w:tc>
        <w:tc>
          <w:tcPr>
            <w:tcW w:w="1360" w:type="dxa"/>
            <w:tcBorders>
              <w:top w:val="nil"/>
              <w:left w:val="nil"/>
              <w:bottom w:val="nil"/>
              <w:right w:val="nil"/>
            </w:tcBorders>
            <w:shd w:val="clear" w:color="auto" w:fill="auto"/>
            <w:vAlign w:val="bottom"/>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37 297</w:t>
            </w:r>
          </w:p>
        </w:tc>
        <w:tc>
          <w:tcPr>
            <w:tcW w:w="1360" w:type="dxa"/>
            <w:tcBorders>
              <w:top w:val="nil"/>
              <w:left w:val="nil"/>
              <w:bottom w:val="nil"/>
              <w:right w:val="nil"/>
            </w:tcBorders>
            <w:shd w:val="clear" w:color="auto" w:fill="auto"/>
            <w:vAlign w:val="bottom"/>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43 145</w:t>
            </w:r>
          </w:p>
        </w:tc>
      </w:tr>
      <w:tr w:rsidR="00647BDC" w:rsidRPr="00FF2F98" w:rsidTr="00D07581">
        <w:trPr>
          <w:trHeight w:val="315"/>
        </w:trPr>
        <w:tc>
          <w:tcPr>
            <w:tcW w:w="3540" w:type="dxa"/>
            <w:tcBorders>
              <w:top w:val="nil"/>
              <w:left w:val="nil"/>
              <w:bottom w:val="nil"/>
              <w:right w:val="nil"/>
            </w:tcBorders>
            <w:shd w:val="clear" w:color="auto" w:fill="auto"/>
            <w:noWrap/>
            <w:vAlign w:val="bottom"/>
            <w:hideMark/>
          </w:tcPr>
          <w:p w:rsidR="00647BDC" w:rsidRPr="00FF2F98" w:rsidRDefault="00647BDC" w:rsidP="00D07581">
            <w:pPr>
              <w:tabs>
                <w:tab w:val="clear" w:pos="567"/>
              </w:tabs>
              <w:spacing w:after="0" w:line="240" w:lineRule="auto"/>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Total for own source revenue ($m)</w:t>
            </w:r>
          </w:p>
        </w:tc>
        <w:tc>
          <w:tcPr>
            <w:tcW w:w="1360" w:type="dxa"/>
            <w:tcBorders>
              <w:top w:val="nil"/>
              <w:left w:val="nil"/>
              <w:bottom w:val="nil"/>
              <w:right w:val="nil"/>
            </w:tcBorders>
            <w:shd w:val="clear" w:color="auto" w:fill="auto"/>
            <w:vAlign w:val="bottom"/>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86 388</w:t>
            </w:r>
          </w:p>
        </w:tc>
        <w:tc>
          <w:tcPr>
            <w:tcW w:w="1360" w:type="dxa"/>
            <w:tcBorders>
              <w:top w:val="nil"/>
              <w:left w:val="nil"/>
              <w:bottom w:val="nil"/>
              <w:right w:val="nil"/>
            </w:tcBorders>
            <w:shd w:val="clear" w:color="auto" w:fill="auto"/>
            <w:vAlign w:val="bottom"/>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94 809</w:t>
            </w:r>
          </w:p>
        </w:tc>
        <w:tc>
          <w:tcPr>
            <w:tcW w:w="1360" w:type="dxa"/>
            <w:tcBorders>
              <w:top w:val="nil"/>
              <w:left w:val="nil"/>
              <w:bottom w:val="nil"/>
              <w:right w:val="nil"/>
            </w:tcBorders>
            <w:shd w:val="clear" w:color="auto" w:fill="auto"/>
            <w:vAlign w:val="bottom"/>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98 699</w:t>
            </w:r>
          </w:p>
        </w:tc>
        <w:tc>
          <w:tcPr>
            <w:tcW w:w="1360" w:type="dxa"/>
            <w:tcBorders>
              <w:top w:val="nil"/>
              <w:left w:val="nil"/>
              <w:bottom w:val="nil"/>
              <w:right w:val="nil"/>
            </w:tcBorders>
            <w:shd w:val="clear" w:color="auto" w:fill="auto"/>
            <w:vAlign w:val="bottom"/>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107 061</w:t>
            </w:r>
          </w:p>
        </w:tc>
      </w:tr>
      <w:tr w:rsidR="00647BDC" w:rsidRPr="00FF2F98" w:rsidTr="00D07581">
        <w:trPr>
          <w:trHeight w:val="315"/>
        </w:trPr>
        <w:tc>
          <w:tcPr>
            <w:tcW w:w="3540" w:type="dxa"/>
            <w:tcBorders>
              <w:top w:val="nil"/>
              <w:left w:val="nil"/>
              <w:bottom w:val="single" w:sz="4" w:space="0" w:color="auto"/>
              <w:right w:val="nil"/>
            </w:tcBorders>
            <w:shd w:val="clear" w:color="auto" w:fill="auto"/>
            <w:noWrap/>
            <w:vAlign w:val="bottom"/>
            <w:hideMark/>
          </w:tcPr>
          <w:p w:rsidR="00647BDC" w:rsidRPr="00FF2F98" w:rsidRDefault="00647BDC" w:rsidP="00D07581">
            <w:pPr>
              <w:tabs>
                <w:tab w:val="clear" w:pos="567"/>
              </w:tabs>
              <w:spacing w:after="0" w:line="240" w:lineRule="auto"/>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Proportion of own source revenue</w:t>
            </w:r>
          </w:p>
        </w:tc>
        <w:tc>
          <w:tcPr>
            <w:tcW w:w="1360" w:type="dxa"/>
            <w:tcBorders>
              <w:top w:val="nil"/>
              <w:left w:val="nil"/>
              <w:bottom w:val="single" w:sz="4" w:space="0" w:color="auto"/>
              <w:right w:val="nil"/>
            </w:tcBorders>
            <w:shd w:val="clear" w:color="auto" w:fill="auto"/>
            <w:vAlign w:val="bottom"/>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38.0</w:t>
            </w:r>
          </w:p>
        </w:tc>
        <w:tc>
          <w:tcPr>
            <w:tcW w:w="1360" w:type="dxa"/>
            <w:tcBorders>
              <w:top w:val="nil"/>
              <w:left w:val="nil"/>
              <w:bottom w:val="single" w:sz="4" w:space="0" w:color="auto"/>
              <w:right w:val="nil"/>
            </w:tcBorders>
            <w:shd w:val="clear" w:color="auto" w:fill="auto"/>
            <w:vAlign w:val="bottom"/>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37.7</w:t>
            </w:r>
          </w:p>
        </w:tc>
        <w:tc>
          <w:tcPr>
            <w:tcW w:w="1360" w:type="dxa"/>
            <w:tcBorders>
              <w:top w:val="nil"/>
              <w:left w:val="nil"/>
              <w:bottom w:val="single" w:sz="4" w:space="0" w:color="auto"/>
              <w:right w:val="nil"/>
            </w:tcBorders>
            <w:shd w:val="clear" w:color="auto" w:fill="auto"/>
            <w:vAlign w:val="bottom"/>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37.8</w:t>
            </w:r>
          </w:p>
        </w:tc>
        <w:tc>
          <w:tcPr>
            <w:tcW w:w="1360" w:type="dxa"/>
            <w:tcBorders>
              <w:top w:val="nil"/>
              <w:left w:val="nil"/>
              <w:bottom w:val="single" w:sz="4" w:space="0" w:color="auto"/>
              <w:right w:val="nil"/>
            </w:tcBorders>
            <w:shd w:val="clear" w:color="auto" w:fill="auto"/>
            <w:vAlign w:val="bottom"/>
            <w:hideMark/>
          </w:tcPr>
          <w:p w:rsidR="00647BDC" w:rsidRPr="00FF2F98" w:rsidRDefault="00647BDC" w:rsidP="00D07581">
            <w:pPr>
              <w:tabs>
                <w:tab w:val="clear" w:pos="567"/>
              </w:tabs>
              <w:spacing w:after="0" w:line="240" w:lineRule="auto"/>
              <w:jc w:val="right"/>
              <w:rPr>
                <w:rFonts w:ascii="Calibri" w:eastAsia="Times New Roman" w:hAnsi="Calibri" w:cs="Times New Roman"/>
                <w:sz w:val="20"/>
                <w:szCs w:val="20"/>
                <w:lang w:eastAsia="en-AU"/>
              </w:rPr>
            </w:pPr>
            <w:r w:rsidRPr="00FF2F98">
              <w:rPr>
                <w:rFonts w:ascii="Calibri" w:eastAsia="Times New Roman" w:hAnsi="Calibri" w:cs="Times New Roman"/>
                <w:sz w:val="20"/>
                <w:szCs w:val="20"/>
                <w:lang w:eastAsia="en-AU"/>
              </w:rPr>
              <w:t>40.3</w:t>
            </w:r>
          </w:p>
        </w:tc>
      </w:tr>
    </w:tbl>
    <w:p w:rsidR="00647BDC" w:rsidRPr="00755429" w:rsidRDefault="00647BDC" w:rsidP="00647BDC">
      <w:pPr>
        <w:pStyle w:val="CGCTableFootnote"/>
      </w:pPr>
      <w:r w:rsidRPr="00755429">
        <w:t>Source:</w:t>
      </w:r>
      <w:r w:rsidRPr="00755429">
        <w:tab/>
        <w:t>Commission calculation using ABS GFS data.</w:t>
      </w:r>
    </w:p>
    <w:p w:rsidR="00647BDC" w:rsidRDefault="00647BDC" w:rsidP="00647BDC">
      <w:pPr>
        <w:pStyle w:val="Heading3"/>
      </w:pPr>
      <w:bookmarkStart w:id="152" w:name="_Toc390955847"/>
      <w:r>
        <w:t>Scope of the category</w:t>
      </w:r>
      <w:bookmarkEnd w:id="152"/>
    </w:p>
    <w:p w:rsidR="00647BDC" w:rsidRPr="00755429" w:rsidRDefault="00647BDC" w:rsidP="00647BDC">
      <w:pPr>
        <w:pStyle w:val="CGCNumberedPara"/>
        <w:numPr>
          <w:ilvl w:val="1"/>
          <w:numId w:val="2"/>
        </w:numPr>
      </w:pPr>
      <w:r w:rsidRPr="00755429">
        <w:t xml:space="preserve">All States supported having a residual revenue category assessed </w:t>
      </w:r>
      <w:r>
        <w:t>equal per capita (</w:t>
      </w:r>
      <w:r w:rsidRPr="00755429">
        <w:t>EPC</w:t>
      </w:r>
      <w:r>
        <w:t>)</w:t>
      </w:r>
      <w:r w:rsidRPr="00755429">
        <w:t>. The States agreed most of the revenues currently included in this category should continue to be so. However, there were differences of opinion on the inclusion of gambling revenue, fire and emergency levies and residual user charges.</w:t>
      </w:r>
    </w:p>
    <w:p w:rsidR="00647BDC" w:rsidRPr="00755429" w:rsidRDefault="00647BDC" w:rsidP="00647BDC">
      <w:pPr>
        <w:pStyle w:val="CGCNumberedPara"/>
        <w:numPr>
          <w:ilvl w:val="1"/>
          <w:numId w:val="2"/>
        </w:numPr>
      </w:pPr>
      <w:r w:rsidRPr="00755429">
        <w:rPr>
          <w:rStyle w:val="Heading6Char"/>
        </w:rPr>
        <w:t>Gambling revenue.</w:t>
      </w:r>
      <w:r w:rsidRPr="00755429">
        <w:t xml:space="preserve"> South Australia said gambling regulations have become more consistent and a differential assessment could be based on Australian Gambling Statistics data and States’ collections of player loss and tax revenue data. </w:t>
      </w:r>
    </w:p>
    <w:p w:rsidR="00647BDC" w:rsidRDefault="00647BDC" w:rsidP="00647BDC">
      <w:pPr>
        <w:pStyle w:val="CGCNumberedPara"/>
        <w:numPr>
          <w:ilvl w:val="1"/>
          <w:numId w:val="2"/>
        </w:numPr>
      </w:pPr>
      <w:r w:rsidRPr="00755429">
        <w:t xml:space="preserve">The ACT considered there was a conceptual case for a differential assessment of gambling revenue, comprising sub-components for different gambling types with different indicators. </w:t>
      </w:r>
    </w:p>
    <w:p w:rsidR="00647BDC" w:rsidRPr="00AA4CBB" w:rsidRDefault="00647BDC" w:rsidP="00647BDC">
      <w:pPr>
        <w:pStyle w:val="CGCNumberedPara"/>
        <w:numPr>
          <w:ilvl w:val="1"/>
          <w:numId w:val="2"/>
        </w:numPr>
      </w:pPr>
      <w:r w:rsidRPr="00AA4CBB">
        <w:t>During this review, we examined a number of different approaches to assessing gambling, including the level of gambling activity, a socio-demographic approach and a broad indicator approach.</w:t>
      </w:r>
    </w:p>
    <w:p w:rsidR="00647BDC" w:rsidRPr="00AA4CBB" w:rsidRDefault="00647BDC" w:rsidP="00647BDC">
      <w:pPr>
        <w:pStyle w:val="CGCNumberedPara"/>
        <w:numPr>
          <w:ilvl w:val="1"/>
          <w:numId w:val="2"/>
        </w:numPr>
      </w:pPr>
      <w:r w:rsidRPr="00AA4CBB">
        <w:lastRenderedPageBreak/>
        <w:t>An undiscounted assessment based on the level of gambling activity would be material (it would redistribute more than $30 per capita for a State). However, given the lack of data quantifying the nature and impact of policy differences affecting the level of gambling activity, some discount would be warranted. Even with a modest discount, an assessment would not be material. Thus, we have not been able to develop a material assessment based on the level of gambling activity.</w:t>
      </w:r>
    </w:p>
    <w:p w:rsidR="00647BDC" w:rsidRPr="00AA4CBB" w:rsidRDefault="00647BDC" w:rsidP="00647BDC">
      <w:pPr>
        <w:pStyle w:val="CGCNumberedPara"/>
        <w:numPr>
          <w:ilvl w:val="1"/>
          <w:numId w:val="2"/>
        </w:numPr>
      </w:pPr>
      <w:r w:rsidRPr="00AA4CBB">
        <w:t>A number of different gambling prevalence studies point to different forms of gambling appealing to different segments of the population. However, we have been unable to find data that relate gambling spending or loss to specific demographic characteristics. Thus, we have not been able to develop a socio-demographic indicator of gambling capacity.</w:t>
      </w:r>
    </w:p>
    <w:p w:rsidR="00647BDC" w:rsidRPr="00AA4CBB" w:rsidRDefault="00647BDC" w:rsidP="00647BDC">
      <w:pPr>
        <w:pStyle w:val="CGCNumberedPara"/>
        <w:numPr>
          <w:ilvl w:val="1"/>
          <w:numId w:val="2"/>
        </w:numPr>
      </w:pPr>
      <w:r w:rsidRPr="00AA4CBB">
        <w:t>We found no link between household income and gambling activity. In the case of poker machines, there was some evidence that low income predicted higher levels of gambling, but the evidence was not sufficiently robust to use. Prevalence studies suggest some forms of gambling (for example, horse racing or casino gambling) may be associated with higher incomes but, again, the effect could not be quantified. In addition, any effect could potentially be offset by the influence of low income on poker machine gambling, if that could be proven. Finally, we constructed an assessment using data from work undertaken by the Productivity Commission in 1999 on gambling by different age cohorts.</w:t>
      </w:r>
      <w:r w:rsidRPr="00AA4CBB">
        <w:rPr>
          <w:rStyle w:val="FootnoteReference"/>
        </w:rPr>
        <w:footnoteReference w:id="16"/>
      </w:r>
      <w:r w:rsidRPr="00AA4CBB">
        <w:t xml:space="preserve"> We have concerns about the data quality and its currency, but in any case the assessment was not material. Thus, we have not been able to develop a broad indicator assessment of gambling.</w:t>
      </w:r>
    </w:p>
    <w:p w:rsidR="00647BDC" w:rsidRPr="00755429" w:rsidRDefault="00647BDC" w:rsidP="00647BDC">
      <w:pPr>
        <w:pStyle w:val="CGCNumberedPara"/>
        <w:numPr>
          <w:ilvl w:val="1"/>
          <w:numId w:val="2"/>
        </w:numPr>
      </w:pPr>
      <w:r w:rsidRPr="00755429">
        <w:t>We consider there to be insufficient evidence to construct a reliable and material differential assessment of gambling revenue</w:t>
      </w:r>
      <w:r>
        <w:t>. T</w:t>
      </w:r>
      <w:r w:rsidRPr="00755429">
        <w:t xml:space="preserve">he Commission </w:t>
      </w:r>
      <w:r>
        <w:t xml:space="preserve">will </w:t>
      </w:r>
      <w:r w:rsidRPr="00755429">
        <w:t xml:space="preserve">continue to assess gambling revenue EPC in the </w:t>
      </w:r>
      <w:proofErr w:type="gramStart"/>
      <w:r w:rsidRPr="00755429">
        <w:t>Other</w:t>
      </w:r>
      <w:proofErr w:type="gramEnd"/>
      <w:r w:rsidRPr="00755429">
        <w:t xml:space="preserve"> revenue category. </w:t>
      </w:r>
    </w:p>
    <w:p w:rsidR="00647BDC" w:rsidRPr="00755429" w:rsidRDefault="00647BDC" w:rsidP="00647BDC">
      <w:pPr>
        <w:pStyle w:val="CGCNumberedPara"/>
        <w:numPr>
          <w:ilvl w:val="1"/>
          <w:numId w:val="2"/>
        </w:numPr>
      </w:pPr>
      <w:r w:rsidRPr="00755429">
        <w:rPr>
          <w:rStyle w:val="Heading6Char"/>
        </w:rPr>
        <w:t>Fire and emergency services levies.</w:t>
      </w:r>
      <w:r w:rsidRPr="00755429">
        <w:t xml:space="preserve"> Two States (New South Wales and Victoria) raise fire and emergency levies by applying duty to insurance products. Four States have a property based model. Tasmania has three levies, one on property, one on insurance products and one on motor vehicles. In 2013</w:t>
      </w:r>
      <w:r w:rsidRPr="00755429">
        <w:noBreakHyphen/>
        <w:t>14, Victoria switched from an insurance based model to a property based model. Some States considered these revenues should be assessed with like taxes.</w:t>
      </w:r>
    </w:p>
    <w:p w:rsidR="00647BDC" w:rsidRPr="00755429" w:rsidRDefault="00647BDC" w:rsidP="00647BDC">
      <w:pPr>
        <w:pStyle w:val="CGCNumberedPara"/>
        <w:numPr>
          <w:ilvl w:val="1"/>
          <w:numId w:val="2"/>
        </w:numPr>
      </w:pPr>
      <w:r w:rsidRPr="00755429">
        <w:t>Victoria’s switch to a property based model means that an assessment of the levies raised from properties will be material. Consequently, we have moved revenue from fire and emergency levies to other categories:</w:t>
      </w:r>
    </w:p>
    <w:p w:rsidR="00647BDC" w:rsidRPr="00755429" w:rsidRDefault="00647BDC" w:rsidP="00D07581">
      <w:pPr>
        <w:pStyle w:val="CGCBulletlist"/>
      </w:pPr>
      <w:r w:rsidRPr="00755429">
        <w:t>revenue from levies on property will be relocated to the Land tax category</w:t>
      </w:r>
    </w:p>
    <w:p w:rsidR="00647BDC" w:rsidRPr="00755429" w:rsidRDefault="00647BDC" w:rsidP="00D07581">
      <w:pPr>
        <w:pStyle w:val="CGCBulletlist"/>
      </w:pPr>
      <w:r w:rsidRPr="00755429">
        <w:lastRenderedPageBreak/>
        <w:t>revenue from levies on insurance products will be relocated to the Insurance tax category</w:t>
      </w:r>
    </w:p>
    <w:p w:rsidR="00647BDC" w:rsidRPr="00755429" w:rsidRDefault="00647BDC" w:rsidP="00D07581">
      <w:pPr>
        <w:pStyle w:val="CGCBulletlist"/>
      </w:pPr>
      <w:r w:rsidRPr="00755429">
        <w:t>revenue from levies on motor vehicles will be relocated to the Motor taxes category</w:t>
      </w:r>
    </w:p>
    <w:p w:rsidR="00647BDC" w:rsidRPr="00755429" w:rsidRDefault="00647BDC" w:rsidP="00647BDC">
      <w:pPr>
        <w:pStyle w:val="CGCNumberedPara"/>
        <w:numPr>
          <w:ilvl w:val="1"/>
          <w:numId w:val="2"/>
        </w:numPr>
      </w:pPr>
      <w:r w:rsidRPr="00755429">
        <w:rPr>
          <w:rStyle w:val="Heading6Char"/>
        </w:rPr>
        <w:t>User charges.</w:t>
      </w:r>
      <w:r w:rsidRPr="00755429">
        <w:t xml:space="preserve"> Some States have argued user charges should be differentially assessed and offset against the related expenses.</w:t>
      </w:r>
    </w:p>
    <w:p w:rsidR="00647BDC" w:rsidRPr="00755429" w:rsidRDefault="00647BDC" w:rsidP="00647BDC">
      <w:pPr>
        <w:pStyle w:val="CGCNumberedPara"/>
        <w:numPr>
          <w:ilvl w:val="1"/>
          <w:numId w:val="2"/>
        </w:numPr>
      </w:pPr>
      <w:r w:rsidRPr="00755429">
        <w:t>Our general approach to user charges is:</w:t>
      </w:r>
    </w:p>
    <w:p w:rsidR="00647BDC" w:rsidRPr="00755429" w:rsidRDefault="00647BDC" w:rsidP="00D07581">
      <w:pPr>
        <w:pStyle w:val="CGCBulletlist"/>
      </w:pPr>
      <w:r w:rsidRPr="00755429">
        <w:t>if we consider the drivers of user charges to be the same as the drivers of use of the related service, we net off user charges (for example, transport services)</w:t>
      </w:r>
    </w:p>
    <w:p w:rsidR="00647BDC" w:rsidRPr="00755429" w:rsidRDefault="00647BDC" w:rsidP="00D07581">
      <w:pPr>
        <w:pStyle w:val="CGCBulletlist"/>
      </w:pPr>
      <w:r w:rsidRPr="00755429">
        <w:t>if we have data on the drivers of net cost, we net off user charges (for example, Health category)</w:t>
      </w:r>
    </w:p>
    <w:p w:rsidR="00647BDC" w:rsidRPr="00755429" w:rsidRDefault="00647BDC" w:rsidP="00D07581">
      <w:pPr>
        <w:pStyle w:val="CGCBulletlist"/>
      </w:pPr>
      <w:r w:rsidRPr="00755429">
        <w:t>if the drivers of user charges are different from the drivers of use of the related service and if an assessment of user charges is material, we assess them separately and offset that assessment against the expense assessment (for example, housing)</w:t>
      </w:r>
    </w:p>
    <w:p w:rsidR="00647BDC" w:rsidRPr="00755429" w:rsidRDefault="00647BDC" w:rsidP="00D07581">
      <w:pPr>
        <w:pStyle w:val="CGCBulletlist"/>
      </w:pPr>
      <w:proofErr w:type="gramStart"/>
      <w:r>
        <w:t>o</w:t>
      </w:r>
      <w:r w:rsidRPr="00755429">
        <w:t>therwise</w:t>
      </w:r>
      <w:proofErr w:type="gramEnd"/>
      <w:r w:rsidRPr="00755429">
        <w:t xml:space="preserve">, we assess them EPC in the Other revenue category. </w:t>
      </w:r>
    </w:p>
    <w:p w:rsidR="00647BDC" w:rsidRPr="00755429" w:rsidRDefault="00647BDC" w:rsidP="00647BDC">
      <w:pPr>
        <w:pStyle w:val="CGCNumberedPara"/>
        <w:numPr>
          <w:ilvl w:val="1"/>
          <w:numId w:val="2"/>
        </w:numPr>
      </w:pPr>
      <w:r w:rsidRPr="00755429">
        <w:fldChar w:fldCharType="begin"/>
      </w:r>
      <w:r w:rsidRPr="00755429">
        <w:instrText xml:space="preserve"> REF _Ref388421906 \h </w:instrText>
      </w:r>
      <w:r>
        <w:instrText xml:space="preserve"> \* MERGEFORMAT </w:instrText>
      </w:r>
      <w:r w:rsidRPr="00755429">
        <w:fldChar w:fldCharType="separate"/>
      </w:r>
      <w:r w:rsidR="005B69B1" w:rsidRPr="00755429">
        <w:t xml:space="preserve">Table </w:t>
      </w:r>
      <w:r w:rsidR="005B69B1">
        <w:rPr>
          <w:noProof/>
        </w:rPr>
        <w:t>3</w:t>
      </w:r>
      <w:r w:rsidRPr="00755429">
        <w:fldChar w:fldCharType="end"/>
      </w:r>
      <w:r w:rsidRPr="00755429">
        <w:t xml:space="preserve"> summarises how we currently assess user charges.</w:t>
      </w:r>
    </w:p>
    <w:p w:rsidR="00647BDC" w:rsidRPr="00755429" w:rsidRDefault="00647BDC" w:rsidP="00647BDC">
      <w:pPr>
        <w:pStyle w:val="CGCTableHeading"/>
      </w:pPr>
      <w:bookmarkStart w:id="153" w:name="_Ref388421906"/>
      <w:r w:rsidRPr="00755429">
        <w:t xml:space="preserve">Table </w:t>
      </w:r>
      <w:r w:rsidR="005B69B1">
        <w:fldChar w:fldCharType="begin"/>
      </w:r>
      <w:r w:rsidR="005B69B1">
        <w:instrText xml:space="preserve"> SEQ Table \* ARABIC </w:instrText>
      </w:r>
      <w:r w:rsidR="005B69B1">
        <w:fldChar w:fldCharType="separate"/>
      </w:r>
      <w:r w:rsidR="005B69B1">
        <w:rPr>
          <w:noProof/>
        </w:rPr>
        <w:t>3</w:t>
      </w:r>
      <w:r w:rsidR="005B69B1">
        <w:rPr>
          <w:noProof/>
        </w:rPr>
        <w:fldChar w:fldCharType="end"/>
      </w:r>
      <w:bookmarkEnd w:id="153"/>
      <w:r w:rsidRPr="00755429">
        <w:tab/>
        <w:t>Treatment of user charges</w:t>
      </w:r>
    </w:p>
    <w:tbl>
      <w:tblPr>
        <w:tblW w:w="8940" w:type="dxa"/>
        <w:tblLayout w:type="fixed"/>
        <w:tblCellMar>
          <w:left w:w="0" w:type="dxa"/>
          <w:right w:w="0" w:type="dxa"/>
        </w:tblCellMar>
        <w:tblLook w:val="04A0" w:firstRow="1" w:lastRow="0" w:firstColumn="1" w:lastColumn="0" w:noHBand="0" w:noVBand="1"/>
      </w:tblPr>
      <w:tblGrid>
        <w:gridCol w:w="2960"/>
        <w:gridCol w:w="5980"/>
      </w:tblGrid>
      <w:tr w:rsidR="00647BDC" w:rsidRPr="007D5B44" w:rsidTr="00D07581">
        <w:trPr>
          <w:trHeight w:val="375"/>
        </w:trPr>
        <w:tc>
          <w:tcPr>
            <w:tcW w:w="2960" w:type="dxa"/>
            <w:tcBorders>
              <w:top w:val="single" w:sz="4" w:space="0" w:color="auto"/>
              <w:left w:val="nil"/>
              <w:bottom w:val="single" w:sz="4" w:space="0" w:color="auto"/>
              <w:right w:val="nil"/>
            </w:tcBorders>
            <w:shd w:val="clear" w:color="auto" w:fill="auto"/>
            <w:vAlign w:val="center"/>
            <w:hideMark/>
          </w:tcPr>
          <w:p w:rsidR="00647BDC" w:rsidRPr="007D5B44"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User charge</w:t>
            </w:r>
          </w:p>
        </w:tc>
        <w:tc>
          <w:tcPr>
            <w:tcW w:w="5980" w:type="dxa"/>
            <w:tcBorders>
              <w:top w:val="single" w:sz="4" w:space="0" w:color="auto"/>
              <w:left w:val="nil"/>
              <w:bottom w:val="single" w:sz="4" w:space="0" w:color="auto"/>
              <w:right w:val="nil"/>
            </w:tcBorders>
            <w:shd w:val="clear" w:color="auto" w:fill="auto"/>
            <w:vAlign w:val="center"/>
            <w:hideMark/>
          </w:tcPr>
          <w:p w:rsidR="00647BDC" w:rsidRPr="007D5B44"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Basis of assessment</w:t>
            </w:r>
          </w:p>
        </w:tc>
      </w:tr>
      <w:tr w:rsidR="00647BDC" w:rsidRPr="007D5B44" w:rsidTr="00D07581">
        <w:trPr>
          <w:trHeight w:val="555"/>
        </w:trPr>
        <w:tc>
          <w:tcPr>
            <w:tcW w:w="2960" w:type="dxa"/>
            <w:tcBorders>
              <w:top w:val="nil"/>
              <w:left w:val="nil"/>
              <w:bottom w:val="nil"/>
              <w:right w:val="nil"/>
            </w:tcBorders>
            <w:shd w:val="clear" w:color="auto" w:fill="auto"/>
            <w:hideMark/>
          </w:tcPr>
          <w:p w:rsidR="00647BDC" w:rsidRPr="007D5B44"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Health patient fees and user charges</w:t>
            </w:r>
          </w:p>
        </w:tc>
        <w:tc>
          <w:tcPr>
            <w:tcW w:w="5980" w:type="dxa"/>
            <w:tcBorders>
              <w:top w:val="nil"/>
              <w:left w:val="nil"/>
              <w:bottom w:val="nil"/>
              <w:right w:val="nil"/>
            </w:tcBorders>
            <w:shd w:val="clear" w:color="auto" w:fill="auto"/>
            <w:hideMark/>
          </w:tcPr>
          <w:p w:rsidR="00647BDC" w:rsidRPr="007D5B44"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Revenues are netted off expenses and an assessment is applied to the net cost.</w:t>
            </w:r>
          </w:p>
        </w:tc>
      </w:tr>
      <w:tr w:rsidR="00647BDC" w:rsidRPr="007D5B44" w:rsidTr="00D07581">
        <w:trPr>
          <w:trHeight w:val="315"/>
        </w:trPr>
        <w:tc>
          <w:tcPr>
            <w:tcW w:w="2960" w:type="dxa"/>
            <w:tcBorders>
              <w:top w:val="nil"/>
              <w:left w:val="nil"/>
              <w:bottom w:val="nil"/>
              <w:right w:val="nil"/>
            </w:tcBorders>
            <w:shd w:val="clear" w:color="auto" w:fill="auto"/>
            <w:hideMark/>
          </w:tcPr>
          <w:p w:rsidR="00647BDC" w:rsidRPr="007D5B44"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Housing – rental revenue</w:t>
            </w:r>
          </w:p>
        </w:tc>
        <w:tc>
          <w:tcPr>
            <w:tcW w:w="5980" w:type="dxa"/>
            <w:tcBorders>
              <w:top w:val="nil"/>
              <w:left w:val="nil"/>
              <w:bottom w:val="nil"/>
              <w:right w:val="nil"/>
            </w:tcBorders>
            <w:shd w:val="clear" w:color="auto" w:fill="auto"/>
            <w:hideMark/>
          </w:tcPr>
          <w:p w:rsidR="00647BDC" w:rsidRPr="007D5B44"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There is a separate revenue assessment in the Housing category.</w:t>
            </w:r>
          </w:p>
        </w:tc>
      </w:tr>
      <w:tr w:rsidR="00647BDC" w:rsidRPr="007D5B44" w:rsidTr="00D07581">
        <w:trPr>
          <w:trHeight w:val="555"/>
        </w:trPr>
        <w:tc>
          <w:tcPr>
            <w:tcW w:w="2960" w:type="dxa"/>
            <w:tcBorders>
              <w:top w:val="nil"/>
              <w:left w:val="nil"/>
              <w:bottom w:val="nil"/>
              <w:right w:val="nil"/>
            </w:tcBorders>
            <w:shd w:val="clear" w:color="auto" w:fill="auto"/>
            <w:hideMark/>
          </w:tcPr>
          <w:p w:rsidR="00647BDC" w:rsidRPr="007D5B44"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Water charges</w:t>
            </w:r>
            <w:r>
              <w:rPr>
                <w:rFonts w:ascii="Calibri" w:eastAsia="Times New Roman" w:hAnsi="Calibri" w:cstheme="minorHAnsi"/>
                <w:sz w:val="20"/>
                <w:szCs w:val="20"/>
                <w:lang w:eastAsia="en-AU"/>
              </w:rPr>
              <w:br/>
            </w:r>
          </w:p>
        </w:tc>
        <w:tc>
          <w:tcPr>
            <w:tcW w:w="5980" w:type="dxa"/>
            <w:tcBorders>
              <w:top w:val="nil"/>
              <w:left w:val="nil"/>
              <w:bottom w:val="nil"/>
              <w:right w:val="nil"/>
            </w:tcBorders>
            <w:shd w:val="clear" w:color="auto" w:fill="auto"/>
            <w:hideMark/>
          </w:tcPr>
          <w:p w:rsidR="00647BDC" w:rsidRPr="007D5B44"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Revenues are netted off expenses and an assessment is applied to the net cost.</w:t>
            </w:r>
          </w:p>
        </w:tc>
      </w:tr>
      <w:tr w:rsidR="00647BDC" w:rsidRPr="007D5B44" w:rsidTr="00D07581">
        <w:trPr>
          <w:trHeight w:val="555"/>
        </w:trPr>
        <w:tc>
          <w:tcPr>
            <w:tcW w:w="2960" w:type="dxa"/>
            <w:tcBorders>
              <w:top w:val="nil"/>
              <w:left w:val="nil"/>
              <w:bottom w:val="nil"/>
              <w:right w:val="nil"/>
            </w:tcBorders>
            <w:shd w:val="clear" w:color="auto" w:fill="auto"/>
            <w:hideMark/>
          </w:tcPr>
          <w:p w:rsidR="00647BDC" w:rsidRPr="007D5B44"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Electricity charges</w:t>
            </w:r>
            <w:r>
              <w:rPr>
                <w:rFonts w:ascii="Calibri" w:eastAsia="Times New Roman" w:hAnsi="Calibri" w:cstheme="minorHAnsi"/>
                <w:sz w:val="20"/>
                <w:szCs w:val="20"/>
                <w:lang w:eastAsia="en-AU"/>
              </w:rPr>
              <w:br/>
            </w:r>
          </w:p>
        </w:tc>
        <w:tc>
          <w:tcPr>
            <w:tcW w:w="5980" w:type="dxa"/>
            <w:tcBorders>
              <w:top w:val="nil"/>
              <w:left w:val="nil"/>
              <w:bottom w:val="nil"/>
              <w:right w:val="nil"/>
            </w:tcBorders>
            <w:shd w:val="clear" w:color="auto" w:fill="auto"/>
            <w:hideMark/>
          </w:tcPr>
          <w:p w:rsidR="00647BDC" w:rsidRPr="007D5B44"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Revenues are netted off expenses and an assessment is applied to the net cost.</w:t>
            </w:r>
          </w:p>
        </w:tc>
      </w:tr>
      <w:tr w:rsidR="00647BDC" w:rsidRPr="007D5B44" w:rsidTr="00D07581">
        <w:trPr>
          <w:trHeight w:val="555"/>
        </w:trPr>
        <w:tc>
          <w:tcPr>
            <w:tcW w:w="2960" w:type="dxa"/>
            <w:tcBorders>
              <w:top w:val="nil"/>
              <w:left w:val="nil"/>
              <w:bottom w:val="nil"/>
              <w:right w:val="nil"/>
            </w:tcBorders>
            <w:shd w:val="clear" w:color="auto" w:fill="auto"/>
            <w:hideMark/>
          </w:tcPr>
          <w:p w:rsidR="00647BDC" w:rsidRPr="007D5B44"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Transport services – fare revenue and user charges</w:t>
            </w:r>
          </w:p>
        </w:tc>
        <w:tc>
          <w:tcPr>
            <w:tcW w:w="5980" w:type="dxa"/>
            <w:tcBorders>
              <w:top w:val="nil"/>
              <w:left w:val="nil"/>
              <w:bottom w:val="nil"/>
              <w:right w:val="nil"/>
            </w:tcBorders>
            <w:shd w:val="clear" w:color="auto" w:fill="auto"/>
            <w:hideMark/>
          </w:tcPr>
          <w:p w:rsidR="00647BDC" w:rsidRPr="007D5B44"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Revenues are netted off expenses to estimate the level of subsidies. A transport assessment is applied to the net expenses.</w:t>
            </w:r>
          </w:p>
        </w:tc>
      </w:tr>
      <w:tr w:rsidR="00647BDC" w:rsidRPr="007D5B44" w:rsidTr="00D07581">
        <w:trPr>
          <w:trHeight w:val="555"/>
        </w:trPr>
        <w:tc>
          <w:tcPr>
            <w:tcW w:w="2960" w:type="dxa"/>
            <w:tcBorders>
              <w:top w:val="nil"/>
              <w:left w:val="nil"/>
              <w:bottom w:val="nil"/>
              <w:right w:val="nil"/>
            </w:tcBorders>
            <w:shd w:val="clear" w:color="auto" w:fill="auto"/>
            <w:hideMark/>
          </w:tcPr>
          <w:p w:rsidR="00647BDC" w:rsidRPr="007D5B44"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Mining industry user charges</w:t>
            </w:r>
          </w:p>
        </w:tc>
        <w:tc>
          <w:tcPr>
            <w:tcW w:w="5980" w:type="dxa"/>
            <w:tcBorders>
              <w:top w:val="nil"/>
              <w:left w:val="nil"/>
              <w:bottom w:val="nil"/>
              <w:right w:val="nil"/>
            </w:tcBorders>
            <w:shd w:val="clear" w:color="auto" w:fill="auto"/>
            <w:hideMark/>
          </w:tcPr>
          <w:p w:rsidR="00647BDC" w:rsidRPr="007D5B44"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Revenues are netted off expenses and an assessment is applied to the net cost.</w:t>
            </w:r>
          </w:p>
        </w:tc>
      </w:tr>
      <w:tr w:rsidR="00647BDC" w:rsidRPr="007D5B44" w:rsidTr="00D07581">
        <w:trPr>
          <w:trHeight w:val="795"/>
        </w:trPr>
        <w:tc>
          <w:tcPr>
            <w:tcW w:w="2960" w:type="dxa"/>
            <w:tcBorders>
              <w:top w:val="nil"/>
              <w:left w:val="nil"/>
              <w:bottom w:val="single" w:sz="4" w:space="0" w:color="auto"/>
              <w:right w:val="nil"/>
            </w:tcBorders>
            <w:shd w:val="clear" w:color="auto" w:fill="auto"/>
            <w:hideMark/>
          </w:tcPr>
          <w:p w:rsidR="00647BDC" w:rsidRPr="007D5B44" w:rsidRDefault="00647BDC" w:rsidP="00D0758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 xml:space="preserve">Other user charges, including fees and fines, property titles, student fees, visitor fees </w:t>
            </w:r>
            <w:proofErr w:type="spellStart"/>
            <w:r w:rsidRPr="007D5B44">
              <w:rPr>
                <w:rFonts w:ascii="Calibri" w:eastAsia="Times New Roman" w:hAnsi="Calibri" w:cstheme="minorHAnsi"/>
                <w:sz w:val="20"/>
                <w:szCs w:val="20"/>
                <w:lang w:eastAsia="en-AU"/>
              </w:rPr>
              <w:t>etc</w:t>
            </w:r>
            <w:proofErr w:type="spellEnd"/>
          </w:p>
        </w:tc>
        <w:tc>
          <w:tcPr>
            <w:tcW w:w="5980" w:type="dxa"/>
            <w:tcBorders>
              <w:top w:val="nil"/>
              <w:left w:val="nil"/>
              <w:bottom w:val="single" w:sz="4" w:space="0" w:color="auto"/>
              <w:right w:val="nil"/>
            </w:tcBorders>
            <w:shd w:val="clear" w:color="auto" w:fill="auto"/>
            <w:hideMark/>
          </w:tcPr>
          <w:p w:rsidR="00647BDC" w:rsidRPr="007D5B44" w:rsidRDefault="00647BDC" w:rsidP="00D07581">
            <w:pPr>
              <w:keepNext/>
              <w:keepLines/>
              <w:tabs>
                <w:tab w:val="clear" w:pos="567"/>
              </w:tabs>
              <w:spacing w:after="0" w:line="240" w:lineRule="auto"/>
              <w:rPr>
                <w:rFonts w:ascii="Calibri" w:eastAsia="Times New Roman" w:hAnsi="Calibri" w:cs="Times New Roman"/>
                <w:sz w:val="20"/>
                <w:szCs w:val="20"/>
                <w:lang w:eastAsia="en-AU"/>
              </w:rPr>
            </w:pPr>
            <w:r w:rsidRPr="007D5B44">
              <w:rPr>
                <w:rFonts w:ascii="Calibri" w:eastAsia="Times New Roman" w:hAnsi="Calibri" w:cstheme="minorHAnsi"/>
                <w:sz w:val="20"/>
                <w:szCs w:val="20"/>
                <w:lang w:eastAsia="en-AU"/>
              </w:rPr>
              <w:t>Assessed equal per capita in the Other revenue category</w:t>
            </w:r>
          </w:p>
        </w:tc>
      </w:tr>
    </w:tbl>
    <w:p w:rsidR="00647BDC" w:rsidRDefault="00647BDC" w:rsidP="00647BDC">
      <w:pPr>
        <w:pStyle w:val="CGCTableFootnote"/>
      </w:pPr>
      <w:r w:rsidRPr="00755429">
        <w:t>Source:</w:t>
      </w:r>
      <w:r w:rsidRPr="00755429">
        <w:tab/>
        <w:t>Commission decision.</w:t>
      </w:r>
    </w:p>
    <w:p w:rsidR="00647BDC" w:rsidRPr="00755429" w:rsidRDefault="00647BDC" w:rsidP="00647BDC">
      <w:pPr>
        <w:pStyle w:val="CGCNumberedPara"/>
        <w:numPr>
          <w:ilvl w:val="1"/>
          <w:numId w:val="2"/>
        </w:numPr>
      </w:pPr>
      <w:r w:rsidRPr="00755429">
        <w:t xml:space="preserve">Some States said we should undertake a broad indicator assessment of the residual user charges in the </w:t>
      </w:r>
      <w:proofErr w:type="gramStart"/>
      <w:r w:rsidRPr="00755429">
        <w:t>Other</w:t>
      </w:r>
      <w:proofErr w:type="gramEnd"/>
      <w:r w:rsidRPr="00755429">
        <w:t xml:space="preserve"> revenue category. States suggested a number of indicators (such as Gross State Product, household disposable income and population). We do not think any of these indicators provide a reliable measure of States’ capacity to raise revenue from user charges. If it was average policy to collect higher user charges in States with bigger economies or incomes, these indicators may be appropriate. We </w:t>
      </w:r>
      <w:r w:rsidRPr="00755429">
        <w:lastRenderedPageBreak/>
        <w:t xml:space="preserve">examined the correlation between the level of user charges and a range of broad indicators. In some cases the relationship was not </w:t>
      </w:r>
      <w:proofErr w:type="gramStart"/>
      <w:r w:rsidRPr="00755429">
        <w:t>strong,</w:t>
      </w:r>
      <w:proofErr w:type="gramEnd"/>
      <w:r w:rsidRPr="00755429">
        <w:t xml:space="preserve"> in other cases we had concerns about the reliability of the indicator. Overall, we are not convinced that a broad assessment of these revenues is the correct approach. </w:t>
      </w:r>
    </w:p>
    <w:p w:rsidR="00647BDC" w:rsidRPr="00755429" w:rsidRDefault="00647BDC" w:rsidP="00647BDC">
      <w:pPr>
        <w:pStyle w:val="CGCNumberedPara"/>
        <w:numPr>
          <w:ilvl w:val="1"/>
          <w:numId w:val="2"/>
        </w:numPr>
      </w:pPr>
      <w:r w:rsidRPr="00755429">
        <w:rPr>
          <w:rStyle w:val="Heading6Char"/>
        </w:rPr>
        <w:t>Rate of return.</w:t>
      </w:r>
      <w:r w:rsidRPr="00755429">
        <w:rPr>
          <w:b/>
          <w:i/>
        </w:rPr>
        <w:t xml:space="preserve"> </w:t>
      </w:r>
      <w:r w:rsidRPr="00755429">
        <w:t>The ACT argued the assessment should recognise that all States may not have the same capacity to earn revenue from their net financial worth, even if the per capita value of net financial worth is equalised. They said the rate of return on equity in public corporations varies depending on the services the corporations provide. The ACT said its capacity to earn dividends was constrained because port authorities will be a large part of equity once housing and urban transport is excluded and it does not have the capacity to hold equity in a port.</w:t>
      </w:r>
    </w:p>
    <w:p w:rsidR="00647BDC" w:rsidRPr="00755429" w:rsidRDefault="00647BDC" w:rsidP="00647BDC">
      <w:pPr>
        <w:pStyle w:val="CGCNumberedPara"/>
        <w:numPr>
          <w:ilvl w:val="1"/>
          <w:numId w:val="2"/>
        </w:numPr>
      </w:pPr>
      <w:r w:rsidRPr="00755429">
        <w:t xml:space="preserve">We accept States hold their net financial worth in different ways and this affects the returns they earn. However, our decision to treat housing and urban transport corporations as part of the general government sector means most of the impact on State fiscal capacities is appropriately recognised. </w:t>
      </w:r>
    </w:p>
    <w:p w:rsidR="00647BDC" w:rsidRPr="00755429" w:rsidRDefault="00647BDC" w:rsidP="00D07581">
      <w:pPr>
        <w:pStyle w:val="CGCBulletlist"/>
      </w:pPr>
      <w:r w:rsidRPr="00755429">
        <w:t xml:space="preserve">Non-policy factors which may lead some States to hold above average proportions of their assets in those low yielding entities are recognised in the investment assessment. </w:t>
      </w:r>
    </w:p>
    <w:p w:rsidR="00647BDC" w:rsidRPr="00755429" w:rsidRDefault="00647BDC" w:rsidP="00D07581">
      <w:pPr>
        <w:pStyle w:val="CGCBulletlist"/>
      </w:pPr>
      <w:r w:rsidRPr="00755429">
        <w:t xml:space="preserve">The corporations which remain as part of net financial worth (mainly ports, electricity and water authorities) provide positive returns and the extent to which individual States invest in them is affected by their policy choices. </w:t>
      </w:r>
    </w:p>
    <w:p w:rsidR="00647BDC" w:rsidRPr="00755429" w:rsidRDefault="00647BDC" w:rsidP="00647BDC">
      <w:pPr>
        <w:pStyle w:val="CGCNumberedPara"/>
        <w:numPr>
          <w:ilvl w:val="1"/>
          <w:numId w:val="2"/>
        </w:numPr>
      </w:pPr>
      <w:r w:rsidRPr="00755429">
        <w:t xml:space="preserve">While the ACT may not have a port, we consider it has the capacity to hold assets with a similar rate of return. </w:t>
      </w:r>
    </w:p>
    <w:p w:rsidR="00647BDC" w:rsidRPr="00755429" w:rsidRDefault="00647BDC" w:rsidP="00647BDC">
      <w:pPr>
        <w:pStyle w:val="CGCNumberedPara"/>
        <w:numPr>
          <w:ilvl w:val="1"/>
          <w:numId w:val="2"/>
        </w:numPr>
      </w:pPr>
      <w:r w:rsidRPr="00755429">
        <w:t>We have decided not to allow for any differences in rates of return disability and have assessed interest and dividend earnings on an equal per capita basis.</w:t>
      </w:r>
    </w:p>
    <w:p w:rsidR="00647BDC" w:rsidRPr="00755429" w:rsidRDefault="00647BDC" w:rsidP="00647BDC">
      <w:pPr>
        <w:pStyle w:val="Heading3"/>
      </w:pPr>
      <w:bookmarkStart w:id="154" w:name="_Toc390955848"/>
      <w:r>
        <w:t>Assessment method</w:t>
      </w:r>
      <w:bookmarkEnd w:id="154"/>
    </w:p>
    <w:p w:rsidR="00647BDC" w:rsidRPr="00755429" w:rsidRDefault="00647BDC" w:rsidP="00647BDC">
      <w:pPr>
        <w:pStyle w:val="CGCNumberedPara"/>
        <w:numPr>
          <w:ilvl w:val="1"/>
          <w:numId w:val="2"/>
        </w:numPr>
      </w:pPr>
      <w:r w:rsidRPr="00755429">
        <w:t xml:space="preserve">Since the Other revenue category is assessed EPC, the revenue base is State populations, which is measured using ABS estimated resident population data. </w:t>
      </w:r>
      <w:r w:rsidRPr="00755429">
        <w:fldChar w:fldCharType="begin"/>
      </w:r>
      <w:r w:rsidRPr="00755429">
        <w:instrText xml:space="preserve"> REF _Ref390243395 \h </w:instrText>
      </w:r>
      <w:r>
        <w:instrText xml:space="preserve"> \* MERGEFORMAT </w:instrText>
      </w:r>
      <w:r w:rsidRPr="00755429">
        <w:fldChar w:fldCharType="separate"/>
      </w:r>
      <w:r w:rsidR="005B69B1" w:rsidRPr="00755429">
        <w:t>Table</w:t>
      </w:r>
      <w:r w:rsidR="005B69B1">
        <w:t> 4</w:t>
      </w:r>
      <w:r w:rsidRPr="00755429">
        <w:fldChar w:fldCharType="end"/>
      </w:r>
      <w:r w:rsidRPr="00755429">
        <w:t xml:space="preserve"> shows each State’s revenue base in 2012</w:t>
      </w:r>
      <w:r w:rsidRPr="00755429">
        <w:noBreakHyphen/>
        <w:t>13.</w:t>
      </w:r>
    </w:p>
    <w:p w:rsidR="00647BDC" w:rsidRPr="00755429" w:rsidRDefault="00647BDC" w:rsidP="00647BDC">
      <w:pPr>
        <w:pStyle w:val="CGCNumberedPara"/>
        <w:numPr>
          <w:ilvl w:val="1"/>
          <w:numId w:val="2"/>
        </w:numPr>
      </w:pPr>
      <w:r w:rsidRPr="00755429">
        <w:t>Assessed revenues for 2012</w:t>
      </w:r>
      <w:r w:rsidRPr="00755429">
        <w:noBreakHyphen/>
        <w:t xml:space="preserve">13 are calculated by applying a State's share of the total population to total </w:t>
      </w:r>
      <w:proofErr w:type="gramStart"/>
      <w:r w:rsidRPr="00755429">
        <w:t>Other</w:t>
      </w:r>
      <w:proofErr w:type="gramEnd"/>
      <w:r w:rsidRPr="00755429">
        <w:t xml:space="preserve"> revenue. This is equivalent to applying the average effective rate of tax</w:t>
      </w:r>
      <w:r>
        <w:t xml:space="preserve"> or charges</w:t>
      </w:r>
      <w:r w:rsidRPr="00755429">
        <w:t xml:space="preserve"> of $1 </w:t>
      </w:r>
      <w:r>
        <w:t>882</w:t>
      </w:r>
      <w:r w:rsidRPr="00755429">
        <w:t xml:space="preserve"> per person to each State's revenue base.</w:t>
      </w:r>
    </w:p>
    <w:p w:rsidR="00647BDC" w:rsidRPr="00755429" w:rsidRDefault="00647BDC" w:rsidP="00647BDC">
      <w:pPr>
        <w:pStyle w:val="CGCTableHeading"/>
      </w:pPr>
      <w:bookmarkStart w:id="155" w:name="_Ref390243395"/>
      <w:r w:rsidRPr="00755429">
        <w:lastRenderedPageBreak/>
        <w:t>Table</w:t>
      </w:r>
      <w:r>
        <w:t> </w:t>
      </w:r>
      <w:r w:rsidR="005B69B1">
        <w:fldChar w:fldCharType="begin"/>
      </w:r>
      <w:r w:rsidR="005B69B1">
        <w:instrText xml:space="preserve"> SEQ Table \* ARABIC </w:instrText>
      </w:r>
      <w:r w:rsidR="005B69B1">
        <w:fldChar w:fldCharType="separate"/>
      </w:r>
      <w:r w:rsidR="005B69B1">
        <w:rPr>
          <w:noProof/>
        </w:rPr>
        <w:t>4</w:t>
      </w:r>
      <w:r w:rsidR="005B69B1">
        <w:rPr>
          <w:noProof/>
        </w:rPr>
        <w:fldChar w:fldCharType="end"/>
      </w:r>
      <w:bookmarkEnd w:id="155"/>
      <w:r w:rsidRPr="00755429">
        <w:tab/>
        <w:t>Illustrative assessed revenue and revenue raising capacity, 2012</w:t>
      </w:r>
      <w:r w:rsidRPr="00755429">
        <w:noBreakHyphen/>
        <w:t>13</w:t>
      </w:r>
    </w:p>
    <w:tbl>
      <w:tblPr>
        <w:tblW w:w="8940" w:type="dxa"/>
        <w:tblInd w:w="93" w:type="dxa"/>
        <w:tblLook w:val="04A0" w:firstRow="1" w:lastRow="0" w:firstColumn="1" w:lastColumn="0" w:noHBand="0" w:noVBand="1"/>
      </w:tblPr>
      <w:tblGrid>
        <w:gridCol w:w="2280"/>
        <w:gridCol w:w="820"/>
        <w:gridCol w:w="820"/>
        <w:gridCol w:w="700"/>
        <w:gridCol w:w="700"/>
        <w:gridCol w:w="700"/>
        <w:gridCol w:w="700"/>
        <w:gridCol w:w="700"/>
        <w:gridCol w:w="700"/>
        <w:gridCol w:w="820"/>
      </w:tblGrid>
      <w:tr w:rsidR="00647BDC" w:rsidRPr="007D5B44" w:rsidTr="00D07581">
        <w:trPr>
          <w:trHeight w:val="379"/>
        </w:trPr>
        <w:tc>
          <w:tcPr>
            <w:tcW w:w="2280" w:type="dxa"/>
            <w:tcBorders>
              <w:top w:val="single" w:sz="4" w:space="0" w:color="auto"/>
              <w:left w:val="nil"/>
              <w:bottom w:val="single" w:sz="4" w:space="0" w:color="auto"/>
              <w:right w:val="nil"/>
            </w:tcBorders>
            <w:shd w:val="clear" w:color="auto" w:fill="auto"/>
            <w:noWrap/>
            <w:vAlign w:val="center"/>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NSW</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Qld</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WA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7D5B44">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ACT</w:t>
            </w:r>
          </w:p>
        </w:tc>
        <w:tc>
          <w:tcPr>
            <w:tcW w:w="700" w:type="dxa"/>
            <w:tcBorders>
              <w:top w:val="single" w:sz="4" w:space="0" w:color="auto"/>
              <w:left w:val="nil"/>
              <w:bottom w:val="single" w:sz="4" w:space="0" w:color="auto"/>
              <w:right w:val="nil"/>
            </w:tcBorders>
            <w:shd w:val="clear" w:color="auto" w:fill="auto"/>
            <w:noWrap/>
            <w:vAlign w:val="center"/>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Total</w:t>
            </w:r>
          </w:p>
        </w:tc>
      </w:tr>
      <w:tr w:rsidR="00647BDC" w:rsidRPr="007D5B44" w:rsidTr="00D07581">
        <w:trPr>
          <w:trHeight w:val="315"/>
        </w:trPr>
        <w:tc>
          <w:tcPr>
            <w:tcW w:w="228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Average revenue ($m)</w:t>
            </w:r>
          </w:p>
        </w:tc>
        <w:tc>
          <w:tcPr>
            <w:tcW w:w="82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12 904</w:t>
            </w:r>
          </w:p>
        </w:tc>
        <w:tc>
          <w:tcPr>
            <w:tcW w:w="82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10 845</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9 746</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3 986</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3 313</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721</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1 305</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325</w:t>
            </w:r>
          </w:p>
        </w:tc>
        <w:tc>
          <w:tcPr>
            <w:tcW w:w="82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43 145</w:t>
            </w:r>
          </w:p>
        </w:tc>
      </w:tr>
      <w:tr w:rsidR="00647BDC" w:rsidRPr="007D5B44" w:rsidTr="00D07581">
        <w:trPr>
          <w:trHeight w:val="315"/>
        </w:trPr>
        <w:tc>
          <w:tcPr>
            <w:tcW w:w="228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Assessed revenue ($m)</w:t>
            </w:r>
          </w:p>
        </w:tc>
        <w:tc>
          <w:tcPr>
            <w:tcW w:w="82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13 846</w:t>
            </w:r>
          </w:p>
        </w:tc>
        <w:tc>
          <w:tcPr>
            <w:tcW w:w="82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10 698</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8 683</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4 665</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3 129</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965</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712</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448</w:t>
            </w:r>
          </w:p>
        </w:tc>
        <w:tc>
          <w:tcPr>
            <w:tcW w:w="82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43 145</w:t>
            </w:r>
          </w:p>
        </w:tc>
      </w:tr>
      <w:tr w:rsidR="00647BDC" w:rsidRPr="007D5B44" w:rsidTr="00D07581">
        <w:trPr>
          <w:trHeight w:val="315"/>
        </w:trPr>
        <w:tc>
          <w:tcPr>
            <w:tcW w:w="228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Assessed revenue ($pc)</w:t>
            </w:r>
          </w:p>
        </w:tc>
        <w:tc>
          <w:tcPr>
            <w:tcW w:w="82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1 882</w:t>
            </w:r>
          </w:p>
        </w:tc>
        <w:tc>
          <w:tcPr>
            <w:tcW w:w="82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1 882</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1 882</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1 882</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1 882</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1 882</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1 882</w:t>
            </w:r>
          </w:p>
        </w:tc>
        <w:tc>
          <w:tcPr>
            <w:tcW w:w="70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1 882</w:t>
            </w:r>
          </w:p>
        </w:tc>
        <w:tc>
          <w:tcPr>
            <w:tcW w:w="820" w:type="dxa"/>
            <w:tcBorders>
              <w:top w:val="nil"/>
              <w:left w:val="nil"/>
              <w:bottom w:val="nil"/>
              <w:right w:val="nil"/>
            </w:tcBorders>
            <w:shd w:val="clear" w:color="auto" w:fill="auto"/>
            <w:noWrap/>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1 882</w:t>
            </w:r>
          </w:p>
        </w:tc>
      </w:tr>
      <w:tr w:rsidR="00647BDC" w:rsidRPr="007D5B44" w:rsidTr="00D07581">
        <w:trPr>
          <w:trHeight w:val="315"/>
        </w:trPr>
        <w:tc>
          <w:tcPr>
            <w:tcW w:w="2280" w:type="dxa"/>
            <w:tcBorders>
              <w:top w:val="nil"/>
              <w:left w:val="nil"/>
              <w:bottom w:val="single" w:sz="4" w:space="0" w:color="auto"/>
              <w:right w:val="nil"/>
            </w:tcBorders>
            <w:shd w:val="clear" w:color="auto" w:fill="auto"/>
            <w:vAlign w:val="bottom"/>
            <w:hideMark/>
          </w:tcPr>
          <w:p w:rsidR="00647BDC" w:rsidRPr="007D5B44" w:rsidRDefault="00647BDC" w:rsidP="00D07581">
            <w:pPr>
              <w:keepNext/>
              <w:tabs>
                <w:tab w:val="clear" w:pos="567"/>
              </w:tabs>
              <w:spacing w:after="0" w:line="240" w:lineRule="auto"/>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Revenue raising capacity</w:t>
            </w:r>
          </w:p>
        </w:tc>
        <w:tc>
          <w:tcPr>
            <w:tcW w:w="820" w:type="dxa"/>
            <w:tcBorders>
              <w:top w:val="nil"/>
              <w:left w:val="nil"/>
              <w:bottom w:val="single" w:sz="4" w:space="0" w:color="auto"/>
              <w:right w:val="nil"/>
            </w:tcBorders>
            <w:shd w:val="clear" w:color="auto" w:fill="auto"/>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1.000</w:t>
            </w:r>
          </w:p>
        </w:tc>
        <w:tc>
          <w:tcPr>
            <w:tcW w:w="820" w:type="dxa"/>
            <w:tcBorders>
              <w:top w:val="nil"/>
              <w:left w:val="nil"/>
              <w:bottom w:val="single" w:sz="4" w:space="0" w:color="auto"/>
              <w:right w:val="nil"/>
            </w:tcBorders>
            <w:shd w:val="clear" w:color="auto" w:fill="auto"/>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1.000</w:t>
            </w:r>
          </w:p>
        </w:tc>
        <w:tc>
          <w:tcPr>
            <w:tcW w:w="700" w:type="dxa"/>
            <w:tcBorders>
              <w:top w:val="nil"/>
              <w:left w:val="nil"/>
              <w:bottom w:val="single" w:sz="4" w:space="0" w:color="auto"/>
              <w:right w:val="nil"/>
            </w:tcBorders>
            <w:shd w:val="clear" w:color="auto" w:fill="auto"/>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1.000</w:t>
            </w:r>
          </w:p>
        </w:tc>
        <w:tc>
          <w:tcPr>
            <w:tcW w:w="700" w:type="dxa"/>
            <w:tcBorders>
              <w:top w:val="nil"/>
              <w:left w:val="nil"/>
              <w:bottom w:val="single" w:sz="4" w:space="0" w:color="auto"/>
              <w:right w:val="nil"/>
            </w:tcBorders>
            <w:shd w:val="clear" w:color="auto" w:fill="auto"/>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1.000</w:t>
            </w:r>
          </w:p>
        </w:tc>
        <w:tc>
          <w:tcPr>
            <w:tcW w:w="700" w:type="dxa"/>
            <w:tcBorders>
              <w:top w:val="nil"/>
              <w:left w:val="nil"/>
              <w:bottom w:val="single" w:sz="4" w:space="0" w:color="auto"/>
              <w:right w:val="nil"/>
            </w:tcBorders>
            <w:shd w:val="clear" w:color="auto" w:fill="auto"/>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1.000</w:t>
            </w:r>
          </w:p>
        </w:tc>
        <w:tc>
          <w:tcPr>
            <w:tcW w:w="700" w:type="dxa"/>
            <w:tcBorders>
              <w:top w:val="nil"/>
              <w:left w:val="nil"/>
              <w:bottom w:val="single" w:sz="4" w:space="0" w:color="auto"/>
              <w:right w:val="nil"/>
            </w:tcBorders>
            <w:shd w:val="clear" w:color="auto" w:fill="auto"/>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1.000</w:t>
            </w:r>
          </w:p>
        </w:tc>
        <w:tc>
          <w:tcPr>
            <w:tcW w:w="700" w:type="dxa"/>
            <w:tcBorders>
              <w:top w:val="nil"/>
              <w:left w:val="nil"/>
              <w:bottom w:val="single" w:sz="4" w:space="0" w:color="auto"/>
              <w:right w:val="nil"/>
            </w:tcBorders>
            <w:shd w:val="clear" w:color="auto" w:fill="auto"/>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1.000</w:t>
            </w:r>
          </w:p>
        </w:tc>
        <w:tc>
          <w:tcPr>
            <w:tcW w:w="700" w:type="dxa"/>
            <w:tcBorders>
              <w:top w:val="nil"/>
              <w:left w:val="nil"/>
              <w:bottom w:val="single" w:sz="4" w:space="0" w:color="auto"/>
              <w:right w:val="nil"/>
            </w:tcBorders>
            <w:shd w:val="clear" w:color="auto" w:fill="auto"/>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1.000</w:t>
            </w:r>
          </w:p>
        </w:tc>
        <w:tc>
          <w:tcPr>
            <w:tcW w:w="820" w:type="dxa"/>
            <w:tcBorders>
              <w:top w:val="nil"/>
              <w:left w:val="nil"/>
              <w:bottom w:val="single" w:sz="4" w:space="0" w:color="auto"/>
              <w:right w:val="nil"/>
            </w:tcBorders>
            <w:shd w:val="clear" w:color="auto" w:fill="auto"/>
            <w:vAlign w:val="bottom"/>
            <w:hideMark/>
          </w:tcPr>
          <w:p w:rsidR="00647BDC" w:rsidRPr="007D5B44" w:rsidRDefault="00647BDC" w:rsidP="00D07581">
            <w:pPr>
              <w:keepNext/>
              <w:tabs>
                <w:tab w:val="clear" w:pos="567"/>
              </w:tabs>
              <w:spacing w:after="0" w:line="240" w:lineRule="auto"/>
              <w:jc w:val="right"/>
              <w:rPr>
                <w:rFonts w:ascii="Calibri" w:eastAsia="Times New Roman" w:hAnsi="Calibri" w:cs="Times New Roman"/>
                <w:sz w:val="20"/>
                <w:szCs w:val="20"/>
                <w:lang w:eastAsia="en-AU"/>
              </w:rPr>
            </w:pPr>
            <w:r w:rsidRPr="007D5B44">
              <w:rPr>
                <w:rFonts w:ascii="Calibri" w:eastAsia="Times New Roman" w:hAnsi="Calibri" w:cs="Times New Roman"/>
                <w:sz w:val="20"/>
                <w:szCs w:val="20"/>
                <w:lang w:eastAsia="en-AU"/>
              </w:rPr>
              <w:t>1.000</w:t>
            </w:r>
          </w:p>
        </w:tc>
      </w:tr>
    </w:tbl>
    <w:p w:rsidR="00647BDC" w:rsidRDefault="00647BDC" w:rsidP="00647BDC">
      <w:pPr>
        <w:pStyle w:val="CGCTableFootnote"/>
      </w:pPr>
      <w:r w:rsidRPr="00755429">
        <w:t>Note:</w:t>
      </w:r>
      <w:r w:rsidRPr="00755429">
        <w:tab/>
        <w:t>Revenue raising capacity ratio is calculated as assessed revenue per capita divided by average revenue</w:t>
      </w:r>
      <w:r>
        <w:t>.</w:t>
      </w:r>
    </w:p>
    <w:p w:rsidR="00647BDC" w:rsidRPr="00755429" w:rsidRDefault="00647BDC" w:rsidP="00647BDC">
      <w:pPr>
        <w:pStyle w:val="CGCTableFootnote"/>
      </w:pPr>
      <w:r w:rsidRPr="00755429">
        <w:t>Source:</w:t>
      </w:r>
      <w:r w:rsidRPr="00755429">
        <w:tab/>
        <w:t>Commission calculation.</w:t>
      </w:r>
    </w:p>
    <w:p w:rsidR="00647BDC" w:rsidRPr="00755429" w:rsidRDefault="00647BDC" w:rsidP="00647BDC">
      <w:pPr>
        <w:pStyle w:val="Heading3"/>
      </w:pPr>
      <w:bookmarkStart w:id="156" w:name="_Toc390955849"/>
      <w:r>
        <w:t>What is the impact on the GST distribution?</w:t>
      </w:r>
      <w:bookmarkEnd w:id="156"/>
    </w:p>
    <w:p w:rsidR="00647BDC" w:rsidRPr="00755429" w:rsidRDefault="00647BDC" w:rsidP="00647BDC">
      <w:pPr>
        <w:pStyle w:val="CGCNumberedPara"/>
        <w:numPr>
          <w:ilvl w:val="1"/>
          <w:numId w:val="2"/>
        </w:numPr>
        <w:tabs>
          <w:tab w:val="clear" w:pos="567"/>
        </w:tabs>
      </w:pPr>
      <w:r w:rsidRPr="00755429">
        <w:t>The EPC approach to this category means it does not have an impact on States’ GST shares.</w:t>
      </w:r>
    </w:p>
    <w:p w:rsidR="00647BDC" w:rsidRPr="00755429" w:rsidRDefault="00647BDC" w:rsidP="00647BDC">
      <w:pPr>
        <w:pStyle w:val="Heading3"/>
        <w:keepLines/>
      </w:pPr>
      <w:bookmarkStart w:id="157" w:name="_Toc390955850"/>
      <w:r>
        <w:t>Changes since the 2010 Review</w:t>
      </w:r>
      <w:bookmarkEnd w:id="157"/>
    </w:p>
    <w:p w:rsidR="00647BDC" w:rsidRPr="00755429" w:rsidRDefault="00647BDC" w:rsidP="00647BDC">
      <w:pPr>
        <w:pStyle w:val="CGCNumberedPara"/>
        <w:keepNext/>
        <w:keepLines/>
        <w:numPr>
          <w:ilvl w:val="1"/>
          <w:numId w:val="2"/>
        </w:numPr>
      </w:pPr>
      <w:r w:rsidRPr="00755429">
        <w:t>The 2015 Review assessment method is unchanged from the 2010 Review method.</w:t>
      </w:r>
    </w:p>
    <w:p w:rsidR="00647BDC" w:rsidRPr="00755429" w:rsidRDefault="00647BDC" w:rsidP="00647BDC">
      <w:pPr>
        <w:pStyle w:val="CGCNumberedPara"/>
        <w:keepNext/>
        <w:keepLines/>
        <w:numPr>
          <w:ilvl w:val="1"/>
          <w:numId w:val="2"/>
        </w:numPr>
      </w:pPr>
      <w:r w:rsidRPr="00755429">
        <w:t>We have made one change to the revenues classified to this category, we have relocated fire and emergency levies to other categories:</w:t>
      </w:r>
    </w:p>
    <w:p w:rsidR="00647BDC" w:rsidRPr="00755429" w:rsidRDefault="00647BDC" w:rsidP="00D07581">
      <w:pPr>
        <w:pStyle w:val="CGCBulletlist"/>
      </w:pPr>
      <w:r w:rsidRPr="00755429">
        <w:t>revenue from levies on property will be relocated to the Land tax category</w:t>
      </w:r>
    </w:p>
    <w:p w:rsidR="00647BDC" w:rsidRPr="00755429" w:rsidRDefault="00647BDC" w:rsidP="00D07581">
      <w:pPr>
        <w:pStyle w:val="CGCBulletlist"/>
      </w:pPr>
      <w:r w:rsidRPr="00755429">
        <w:t>revenue from levies on insurance products will be relocated to the Insurance tax category</w:t>
      </w:r>
    </w:p>
    <w:p w:rsidR="00647BDC" w:rsidRPr="00755429" w:rsidRDefault="00647BDC" w:rsidP="00D07581">
      <w:pPr>
        <w:pStyle w:val="CGCBulletlist"/>
      </w:pPr>
      <w:proofErr w:type="gramStart"/>
      <w:r w:rsidRPr="00755429">
        <w:t>revenue</w:t>
      </w:r>
      <w:proofErr w:type="gramEnd"/>
      <w:r w:rsidRPr="00755429">
        <w:t xml:space="preserve"> from levies on motor vehicles will be relocated to the Motor taxes category.</w:t>
      </w:r>
    </w:p>
    <w:p w:rsidR="00DC0F02" w:rsidRPr="00C21EF9" w:rsidRDefault="00DC0F02" w:rsidP="00C21EF9"/>
    <w:sectPr w:rsidR="00DC0F02" w:rsidRPr="00C21EF9" w:rsidSect="0004123E">
      <w:footerReference w:type="default" r:id="rId23"/>
      <w:footerReference w:type="first" r:id="rId24"/>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581" w:rsidRDefault="00D07581">
      <w:r>
        <w:separator/>
      </w:r>
    </w:p>
  </w:endnote>
  <w:endnote w:type="continuationSeparator" w:id="0">
    <w:p w:rsidR="00D07581" w:rsidRDefault="00D0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Pr="00F63FD2" w:rsidRDefault="00D07581" w:rsidP="00D07581">
    <w:pPr>
      <w:pStyle w:val="Footer"/>
    </w:pPr>
    <w:r w:rsidRPr="00FC172C">
      <w:rPr>
        <w:i/>
      </w:rPr>
      <w:t>A</w:t>
    </w:r>
    <w:r>
      <w:rPr>
        <w:i/>
      </w:rPr>
      <w:t>ttachment 1 Revenue assessments</w:t>
    </w:r>
    <w:r>
      <w:rPr>
        <w:i/>
      </w:rPr>
      <w:tab/>
    </w:r>
    <w:r>
      <w:rPr>
        <w:i/>
      </w:rPr>
      <w:tab/>
    </w:r>
    <w:r w:rsidRPr="00F63FD2">
      <w:fldChar w:fldCharType="begin"/>
    </w:r>
    <w:r w:rsidRPr="00F63FD2">
      <w:instrText xml:space="preserve"> PAGE  \* Arabic  \* MERGEFORMAT </w:instrText>
    </w:r>
    <w:r w:rsidRPr="00F63FD2">
      <w:fldChar w:fldCharType="separate"/>
    </w:r>
    <w:r w:rsidR="005B69B1">
      <w:rPr>
        <w:noProof/>
      </w:rPr>
      <w:t>85</w:t>
    </w:r>
    <w:r w:rsidRPr="00F63FD2">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Pr="007E487F" w:rsidRDefault="00D07581"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5B69B1">
      <w:rPr>
        <w:noProof/>
      </w:rPr>
      <w:t>112</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Pr="00410163" w:rsidRDefault="00D07581" w:rsidP="00D07581">
    <w:pPr>
      <w:pStyle w:val="Footer"/>
      <w:tabs>
        <w:tab w:val="clear" w:pos="4513"/>
        <w:tab w:val="right" w:pos="8931"/>
      </w:tabs>
      <w:rPr>
        <w:rFonts w:cstheme="minorHAnsi"/>
      </w:rPr>
    </w:pPr>
    <w:r w:rsidRPr="0068264A">
      <w:rPr>
        <w:i/>
      </w:rPr>
      <w:t>A</w:t>
    </w:r>
    <w:r>
      <w:rPr>
        <w:i/>
      </w:rPr>
      <w:t>ttachment 6</w:t>
    </w:r>
    <w:r w:rsidRPr="0068264A">
      <w:rPr>
        <w:i/>
      </w:rPr>
      <w:t xml:space="preserve"> </w:t>
    </w:r>
    <w:r>
      <w:rPr>
        <w:i/>
      </w:rPr>
      <w:t>Motor taxes</w:t>
    </w:r>
    <w:r w:rsidRPr="00410163">
      <w:rPr>
        <w:rFonts w:cstheme="minorHAnsi"/>
      </w:rPr>
      <w:ptab w:relativeTo="margin" w:alignment="center" w:leader="none"/>
    </w:r>
    <w:r w:rsidRPr="00410163">
      <w:rPr>
        <w:rFonts w:cstheme="minorHAnsi"/>
      </w:rPr>
      <w:ptab w:relativeTo="margin" w:alignment="right" w:leader="none"/>
    </w:r>
    <w:r>
      <w:rPr>
        <w:rFonts w:cstheme="minorHAnsi"/>
      </w:rPr>
      <w:fldChar w:fldCharType="begin"/>
    </w:r>
    <w:r>
      <w:rPr>
        <w:rFonts w:cstheme="minorHAnsi"/>
      </w:rPr>
      <w:instrText xml:space="preserve"> PAGE \* MERGEFORMAT </w:instrText>
    </w:r>
    <w:r>
      <w:rPr>
        <w:rFonts w:cstheme="minorHAnsi"/>
      </w:rPr>
      <w:fldChar w:fldCharType="separate"/>
    </w:r>
    <w:r w:rsidR="005B69B1">
      <w:rPr>
        <w:rFonts w:cstheme="minorHAnsi"/>
        <w:noProof/>
      </w:rPr>
      <w:t>122</w:t>
    </w:r>
    <w:r>
      <w:rPr>
        <w:rFonts w:cstheme="minorHAns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Default="00D07581" w:rsidP="00D07581">
    <w:pPr>
      <w:pStyle w:val="Footer"/>
      <w:tabs>
        <w:tab w:val="clear" w:pos="4513"/>
      </w:tabs>
    </w:pPr>
    <w:r>
      <w:tab/>
    </w:r>
    <w:r>
      <w:fldChar w:fldCharType="begin"/>
    </w:r>
    <w:r>
      <w:instrText xml:space="preserve"> PAGE \* MERGEFORMAT </w:instrText>
    </w:r>
    <w:r>
      <w:fldChar w:fldCharType="separate"/>
    </w:r>
    <w:r w:rsidR="005B69B1">
      <w:rPr>
        <w:noProof/>
      </w:rPr>
      <w:t>117</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Pr="00410163" w:rsidRDefault="00D07581" w:rsidP="00D07581">
    <w:pPr>
      <w:pStyle w:val="Footer"/>
      <w:tabs>
        <w:tab w:val="clear" w:pos="4513"/>
        <w:tab w:val="right" w:pos="8931"/>
      </w:tabs>
      <w:rPr>
        <w:rFonts w:cstheme="minorHAnsi"/>
      </w:rPr>
    </w:pPr>
    <w:r w:rsidRPr="0068264A">
      <w:rPr>
        <w:i/>
      </w:rPr>
      <w:t>A</w:t>
    </w:r>
    <w:r>
      <w:rPr>
        <w:i/>
      </w:rPr>
      <w:t>ttachment 7 Mining revenue</w:t>
    </w:r>
    <w:r w:rsidRPr="00410163">
      <w:rPr>
        <w:rFonts w:cstheme="minorHAnsi"/>
      </w:rPr>
      <w:ptab w:relativeTo="margin" w:alignment="center" w:leader="none"/>
    </w:r>
    <w:r w:rsidRPr="00410163">
      <w:rPr>
        <w:rFonts w:cstheme="minorHAnsi"/>
      </w:rPr>
      <w:ptab w:relativeTo="margin" w:alignment="right" w:leader="none"/>
    </w:r>
    <w:r>
      <w:rPr>
        <w:rFonts w:cstheme="minorHAnsi"/>
      </w:rPr>
      <w:fldChar w:fldCharType="begin"/>
    </w:r>
    <w:r>
      <w:rPr>
        <w:rFonts w:cstheme="minorHAnsi"/>
      </w:rPr>
      <w:instrText xml:space="preserve"> PAGE \* MERGEFORMAT </w:instrText>
    </w:r>
    <w:r>
      <w:rPr>
        <w:rFonts w:cstheme="minorHAnsi"/>
      </w:rPr>
      <w:fldChar w:fldCharType="separate"/>
    </w:r>
    <w:r w:rsidR="005B69B1">
      <w:rPr>
        <w:rFonts w:cstheme="minorHAnsi"/>
        <w:noProof/>
      </w:rPr>
      <w:t>137</w:t>
    </w:r>
    <w:r>
      <w:rPr>
        <w:rFonts w:cstheme="minorHAnsi"/>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Default="00D07581" w:rsidP="00D07581">
    <w:pPr>
      <w:pStyle w:val="Footer"/>
      <w:tabs>
        <w:tab w:val="clear" w:pos="4513"/>
      </w:tabs>
    </w:pPr>
    <w:r>
      <w:tab/>
    </w:r>
    <w:r>
      <w:fldChar w:fldCharType="begin"/>
    </w:r>
    <w:r>
      <w:instrText xml:space="preserve"> PAGE \* MERGEFORMAT </w:instrText>
    </w:r>
    <w:r>
      <w:fldChar w:fldCharType="separate"/>
    </w:r>
    <w:r w:rsidR="005B69B1">
      <w:rPr>
        <w:noProof/>
      </w:rPr>
      <w:t>123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Pr="0011178C" w:rsidRDefault="00653B02" w:rsidP="00653B02">
    <w:pPr>
      <w:pStyle w:val="Footer"/>
      <w:tabs>
        <w:tab w:val="left" w:pos="206"/>
        <w:tab w:val="right" w:pos="8951"/>
      </w:tabs>
    </w:pPr>
    <w:r w:rsidRPr="0068264A">
      <w:rPr>
        <w:i/>
      </w:rPr>
      <w:t>A</w:t>
    </w:r>
    <w:r>
      <w:rPr>
        <w:i/>
      </w:rPr>
      <w:t xml:space="preserve">ttachment </w:t>
    </w:r>
    <w:r>
      <w:rPr>
        <w:i/>
      </w:rPr>
      <w:t>8</w:t>
    </w:r>
    <w:r>
      <w:rPr>
        <w:i/>
      </w:rPr>
      <w:t xml:space="preserve"> </w:t>
    </w:r>
    <w:r>
      <w:rPr>
        <w:i/>
      </w:rPr>
      <w:t>Other revenue</w:t>
    </w:r>
    <w:r>
      <w:tab/>
    </w:r>
    <w:r>
      <w:tab/>
    </w:r>
    <w:r w:rsidR="00D07581">
      <w:fldChar w:fldCharType="begin"/>
    </w:r>
    <w:r w:rsidR="00D07581">
      <w:instrText xml:space="preserve"> PAGE  \* Arabic  \* MERGEFORMAT </w:instrText>
    </w:r>
    <w:r w:rsidR="00D07581">
      <w:fldChar w:fldCharType="separate"/>
    </w:r>
    <w:r w:rsidR="005B69B1">
      <w:rPr>
        <w:noProof/>
      </w:rPr>
      <w:t>143</w:t>
    </w:r>
    <w:r w:rsidR="00D07581">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Pr="007E487F" w:rsidRDefault="00D07581"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5B69B1">
      <w:rPr>
        <w:noProof/>
      </w:rPr>
      <w:t>138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Pr="007E487F" w:rsidRDefault="00D07581"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5B69B1">
      <w:rPr>
        <w:noProof/>
      </w:rPr>
      <w:t>81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Pr="00FC172C" w:rsidRDefault="00D07581" w:rsidP="00D07581">
    <w:pPr>
      <w:pStyle w:val="Footer"/>
      <w:rPr>
        <w:i/>
      </w:rPr>
    </w:pPr>
    <w:r w:rsidRPr="00FC172C">
      <w:rPr>
        <w:i/>
      </w:rPr>
      <w:t>A</w:t>
    </w:r>
    <w:r>
      <w:rPr>
        <w:i/>
      </w:rPr>
      <w:t>ttachment 2</w:t>
    </w:r>
    <w:r w:rsidRPr="00FC172C">
      <w:rPr>
        <w:i/>
      </w:rPr>
      <w:t xml:space="preserve"> </w:t>
    </w:r>
    <w:r>
      <w:rPr>
        <w:i/>
      </w:rPr>
      <w:t>Payroll tax</w:t>
    </w:r>
    <w:r>
      <w:rPr>
        <w:i/>
      </w:rPr>
      <w:tab/>
    </w:r>
    <w:r>
      <w:rPr>
        <w:i/>
      </w:rPr>
      <w:tab/>
    </w:r>
    <w:r w:rsidRPr="00F63FD2">
      <w:fldChar w:fldCharType="begin"/>
    </w:r>
    <w:r w:rsidRPr="00F63FD2">
      <w:instrText xml:space="preserve"> PAGE  \* Arabic  \* MERGEFORMAT </w:instrText>
    </w:r>
    <w:r w:rsidRPr="00F63FD2">
      <w:fldChar w:fldCharType="separate"/>
    </w:r>
    <w:r w:rsidR="005B69B1">
      <w:rPr>
        <w:noProof/>
      </w:rPr>
      <w:t>92</w:t>
    </w:r>
    <w:r w:rsidRPr="00F63FD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Pr="007E487F" w:rsidRDefault="00D07581"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5B69B1">
      <w:rPr>
        <w:noProof/>
      </w:rPr>
      <w:t>86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Pr="00FC172C" w:rsidRDefault="00D07581" w:rsidP="00D07581">
    <w:pPr>
      <w:pStyle w:val="Footer"/>
      <w:rPr>
        <w:i/>
      </w:rPr>
    </w:pPr>
    <w:r w:rsidRPr="00FC172C">
      <w:rPr>
        <w:i/>
      </w:rPr>
      <w:t>A</w:t>
    </w:r>
    <w:r>
      <w:rPr>
        <w:i/>
      </w:rPr>
      <w:t>ttachment 3</w:t>
    </w:r>
    <w:r w:rsidRPr="00FC172C">
      <w:rPr>
        <w:i/>
      </w:rPr>
      <w:t xml:space="preserve"> </w:t>
    </w:r>
    <w:r>
      <w:rPr>
        <w:i/>
      </w:rPr>
      <w:t>Land tax</w:t>
    </w:r>
    <w:r>
      <w:rPr>
        <w:i/>
      </w:rPr>
      <w:tab/>
    </w:r>
    <w:r>
      <w:rPr>
        <w:i/>
      </w:rPr>
      <w:tab/>
    </w:r>
    <w:r w:rsidRPr="00F63FD2">
      <w:fldChar w:fldCharType="begin"/>
    </w:r>
    <w:r w:rsidRPr="00F63FD2">
      <w:instrText xml:space="preserve"> PAGE  \* Arabic  \* MERGEFORMAT </w:instrText>
    </w:r>
    <w:r w:rsidRPr="00F63FD2">
      <w:fldChar w:fldCharType="separate"/>
    </w:r>
    <w:r w:rsidR="005B69B1">
      <w:rPr>
        <w:noProof/>
      </w:rPr>
      <w:t>102</w:t>
    </w:r>
    <w:r w:rsidRPr="00F63FD2">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Pr="007E487F" w:rsidRDefault="00D07581"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5B69B1">
      <w:rPr>
        <w:noProof/>
      </w:rPr>
      <w:t>93</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Pr="00FC172C" w:rsidRDefault="00D07581" w:rsidP="00D07581">
    <w:pPr>
      <w:pStyle w:val="Footer"/>
      <w:rPr>
        <w:i/>
      </w:rPr>
    </w:pPr>
    <w:r w:rsidRPr="00FC172C">
      <w:rPr>
        <w:i/>
      </w:rPr>
      <w:t>A</w:t>
    </w:r>
    <w:r>
      <w:rPr>
        <w:i/>
      </w:rPr>
      <w:t>ttachment 4</w:t>
    </w:r>
    <w:r w:rsidRPr="00FC172C">
      <w:rPr>
        <w:i/>
      </w:rPr>
      <w:t xml:space="preserve"> </w:t>
    </w:r>
    <w:r>
      <w:rPr>
        <w:i/>
      </w:rPr>
      <w:t>Stamp duty on conveyances</w:t>
    </w:r>
    <w:r>
      <w:rPr>
        <w:i/>
      </w:rPr>
      <w:tab/>
    </w:r>
    <w:r>
      <w:rPr>
        <w:i/>
      </w:rPr>
      <w:tab/>
    </w:r>
    <w:r w:rsidRPr="00F63FD2">
      <w:fldChar w:fldCharType="begin"/>
    </w:r>
    <w:r w:rsidRPr="00F63FD2">
      <w:instrText xml:space="preserve"> PAGE  \* Arabic  \* MERGEFORMAT </w:instrText>
    </w:r>
    <w:r w:rsidRPr="00F63FD2">
      <w:fldChar w:fldCharType="separate"/>
    </w:r>
    <w:r w:rsidR="005B69B1">
      <w:rPr>
        <w:noProof/>
      </w:rPr>
      <w:t>111</w:t>
    </w:r>
    <w:r w:rsidRPr="00F63FD2">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Pr="007E487F" w:rsidRDefault="00D07581"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5B69B1">
      <w:rPr>
        <w:noProof/>
      </w:rPr>
      <w:t>103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1" w:rsidRPr="0068264A" w:rsidRDefault="00D07581" w:rsidP="00D07581">
    <w:pPr>
      <w:pStyle w:val="Footer"/>
      <w:tabs>
        <w:tab w:val="right" w:pos="8931"/>
      </w:tabs>
      <w:rPr>
        <w:sz w:val="20"/>
        <w:szCs w:val="20"/>
      </w:rPr>
    </w:pPr>
    <w:r w:rsidRPr="0068264A">
      <w:rPr>
        <w:i/>
      </w:rPr>
      <w:t>Attachment 5 Insurance tax</w:t>
    </w:r>
    <w:r>
      <w:rPr>
        <w:sz w:val="20"/>
        <w:szCs w:val="20"/>
      </w:rPr>
      <w:tab/>
    </w:r>
    <w:r>
      <w:rPr>
        <w:sz w:val="20"/>
        <w:szCs w:val="20"/>
      </w:rPr>
      <w:tab/>
    </w:r>
    <w:r>
      <w:fldChar w:fldCharType="begin"/>
    </w:r>
    <w:r>
      <w:instrText xml:space="preserve"> PAGE   \* MERGEFORMAT </w:instrText>
    </w:r>
    <w:r>
      <w:fldChar w:fldCharType="separate"/>
    </w:r>
    <w:r w:rsidR="005B69B1">
      <w:rPr>
        <w:noProof/>
      </w:rPr>
      <w:t>116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581" w:rsidRDefault="00D07581">
      <w:r>
        <w:separator/>
      </w:r>
    </w:p>
  </w:footnote>
  <w:footnote w:type="continuationSeparator" w:id="0">
    <w:p w:rsidR="00D07581" w:rsidRDefault="00D07581">
      <w:r>
        <w:continuationSeparator/>
      </w:r>
    </w:p>
  </w:footnote>
  <w:footnote w:id="1">
    <w:p w:rsidR="00D07581" w:rsidRDefault="00D07581" w:rsidP="00647BDC">
      <w:pPr>
        <w:pStyle w:val="FootnoteText"/>
      </w:pPr>
      <w:r>
        <w:rPr>
          <w:rStyle w:val="FootnoteReference"/>
        </w:rPr>
        <w:footnoteRef/>
      </w:r>
      <w:r>
        <w:t xml:space="preserve"> </w:t>
      </w:r>
      <w:r>
        <w:tab/>
      </w:r>
      <w:r w:rsidRPr="00921958">
        <w:t>In a protocol signed in July 2010, States confirmed their continued commitment to legislative and administrative harmonisation.</w:t>
      </w:r>
    </w:p>
  </w:footnote>
  <w:footnote w:id="2">
    <w:p w:rsidR="00D07581" w:rsidRDefault="00D07581" w:rsidP="00647BDC">
      <w:pPr>
        <w:pStyle w:val="FootnoteText"/>
      </w:pPr>
      <w:r>
        <w:rPr>
          <w:rStyle w:val="FootnoteReference"/>
        </w:rPr>
        <w:footnoteRef/>
      </w:r>
      <w:r>
        <w:t xml:space="preserve"> </w:t>
      </w:r>
      <w:r>
        <w:tab/>
      </w:r>
      <w:r w:rsidRPr="00921958">
        <w:t>The eight key areas of harmonisation were: timing of lodgement and returns, motor vehicle allowances, accommodation allowances, a range of fringe benefits, work performed outside a jurisdiction, employee share acquisition schemes, superannuation contributions for non-working directors, and grouping of businesses.</w:t>
      </w:r>
    </w:p>
  </w:footnote>
  <w:footnote w:id="3">
    <w:p w:rsidR="00D07581" w:rsidRDefault="00D07581" w:rsidP="00647BDC">
      <w:pPr>
        <w:pStyle w:val="FootnoteText"/>
      </w:pPr>
      <w:r>
        <w:rPr>
          <w:rStyle w:val="FootnoteReference"/>
        </w:rPr>
        <w:footnoteRef/>
      </w:r>
      <w:r>
        <w:t xml:space="preserve"> </w:t>
      </w:r>
      <w:r>
        <w:tab/>
      </w:r>
      <w:r w:rsidRPr="00067B85">
        <w:t>States cannot impose payroll tax on Commonwealth employees and tend not to impose payroll tax on local government employees. We have also excluded payroll tax on State government employees because the tax paid is an internal budget transfer. Also excluded was the remuneration of Australian Defence Force personnel and employees of Australian embassies and consulates employed overseas.</w:t>
      </w:r>
    </w:p>
  </w:footnote>
  <w:footnote w:id="4">
    <w:p w:rsidR="00D07581" w:rsidRDefault="00D07581" w:rsidP="00647BDC">
      <w:pPr>
        <w:pStyle w:val="FootnoteText"/>
      </w:pPr>
      <w:r>
        <w:rPr>
          <w:rStyle w:val="FootnoteReference"/>
        </w:rPr>
        <w:footnoteRef/>
      </w:r>
      <w:r>
        <w:t xml:space="preserve"> </w:t>
      </w:r>
      <w:r>
        <w:tab/>
      </w:r>
      <w:r w:rsidRPr="00067B85">
        <w:t>Higher education institutions are classified to the general government sector in the ABS GFS. They are included in the assessment since they are subject to payroll tax in all States.</w:t>
      </w:r>
    </w:p>
  </w:footnote>
  <w:footnote w:id="5">
    <w:p w:rsidR="00D07581" w:rsidRDefault="00D07581" w:rsidP="00647BDC">
      <w:pPr>
        <w:pStyle w:val="FootnoteText"/>
      </w:pPr>
      <w:r>
        <w:rPr>
          <w:rStyle w:val="FootnoteReference"/>
        </w:rPr>
        <w:footnoteRef/>
      </w:r>
      <w:r>
        <w:t xml:space="preserve"> </w:t>
      </w:r>
      <w:r>
        <w:tab/>
      </w:r>
      <w:proofErr w:type="gramStart"/>
      <w:r w:rsidRPr="00DF1D0E">
        <w:t>Agriculture, forestry and fishing; Manufacturing; Electricity, gas, water and waste services; Transport, postal and warehousing; and Finance and insurance services.</w:t>
      </w:r>
      <w:proofErr w:type="gramEnd"/>
    </w:p>
  </w:footnote>
  <w:footnote w:id="6">
    <w:p w:rsidR="00D07581" w:rsidRDefault="00D07581" w:rsidP="00647BDC">
      <w:pPr>
        <w:pStyle w:val="FootnoteText"/>
      </w:pPr>
      <w:r>
        <w:rPr>
          <w:rStyle w:val="FootnoteReference"/>
        </w:rPr>
        <w:footnoteRef/>
      </w:r>
      <w:r>
        <w:t xml:space="preserve"> </w:t>
      </w:r>
      <w:r>
        <w:tab/>
      </w:r>
      <w:r w:rsidRPr="00C67508">
        <w:t>For companies that operate in multiple jurisdictions, there are agreements that determine the jurisdiction in which payroll tax is payable. The agreement takes in a number of factors including the employees’ principal place of residence.</w:t>
      </w:r>
    </w:p>
  </w:footnote>
  <w:footnote w:id="7">
    <w:p w:rsidR="00D07581" w:rsidRDefault="00D07581" w:rsidP="00647BDC">
      <w:pPr>
        <w:pStyle w:val="FootnoteText"/>
      </w:pPr>
      <w:r>
        <w:rPr>
          <w:rStyle w:val="FootnoteReference"/>
        </w:rPr>
        <w:footnoteRef/>
      </w:r>
      <w:r>
        <w:t xml:space="preserve"> </w:t>
      </w:r>
      <w:r>
        <w:tab/>
        <w:t xml:space="preserve">Only New South Wales and South Australia levy duty on marketable securities. An assessment of these duties would not be material and they are included in the </w:t>
      </w:r>
      <w:proofErr w:type="gramStart"/>
      <w:r>
        <w:t>Other</w:t>
      </w:r>
      <w:proofErr w:type="gramEnd"/>
      <w:r>
        <w:t xml:space="preserve"> revenue category.</w:t>
      </w:r>
    </w:p>
  </w:footnote>
  <w:footnote w:id="8">
    <w:p w:rsidR="00D07581" w:rsidRDefault="00D07581" w:rsidP="00647BDC">
      <w:pPr>
        <w:pStyle w:val="FootnoteText"/>
      </w:pPr>
      <w:r>
        <w:rPr>
          <w:rStyle w:val="FootnoteReference"/>
        </w:rPr>
        <w:footnoteRef/>
      </w:r>
      <w:r>
        <w:t xml:space="preserve"> </w:t>
      </w:r>
      <w:r>
        <w:tab/>
        <w:t>ACT data for prior years indicate non-real property transactions were a minor part of its revenue base.</w:t>
      </w:r>
      <w:r w:rsidRPr="00694188">
        <w:t xml:space="preserve"> </w:t>
      </w:r>
      <w:r>
        <w:t>Based on the prior ACT data, the Commission assessed a lower adjustment for the ACT.</w:t>
      </w:r>
    </w:p>
  </w:footnote>
  <w:footnote w:id="9">
    <w:p w:rsidR="00D07581" w:rsidRDefault="00D07581" w:rsidP="00647BDC">
      <w:pPr>
        <w:pStyle w:val="FootnoteText"/>
      </w:pPr>
      <w:r>
        <w:rPr>
          <w:rStyle w:val="FootnoteReference"/>
        </w:rPr>
        <w:footnoteRef/>
      </w:r>
      <w:r>
        <w:t xml:space="preserve"> </w:t>
      </w:r>
      <w:r>
        <w:tab/>
        <w:t xml:space="preserve">Intergovernmental Agreement on Federal Financial Relations (2009) Schedule B, Clause </w:t>
      </w:r>
      <w:proofErr w:type="gramStart"/>
      <w:r>
        <w:t>B2(</w:t>
      </w:r>
      <w:proofErr w:type="gramEnd"/>
      <w:r>
        <w:t>g).</w:t>
      </w:r>
    </w:p>
  </w:footnote>
  <w:footnote w:id="10">
    <w:p w:rsidR="00D07581" w:rsidRDefault="00D07581" w:rsidP="00647BDC">
      <w:pPr>
        <w:pStyle w:val="FootnoteText"/>
      </w:pPr>
      <w:r>
        <w:rPr>
          <w:rStyle w:val="FootnoteReference"/>
        </w:rPr>
        <w:footnoteRef/>
      </w:r>
      <w:r>
        <w:t xml:space="preserve"> </w:t>
      </w:r>
      <w:r>
        <w:tab/>
        <w:t xml:space="preserve">We note South Australia introduced an off the plan concession in May 2012 for some regions in Adelaide. It forecasts it will lose around 0.2% of revenue. An adjustment of this size would not be material. We have not, therefore, included an off the plan adjustment for South Australia. </w:t>
      </w:r>
    </w:p>
  </w:footnote>
  <w:footnote w:id="11">
    <w:p w:rsidR="00D07581" w:rsidRDefault="00D07581" w:rsidP="00647BDC">
      <w:pPr>
        <w:pStyle w:val="FootnoteText"/>
      </w:pPr>
      <w:r>
        <w:rPr>
          <w:rStyle w:val="FootnoteReference"/>
        </w:rPr>
        <w:footnoteRef/>
      </w:r>
      <w:r>
        <w:t xml:space="preserve"> </w:t>
      </w:r>
      <w:r>
        <w:tab/>
      </w:r>
      <w:r w:rsidRPr="00863E62">
        <w:t xml:space="preserve">New South Wales imposes a Health Insurance Levy on private health insurers. It is not classified as an insurance tax and is included in </w:t>
      </w:r>
      <w:proofErr w:type="gramStart"/>
      <w:r w:rsidRPr="00863E62">
        <w:t>Other</w:t>
      </w:r>
      <w:proofErr w:type="gramEnd"/>
      <w:r w:rsidRPr="00863E62">
        <w:t xml:space="preserve"> revenue.</w:t>
      </w:r>
    </w:p>
  </w:footnote>
  <w:footnote w:id="12">
    <w:p w:rsidR="00D07581" w:rsidRDefault="00D07581" w:rsidP="00647BDC">
      <w:pPr>
        <w:pStyle w:val="FootnoteText"/>
      </w:pPr>
      <w:r>
        <w:rPr>
          <w:rStyle w:val="FootnoteReference"/>
        </w:rPr>
        <w:footnoteRef/>
      </w:r>
      <w:r>
        <w:t xml:space="preserve"> </w:t>
      </w:r>
      <w:r>
        <w:tab/>
      </w:r>
      <w:r w:rsidRPr="00862588">
        <w:t>Under Australian accounting standard AASB 1023, reported gross earned premiums include fire and emergency services levies.</w:t>
      </w:r>
    </w:p>
  </w:footnote>
  <w:footnote w:id="13">
    <w:p w:rsidR="00D07581" w:rsidRDefault="00D07581" w:rsidP="00647BDC">
      <w:pPr>
        <w:pStyle w:val="FootnoteText"/>
      </w:pPr>
      <w:r>
        <w:rPr>
          <w:rStyle w:val="FootnoteReference"/>
        </w:rPr>
        <w:footnoteRef/>
      </w:r>
      <w:r>
        <w:t xml:space="preserve"> </w:t>
      </w:r>
      <w:r>
        <w:tab/>
      </w:r>
      <w:r w:rsidRPr="0022195D">
        <w:t>Public insurers are those that are controlled, or wholly owned, by a State government, irrespective of whether the assets insured are government or private assets. These insurers are not regulated by APRA.</w:t>
      </w:r>
    </w:p>
  </w:footnote>
  <w:footnote w:id="14">
    <w:p w:rsidR="00D07581" w:rsidRDefault="00D07581" w:rsidP="00647BDC">
      <w:pPr>
        <w:pStyle w:val="FootnoteText"/>
      </w:pPr>
      <w:r>
        <w:rPr>
          <w:rStyle w:val="FootnoteReference"/>
        </w:rPr>
        <w:footnoteRef/>
      </w:r>
      <w:r>
        <w:t xml:space="preserve"> </w:t>
      </w:r>
      <w:r>
        <w:tab/>
      </w:r>
      <w:r w:rsidRPr="0022195D">
        <w:t>The Territory Insurance Office provides several classes of insurance to government agencies and the general public. We used data provided by the Northern Territory to exclude workers’ compensation premiums.</w:t>
      </w:r>
    </w:p>
  </w:footnote>
  <w:footnote w:id="15">
    <w:p w:rsidR="00D07581" w:rsidRDefault="00D07581" w:rsidP="00647BDC">
      <w:pPr>
        <w:pStyle w:val="FootnoteText"/>
      </w:pPr>
      <w:r>
        <w:rPr>
          <w:rStyle w:val="FootnoteReference"/>
        </w:rPr>
        <w:footnoteRef/>
      </w:r>
      <w:r>
        <w:t xml:space="preserve"> </w:t>
      </w:r>
      <w:r>
        <w:tab/>
        <w:t>States have confirmed their heavy vehicle numbers include vehicles registered under FIRS.</w:t>
      </w:r>
    </w:p>
  </w:footnote>
  <w:footnote w:id="16">
    <w:p w:rsidR="00D07581" w:rsidRDefault="00D07581" w:rsidP="00647BDC">
      <w:pPr>
        <w:pStyle w:val="FootnoteText"/>
      </w:pPr>
      <w:r>
        <w:rPr>
          <w:rStyle w:val="FootnoteReference"/>
        </w:rPr>
        <w:footnoteRef/>
      </w:r>
      <w:r>
        <w:t xml:space="preserve"> </w:t>
      </w:r>
      <w:r>
        <w:tab/>
        <w:t xml:space="preserve">Technical paper 10 </w:t>
      </w:r>
      <w:r>
        <w:rPr>
          <w:i/>
        </w:rPr>
        <w:t>Gambling Revenue</w:t>
      </w:r>
      <w:r>
        <w:t xml:space="preserve">, found at </w:t>
      </w:r>
      <w:hyperlink r:id="rId1" w:history="1">
        <w:r w:rsidRPr="005C5AD6">
          <w:rPr>
            <w:rStyle w:val="Hyperlink"/>
          </w:rPr>
          <w:t>http://www.pc.gov.au/__data/assets/pdf_file/0006/13686/technicalpaper10.pdf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D517EA6"/>
    <w:multiLevelType w:val="multilevel"/>
    <w:tmpl w:val="6EECB14C"/>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4"/>
  </w:num>
  <w:num w:numId="6">
    <w:abstractNumId w:val="0"/>
  </w:num>
  <w:num w:numId="7">
    <w:abstractNumId w:val="2"/>
  </w:num>
  <w:num w:numId="8">
    <w:abstractNumId w:val="5"/>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DC"/>
    <w:rsid w:val="00012E9B"/>
    <w:rsid w:val="00016FE0"/>
    <w:rsid w:val="00022EA9"/>
    <w:rsid w:val="00024745"/>
    <w:rsid w:val="00032F41"/>
    <w:rsid w:val="0004123E"/>
    <w:rsid w:val="00041748"/>
    <w:rsid w:val="00041E84"/>
    <w:rsid w:val="000424EA"/>
    <w:rsid w:val="00056373"/>
    <w:rsid w:val="00061111"/>
    <w:rsid w:val="000624BB"/>
    <w:rsid w:val="000648E8"/>
    <w:rsid w:val="00093796"/>
    <w:rsid w:val="000A3898"/>
    <w:rsid w:val="000A52A1"/>
    <w:rsid w:val="000B2942"/>
    <w:rsid w:val="000B3557"/>
    <w:rsid w:val="000B64E3"/>
    <w:rsid w:val="000D1354"/>
    <w:rsid w:val="000D7C54"/>
    <w:rsid w:val="000E0210"/>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6723A"/>
    <w:rsid w:val="00171A05"/>
    <w:rsid w:val="00172F3A"/>
    <w:rsid w:val="001730FD"/>
    <w:rsid w:val="00173798"/>
    <w:rsid w:val="00173BE6"/>
    <w:rsid w:val="00173E72"/>
    <w:rsid w:val="001807C0"/>
    <w:rsid w:val="001811DE"/>
    <w:rsid w:val="00187145"/>
    <w:rsid w:val="001B0110"/>
    <w:rsid w:val="001B3048"/>
    <w:rsid w:val="001B3E3C"/>
    <w:rsid w:val="001B696E"/>
    <w:rsid w:val="001B6A56"/>
    <w:rsid w:val="001C469B"/>
    <w:rsid w:val="001C6A71"/>
    <w:rsid w:val="001D638B"/>
    <w:rsid w:val="001D6DFA"/>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5B5A"/>
    <w:rsid w:val="002671A2"/>
    <w:rsid w:val="00267496"/>
    <w:rsid w:val="00275B68"/>
    <w:rsid w:val="002845EA"/>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39FB"/>
    <w:rsid w:val="00363BF7"/>
    <w:rsid w:val="00382AE5"/>
    <w:rsid w:val="003929D2"/>
    <w:rsid w:val="00393FA5"/>
    <w:rsid w:val="003A27BB"/>
    <w:rsid w:val="003B673D"/>
    <w:rsid w:val="003C2577"/>
    <w:rsid w:val="003C4448"/>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2461"/>
    <w:rsid w:val="004809B8"/>
    <w:rsid w:val="004821B9"/>
    <w:rsid w:val="00491D88"/>
    <w:rsid w:val="0049605C"/>
    <w:rsid w:val="004965F7"/>
    <w:rsid w:val="004A7048"/>
    <w:rsid w:val="004B0A0A"/>
    <w:rsid w:val="004B1C4B"/>
    <w:rsid w:val="004B60CB"/>
    <w:rsid w:val="004C1CB5"/>
    <w:rsid w:val="004E769A"/>
    <w:rsid w:val="00500ACD"/>
    <w:rsid w:val="00504061"/>
    <w:rsid w:val="00505BAE"/>
    <w:rsid w:val="00506956"/>
    <w:rsid w:val="00515380"/>
    <w:rsid w:val="005176CA"/>
    <w:rsid w:val="005242B3"/>
    <w:rsid w:val="00537A77"/>
    <w:rsid w:val="00541A14"/>
    <w:rsid w:val="00543F9C"/>
    <w:rsid w:val="00546D39"/>
    <w:rsid w:val="00550E84"/>
    <w:rsid w:val="00551368"/>
    <w:rsid w:val="005577B0"/>
    <w:rsid w:val="00562084"/>
    <w:rsid w:val="00570EED"/>
    <w:rsid w:val="005716FC"/>
    <w:rsid w:val="00575DEF"/>
    <w:rsid w:val="00583A33"/>
    <w:rsid w:val="005867D2"/>
    <w:rsid w:val="005963CC"/>
    <w:rsid w:val="00596E19"/>
    <w:rsid w:val="005A241E"/>
    <w:rsid w:val="005A6FED"/>
    <w:rsid w:val="005B1BC4"/>
    <w:rsid w:val="005B6894"/>
    <w:rsid w:val="005B69B1"/>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22669"/>
    <w:rsid w:val="00622FE1"/>
    <w:rsid w:val="00625CE5"/>
    <w:rsid w:val="00635027"/>
    <w:rsid w:val="00644A7B"/>
    <w:rsid w:val="00647BDC"/>
    <w:rsid w:val="00653B02"/>
    <w:rsid w:val="006556D9"/>
    <w:rsid w:val="00661C46"/>
    <w:rsid w:val="006652D3"/>
    <w:rsid w:val="00667CF3"/>
    <w:rsid w:val="006769C4"/>
    <w:rsid w:val="00677627"/>
    <w:rsid w:val="00677BD5"/>
    <w:rsid w:val="0068025E"/>
    <w:rsid w:val="00693C87"/>
    <w:rsid w:val="006A05C7"/>
    <w:rsid w:val="006A607B"/>
    <w:rsid w:val="006A6E27"/>
    <w:rsid w:val="006A72B0"/>
    <w:rsid w:val="006B3E4D"/>
    <w:rsid w:val="006C52B9"/>
    <w:rsid w:val="006D1DFE"/>
    <w:rsid w:val="006E6BC2"/>
    <w:rsid w:val="006E77BB"/>
    <w:rsid w:val="0070150E"/>
    <w:rsid w:val="00705DB8"/>
    <w:rsid w:val="00713225"/>
    <w:rsid w:val="0072512A"/>
    <w:rsid w:val="00731EE6"/>
    <w:rsid w:val="007355A6"/>
    <w:rsid w:val="00740A71"/>
    <w:rsid w:val="007477C5"/>
    <w:rsid w:val="00747938"/>
    <w:rsid w:val="00762AFB"/>
    <w:rsid w:val="00765BA8"/>
    <w:rsid w:val="00766007"/>
    <w:rsid w:val="00770A26"/>
    <w:rsid w:val="007A1364"/>
    <w:rsid w:val="007A24A0"/>
    <w:rsid w:val="007A4AB2"/>
    <w:rsid w:val="007A5E68"/>
    <w:rsid w:val="007B1BF7"/>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51AF5"/>
    <w:rsid w:val="00851FB5"/>
    <w:rsid w:val="008647DE"/>
    <w:rsid w:val="00864B95"/>
    <w:rsid w:val="008800D3"/>
    <w:rsid w:val="00886CDD"/>
    <w:rsid w:val="0089214D"/>
    <w:rsid w:val="00893C0D"/>
    <w:rsid w:val="008A20DA"/>
    <w:rsid w:val="008B3F30"/>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360D7"/>
    <w:rsid w:val="009362C9"/>
    <w:rsid w:val="00942387"/>
    <w:rsid w:val="0094626F"/>
    <w:rsid w:val="009462D2"/>
    <w:rsid w:val="009652D5"/>
    <w:rsid w:val="009677F8"/>
    <w:rsid w:val="00971146"/>
    <w:rsid w:val="00972A9A"/>
    <w:rsid w:val="00991675"/>
    <w:rsid w:val="00992008"/>
    <w:rsid w:val="00996409"/>
    <w:rsid w:val="00996D00"/>
    <w:rsid w:val="009A03DC"/>
    <w:rsid w:val="009A6CF3"/>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9681E"/>
    <w:rsid w:val="00AA007A"/>
    <w:rsid w:val="00AB073E"/>
    <w:rsid w:val="00AB1A13"/>
    <w:rsid w:val="00AB4E9F"/>
    <w:rsid w:val="00AC210F"/>
    <w:rsid w:val="00AC319E"/>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5D3E"/>
    <w:rsid w:val="00B62590"/>
    <w:rsid w:val="00B6729F"/>
    <w:rsid w:val="00B82627"/>
    <w:rsid w:val="00B90AA7"/>
    <w:rsid w:val="00B94335"/>
    <w:rsid w:val="00BA65E5"/>
    <w:rsid w:val="00BB09DF"/>
    <w:rsid w:val="00BB3FC5"/>
    <w:rsid w:val="00BC2B3B"/>
    <w:rsid w:val="00BC4579"/>
    <w:rsid w:val="00BD3D24"/>
    <w:rsid w:val="00C0018A"/>
    <w:rsid w:val="00C00905"/>
    <w:rsid w:val="00C035B5"/>
    <w:rsid w:val="00C11ABD"/>
    <w:rsid w:val="00C14FB2"/>
    <w:rsid w:val="00C176AC"/>
    <w:rsid w:val="00C21EF9"/>
    <w:rsid w:val="00C222F7"/>
    <w:rsid w:val="00C24839"/>
    <w:rsid w:val="00C27C23"/>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E04A0"/>
    <w:rsid w:val="00CE34DC"/>
    <w:rsid w:val="00D07581"/>
    <w:rsid w:val="00D07FB4"/>
    <w:rsid w:val="00D21FA8"/>
    <w:rsid w:val="00D236B7"/>
    <w:rsid w:val="00D23E48"/>
    <w:rsid w:val="00D244BE"/>
    <w:rsid w:val="00D43096"/>
    <w:rsid w:val="00D46AB2"/>
    <w:rsid w:val="00D47815"/>
    <w:rsid w:val="00D656EB"/>
    <w:rsid w:val="00D771FD"/>
    <w:rsid w:val="00D7796D"/>
    <w:rsid w:val="00D81B18"/>
    <w:rsid w:val="00D83541"/>
    <w:rsid w:val="00D93A16"/>
    <w:rsid w:val="00D9496D"/>
    <w:rsid w:val="00DA0768"/>
    <w:rsid w:val="00DA161A"/>
    <w:rsid w:val="00DA5A94"/>
    <w:rsid w:val="00DB2355"/>
    <w:rsid w:val="00DB3BB4"/>
    <w:rsid w:val="00DC0F02"/>
    <w:rsid w:val="00DC0F8D"/>
    <w:rsid w:val="00DC2284"/>
    <w:rsid w:val="00DC3CA4"/>
    <w:rsid w:val="00DE4578"/>
    <w:rsid w:val="00DF04EE"/>
    <w:rsid w:val="00DF3E35"/>
    <w:rsid w:val="00E03ED5"/>
    <w:rsid w:val="00E06243"/>
    <w:rsid w:val="00E07169"/>
    <w:rsid w:val="00E1688C"/>
    <w:rsid w:val="00E22665"/>
    <w:rsid w:val="00E30499"/>
    <w:rsid w:val="00E30B51"/>
    <w:rsid w:val="00E324BB"/>
    <w:rsid w:val="00E377E8"/>
    <w:rsid w:val="00E43464"/>
    <w:rsid w:val="00E47A69"/>
    <w:rsid w:val="00E571BB"/>
    <w:rsid w:val="00E74435"/>
    <w:rsid w:val="00E758AD"/>
    <w:rsid w:val="00E77D4E"/>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22035"/>
    <w:rsid w:val="00F22D18"/>
    <w:rsid w:val="00F36C87"/>
    <w:rsid w:val="00F46927"/>
    <w:rsid w:val="00F55854"/>
    <w:rsid w:val="00F56813"/>
    <w:rsid w:val="00F70110"/>
    <w:rsid w:val="00F72C93"/>
    <w:rsid w:val="00F80A88"/>
    <w:rsid w:val="00F823F5"/>
    <w:rsid w:val="00F9170D"/>
    <w:rsid w:val="00F94368"/>
    <w:rsid w:val="00F9494C"/>
    <w:rsid w:val="00F97C6A"/>
    <w:rsid w:val="00FA15C8"/>
    <w:rsid w:val="00FA2D86"/>
    <w:rsid w:val="00FA348C"/>
    <w:rsid w:val="00FB0AD8"/>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qFormat="1"/>
    <w:lsdException w:name="Title" w:uiPriority="10"/>
    <w:lsdException w:name="Default Paragraph Font" w:uiPriority="1"/>
    <w:lsdException w:name="Hyperlink" w:uiPriority="99"/>
    <w:lsdException w:name="FollowedHyperlink" w:uiPriority="99"/>
    <w:lsdException w:name="Strong" w:uiPriority="22"/>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47BDC"/>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semiHidden/>
    <w:rsid w:val="00765BA8"/>
    <w:pPr>
      <w:numPr>
        <w:ilvl w:val="7"/>
        <w:numId w:val="4"/>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semiHidden/>
    <w:rsid w:val="00765BA8"/>
    <w:pPr>
      <w:numPr>
        <w:ilvl w:val="8"/>
        <w:numId w:val="4"/>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qFormat/>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07581"/>
    <w:pPr>
      <w:numPr>
        <w:numId w:val="1"/>
      </w:numPr>
      <w:tabs>
        <w:tab w:val="clear" w:pos="567"/>
        <w:tab w:val="clear" w:pos="927"/>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7"/>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6"/>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link w:val="CGCSubbulletlistChar"/>
    <w:qFormat/>
    <w:rsid w:val="00C21EF9"/>
    <w:pPr>
      <w:numPr>
        <w:numId w:val="8"/>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9"/>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link w:val="CommentSubjectChar"/>
    <w:rsid w:val="00765BA8"/>
    <w:rPr>
      <w:b/>
      <w:bCs/>
    </w:rPr>
  </w:style>
  <w:style w:type="paragraph" w:styleId="DocumentMap">
    <w:name w:val="Document Map"/>
    <w:basedOn w:val="Normal"/>
    <w:link w:val="DocumentMapChar"/>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link w:val="EndnoteTextChar"/>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link w:val="MacroTextChar"/>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link w:val="SingleChar"/>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uiPriority w:val="39"/>
    <w:rsid w:val="00765BA8"/>
    <w:pPr>
      <w:tabs>
        <w:tab w:val="clear" w:pos="567"/>
      </w:tabs>
      <w:spacing w:after="0"/>
      <w:ind w:left="1701"/>
    </w:pPr>
    <w:rPr>
      <w:sz w:val="18"/>
      <w:szCs w:val="18"/>
    </w:rPr>
  </w:style>
  <w:style w:type="paragraph" w:styleId="TOC6">
    <w:name w:val="toc 6"/>
    <w:basedOn w:val="Normal"/>
    <w:next w:val="Normal"/>
    <w:uiPriority w:val="39"/>
    <w:rsid w:val="00765BA8"/>
    <w:pPr>
      <w:tabs>
        <w:tab w:val="clear" w:pos="567"/>
      </w:tabs>
      <w:spacing w:after="0"/>
      <w:ind w:left="1100"/>
    </w:pPr>
    <w:rPr>
      <w:sz w:val="18"/>
      <w:szCs w:val="18"/>
    </w:rPr>
  </w:style>
  <w:style w:type="paragraph" w:styleId="TOC7">
    <w:name w:val="toc 7"/>
    <w:basedOn w:val="Normal"/>
    <w:next w:val="Normal"/>
    <w:uiPriority w:val="39"/>
    <w:rsid w:val="00765BA8"/>
    <w:pPr>
      <w:tabs>
        <w:tab w:val="clear" w:pos="567"/>
      </w:tabs>
      <w:spacing w:after="0"/>
      <w:ind w:left="1320"/>
    </w:pPr>
    <w:rPr>
      <w:sz w:val="18"/>
      <w:szCs w:val="18"/>
    </w:rPr>
  </w:style>
  <w:style w:type="paragraph" w:styleId="TOC8">
    <w:name w:val="toc 8"/>
    <w:basedOn w:val="Normal"/>
    <w:next w:val="Normal"/>
    <w:uiPriority w:val="39"/>
    <w:rsid w:val="00765BA8"/>
    <w:pPr>
      <w:tabs>
        <w:tab w:val="clear" w:pos="567"/>
      </w:tabs>
      <w:spacing w:after="0"/>
      <w:ind w:left="1540"/>
    </w:pPr>
    <w:rPr>
      <w:sz w:val="18"/>
      <w:szCs w:val="18"/>
    </w:rPr>
  </w:style>
  <w:style w:type="paragraph" w:styleId="TOC9">
    <w:name w:val="toc 9"/>
    <w:basedOn w:val="Normal"/>
    <w:next w:val="Normal"/>
    <w:uiPriority w:val="39"/>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rsid w:val="00622669"/>
    <w:rPr>
      <w:rFonts w:eastAsiaTheme="majorEastAsia" w:cstheme="majorBidi"/>
      <w:b/>
      <w:bCs/>
      <w:caps/>
      <w:color w:val="2C8558"/>
      <w:sz w:val="32"/>
    </w:rPr>
  </w:style>
  <w:style w:type="character" w:customStyle="1" w:styleId="Heading4Char">
    <w:name w:val="Heading 4 Char"/>
    <w:basedOn w:val="DefaultParagraphFont"/>
    <w:link w:val="Heading4"/>
    <w:rsid w:val="00622669"/>
    <w:rPr>
      <w:rFonts w:eastAsiaTheme="majorEastAsia" w:cstheme="majorBidi"/>
      <w:b/>
      <w:bCs/>
      <w:iCs/>
      <w:color w:val="2C8558"/>
      <w:sz w:val="32"/>
    </w:rPr>
  </w:style>
  <w:style w:type="character" w:customStyle="1" w:styleId="Heading5Char">
    <w:name w:val="Heading 5 Char"/>
    <w:basedOn w:val="DefaultParagraphFont"/>
    <w:link w:val="Heading5"/>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D07581"/>
    <w:rPr>
      <w:sz w:val="24"/>
      <w:szCs w:val="20"/>
    </w:rPr>
  </w:style>
  <w:style w:type="character" w:customStyle="1" w:styleId="CGCParaNoChar">
    <w:name w:val="CGC Para No Char"/>
    <w:aliases w:val="CGC Numbered Para Char"/>
    <w:basedOn w:val="DefaultParagraphFont"/>
    <w:link w:val="CGCNumberedPara"/>
    <w:rsid w:val="00647BDC"/>
    <w:rPr>
      <w:sz w:val="24"/>
      <w:szCs w:val="24"/>
    </w:rPr>
  </w:style>
  <w:style w:type="character" w:customStyle="1" w:styleId="CGCTableFootnoteChar">
    <w:name w:val="CGC Table Footnote Char"/>
    <w:basedOn w:val="DefaultParagraphFont"/>
    <w:link w:val="CGCTableFootnote"/>
    <w:rsid w:val="00647BDC"/>
    <w:rPr>
      <w:sz w:val="20"/>
      <w:szCs w:val="24"/>
    </w:rPr>
  </w:style>
  <w:style w:type="character" w:customStyle="1" w:styleId="CGCTableHeadingChar">
    <w:name w:val="CGC Table Heading Char"/>
    <w:basedOn w:val="DefaultParagraphFont"/>
    <w:link w:val="CGCTableHeading"/>
    <w:rsid w:val="00647BDC"/>
    <w:rPr>
      <w:b/>
      <w:sz w:val="24"/>
      <w:szCs w:val="20"/>
    </w:rPr>
  </w:style>
  <w:style w:type="character" w:customStyle="1" w:styleId="CGCTableStubChar">
    <w:name w:val="CGC Table Stub Char"/>
    <w:basedOn w:val="DefaultParagraphFont"/>
    <w:link w:val="CGCTableStub"/>
    <w:rsid w:val="00647BDC"/>
    <w:rPr>
      <w:sz w:val="20"/>
      <w:szCs w:val="20"/>
    </w:rPr>
  </w:style>
  <w:style w:type="character" w:customStyle="1" w:styleId="TableRowNormalChar">
    <w:name w:val="TableRowNormal Char"/>
    <w:basedOn w:val="DefaultParagraphFont"/>
    <w:link w:val="TableRowNormal"/>
    <w:locked/>
    <w:rsid w:val="00647BDC"/>
    <w:rPr>
      <w:sz w:val="20"/>
      <w:szCs w:val="20"/>
    </w:rPr>
  </w:style>
  <w:style w:type="character" w:customStyle="1" w:styleId="CGCBulletlistChar">
    <w:name w:val="CGC Bullet list Char"/>
    <w:aliases w:val="CGC List 1 Char,CGC Bullet list Char1"/>
    <w:basedOn w:val="DefaultParagraphFont"/>
    <w:locked/>
    <w:rsid w:val="00647BDC"/>
    <w:rPr>
      <w:sz w:val="24"/>
      <w:szCs w:val="20"/>
    </w:rPr>
  </w:style>
  <w:style w:type="character" w:styleId="FollowedHyperlink">
    <w:name w:val="FollowedHyperlink"/>
    <w:basedOn w:val="DefaultParagraphFont"/>
    <w:uiPriority w:val="99"/>
    <w:unhideWhenUsed/>
    <w:rsid w:val="00647BDC"/>
    <w:rPr>
      <w:color w:val="800080" w:themeColor="followedHyperlink"/>
      <w:u w:val="single"/>
    </w:rPr>
  </w:style>
  <w:style w:type="character" w:customStyle="1" w:styleId="Heading8Char">
    <w:name w:val="Heading 8 Char"/>
    <w:aliases w:val="(Do not use) Char,(Sub-section Nos) Char"/>
    <w:basedOn w:val="DefaultParagraphFont"/>
    <w:link w:val="Heading8"/>
    <w:semiHidden/>
    <w:rsid w:val="00647BDC"/>
    <w:rPr>
      <w:rFonts w:ascii="Arial" w:hAnsi="Arial"/>
      <w:i/>
      <w:sz w:val="20"/>
      <w:szCs w:val="20"/>
    </w:rPr>
  </w:style>
  <w:style w:type="character" w:customStyle="1" w:styleId="Heading9Char">
    <w:name w:val="Heading 9 Char"/>
    <w:aliases w:val="Heading 9 (Do not use) Char,(Subsubsection Nos) Char"/>
    <w:basedOn w:val="DefaultParagraphFont"/>
    <w:link w:val="Heading9"/>
    <w:semiHidden/>
    <w:rsid w:val="00647BDC"/>
    <w:rPr>
      <w:rFonts w:ascii="Arial" w:hAnsi="Arial"/>
      <w:b/>
      <w:i/>
      <w:sz w:val="18"/>
      <w:szCs w:val="20"/>
    </w:rPr>
  </w:style>
  <w:style w:type="character" w:customStyle="1" w:styleId="CommentTextChar">
    <w:name w:val="Comment Text Char"/>
    <w:basedOn w:val="DefaultParagraphFont"/>
    <w:link w:val="CommentText"/>
    <w:rsid w:val="00647BDC"/>
    <w:rPr>
      <w:sz w:val="20"/>
      <w:szCs w:val="20"/>
    </w:rPr>
  </w:style>
  <w:style w:type="character" w:customStyle="1" w:styleId="CommentSubjectChar">
    <w:name w:val="Comment Subject Char"/>
    <w:basedOn w:val="CommentTextChar"/>
    <w:link w:val="CommentSubject"/>
    <w:rsid w:val="00647BDC"/>
    <w:rPr>
      <w:b/>
      <w:bCs/>
      <w:sz w:val="20"/>
      <w:szCs w:val="20"/>
    </w:rPr>
  </w:style>
  <w:style w:type="character" w:customStyle="1" w:styleId="DocumentMapChar">
    <w:name w:val="Document Map Char"/>
    <w:basedOn w:val="DefaultParagraphFont"/>
    <w:link w:val="DocumentMap"/>
    <w:rsid w:val="00647BDC"/>
    <w:rPr>
      <w:rFonts w:ascii="Tahoma" w:hAnsi="Tahoma" w:cs="Tahoma"/>
      <w:sz w:val="20"/>
      <w:szCs w:val="20"/>
      <w:shd w:val="clear" w:color="auto" w:fill="000080"/>
    </w:rPr>
  </w:style>
  <w:style w:type="character" w:customStyle="1" w:styleId="EndnoteTextChar">
    <w:name w:val="Endnote Text Char"/>
    <w:basedOn w:val="DefaultParagraphFont"/>
    <w:link w:val="EndnoteText"/>
    <w:rsid w:val="00647BDC"/>
    <w:rPr>
      <w:sz w:val="20"/>
      <w:szCs w:val="20"/>
    </w:rPr>
  </w:style>
  <w:style w:type="character" w:customStyle="1" w:styleId="MacroTextChar">
    <w:name w:val="Macro Text Char"/>
    <w:basedOn w:val="DefaultParagraphFont"/>
    <w:link w:val="MacroText"/>
    <w:rsid w:val="00647BDC"/>
    <w:rPr>
      <w:rFonts w:ascii="Courier New" w:hAnsi="Courier New" w:cs="Courier New"/>
    </w:rPr>
  </w:style>
  <w:style w:type="character" w:customStyle="1" w:styleId="CGCSubbulletlistChar">
    <w:name w:val="CGC Sub bullet list Char"/>
    <w:aliases w:val="CGC List 2 Char"/>
    <w:basedOn w:val="DefaultParagraphFont"/>
    <w:link w:val="CGCSubbulletlist"/>
    <w:locked/>
    <w:rsid w:val="00647BDC"/>
    <w:rPr>
      <w:sz w:val="24"/>
      <w:szCs w:val="20"/>
    </w:rPr>
  </w:style>
  <w:style w:type="paragraph" w:customStyle="1" w:styleId="h1num">
    <w:name w:val="h1num"/>
    <w:basedOn w:val="Normal"/>
    <w:rsid w:val="00647BDC"/>
    <w:pPr>
      <w:keepNext/>
      <w:pBdr>
        <w:bottom w:val="single" w:sz="6" w:space="1" w:color="auto"/>
      </w:pBdr>
      <w:tabs>
        <w:tab w:val="clear" w:pos="567"/>
      </w:tabs>
      <w:spacing w:before="2400" w:after="200" w:line="240" w:lineRule="auto"/>
      <w:outlineLvl w:val="0"/>
    </w:pPr>
    <w:rPr>
      <w:rFonts w:eastAsia="Times New Roman" w:cs="Arial"/>
      <w:b/>
      <w:bCs/>
      <w:caps/>
      <w:color w:val="329664"/>
      <w:sz w:val="40"/>
      <w:szCs w:val="32"/>
    </w:rPr>
  </w:style>
  <w:style w:type="character" w:customStyle="1" w:styleId="SingleChar">
    <w:name w:val="Single Char"/>
    <w:basedOn w:val="DefaultParagraphFont"/>
    <w:link w:val="Single"/>
    <w:locked/>
    <w:rsid w:val="00647BDC"/>
    <w:rPr>
      <w:sz w:val="24"/>
    </w:rPr>
  </w:style>
  <w:style w:type="paragraph" w:customStyle="1" w:styleId="StyleBodyText2Body">
    <w:name w:val="Style Body Text 2 + +Body"/>
    <w:basedOn w:val="BodyText2"/>
    <w:rsid w:val="00647BDC"/>
    <w:pPr>
      <w:keepNext/>
      <w:keepLines/>
      <w:tabs>
        <w:tab w:val="clear" w:pos="567"/>
        <w:tab w:val="left" w:pos="1440"/>
        <w:tab w:val="left" w:pos="2160"/>
        <w:tab w:val="left" w:pos="2880"/>
      </w:tabs>
      <w:spacing w:before="60" w:after="60" w:line="240" w:lineRule="auto"/>
    </w:pPr>
    <w:rPr>
      <w:rFonts w:eastAsia="Times New Roman" w:cs="Times New Roman"/>
      <w:sz w:val="20"/>
      <w:szCs w:val="24"/>
    </w:rPr>
  </w:style>
  <w:style w:type="paragraph" w:styleId="BodyText2">
    <w:name w:val="Body Text 2"/>
    <w:basedOn w:val="Normal"/>
    <w:link w:val="BodyText2Char"/>
    <w:rsid w:val="00647BDC"/>
    <w:pPr>
      <w:spacing w:after="120" w:line="480" w:lineRule="auto"/>
    </w:pPr>
  </w:style>
  <w:style w:type="character" w:customStyle="1" w:styleId="BodyText2Char">
    <w:name w:val="Body Text 2 Char"/>
    <w:basedOn w:val="DefaultParagraphFont"/>
    <w:link w:val="BodyText2"/>
    <w:rsid w:val="00647BDC"/>
    <w:rPr>
      <w:sz w:val="24"/>
    </w:rPr>
  </w:style>
  <w:style w:type="paragraph" w:customStyle="1" w:styleId="Default">
    <w:name w:val="Default"/>
    <w:rsid w:val="00647BDC"/>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uiPriority w:val="10"/>
    <w:rsid w:val="00647BDC"/>
    <w:pPr>
      <w:spacing w:before="120" w:after="360" w:line="240" w:lineRule="auto"/>
      <w:jc w:val="right"/>
    </w:pPr>
    <w:rPr>
      <w:rFonts w:ascii="Tahoma" w:eastAsia="Batang" w:hAnsi="Tahoma" w:cs="Times New Roman"/>
      <w:sz w:val="48"/>
      <w:szCs w:val="24"/>
      <w:lang w:eastAsia="ko-KR"/>
    </w:rPr>
  </w:style>
  <w:style w:type="character" w:customStyle="1" w:styleId="TitleChar">
    <w:name w:val="Title Char"/>
    <w:basedOn w:val="DefaultParagraphFont"/>
    <w:link w:val="Title"/>
    <w:uiPriority w:val="10"/>
    <w:rsid w:val="00647BDC"/>
    <w:rPr>
      <w:rFonts w:ascii="Tahoma" w:eastAsia="Batang" w:hAnsi="Tahoma" w:cs="Times New Roman"/>
      <w:sz w:val="48"/>
      <w:szCs w:val="24"/>
      <w:lang w:eastAsia="ko-KR"/>
    </w:rPr>
  </w:style>
  <w:style w:type="paragraph" w:styleId="Revision">
    <w:name w:val="Revision"/>
    <w:hidden/>
    <w:uiPriority w:val="99"/>
    <w:semiHidden/>
    <w:rsid w:val="00647BDC"/>
    <w:pPr>
      <w:spacing w:after="0" w:line="240" w:lineRule="auto"/>
    </w:pPr>
    <w:rPr>
      <w:sz w:val="24"/>
      <w:szCs w:val="24"/>
    </w:rPr>
  </w:style>
  <w:style w:type="character" w:styleId="Strong">
    <w:name w:val="Strong"/>
    <w:basedOn w:val="DefaultParagraphFont"/>
    <w:uiPriority w:val="22"/>
    <w:rsid w:val="00647BDC"/>
    <w:rPr>
      <w:b/>
      <w:bCs/>
    </w:rPr>
  </w:style>
  <w:style w:type="character" w:customStyle="1" w:styleId="apple-converted-space">
    <w:name w:val="apple-converted-space"/>
    <w:basedOn w:val="DefaultParagraphFont"/>
    <w:rsid w:val="00647BDC"/>
  </w:style>
  <w:style w:type="paragraph" w:customStyle="1" w:styleId="Style1">
    <w:name w:val="Style1"/>
    <w:basedOn w:val="CGCBulletlist"/>
    <w:link w:val="Style1Char"/>
    <w:rsid w:val="00647BDC"/>
    <w:pPr>
      <w:numPr>
        <w:numId w:val="0"/>
      </w:numPr>
      <w:ind w:left="1134" w:hanging="567"/>
    </w:pPr>
  </w:style>
  <w:style w:type="character" w:customStyle="1" w:styleId="Style1Char">
    <w:name w:val="Style1 Char"/>
    <w:basedOn w:val="CGCBulletlistCharChar"/>
    <w:link w:val="Style1"/>
    <w:rsid w:val="00647BDC"/>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qFormat="1"/>
    <w:lsdException w:name="Title" w:uiPriority="10"/>
    <w:lsdException w:name="Default Paragraph Font" w:uiPriority="1"/>
    <w:lsdException w:name="Hyperlink" w:uiPriority="99"/>
    <w:lsdException w:name="FollowedHyperlink" w:uiPriority="99"/>
    <w:lsdException w:name="Strong" w:uiPriority="22"/>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47BDC"/>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semiHidden/>
    <w:rsid w:val="00765BA8"/>
    <w:pPr>
      <w:numPr>
        <w:ilvl w:val="7"/>
        <w:numId w:val="4"/>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semiHidden/>
    <w:rsid w:val="00765BA8"/>
    <w:pPr>
      <w:numPr>
        <w:ilvl w:val="8"/>
        <w:numId w:val="4"/>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qFormat/>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07581"/>
    <w:pPr>
      <w:numPr>
        <w:numId w:val="1"/>
      </w:numPr>
      <w:tabs>
        <w:tab w:val="clear" w:pos="567"/>
        <w:tab w:val="clear" w:pos="927"/>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7"/>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6"/>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link w:val="CGCSubbulletlistChar"/>
    <w:qFormat/>
    <w:rsid w:val="00C21EF9"/>
    <w:pPr>
      <w:numPr>
        <w:numId w:val="8"/>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9"/>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link w:val="CommentSubjectChar"/>
    <w:rsid w:val="00765BA8"/>
    <w:rPr>
      <w:b/>
      <w:bCs/>
    </w:rPr>
  </w:style>
  <w:style w:type="paragraph" w:styleId="DocumentMap">
    <w:name w:val="Document Map"/>
    <w:basedOn w:val="Normal"/>
    <w:link w:val="DocumentMapChar"/>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link w:val="EndnoteTextChar"/>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link w:val="MacroTextChar"/>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link w:val="SingleChar"/>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uiPriority w:val="39"/>
    <w:rsid w:val="00765BA8"/>
    <w:pPr>
      <w:tabs>
        <w:tab w:val="clear" w:pos="567"/>
      </w:tabs>
      <w:spacing w:after="0"/>
      <w:ind w:left="1701"/>
    </w:pPr>
    <w:rPr>
      <w:sz w:val="18"/>
      <w:szCs w:val="18"/>
    </w:rPr>
  </w:style>
  <w:style w:type="paragraph" w:styleId="TOC6">
    <w:name w:val="toc 6"/>
    <w:basedOn w:val="Normal"/>
    <w:next w:val="Normal"/>
    <w:uiPriority w:val="39"/>
    <w:rsid w:val="00765BA8"/>
    <w:pPr>
      <w:tabs>
        <w:tab w:val="clear" w:pos="567"/>
      </w:tabs>
      <w:spacing w:after="0"/>
      <w:ind w:left="1100"/>
    </w:pPr>
    <w:rPr>
      <w:sz w:val="18"/>
      <w:szCs w:val="18"/>
    </w:rPr>
  </w:style>
  <w:style w:type="paragraph" w:styleId="TOC7">
    <w:name w:val="toc 7"/>
    <w:basedOn w:val="Normal"/>
    <w:next w:val="Normal"/>
    <w:uiPriority w:val="39"/>
    <w:rsid w:val="00765BA8"/>
    <w:pPr>
      <w:tabs>
        <w:tab w:val="clear" w:pos="567"/>
      </w:tabs>
      <w:spacing w:after="0"/>
      <w:ind w:left="1320"/>
    </w:pPr>
    <w:rPr>
      <w:sz w:val="18"/>
      <w:szCs w:val="18"/>
    </w:rPr>
  </w:style>
  <w:style w:type="paragraph" w:styleId="TOC8">
    <w:name w:val="toc 8"/>
    <w:basedOn w:val="Normal"/>
    <w:next w:val="Normal"/>
    <w:uiPriority w:val="39"/>
    <w:rsid w:val="00765BA8"/>
    <w:pPr>
      <w:tabs>
        <w:tab w:val="clear" w:pos="567"/>
      </w:tabs>
      <w:spacing w:after="0"/>
      <w:ind w:left="1540"/>
    </w:pPr>
    <w:rPr>
      <w:sz w:val="18"/>
      <w:szCs w:val="18"/>
    </w:rPr>
  </w:style>
  <w:style w:type="paragraph" w:styleId="TOC9">
    <w:name w:val="toc 9"/>
    <w:basedOn w:val="Normal"/>
    <w:next w:val="Normal"/>
    <w:uiPriority w:val="39"/>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rsid w:val="00622669"/>
    <w:rPr>
      <w:rFonts w:eastAsiaTheme="majorEastAsia" w:cstheme="majorBidi"/>
      <w:b/>
      <w:bCs/>
      <w:caps/>
      <w:color w:val="2C8558"/>
      <w:sz w:val="32"/>
    </w:rPr>
  </w:style>
  <w:style w:type="character" w:customStyle="1" w:styleId="Heading4Char">
    <w:name w:val="Heading 4 Char"/>
    <w:basedOn w:val="DefaultParagraphFont"/>
    <w:link w:val="Heading4"/>
    <w:rsid w:val="00622669"/>
    <w:rPr>
      <w:rFonts w:eastAsiaTheme="majorEastAsia" w:cstheme="majorBidi"/>
      <w:b/>
      <w:bCs/>
      <w:iCs/>
      <w:color w:val="2C8558"/>
      <w:sz w:val="32"/>
    </w:rPr>
  </w:style>
  <w:style w:type="character" w:customStyle="1" w:styleId="Heading5Char">
    <w:name w:val="Heading 5 Char"/>
    <w:basedOn w:val="DefaultParagraphFont"/>
    <w:link w:val="Heading5"/>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D07581"/>
    <w:rPr>
      <w:sz w:val="24"/>
      <w:szCs w:val="20"/>
    </w:rPr>
  </w:style>
  <w:style w:type="character" w:customStyle="1" w:styleId="CGCParaNoChar">
    <w:name w:val="CGC Para No Char"/>
    <w:aliases w:val="CGC Numbered Para Char"/>
    <w:basedOn w:val="DefaultParagraphFont"/>
    <w:link w:val="CGCNumberedPara"/>
    <w:rsid w:val="00647BDC"/>
    <w:rPr>
      <w:sz w:val="24"/>
      <w:szCs w:val="24"/>
    </w:rPr>
  </w:style>
  <w:style w:type="character" w:customStyle="1" w:styleId="CGCTableFootnoteChar">
    <w:name w:val="CGC Table Footnote Char"/>
    <w:basedOn w:val="DefaultParagraphFont"/>
    <w:link w:val="CGCTableFootnote"/>
    <w:rsid w:val="00647BDC"/>
    <w:rPr>
      <w:sz w:val="20"/>
      <w:szCs w:val="24"/>
    </w:rPr>
  </w:style>
  <w:style w:type="character" w:customStyle="1" w:styleId="CGCTableHeadingChar">
    <w:name w:val="CGC Table Heading Char"/>
    <w:basedOn w:val="DefaultParagraphFont"/>
    <w:link w:val="CGCTableHeading"/>
    <w:rsid w:val="00647BDC"/>
    <w:rPr>
      <w:b/>
      <w:sz w:val="24"/>
      <w:szCs w:val="20"/>
    </w:rPr>
  </w:style>
  <w:style w:type="character" w:customStyle="1" w:styleId="CGCTableStubChar">
    <w:name w:val="CGC Table Stub Char"/>
    <w:basedOn w:val="DefaultParagraphFont"/>
    <w:link w:val="CGCTableStub"/>
    <w:rsid w:val="00647BDC"/>
    <w:rPr>
      <w:sz w:val="20"/>
      <w:szCs w:val="20"/>
    </w:rPr>
  </w:style>
  <w:style w:type="character" w:customStyle="1" w:styleId="TableRowNormalChar">
    <w:name w:val="TableRowNormal Char"/>
    <w:basedOn w:val="DefaultParagraphFont"/>
    <w:link w:val="TableRowNormal"/>
    <w:locked/>
    <w:rsid w:val="00647BDC"/>
    <w:rPr>
      <w:sz w:val="20"/>
      <w:szCs w:val="20"/>
    </w:rPr>
  </w:style>
  <w:style w:type="character" w:customStyle="1" w:styleId="CGCBulletlistChar">
    <w:name w:val="CGC Bullet list Char"/>
    <w:aliases w:val="CGC List 1 Char,CGC Bullet list Char1"/>
    <w:basedOn w:val="DefaultParagraphFont"/>
    <w:locked/>
    <w:rsid w:val="00647BDC"/>
    <w:rPr>
      <w:sz w:val="24"/>
      <w:szCs w:val="20"/>
    </w:rPr>
  </w:style>
  <w:style w:type="character" w:styleId="FollowedHyperlink">
    <w:name w:val="FollowedHyperlink"/>
    <w:basedOn w:val="DefaultParagraphFont"/>
    <w:uiPriority w:val="99"/>
    <w:unhideWhenUsed/>
    <w:rsid w:val="00647BDC"/>
    <w:rPr>
      <w:color w:val="800080" w:themeColor="followedHyperlink"/>
      <w:u w:val="single"/>
    </w:rPr>
  </w:style>
  <w:style w:type="character" w:customStyle="1" w:styleId="Heading8Char">
    <w:name w:val="Heading 8 Char"/>
    <w:aliases w:val="(Do not use) Char,(Sub-section Nos) Char"/>
    <w:basedOn w:val="DefaultParagraphFont"/>
    <w:link w:val="Heading8"/>
    <w:semiHidden/>
    <w:rsid w:val="00647BDC"/>
    <w:rPr>
      <w:rFonts w:ascii="Arial" w:hAnsi="Arial"/>
      <w:i/>
      <w:sz w:val="20"/>
      <w:szCs w:val="20"/>
    </w:rPr>
  </w:style>
  <w:style w:type="character" w:customStyle="1" w:styleId="Heading9Char">
    <w:name w:val="Heading 9 Char"/>
    <w:aliases w:val="Heading 9 (Do not use) Char,(Subsubsection Nos) Char"/>
    <w:basedOn w:val="DefaultParagraphFont"/>
    <w:link w:val="Heading9"/>
    <w:semiHidden/>
    <w:rsid w:val="00647BDC"/>
    <w:rPr>
      <w:rFonts w:ascii="Arial" w:hAnsi="Arial"/>
      <w:b/>
      <w:i/>
      <w:sz w:val="18"/>
      <w:szCs w:val="20"/>
    </w:rPr>
  </w:style>
  <w:style w:type="character" w:customStyle="1" w:styleId="CommentTextChar">
    <w:name w:val="Comment Text Char"/>
    <w:basedOn w:val="DefaultParagraphFont"/>
    <w:link w:val="CommentText"/>
    <w:rsid w:val="00647BDC"/>
    <w:rPr>
      <w:sz w:val="20"/>
      <w:szCs w:val="20"/>
    </w:rPr>
  </w:style>
  <w:style w:type="character" w:customStyle="1" w:styleId="CommentSubjectChar">
    <w:name w:val="Comment Subject Char"/>
    <w:basedOn w:val="CommentTextChar"/>
    <w:link w:val="CommentSubject"/>
    <w:rsid w:val="00647BDC"/>
    <w:rPr>
      <w:b/>
      <w:bCs/>
      <w:sz w:val="20"/>
      <w:szCs w:val="20"/>
    </w:rPr>
  </w:style>
  <w:style w:type="character" w:customStyle="1" w:styleId="DocumentMapChar">
    <w:name w:val="Document Map Char"/>
    <w:basedOn w:val="DefaultParagraphFont"/>
    <w:link w:val="DocumentMap"/>
    <w:rsid w:val="00647BDC"/>
    <w:rPr>
      <w:rFonts w:ascii="Tahoma" w:hAnsi="Tahoma" w:cs="Tahoma"/>
      <w:sz w:val="20"/>
      <w:szCs w:val="20"/>
      <w:shd w:val="clear" w:color="auto" w:fill="000080"/>
    </w:rPr>
  </w:style>
  <w:style w:type="character" w:customStyle="1" w:styleId="EndnoteTextChar">
    <w:name w:val="Endnote Text Char"/>
    <w:basedOn w:val="DefaultParagraphFont"/>
    <w:link w:val="EndnoteText"/>
    <w:rsid w:val="00647BDC"/>
    <w:rPr>
      <w:sz w:val="20"/>
      <w:szCs w:val="20"/>
    </w:rPr>
  </w:style>
  <w:style w:type="character" w:customStyle="1" w:styleId="MacroTextChar">
    <w:name w:val="Macro Text Char"/>
    <w:basedOn w:val="DefaultParagraphFont"/>
    <w:link w:val="MacroText"/>
    <w:rsid w:val="00647BDC"/>
    <w:rPr>
      <w:rFonts w:ascii="Courier New" w:hAnsi="Courier New" w:cs="Courier New"/>
    </w:rPr>
  </w:style>
  <w:style w:type="character" w:customStyle="1" w:styleId="CGCSubbulletlistChar">
    <w:name w:val="CGC Sub bullet list Char"/>
    <w:aliases w:val="CGC List 2 Char"/>
    <w:basedOn w:val="DefaultParagraphFont"/>
    <w:link w:val="CGCSubbulletlist"/>
    <w:locked/>
    <w:rsid w:val="00647BDC"/>
    <w:rPr>
      <w:sz w:val="24"/>
      <w:szCs w:val="20"/>
    </w:rPr>
  </w:style>
  <w:style w:type="paragraph" w:customStyle="1" w:styleId="h1num">
    <w:name w:val="h1num"/>
    <w:basedOn w:val="Normal"/>
    <w:rsid w:val="00647BDC"/>
    <w:pPr>
      <w:keepNext/>
      <w:pBdr>
        <w:bottom w:val="single" w:sz="6" w:space="1" w:color="auto"/>
      </w:pBdr>
      <w:tabs>
        <w:tab w:val="clear" w:pos="567"/>
      </w:tabs>
      <w:spacing w:before="2400" w:after="200" w:line="240" w:lineRule="auto"/>
      <w:outlineLvl w:val="0"/>
    </w:pPr>
    <w:rPr>
      <w:rFonts w:eastAsia="Times New Roman" w:cs="Arial"/>
      <w:b/>
      <w:bCs/>
      <w:caps/>
      <w:color w:val="329664"/>
      <w:sz w:val="40"/>
      <w:szCs w:val="32"/>
    </w:rPr>
  </w:style>
  <w:style w:type="character" w:customStyle="1" w:styleId="SingleChar">
    <w:name w:val="Single Char"/>
    <w:basedOn w:val="DefaultParagraphFont"/>
    <w:link w:val="Single"/>
    <w:locked/>
    <w:rsid w:val="00647BDC"/>
    <w:rPr>
      <w:sz w:val="24"/>
    </w:rPr>
  </w:style>
  <w:style w:type="paragraph" w:customStyle="1" w:styleId="StyleBodyText2Body">
    <w:name w:val="Style Body Text 2 + +Body"/>
    <w:basedOn w:val="BodyText2"/>
    <w:rsid w:val="00647BDC"/>
    <w:pPr>
      <w:keepNext/>
      <w:keepLines/>
      <w:tabs>
        <w:tab w:val="clear" w:pos="567"/>
        <w:tab w:val="left" w:pos="1440"/>
        <w:tab w:val="left" w:pos="2160"/>
        <w:tab w:val="left" w:pos="2880"/>
      </w:tabs>
      <w:spacing w:before="60" w:after="60" w:line="240" w:lineRule="auto"/>
    </w:pPr>
    <w:rPr>
      <w:rFonts w:eastAsia="Times New Roman" w:cs="Times New Roman"/>
      <w:sz w:val="20"/>
      <w:szCs w:val="24"/>
    </w:rPr>
  </w:style>
  <w:style w:type="paragraph" w:styleId="BodyText2">
    <w:name w:val="Body Text 2"/>
    <w:basedOn w:val="Normal"/>
    <w:link w:val="BodyText2Char"/>
    <w:rsid w:val="00647BDC"/>
    <w:pPr>
      <w:spacing w:after="120" w:line="480" w:lineRule="auto"/>
    </w:pPr>
  </w:style>
  <w:style w:type="character" w:customStyle="1" w:styleId="BodyText2Char">
    <w:name w:val="Body Text 2 Char"/>
    <w:basedOn w:val="DefaultParagraphFont"/>
    <w:link w:val="BodyText2"/>
    <w:rsid w:val="00647BDC"/>
    <w:rPr>
      <w:sz w:val="24"/>
    </w:rPr>
  </w:style>
  <w:style w:type="paragraph" w:customStyle="1" w:styleId="Default">
    <w:name w:val="Default"/>
    <w:rsid w:val="00647BDC"/>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uiPriority w:val="10"/>
    <w:rsid w:val="00647BDC"/>
    <w:pPr>
      <w:spacing w:before="120" w:after="360" w:line="240" w:lineRule="auto"/>
      <w:jc w:val="right"/>
    </w:pPr>
    <w:rPr>
      <w:rFonts w:ascii="Tahoma" w:eastAsia="Batang" w:hAnsi="Tahoma" w:cs="Times New Roman"/>
      <w:sz w:val="48"/>
      <w:szCs w:val="24"/>
      <w:lang w:eastAsia="ko-KR"/>
    </w:rPr>
  </w:style>
  <w:style w:type="character" w:customStyle="1" w:styleId="TitleChar">
    <w:name w:val="Title Char"/>
    <w:basedOn w:val="DefaultParagraphFont"/>
    <w:link w:val="Title"/>
    <w:uiPriority w:val="10"/>
    <w:rsid w:val="00647BDC"/>
    <w:rPr>
      <w:rFonts w:ascii="Tahoma" w:eastAsia="Batang" w:hAnsi="Tahoma" w:cs="Times New Roman"/>
      <w:sz w:val="48"/>
      <w:szCs w:val="24"/>
      <w:lang w:eastAsia="ko-KR"/>
    </w:rPr>
  </w:style>
  <w:style w:type="paragraph" w:styleId="Revision">
    <w:name w:val="Revision"/>
    <w:hidden/>
    <w:uiPriority w:val="99"/>
    <w:semiHidden/>
    <w:rsid w:val="00647BDC"/>
    <w:pPr>
      <w:spacing w:after="0" w:line="240" w:lineRule="auto"/>
    </w:pPr>
    <w:rPr>
      <w:sz w:val="24"/>
      <w:szCs w:val="24"/>
    </w:rPr>
  </w:style>
  <w:style w:type="character" w:styleId="Strong">
    <w:name w:val="Strong"/>
    <w:basedOn w:val="DefaultParagraphFont"/>
    <w:uiPriority w:val="22"/>
    <w:rsid w:val="00647BDC"/>
    <w:rPr>
      <w:b/>
      <w:bCs/>
    </w:rPr>
  </w:style>
  <w:style w:type="character" w:customStyle="1" w:styleId="apple-converted-space">
    <w:name w:val="apple-converted-space"/>
    <w:basedOn w:val="DefaultParagraphFont"/>
    <w:rsid w:val="00647BDC"/>
  </w:style>
  <w:style w:type="paragraph" w:customStyle="1" w:styleId="Style1">
    <w:name w:val="Style1"/>
    <w:basedOn w:val="CGCBulletlist"/>
    <w:link w:val="Style1Char"/>
    <w:rsid w:val="00647BDC"/>
    <w:pPr>
      <w:numPr>
        <w:numId w:val="0"/>
      </w:numPr>
      <w:ind w:left="1134" w:hanging="567"/>
    </w:pPr>
  </w:style>
  <w:style w:type="character" w:customStyle="1" w:styleId="Style1Char">
    <w:name w:val="Style1 Char"/>
    <w:basedOn w:val="CGCBulletlistCharChar"/>
    <w:link w:val="Style1"/>
    <w:rsid w:val="00647BDC"/>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_rels/footnotes.xml.rels><?xml version="1.0" encoding="UTF-8" standalone="yes"?>
<Relationships xmlns="http://schemas.openxmlformats.org/package/2006/relationships"><Relationship Id="rId1" Type="http://schemas.openxmlformats.org/officeDocument/2006/relationships/hyperlink" Target="http://www.pc.gov.au/__data/assets/pdf_file/0006/13686/technicalpaper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F1BFD-F4C5-4381-91FD-CC3EFD69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63</Pages>
  <Words>20389</Words>
  <Characters>104278</Characters>
  <Application>Microsoft Office Word</Application>
  <DocSecurity>0</DocSecurity>
  <Lines>868</Lines>
  <Paragraphs>248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124419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Kathleen Morris</dc:creator>
  <cp:lastModifiedBy>Kathleen Morris</cp:lastModifiedBy>
  <cp:revision>8</cp:revision>
  <cp:lastPrinted>2014-06-20T02:19:00Z</cp:lastPrinted>
  <dcterms:created xsi:type="dcterms:W3CDTF">2014-06-19T23:28:00Z</dcterms:created>
  <dcterms:modified xsi:type="dcterms:W3CDTF">2014-06-20T02:19:00Z</dcterms:modified>
</cp:coreProperties>
</file>