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5A9" w:rsidRPr="00EC79CF" w:rsidRDefault="00A665A9" w:rsidP="00A665A9">
      <w:pPr>
        <w:jc w:val="center"/>
      </w:pPr>
      <w:bookmarkStart w:id="0" w:name="_Toc391023209"/>
      <w:r w:rsidRPr="00EC79CF">
        <w:rPr>
          <w:noProof/>
          <w:sz w:val="36"/>
          <w:lang w:eastAsia="en-AU"/>
        </w:rPr>
        <w:drawing>
          <wp:inline distT="0" distB="0" distL="0" distR="0" wp14:anchorId="06373077" wp14:editId="0E4B0286">
            <wp:extent cx="3048000" cy="1581150"/>
            <wp:effectExtent l="19050" t="0" r="0" b="0"/>
            <wp:docPr id="1" name="Picture 1" descr="CGC_stackedstrip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C_stackedstrip resized"/>
                    <pic:cNvPicPr>
                      <a:picLocks noChangeAspect="1" noChangeArrowheads="1"/>
                    </pic:cNvPicPr>
                  </pic:nvPicPr>
                  <pic:blipFill>
                    <a:blip r:embed="rId9"/>
                    <a:srcRect/>
                    <a:stretch>
                      <a:fillRect/>
                    </a:stretch>
                  </pic:blipFill>
                  <pic:spPr bwMode="auto">
                    <a:xfrm>
                      <a:off x="0" y="0"/>
                      <a:ext cx="3048000" cy="1581150"/>
                    </a:xfrm>
                    <a:prstGeom prst="rect">
                      <a:avLst/>
                    </a:prstGeom>
                    <a:noFill/>
                    <a:ln w="9525">
                      <a:noFill/>
                      <a:miter lim="800000"/>
                      <a:headEnd/>
                      <a:tailEnd/>
                    </a:ln>
                  </pic:spPr>
                </pic:pic>
              </a:graphicData>
            </a:graphic>
          </wp:inline>
        </w:drawing>
      </w:r>
    </w:p>
    <w:p w:rsidR="00A665A9" w:rsidRPr="00EC79CF" w:rsidRDefault="00A665A9" w:rsidP="00A665A9"/>
    <w:p w:rsidR="00A665A9" w:rsidRPr="00EC79CF" w:rsidRDefault="00A665A9" w:rsidP="00A665A9"/>
    <w:p w:rsidR="00A665A9" w:rsidRPr="00EC79CF" w:rsidRDefault="00A665A9" w:rsidP="00A665A9"/>
    <w:p w:rsidR="00A665A9" w:rsidRPr="00EC79CF" w:rsidRDefault="00A665A9" w:rsidP="00A665A9"/>
    <w:p w:rsidR="00A665A9" w:rsidRPr="00EC79CF" w:rsidRDefault="00A665A9" w:rsidP="00A665A9"/>
    <w:p w:rsidR="00A665A9" w:rsidRPr="00EC79CF" w:rsidRDefault="00A665A9" w:rsidP="00A665A9">
      <w:pPr>
        <w:pStyle w:val="Heading2"/>
        <w:jc w:val="center"/>
      </w:pPr>
      <w:bookmarkStart w:id="1" w:name="_Toc389132990"/>
      <w:bookmarkStart w:id="2" w:name="_Toc389579137"/>
      <w:bookmarkStart w:id="3" w:name="_Toc390931624"/>
      <w:bookmarkStart w:id="4" w:name="_Toc390955751"/>
      <w:bookmarkStart w:id="5" w:name="_Toc391023203"/>
      <w:bookmarkStart w:id="6" w:name="_Toc410741643"/>
      <w:bookmarkStart w:id="7" w:name="_Toc410744189"/>
      <w:bookmarkStart w:id="8" w:name="_Toc411511178"/>
      <w:bookmarkStart w:id="9" w:name="_Toc411511631"/>
      <w:bookmarkStart w:id="10" w:name="_Toc411924571"/>
      <w:r w:rsidRPr="00EC79CF">
        <w:t>Report on</w:t>
      </w:r>
      <w:bookmarkStart w:id="11" w:name="_Toc389132991"/>
      <w:bookmarkEnd w:id="1"/>
      <w:r w:rsidRPr="00EC79CF">
        <w:br/>
      </w:r>
      <w:r w:rsidRPr="00EC79CF">
        <w:br/>
      </w:r>
      <w:r w:rsidR="00376E11">
        <w:t>GST</w:t>
      </w:r>
      <w:r w:rsidRPr="00EC79CF">
        <w:t xml:space="preserve"> Revenue Sharing Relativities</w:t>
      </w:r>
      <w:bookmarkEnd w:id="2"/>
      <w:bookmarkEnd w:id="3"/>
      <w:bookmarkEnd w:id="4"/>
      <w:bookmarkEnd w:id="5"/>
      <w:bookmarkEnd w:id="6"/>
      <w:bookmarkEnd w:id="7"/>
      <w:bookmarkEnd w:id="8"/>
      <w:bookmarkEnd w:id="9"/>
      <w:bookmarkEnd w:id="10"/>
      <w:bookmarkEnd w:id="11"/>
    </w:p>
    <w:p w:rsidR="00A665A9" w:rsidRPr="00EC79CF" w:rsidRDefault="00A665A9" w:rsidP="00A665A9">
      <w:pPr>
        <w:pStyle w:val="Heading2"/>
        <w:jc w:val="center"/>
      </w:pPr>
      <w:bookmarkStart w:id="12" w:name="_Toc389132992"/>
      <w:bookmarkStart w:id="13" w:name="_Toc389579138"/>
      <w:bookmarkStart w:id="14" w:name="_Toc390931625"/>
      <w:bookmarkStart w:id="15" w:name="_Toc390955752"/>
      <w:bookmarkStart w:id="16" w:name="_Toc391023204"/>
      <w:bookmarkStart w:id="17" w:name="_Toc410741644"/>
      <w:bookmarkStart w:id="18" w:name="_Toc410744190"/>
      <w:bookmarkStart w:id="19" w:name="_Toc411511179"/>
      <w:bookmarkStart w:id="20" w:name="_Toc411511632"/>
      <w:bookmarkStart w:id="21" w:name="_Toc411924572"/>
      <w:r w:rsidRPr="00EC79CF">
        <w:t>2015 Review</w:t>
      </w:r>
      <w:bookmarkEnd w:id="12"/>
      <w:bookmarkEnd w:id="13"/>
      <w:bookmarkEnd w:id="14"/>
      <w:bookmarkEnd w:id="15"/>
      <w:bookmarkEnd w:id="16"/>
      <w:bookmarkEnd w:id="17"/>
      <w:bookmarkEnd w:id="18"/>
      <w:bookmarkEnd w:id="19"/>
      <w:bookmarkEnd w:id="20"/>
      <w:bookmarkEnd w:id="21"/>
    </w:p>
    <w:p w:rsidR="00A665A9" w:rsidRPr="00EC79CF" w:rsidRDefault="00A665A9" w:rsidP="00A665A9"/>
    <w:p w:rsidR="00A665A9" w:rsidRPr="00EC79CF" w:rsidRDefault="00A665A9" w:rsidP="008A04BC">
      <w:pPr>
        <w:pStyle w:val="Heading3"/>
        <w:jc w:val="center"/>
      </w:pPr>
      <w:bookmarkStart w:id="22" w:name="_Toc411511180"/>
      <w:bookmarkStart w:id="23" w:name="_Toc411511633"/>
      <w:bookmarkStart w:id="24" w:name="_Toc411924573"/>
      <w:r w:rsidRPr="00EC79CF">
        <w:t>Volume 1 – Main Report</w:t>
      </w:r>
      <w:bookmarkEnd w:id="22"/>
      <w:bookmarkEnd w:id="23"/>
      <w:bookmarkEnd w:id="24"/>
    </w:p>
    <w:p w:rsidR="00A665A9" w:rsidRPr="00EC79CF" w:rsidRDefault="00A665A9" w:rsidP="00A665A9"/>
    <w:p w:rsidR="00A665A9" w:rsidRPr="00EC79CF" w:rsidRDefault="00A665A9" w:rsidP="00A665A9"/>
    <w:p w:rsidR="00A665A9" w:rsidRPr="00EC79CF" w:rsidRDefault="00A665A9" w:rsidP="00A665A9"/>
    <w:p w:rsidR="00A665A9" w:rsidRPr="00EC79CF" w:rsidRDefault="00A665A9" w:rsidP="00A665A9">
      <w:pPr>
        <w:pStyle w:val="Heading4"/>
        <w:jc w:val="center"/>
      </w:pPr>
      <w:r w:rsidRPr="00EC79CF">
        <w:t>Canberra</w:t>
      </w:r>
    </w:p>
    <w:p w:rsidR="00A665A9" w:rsidRPr="00EC79CF" w:rsidRDefault="00A665A9" w:rsidP="00A665A9">
      <w:pPr>
        <w:pStyle w:val="Heading5"/>
      </w:pPr>
    </w:p>
    <w:p w:rsidR="00A665A9" w:rsidRPr="00EC79CF" w:rsidRDefault="00A665A9" w:rsidP="00A665A9">
      <w:pPr>
        <w:sectPr w:rsidR="00A665A9" w:rsidRPr="00EC79CF" w:rsidSect="00A665A9">
          <w:footerReference w:type="default" r:id="rId10"/>
          <w:footerReference w:type="first" r:id="rId11"/>
          <w:footnotePr>
            <w:numRestart w:val="eachSect"/>
          </w:footnotePr>
          <w:pgSz w:w="11899" w:h="16838" w:code="9"/>
          <w:pgMar w:top="1701" w:right="1474" w:bottom="1701" w:left="1474" w:header="709" w:footer="709" w:gutter="0"/>
          <w:pgNumType w:fmt="lowerRoman"/>
          <w:cols w:space="708"/>
          <w:titlePg/>
          <w:docGrid w:linePitch="299"/>
        </w:sectPr>
      </w:pPr>
    </w:p>
    <w:p w:rsidR="00A665A9" w:rsidRPr="00EC79CF" w:rsidRDefault="00A665A9" w:rsidP="00A665A9">
      <w:pPr>
        <w:pStyle w:val="Heading3"/>
        <w:spacing w:before="0"/>
      </w:pPr>
      <w:bookmarkStart w:id="25" w:name="_Toc283907661"/>
      <w:bookmarkStart w:id="26" w:name="_Toc283984117"/>
      <w:bookmarkStart w:id="27" w:name="_Toc283984283"/>
      <w:bookmarkStart w:id="28" w:name="_Toc283984534"/>
      <w:bookmarkStart w:id="29" w:name="_Toc284593047"/>
      <w:bookmarkStart w:id="30" w:name="_Toc284950444"/>
      <w:bookmarkStart w:id="31" w:name="_Toc284950513"/>
      <w:bookmarkStart w:id="32" w:name="_Toc284950874"/>
      <w:bookmarkStart w:id="33" w:name="_Toc284951045"/>
      <w:bookmarkStart w:id="34" w:name="_Toc284951274"/>
      <w:bookmarkStart w:id="35" w:name="_Toc285634893"/>
      <w:bookmarkStart w:id="36" w:name="_Toc285635052"/>
      <w:bookmarkStart w:id="37" w:name="_Toc300732051"/>
      <w:bookmarkStart w:id="38" w:name="_Toc300732121"/>
      <w:bookmarkStart w:id="39" w:name="_Toc300732197"/>
      <w:bookmarkStart w:id="40" w:name="_Toc300732263"/>
      <w:bookmarkStart w:id="41" w:name="_Toc300732337"/>
      <w:bookmarkStart w:id="42" w:name="_Toc300732455"/>
      <w:bookmarkStart w:id="43" w:name="_Toc303952552"/>
      <w:bookmarkStart w:id="44" w:name="_Toc333409208"/>
      <w:bookmarkStart w:id="45" w:name="_Toc333409439"/>
      <w:bookmarkStart w:id="46" w:name="_Toc336335853"/>
      <w:bookmarkStart w:id="47" w:name="_Toc399487783"/>
      <w:bookmarkStart w:id="48" w:name="_Toc399487986"/>
      <w:bookmarkStart w:id="49" w:name="_Toc410741645"/>
      <w:bookmarkStart w:id="50" w:name="_Toc410744191"/>
      <w:bookmarkStart w:id="51" w:name="_Toc411511181"/>
      <w:bookmarkStart w:id="52" w:name="_Toc411511634"/>
      <w:bookmarkStart w:id="53" w:name="_Toc411924574"/>
      <w:bookmarkStart w:id="54" w:name="_Toc391023206"/>
      <w:r w:rsidRPr="00EC79CF">
        <w:lastRenderedPageBreak/>
        <w:t>Copyright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D6420E" w:rsidRPr="00EC79CF" w:rsidRDefault="00D6420E" w:rsidP="00D6420E">
      <w:r w:rsidRPr="00EC79CF">
        <w:t>© Commonwealth of Australia 2015</w:t>
      </w:r>
      <w:r w:rsidRPr="00EC79CF">
        <w:tab/>
      </w:r>
      <w:r w:rsidRPr="00EC79CF">
        <w:tab/>
        <w:t>ISBN: 978-0-9923954-2-1</w:t>
      </w:r>
    </w:p>
    <w:p w:rsidR="00D6420E" w:rsidRPr="00841145" w:rsidRDefault="00D6420E" w:rsidP="00D6420E">
      <w:pPr>
        <w:rPr>
          <w:i/>
        </w:rPr>
      </w:pPr>
      <w:r w:rsidRPr="00EC79CF">
        <w:t xml:space="preserve">With the exception of the Commonwealth Coat of Arms, all material presented in this document is provided under an </w:t>
      </w:r>
      <w:hyperlink r:id="rId12" w:history="1">
        <w:r>
          <w:rPr>
            <w:rStyle w:val="Hyperlink"/>
          </w:rPr>
          <w:t>Attribution 4.0 (CC BY 4.0) licence</w:t>
        </w:r>
      </w:hyperlink>
      <w:r>
        <w:t xml:space="preserve"> </w:t>
      </w:r>
      <w:r w:rsidRPr="00D6420E">
        <w:t>(http://creativecommons.org/licenses/by/4</w:t>
      </w:r>
      <w:r>
        <w:t>.0).</w:t>
      </w:r>
    </w:p>
    <w:p w:rsidR="00D6420E" w:rsidRPr="00EC79CF" w:rsidRDefault="00D6420E" w:rsidP="00D6420E">
      <w:r w:rsidRPr="00EC79CF">
        <w:rPr>
          <w:noProof/>
          <w:lang w:eastAsia="en-AU"/>
        </w:rPr>
        <w:drawing>
          <wp:inline distT="0" distB="0" distL="0" distR="0" wp14:anchorId="6EAC987B" wp14:editId="6E62A3A9">
            <wp:extent cx="828675" cy="295275"/>
            <wp:effectExtent l="19050" t="0" r="9525" b="0"/>
            <wp:docPr id="16" name="Picture 1" descr="Creative Commons -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3" cstate="print"/>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rsidR="00D6420E" w:rsidRPr="00EC79CF" w:rsidRDefault="00D6420E" w:rsidP="00D6420E">
      <w:pPr>
        <w:pStyle w:val="Heading4"/>
        <w:spacing w:before="240"/>
      </w:pPr>
      <w:bookmarkStart w:id="55" w:name="_Toc283907662"/>
      <w:bookmarkStart w:id="56" w:name="_Toc283984118"/>
      <w:bookmarkStart w:id="57" w:name="_Toc283984284"/>
      <w:bookmarkStart w:id="58" w:name="_Toc284951046"/>
      <w:bookmarkStart w:id="59" w:name="_Toc300732052"/>
      <w:bookmarkStart w:id="60" w:name="_Toc300732122"/>
      <w:bookmarkStart w:id="61" w:name="_Toc300732338"/>
      <w:bookmarkStart w:id="62" w:name="_Toc300732456"/>
      <w:bookmarkStart w:id="63" w:name="_Toc303952553"/>
      <w:bookmarkStart w:id="64" w:name="_Toc336335854"/>
      <w:bookmarkStart w:id="65" w:name="_Toc399487987"/>
      <w:r w:rsidRPr="00EC79CF">
        <w:t>Attribution</w:t>
      </w:r>
      <w:bookmarkEnd w:id="55"/>
      <w:bookmarkEnd w:id="56"/>
      <w:bookmarkEnd w:id="57"/>
      <w:bookmarkEnd w:id="58"/>
      <w:bookmarkEnd w:id="59"/>
      <w:bookmarkEnd w:id="60"/>
      <w:bookmarkEnd w:id="61"/>
      <w:bookmarkEnd w:id="62"/>
      <w:bookmarkEnd w:id="63"/>
      <w:bookmarkEnd w:id="64"/>
      <w:bookmarkEnd w:id="65"/>
    </w:p>
    <w:p w:rsidR="00D6420E" w:rsidRPr="00EC79CF" w:rsidRDefault="00D6420E" w:rsidP="00D6420E">
      <w:pPr>
        <w:rPr>
          <w:i/>
        </w:rPr>
      </w:pPr>
      <w:r w:rsidRPr="00EC79CF">
        <w:t xml:space="preserve">This document should be attributed as: Commonwealth Grants Commission, </w:t>
      </w:r>
      <w:r w:rsidRPr="00EC79CF">
        <w:rPr>
          <w:i/>
        </w:rPr>
        <w:t xml:space="preserve">Report on </w:t>
      </w:r>
      <w:r>
        <w:rPr>
          <w:i/>
        </w:rPr>
        <w:t>GST</w:t>
      </w:r>
      <w:r w:rsidRPr="00EC79CF">
        <w:rPr>
          <w:i/>
        </w:rPr>
        <w:t xml:space="preserve"> Revenue Sharing Relativities 2015 Review – Volume 1.</w:t>
      </w:r>
    </w:p>
    <w:p w:rsidR="00D6420E" w:rsidRPr="00EC79CF" w:rsidRDefault="00D6420E" w:rsidP="00D6420E">
      <w:pPr>
        <w:pStyle w:val="Heading4"/>
        <w:spacing w:before="240"/>
      </w:pPr>
      <w:bookmarkStart w:id="66" w:name="_Toc283907663"/>
      <w:bookmarkStart w:id="67" w:name="_Toc283984119"/>
      <w:bookmarkStart w:id="68" w:name="_Toc283984285"/>
      <w:bookmarkStart w:id="69" w:name="_Toc284951047"/>
      <w:bookmarkStart w:id="70" w:name="_Toc300732053"/>
      <w:bookmarkStart w:id="71" w:name="_Toc300732123"/>
      <w:bookmarkStart w:id="72" w:name="_Toc300732339"/>
      <w:bookmarkStart w:id="73" w:name="_Toc300732457"/>
      <w:bookmarkStart w:id="74" w:name="_Toc303952554"/>
      <w:bookmarkStart w:id="75" w:name="_Toc336335855"/>
      <w:bookmarkStart w:id="76" w:name="_Toc399487988"/>
      <w:r w:rsidRPr="00EC79CF">
        <w:t>Licence conditions</w:t>
      </w:r>
      <w:bookmarkEnd w:id="66"/>
      <w:bookmarkEnd w:id="67"/>
      <w:bookmarkEnd w:id="68"/>
      <w:bookmarkEnd w:id="69"/>
      <w:bookmarkEnd w:id="70"/>
      <w:bookmarkEnd w:id="71"/>
      <w:bookmarkEnd w:id="72"/>
      <w:bookmarkEnd w:id="73"/>
      <w:bookmarkEnd w:id="74"/>
      <w:bookmarkEnd w:id="75"/>
      <w:bookmarkEnd w:id="76"/>
    </w:p>
    <w:p w:rsidR="00D6420E" w:rsidRPr="00EC79CF" w:rsidRDefault="00D6420E" w:rsidP="00D6420E">
      <w:pPr>
        <w:rPr>
          <w:i/>
        </w:rPr>
      </w:pPr>
      <w:r w:rsidRPr="00EC79CF">
        <w:t xml:space="preserve">The details of the relevant licence conditions are available on the </w:t>
      </w:r>
      <w:hyperlink r:id="rId14" w:history="1">
        <w:r w:rsidRPr="00841145">
          <w:rPr>
            <w:rStyle w:val="Hyperlink"/>
          </w:rPr>
          <w:t>Creative Commons website</w:t>
        </w:r>
      </w:hyperlink>
      <w:r w:rsidRPr="00EC79CF">
        <w:t xml:space="preserve"> </w:t>
      </w:r>
      <w:r>
        <w:t>(</w:t>
      </w:r>
      <w:r w:rsidRPr="00841145">
        <w:t>http://creativecommons.org</w:t>
      </w:r>
      <w:r>
        <w:t>)</w:t>
      </w:r>
      <w:r w:rsidRPr="00EC79CF">
        <w:t xml:space="preserve">, </w:t>
      </w:r>
      <w:r w:rsidRPr="00EC79CF">
        <w:br/>
        <w:t>as</w:t>
      </w:r>
      <w:r>
        <w:t xml:space="preserve"> are the </w:t>
      </w:r>
      <w:hyperlink r:id="rId15" w:history="1">
        <w:r>
          <w:rPr>
            <w:rStyle w:val="Hyperlink"/>
          </w:rPr>
          <w:t>CC BY 4.0 licence deed</w:t>
        </w:r>
      </w:hyperlink>
      <w:r w:rsidRPr="00EC79CF">
        <w:t xml:space="preserve"> </w:t>
      </w:r>
      <w:r>
        <w:t>(</w:t>
      </w:r>
      <w:r w:rsidRPr="00841145">
        <w:t>http://creativecommons.org/licenses/by/</w:t>
      </w:r>
      <w:r>
        <w:t>4</w:t>
      </w:r>
      <w:r w:rsidRPr="00841145">
        <w:t>.0</w:t>
      </w:r>
      <w:r>
        <w:t>)</w:t>
      </w:r>
      <w:r w:rsidRPr="00EC79CF">
        <w:t xml:space="preserve"> </w:t>
      </w:r>
      <w:r w:rsidRPr="00EC79CF">
        <w:br/>
        <w:t xml:space="preserve">and </w:t>
      </w:r>
      <w:hyperlink r:id="rId16" w:history="1">
        <w:r w:rsidRPr="00841145">
          <w:rPr>
            <w:rStyle w:val="Hyperlink"/>
          </w:rPr>
          <w:t>full legal code</w:t>
        </w:r>
      </w:hyperlink>
      <w:r w:rsidRPr="00EC79CF">
        <w:t xml:space="preserve"> </w:t>
      </w:r>
      <w:r>
        <w:t>(</w:t>
      </w:r>
      <w:r w:rsidRPr="00841145">
        <w:t>http://creativecommons.org/licenses/by/</w:t>
      </w:r>
      <w:r>
        <w:t>4</w:t>
      </w:r>
      <w:r w:rsidRPr="00841145">
        <w:t>.0/legalcode</w:t>
      </w:r>
      <w:r>
        <w:t>)</w:t>
      </w:r>
      <w:r w:rsidRPr="00EC79CF">
        <w:t>.</w:t>
      </w:r>
    </w:p>
    <w:p w:rsidR="00D6420E" w:rsidRPr="00EC79CF" w:rsidRDefault="00D6420E" w:rsidP="00D6420E">
      <w:pPr>
        <w:pStyle w:val="Heading4"/>
        <w:spacing w:before="240"/>
      </w:pPr>
      <w:bookmarkStart w:id="77" w:name="_Toc283907664"/>
      <w:bookmarkStart w:id="78" w:name="_Toc283984120"/>
      <w:bookmarkStart w:id="79" w:name="_Toc283984286"/>
      <w:bookmarkStart w:id="80" w:name="_Toc284951048"/>
      <w:bookmarkStart w:id="81" w:name="_Toc300732054"/>
      <w:bookmarkStart w:id="82" w:name="_Toc300732124"/>
      <w:bookmarkStart w:id="83" w:name="_Toc300732340"/>
      <w:bookmarkStart w:id="84" w:name="_Toc300732458"/>
      <w:bookmarkStart w:id="85" w:name="_Toc303952555"/>
      <w:bookmarkStart w:id="86" w:name="_Toc336335856"/>
      <w:bookmarkStart w:id="87" w:name="_Toc399487989"/>
      <w:r w:rsidRPr="00EC79CF">
        <w:t>Use of the Coat of Arms</w:t>
      </w:r>
      <w:bookmarkEnd w:id="77"/>
      <w:bookmarkEnd w:id="78"/>
      <w:bookmarkEnd w:id="79"/>
      <w:bookmarkEnd w:id="80"/>
      <w:bookmarkEnd w:id="81"/>
      <w:bookmarkEnd w:id="82"/>
      <w:bookmarkEnd w:id="83"/>
      <w:bookmarkEnd w:id="84"/>
      <w:bookmarkEnd w:id="85"/>
      <w:bookmarkEnd w:id="86"/>
      <w:bookmarkEnd w:id="87"/>
    </w:p>
    <w:p w:rsidR="00D6420E" w:rsidRPr="00EC79CF" w:rsidRDefault="00D6420E" w:rsidP="00D6420E">
      <w:pPr>
        <w:rPr>
          <w:i/>
        </w:rPr>
      </w:pPr>
      <w:r w:rsidRPr="00EC79CF">
        <w:t xml:space="preserve">The terms under which the Coat of Arms can be used are detailed on the </w:t>
      </w:r>
      <w:hyperlink r:id="rId17" w:history="1">
        <w:r w:rsidRPr="00841145">
          <w:rPr>
            <w:rStyle w:val="Hyperlink"/>
          </w:rPr>
          <w:t>It’s an Honour website</w:t>
        </w:r>
      </w:hyperlink>
      <w:r w:rsidRPr="00EC79CF">
        <w:t xml:space="preserve"> </w:t>
      </w:r>
      <w:r>
        <w:t>(</w:t>
      </w:r>
      <w:r w:rsidRPr="00841145">
        <w:t>http://www.itsanhonour.gov.au/coat-arms/</w:t>
      </w:r>
      <w:r>
        <w:t>).</w:t>
      </w:r>
    </w:p>
    <w:p w:rsidR="00D6420E" w:rsidRPr="00EC79CF" w:rsidRDefault="00D6420E" w:rsidP="00D6420E">
      <w:pPr>
        <w:pStyle w:val="Heading3"/>
        <w:spacing w:before="240"/>
      </w:pPr>
      <w:bookmarkStart w:id="88" w:name="_Toc283907665"/>
      <w:bookmarkStart w:id="89" w:name="_Toc283984121"/>
      <w:bookmarkStart w:id="90" w:name="_Toc283984287"/>
      <w:bookmarkStart w:id="91" w:name="_Toc284951049"/>
      <w:bookmarkStart w:id="92" w:name="_Toc300732055"/>
      <w:bookmarkStart w:id="93" w:name="_Toc300732125"/>
      <w:bookmarkStart w:id="94" w:name="_Toc300732198"/>
      <w:bookmarkStart w:id="95" w:name="_Toc300732264"/>
      <w:bookmarkStart w:id="96" w:name="_Toc300732341"/>
      <w:bookmarkStart w:id="97" w:name="_Toc300732459"/>
      <w:bookmarkStart w:id="98" w:name="_Toc303952556"/>
      <w:bookmarkStart w:id="99" w:name="_Toc333409209"/>
      <w:bookmarkStart w:id="100" w:name="_Toc333409440"/>
      <w:bookmarkStart w:id="101" w:name="_Toc336335857"/>
      <w:bookmarkStart w:id="102" w:name="_Toc399487784"/>
      <w:bookmarkStart w:id="103" w:name="_Toc399487990"/>
      <w:bookmarkStart w:id="104" w:name="_Toc410741646"/>
      <w:bookmarkStart w:id="105" w:name="_Toc410744192"/>
      <w:bookmarkStart w:id="106" w:name="_Toc411511182"/>
      <w:bookmarkStart w:id="107" w:name="_Toc411511635"/>
      <w:bookmarkStart w:id="108" w:name="_Toc411924575"/>
      <w:r w:rsidRPr="00EC79CF">
        <w:t>Contact us</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D6420E" w:rsidRPr="00EC79CF" w:rsidRDefault="00D6420E" w:rsidP="00D6420E">
      <w:pPr>
        <w:pStyle w:val="NoSpacing"/>
      </w:pPr>
      <w:r w:rsidRPr="00EC79CF">
        <w:t>Inquiries regarding the licence and any use of this document should be directed to:</w:t>
      </w:r>
    </w:p>
    <w:p w:rsidR="00D6420E" w:rsidRPr="00EC79CF" w:rsidRDefault="00D6420E" w:rsidP="00D6420E">
      <w:pPr>
        <w:pStyle w:val="NoSpacing"/>
      </w:pPr>
    </w:p>
    <w:p w:rsidR="00D6420E" w:rsidRPr="00EC79CF" w:rsidRDefault="00D6420E" w:rsidP="00D6420E">
      <w:pPr>
        <w:pStyle w:val="NoSpacing"/>
      </w:pPr>
      <w:r w:rsidRPr="00EC79CF">
        <w:t>Director, Corporate Services</w:t>
      </w:r>
    </w:p>
    <w:p w:rsidR="00D6420E" w:rsidRPr="00EC79CF" w:rsidRDefault="00D6420E" w:rsidP="00D6420E">
      <w:pPr>
        <w:pStyle w:val="NoSpacing"/>
      </w:pPr>
      <w:r w:rsidRPr="00EC79CF">
        <w:t>Commonwealth Grants Commission</w:t>
      </w:r>
    </w:p>
    <w:p w:rsidR="00D6420E" w:rsidRPr="00EC79CF" w:rsidRDefault="00D6420E" w:rsidP="00D6420E">
      <w:pPr>
        <w:pStyle w:val="NoSpacing"/>
      </w:pPr>
      <w:r w:rsidRPr="00EC79CF">
        <w:t>First Floor, Phoenix House</w:t>
      </w:r>
    </w:p>
    <w:p w:rsidR="00D6420E" w:rsidRPr="00EC79CF" w:rsidRDefault="00D6420E" w:rsidP="00D6420E">
      <w:pPr>
        <w:pStyle w:val="NoSpacing"/>
      </w:pPr>
      <w:r w:rsidRPr="00EC79CF">
        <w:t xml:space="preserve">86-88 </w:t>
      </w:r>
      <w:proofErr w:type="spellStart"/>
      <w:r w:rsidRPr="00EC79CF">
        <w:t>Northbourne</w:t>
      </w:r>
      <w:proofErr w:type="spellEnd"/>
      <w:r w:rsidRPr="00EC79CF">
        <w:t xml:space="preserve"> Avenue</w:t>
      </w:r>
    </w:p>
    <w:p w:rsidR="00D6420E" w:rsidRPr="00EC79CF" w:rsidRDefault="00D6420E" w:rsidP="00D6420E">
      <w:pPr>
        <w:pStyle w:val="NoSpacing"/>
      </w:pPr>
      <w:r w:rsidRPr="00EC79CF">
        <w:t>BRADDON ACT 2612</w:t>
      </w:r>
    </w:p>
    <w:p w:rsidR="00D6420E" w:rsidRPr="00EC79CF" w:rsidRDefault="00D6420E" w:rsidP="00D6420E">
      <w:pPr>
        <w:pStyle w:val="NoSpacing"/>
      </w:pPr>
      <w:r w:rsidRPr="00EC79CF">
        <w:t>Telephone (02) 6229 8825</w:t>
      </w:r>
    </w:p>
    <w:p w:rsidR="00D6420E" w:rsidRPr="00EC79CF" w:rsidRDefault="00D6420E" w:rsidP="00D6420E">
      <w:pPr>
        <w:pStyle w:val="NoSpacing"/>
      </w:pPr>
      <w:r w:rsidRPr="00EC79CF">
        <w:t>Facsimile (02) 6229 8821</w:t>
      </w:r>
    </w:p>
    <w:p w:rsidR="00D6420E" w:rsidRPr="00EC79CF" w:rsidRDefault="00D6420E" w:rsidP="00D6420E">
      <w:pPr>
        <w:pStyle w:val="NoSpacing"/>
      </w:pPr>
      <w:r w:rsidRPr="00EC79CF">
        <w:t xml:space="preserve">Email </w:t>
      </w:r>
      <w:hyperlink r:id="rId18" w:history="1">
        <w:r w:rsidRPr="00EC79CF">
          <w:rPr>
            <w:rStyle w:val="Hyperlink"/>
          </w:rPr>
          <w:t>phil.parkins@cgc.gov.au</w:t>
        </w:r>
      </w:hyperlink>
    </w:p>
    <w:p w:rsidR="00D6420E" w:rsidRPr="00EC79CF" w:rsidRDefault="00D6420E" w:rsidP="00D6420E">
      <w:pPr>
        <w:pStyle w:val="Heading3"/>
        <w:spacing w:before="240"/>
      </w:pPr>
      <w:bookmarkStart w:id="109" w:name="_Toc411511183"/>
      <w:bookmarkStart w:id="110" w:name="_Toc411511636"/>
      <w:bookmarkStart w:id="111" w:name="_Toc411924576"/>
      <w:r w:rsidRPr="00EC79CF">
        <w:t>Internet</w:t>
      </w:r>
      <w:bookmarkEnd w:id="109"/>
      <w:bookmarkEnd w:id="110"/>
      <w:bookmarkEnd w:id="111"/>
    </w:p>
    <w:p w:rsidR="00A665A9" w:rsidRPr="00EC79CF" w:rsidRDefault="00D6420E" w:rsidP="00D6420E">
      <w:r w:rsidRPr="00EC79CF">
        <w:t xml:space="preserve">A copy of this report can be obtained from the </w:t>
      </w:r>
      <w:hyperlink r:id="rId19" w:history="1">
        <w:r w:rsidRPr="00841145">
          <w:rPr>
            <w:rStyle w:val="Hyperlink"/>
          </w:rPr>
          <w:t>Commission’s website</w:t>
        </w:r>
      </w:hyperlink>
      <w:r>
        <w:t xml:space="preserve"> (</w:t>
      </w:r>
      <w:r w:rsidRPr="00841145">
        <w:t>http://www.cgc.gov.au</w:t>
      </w:r>
      <w:r>
        <w:t>).</w:t>
      </w:r>
    </w:p>
    <w:p w:rsidR="00A665A9" w:rsidRPr="00EC79CF" w:rsidRDefault="00A665A9" w:rsidP="00A665A9">
      <w:pPr>
        <w:sectPr w:rsidR="00A665A9" w:rsidRPr="00EC79CF" w:rsidSect="00A665A9">
          <w:headerReference w:type="first" r:id="rId20"/>
          <w:footerReference w:type="first" r:id="rId21"/>
          <w:footnotePr>
            <w:numRestart w:val="eachSect"/>
          </w:footnotePr>
          <w:pgSz w:w="11899" w:h="16838" w:code="9"/>
          <w:pgMar w:top="1701" w:right="1474" w:bottom="1701" w:left="1474" w:header="709" w:footer="709" w:gutter="0"/>
          <w:pgNumType w:fmt="lowerRoman"/>
          <w:cols w:space="708"/>
          <w:titlePg/>
          <w:docGrid w:linePitch="299"/>
        </w:sectPr>
      </w:pPr>
    </w:p>
    <w:p w:rsidR="00A665A9" w:rsidRPr="00EC79CF" w:rsidRDefault="00437B53" w:rsidP="00A665A9">
      <w:pPr>
        <w:tabs>
          <w:tab w:val="clear" w:pos="567"/>
          <w:tab w:val="left" w:pos="5103"/>
        </w:tabs>
        <w:spacing w:after="600" w:line="240" w:lineRule="auto"/>
        <w:rPr>
          <w:b/>
          <w:caps/>
          <w:color w:val="943634" w:themeColor="accent2" w:themeShade="BF"/>
          <w:sz w:val="200"/>
          <w:szCs w:val="40"/>
        </w:rPr>
        <w:sectPr w:rsidR="00A665A9" w:rsidRPr="00EC79CF" w:rsidSect="00A665A9">
          <w:headerReference w:type="even" r:id="rId22"/>
          <w:headerReference w:type="default" r:id="rId23"/>
          <w:footerReference w:type="even" r:id="rId24"/>
          <w:footerReference w:type="default" r:id="rId25"/>
          <w:headerReference w:type="first" r:id="rId26"/>
          <w:footerReference w:type="first" r:id="rId27"/>
          <w:footnotePr>
            <w:numRestart w:val="eachSect"/>
          </w:footnotePr>
          <w:pgSz w:w="11899" w:h="16838" w:code="9"/>
          <w:pgMar w:top="1701" w:right="1474" w:bottom="1701" w:left="1418" w:header="709" w:footer="709" w:gutter="0"/>
          <w:pgNumType w:fmt="lowerRoman" w:start="0"/>
          <w:cols w:space="708"/>
          <w:titlePg/>
          <w:docGrid w:linePitch="326"/>
        </w:sectPr>
      </w:pPr>
      <w:bookmarkStart w:id="112" w:name="_Toc285635057"/>
      <w:bookmarkStart w:id="113" w:name="_Toc316722057"/>
      <w:bookmarkStart w:id="114" w:name="_Toc316727477"/>
      <w:bookmarkStart w:id="115" w:name="_Toc316727782"/>
      <w:bookmarkStart w:id="116" w:name="_Toc316727979"/>
      <w:bookmarkStart w:id="117" w:name="_Toc316735878"/>
      <w:bookmarkStart w:id="118" w:name="_Toc158187290"/>
      <w:bookmarkStart w:id="119" w:name="_Toc282615558"/>
      <w:bookmarkStart w:id="120" w:name="_Toc283734568"/>
      <w:bookmarkStart w:id="121" w:name="_Toc283984123"/>
      <w:bookmarkStart w:id="122" w:name="_Toc283984289"/>
      <w:bookmarkStart w:id="123" w:name="_Toc284593053"/>
      <w:bookmarkStart w:id="124" w:name="_Toc284950450"/>
      <w:bookmarkStart w:id="125" w:name="_Toc284950519"/>
      <w:bookmarkStart w:id="126" w:name="_Toc284950880"/>
      <w:bookmarkStart w:id="127" w:name="_Toc284951051"/>
      <w:bookmarkStart w:id="128" w:name="Section1"/>
      <w:bookmarkStart w:id="129" w:name="_Toc127671889"/>
      <w:bookmarkStart w:id="130" w:name="_Toc127774867"/>
      <w:bookmarkStart w:id="131" w:name="_Toc127775332"/>
      <w:bookmarkStart w:id="132" w:name="_Toc348088037"/>
      <w:bookmarkStart w:id="133" w:name="_Toc348088365"/>
      <w:bookmarkStart w:id="134" w:name="_Toc348088519"/>
      <w:bookmarkStart w:id="135" w:name="_Toc348945227"/>
      <w:bookmarkStart w:id="136" w:name="_Toc348945411"/>
      <w:bookmarkStart w:id="137" w:name="_Toc348945570"/>
      <w:bookmarkStart w:id="138" w:name="_Toc348946438"/>
      <w:bookmarkStart w:id="139" w:name="_Toc348951123"/>
      <w:bookmarkStart w:id="140" w:name="_Toc348951566"/>
      <w:bookmarkStart w:id="141" w:name="_Toc348951773"/>
      <w:bookmarkStart w:id="142" w:name="_Toc348951868"/>
      <w:bookmarkStart w:id="143" w:name="_Toc348957494"/>
      <w:bookmarkStart w:id="144" w:name="_Toc348957610"/>
      <w:bookmarkStart w:id="145" w:name="_Toc348961728"/>
      <w:bookmarkStart w:id="146" w:name="_Toc348962356"/>
      <w:bookmarkStart w:id="147" w:name="_Toc349031515"/>
      <w:bookmarkStart w:id="148" w:name="_Toc349134563"/>
      <w:bookmarkStart w:id="149" w:name="_Toc349134668"/>
      <w:bookmarkStart w:id="150" w:name="_Toc349134942"/>
      <w:bookmarkStart w:id="151" w:name="_Toc349656422"/>
      <w:bookmarkStart w:id="152" w:name="_Toc349656659"/>
      <w:bookmarkStart w:id="153" w:name="_Toc350438382"/>
      <w:bookmarkStart w:id="154" w:name="_Toc348088038"/>
      <w:bookmarkStart w:id="155" w:name="_Toc348088366"/>
      <w:bookmarkStart w:id="156" w:name="_Toc348088520"/>
      <w:bookmarkStart w:id="157" w:name="_Toc348945229"/>
      <w:bookmarkStart w:id="158" w:name="_Toc348945413"/>
      <w:bookmarkStart w:id="159" w:name="_Toc348945572"/>
      <w:bookmarkStart w:id="160" w:name="_Toc348946440"/>
      <w:bookmarkStart w:id="161" w:name="_Toc348951125"/>
      <w:bookmarkStart w:id="162" w:name="_Toc348951568"/>
      <w:bookmarkStart w:id="163" w:name="_Toc348951775"/>
      <w:bookmarkStart w:id="164" w:name="_Toc348951870"/>
      <w:bookmarkStart w:id="165" w:name="_Toc348957496"/>
      <w:bookmarkStart w:id="166" w:name="_Toc348957612"/>
      <w:bookmarkStart w:id="167" w:name="_Toc348961729"/>
      <w:bookmarkStart w:id="168" w:name="_Toc348962357"/>
      <w:bookmarkStart w:id="169" w:name="_Toc349031516"/>
      <w:bookmarkStart w:id="170" w:name="_Toc349134564"/>
      <w:bookmarkStart w:id="171" w:name="_Toc349134669"/>
      <w:bookmarkStart w:id="172" w:name="_Toc349134943"/>
      <w:bookmarkStart w:id="173" w:name="_Toc349656423"/>
      <w:bookmarkStart w:id="174" w:name="_Toc349656660"/>
      <w:bookmarkStart w:id="175" w:name="_Toc350438383"/>
      <w:bookmarkStart w:id="176" w:name="_Toc350438384"/>
      <w:bookmarkStart w:id="177" w:name="_Toc348088039"/>
      <w:bookmarkStart w:id="178" w:name="_Toc348088367"/>
      <w:bookmarkStart w:id="179" w:name="_Toc348088521"/>
      <w:bookmarkStart w:id="180" w:name="_Toc348945231"/>
      <w:bookmarkStart w:id="181" w:name="_Toc348945415"/>
      <w:bookmarkStart w:id="182" w:name="_Toc348945574"/>
      <w:bookmarkStart w:id="183" w:name="_Toc348946442"/>
      <w:bookmarkStart w:id="184" w:name="_Toc348951127"/>
      <w:bookmarkStart w:id="185" w:name="_Toc348951570"/>
      <w:bookmarkStart w:id="186" w:name="_Toc348951777"/>
      <w:bookmarkStart w:id="187" w:name="_Toc348951872"/>
      <w:bookmarkStart w:id="188" w:name="_Toc348957498"/>
      <w:bookmarkStart w:id="189" w:name="_Toc348957614"/>
      <w:bookmarkStart w:id="190" w:name="_Toc348961730"/>
      <w:bookmarkStart w:id="191" w:name="_Toc348962358"/>
      <w:bookmarkStart w:id="192" w:name="_Toc349031517"/>
      <w:bookmarkStart w:id="193" w:name="_Toc349134565"/>
      <w:bookmarkStart w:id="194" w:name="_Toc349134670"/>
      <w:bookmarkStart w:id="195" w:name="_Toc349134944"/>
      <w:bookmarkStart w:id="196" w:name="_Toc349656424"/>
      <w:bookmarkStart w:id="197" w:name="_Toc349656661"/>
      <w:bookmarkStart w:id="198" w:name="_Toc348088040"/>
      <w:bookmarkStart w:id="199" w:name="_Toc348088368"/>
      <w:bookmarkStart w:id="200" w:name="_Toc348088522"/>
      <w:bookmarkStart w:id="201" w:name="_Toc348945233"/>
      <w:bookmarkStart w:id="202" w:name="_Toc348945417"/>
      <w:bookmarkStart w:id="203" w:name="_Toc348945576"/>
      <w:bookmarkStart w:id="204" w:name="_Toc348946444"/>
      <w:bookmarkStart w:id="205" w:name="_Toc348951129"/>
      <w:bookmarkStart w:id="206" w:name="_Toc348951572"/>
      <w:bookmarkStart w:id="207" w:name="_Toc348951779"/>
      <w:bookmarkStart w:id="208" w:name="_Toc348951874"/>
      <w:bookmarkStart w:id="209" w:name="_Toc348957500"/>
      <w:bookmarkStart w:id="210" w:name="_Toc348957616"/>
      <w:bookmarkStart w:id="211" w:name="_Toc348961731"/>
      <w:bookmarkStart w:id="212" w:name="_Toc348962359"/>
      <w:bookmarkStart w:id="213" w:name="_Toc349031518"/>
      <w:bookmarkStart w:id="214" w:name="_Toc349134566"/>
      <w:bookmarkStart w:id="215" w:name="_Toc349134671"/>
      <w:bookmarkStart w:id="216" w:name="_Toc349134945"/>
      <w:bookmarkStart w:id="217" w:name="_Toc349656425"/>
      <w:bookmarkStart w:id="218" w:name="_Toc349656662"/>
      <w:bookmarkStart w:id="219" w:name="_Toc350438385"/>
      <w:bookmarkStart w:id="220" w:name="_Toc348088041"/>
      <w:bookmarkStart w:id="221" w:name="_Toc348088369"/>
      <w:bookmarkStart w:id="222" w:name="_Toc348088523"/>
      <w:bookmarkStart w:id="223" w:name="_Toc348945235"/>
      <w:bookmarkStart w:id="224" w:name="_Toc348945419"/>
      <w:bookmarkStart w:id="225" w:name="_Toc348945578"/>
      <w:bookmarkStart w:id="226" w:name="_Toc348946446"/>
      <w:bookmarkStart w:id="227" w:name="_Toc348951131"/>
      <w:bookmarkStart w:id="228" w:name="_Toc348951574"/>
      <w:bookmarkStart w:id="229" w:name="_Toc348951781"/>
      <w:bookmarkStart w:id="230" w:name="_Toc348951876"/>
      <w:bookmarkStart w:id="231" w:name="_Toc348957502"/>
      <w:bookmarkStart w:id="232" w:name="_Toc348957618"/>
      <w:bookmarkStart w:id="233" w:name="_Toc348961732"/>
      <w:bookmarkStart w:id="234" w:name="_Toc348962360"/>
      <w:bookmarkStart w:id="235" w:name="_Toc349031519"/>
      <w:bookmarkStart w:id="236" w:name="_Toc349134567"/>
      <w:bookmarkStart w:id="237" w:name="_Toc349134672"/>
      <w:bookmarkStart w:id="238" w:name="_Toc349134946"/>
      <w:bookmarkStart w:id="239" w:name="_Toc349656426"/>
      <w:bookmarkStart w:id="240" w:name="_Toc349656663"/>
      <w:bookmarkStart w:id="241" w:name="_Toc350438386"/>
      <w:bookmarkStart w:id="242" w:name="_Toc348088042"/>
      <w:bookmarkStart w:id="243" w:name="_Toc348088370"/>
      <w:bookmarkStart w:id="244" w:name="_Toc348088524"/>
      <w:bookmarkStart w:id="245" w:name="_Toc348945237"/>
      <w:bookmarkStart w:id="246" w:name="_Toc348945421"/>
      <w:bookmarkStart w:id="247" w:name="_Toc348945580"/>
      <w:bookmarkStart w:id="248" w:name="_Toc348946448"/>
      <w:bookmarkStart w:id="249" w:name="_Toc348951133"/>
      <w:bookmarkStart w:id="250" w:name="_Toc348951576"/>
      <w:bookmarkStart w:id="251" w:name="_Toc348951783"/>
      <w:bookmarkStart w:id="252" w:name="_Toc348951878"/>
      <w:bookmarkStart w:id="253" w:name="_Toc348957504"/>
      <w:bookmarkStart w:id="254" w:name="_Toc348957620"/>
      <w:bookmarkStart w:id="255" w:name="_Toc348961733"/>
      <w:bookmarkStart w:id="256" w:name="_Toc348962361"/>
      <w:bookmarkStart w:id="257" w:name="_Toc349031520"/>
      <w:bookmarkStart w:id="258" w:name="_Toc349134568"/>
      <w:bookmarkStart w:id="259" w:name="_Toc349134673"/>
      <w:bookmarkStart w:id="260" w:name="_Toc349134947"/>
      <w:bookmarkStart w:id="261" w:name="_Toc349656427"/>
      <w:bookmarkStart w:id="262" w:name="_Toc349656664"/>
      <w:bookmarkStart w:id="263" w:name="_Toc350438387"/>
      <w:bookmarkStart w:id="264" w:name="_Toc348088043"/>
      <w:bookmarkStart w:id="265" w:name="_Toc348088371"/>
      <w:bookmarkStart w:id="266" w:name="_Toc348088525"/>
      <w:bookmarkStart w:id="267" w:name="_Toc348945239"/>
      <w:bookmarkStart w:id="268" w:name="_Toc348945423"/>
      <w:bookmarkStart w:id="269" w:name="_Toc348945582"/>
      <w:bookmarkStart w:id="270" w:name="_Toc348946450"/>
      <w:bookmarkStart w:id="271" w:name="_Toc348951135"/>
      <w:bookmarkStart w:id="272" w:name="_Toc348951578"/>
      <w:bookmarkStart w:id="273" w:name="_Toc348951785"/>
      <w:bookmarkStart w:id="274" w:name="_Toc348951880"/>
      <w:bookmarkStart w:id="275" w:name="_Toc348957506"/>
      <w:bookmarkStart w:id="276" w:name="_Toc348957622"/>
      <w:bookmarkStart w:id="277" w:name="_Toc348961734"/>
      <w:bookmarkStart w:id="278" w:name="_Toc348962362"/>
      <w:bookmarkStart w:id="279" w:name="_Toc349031521"/>
      <w:bookmarkStart w:id="280" w:name="_Toc349134569"/>
      <w:bookmarkStart w:id="281" w:name="_Toc349134674"/>
      <w:bookmarkStart w:id="282" w:name="_Toc349134948"/>
      <w:bookmarkStart w:id="283" w:name="_Toc349656428"/>
      <w:bookmarkStart w:id="284" w:name="_Toc349656665"/>
      <w:bookmarkStart w:id="285" w:name="_Toc350438388"/>
      <w:bookmarkStart w:id="286" w:name="_Toc348088044"/>
      <w:bookmarkStart w:id="287" w:name="_Toc348088372"/>
      <w:bookmarkStart w:id="288" w:name="_Toc348088526"/>
      <w:bookmarkStart w:id="289" w:name="_Toc348945241"/>
      <w:bookmarkStart w:id="290" w:name="_Toc348945425"/>
      <w:bookmarkStart w:id="291" w:name="_Toc348945584"/>
      <w:bookmarkStart w:id="292" w:name="_Toc348946452"/>
      <w:bookmarkStart w:id="293" w:name="_Toc348951137"/>
      <w:bookmarkStart w:id="294" w:name="_Toc348951580"/>
      <w:bookmarkStart w:id="295" w:name="_Toc348951787"/>
      <w:bookmarkStart w:id="296" w:name="_Toc348951882"/>
      <w:bookmarkStart w:id="297" w:name="_Toc348957508"/>
      <w:bookmarkStart w:id="298" w:name="_Toc348957624"/>
      <w:bookmarkStart w:id="299" w:name="_Toc348961735"/>
      <w:bookmarkStart w:id="300" w:name="_Toc348962363"/>
      <w:bookmarkStart w:id="301" w:name="_Toc349031522"/>
      <w:bookmarkStart w:id="302" w:name="_Toc349134570"/>
      <w:bookmarkStart w:id="303" w:name="_Toc349134675"/>
      <w:bookmarkStart w:id="304" w:name="_Toc349134949"/>
      <w:bookmarkStart w:id="305" w:name="_Toc349656429"/>
      <w:bookmarkStart w:id="306" w:name="_Toc349656666"/>
      <w:bookmarkStart w:id="307" w:name="_Toc350438389"/>
      <w:bookmarkStart w:id="308" w:name="_Toc316722081"/>
      <w:bookmarkStart w:id="309" w:name="_Toc316727495"/>
      <w:bookmarkStart w:id="310" w:name="_Toc316727800"/>
      <w:bookmarkStart w:id="311" w:name="_Toc316728031"/>
      <w:bookmarkStart w:id="312" w:name="_Toc316735324"/>
      <w:bookmarkStart w:id="313" w:name="_Toc316735930"/>
      <w:r>
        <w:rPr>
          <w:b/>
          <w:caps/>
          <w:noProof/>
          <w:color w:val="943634" w:themeColor="accent2" w:themeShade="BF"/>
          <w:sz w:val="200"/>
          <w:szCs w:val="40"/>
          <w:lang w:eastAsia="en-AU"/>
        </w:rPr>
        <w:lastRenderedPageBreak/>
        <w:drawing>
          <wp:inline distT="0" distB="0" distL="0" distR="0" wp14:anchorId="592D89B2" wp14:editId="430862E1">
            <wp:extent cx="5716905" cy="8086725"/>
            <wp:effectExtent l="0" t="0" r="0" b="9525"/>
            <wp:docPr id="13" name="Picture 13" descr="27 February 2015&#10;&#10;The Hon Joe Hockey MP&#10;Treasurer&#10;Parliament House&#10;CANBERRA  ACT  2600&#10;&#10;Dear Treasurer&#10;As members of the Commonwealth Grants Commission appointed under the Commonwealth Grants Commission Act 1973, we respond in this report to terms of reference received in a letter on 21 June 2013 from The Hon Wayne Swan MP and supplementary terms of reference in a letter received on 19 December 2014 from you.&#10;The Commission was asked to review the methods used to derive the relativities for distributing the Goods and Services Tax revenue among the States and Territories and to provide a report on the relativities considered appropriate for use from 2015-16.&#10;In addition, you sought advice on 23 December 2014 on a possible treatment of volatile revenues in the GST distribution system that would mitigate their negative effects. This advice is provided separately from this report.&#10;Yours sincerely&#10;G J Smith&#10;Chairperson&#10;G P Appleyard&#10;Member&#10;P M Faulkner&#10;Member&#10;J A Menzies&#10;Member&#10;J D Petchey&#10;Member&#10;&#10;Phoenix House &#10;First Floor&#10;86-88 Northbourne Avenue&#10;BRADDON  ACT  2612&#10;&#10;Tel:  61 2 6229 8800&#10;Fax:  61 2 6229 8821&#10;Email: secretary@cgc.gov.au&#10;Internet: http://www.cgc.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6905" cy="8086725"/>
                    </a:xfrm>
                    <a:prstGeom prst="rect">
                      <a:avLst/>
                    </a:prstGeom>
                    <a:noFill/>
                    <a:ln>
                      <a:noFill/>
                    </a:ln>
                  </pic:spPr>
                </pic:pic>
              </a:graphicData>
            </a:graphic>
          </wp:inline>
        </w:drawing>
      </w:r>
    </w:p>
    <w:p w:rsidR="00A665A9" w:rsidRPr="00EC79CF" w:rsidRDefault="00A665A9" w:rsidP="00A665A9">
      <w:pPr>
        <w:pStyle w:val="Heading1"/>
      </w:pPr>
      <w:bookmarkStart w:id="314" w:name="_Toc410741648"/>
      <w:bookmarkStart w:id="315" w:name="_Toc410744194"/>
      <w:bookmarkStart w:id="316" w:name="_Toc411511184"/>
      <w:bookmarkStart w:id="317" w:name="_Toc411511637"/>
      <w:bookmarkStart w:id="318" w:name="_Toc411924577"/>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EC79CF">
        <w:lastRenderedPageBreak/>
        <w:t>ACKNOWLEDGMENTS</w:t>
      </w:r>
      <w:bookmarkEnd w:id="54"/>
      <w:bookmarkEnd w:id="314"/>
      <w:bookmarkEnd w:id="315"/>
      <w:bookmarkEnd w:id="316"/>
      <w:bookmarkEnd w:id="317"/>
      <w:bookmarkEnd w:id="318"/>
    </w:p>
    <w:p w:rsidR="00A665A9" w:rsidRPr="00EC79CF" w:rsidRDefault="00A665A9" w:rsidP="00A665A9"/>
    <w:p w:rsidR="00012331" w:rsidRPr="00F567B9" w:rsidRDefault="00012331" w:rsidP="00012331">
      <w:r w:rsidRPr="00F567B9">
        <w:t xml:space="preserve">We </w:t>
      </w:r>
      <w:r w:rsidR="00376F63" w:rsidRPr="00F567B9">
        <w:t>are grateful for</w:t>
      </w:r>
      <w:r w:rsidRPr="00F567B9">
        <w:t xml:space="preserve"> the ready co-operation extended to the Commission and its staff, throughout the review, by the Australian, State and Territory governments and their officials across a range of departments and agencies. We are </w:t>
      </w:r>
      <w:r w:rsidR="00376F63" w:rsidRPr="00F567B9">
        <w:t xml:space="preserve">particularly </w:t>
      </w:r>
      <w:r w:rsidRPr="00F567B9">
        <w:t xml:space="preserve">grateful for the efforts of the State Treasuries in organising submissions to the inquiry, participating in conferences and responding to our many requests for information. </w:t>
      </w:r>
      <w:proofErr w:type="gramStart"/>
      <w:r w:rsidRPr="00F567B9">
        <w:t xml:space="preserve">Staff of the Australian Bureau of Statistics, the Independent Hospital Pricing Authority, the Australian Institute of Health and Welfare and other </w:t>
      </w:r>
      <w:r w:rsidR="00464E43">
        <w:t>Commonwealth</w:t>
      </w:r>
      <w:r w:rsidRPr="00F567B9">
        <w:t xml:space="preserve"> agencies have</w:t>
      </w:r>
      <w:proofErr w:type="gramEnd"/>
      <w:r w:rsidRPr="00F567B9">
        <w:t xml:space="preserve"> been most helpful in providing the data needed to complete the necessary calculations. We also acknowledge the help of other research and data gathering agencies.</w:t>
      </w:r>
    </w:p>
    <w:p w:rsidR="00376F63" w:rsidRPr="00EC79CF" w:rsidRDefault="00376F63" w:rsidP="00012331">
      <w:r w:rsidRPr="00F567B9">
        <w:t>The Commission expresses its special thanks to all Commission staff whose professionalism and dedication have been essential to the completion of the review.</w:t>
      </w:r>
    </w:p>
    <w:p w:rsidR="00012331" w:rsidRPr="00EC79CF" w:rsidRDefault="00012331" w:rsidP="00A665A9"/>
    <w:p w:rsidR="00A665A9" w:rsidRPr="00EC79CF" w:rsidRDefault="00A665A9" w:rsidP="00A665A9">
      <w:pPr>
        <w:sectPr w:rsidR="00A665A9" w:rsidRPr="00EC79CF" w:rsidSect="00A665A9">
          <w:headerReference w:type="first" r:id="rId29"/>
          <w:footerReference w:type="first" r:id="rId30"/>
          <w:footnotePr>
            <w:numRestart w:val="eachSect"/>
          </w:footnotePr>
          <w:pgSz w:w="11899" w:h="16838" w:code="9"/>
          <w:pgMar w:top="1701" w:right="1474" w:bottom="1701" w:left="1474" w:header="709" w:footer="709" w:gutter="0"/>
          <w:pgNumType w:fmt="lowerRoman" w:start="4"/>
          <w:cols w:space="708"/>
          <w:titlePg/>
          <w:docGrid w:linePitch="299"/>
        </w:sectPr>
      </w:pPr>
    </w:p>
    <w:p w:rsidR="00A665A9" w:rsidRPr="00EC79CF" w:rsidRDefault="00A665A9" w:rsidP="00A665A9">
      <w:pPr>
        <w:pStyle w:val="Heading1"/>
      </w:pPr>
      <w:bookmarkStart w:id="319" w:name="_Toc391023207"/>
      <w:bookmarkStart w:id="320" w:name="_Toc410741649"/>
      <w:bookmarkStart w:id="321" w:name="_Toc410744195"/>
      <w:bookmarkStart w:id="322" w:name="_Toc411924578"/>
      <w:r w:rsidRPr="00EC79CF">
        <w:lastRenderedPageBreak/>
        <w:t>TERMS OF REFERENCE</w:t>
      </w:r>
      <w:bookmarkEnd w:id="319"/>
      <w:bookmarkEnd w:id="320"/>
      <w:bookmarkEnd w:id="321"/>
      <w:bookmarkEnd w:id="322"/>
    </w:p>
    <w:p w:rsidR="00A665A9" w:rsidRPr="00EC79CF" w:rsidRDefault="00A665A9" w:rsidP="00A665A9">
      <w:pPr>
        <w:pStyle w:val="CGCDataCaption"/>
      </w:pPr>
      <w:r w:rsidRPr="00EC79CF">
        <w:rPr>
          <w:noProof/>
          <w:lang w:eastAsia="en-AU"/>
        </w:rPr>
        <w:drawing>
          <wp:inline distT="0" distB="0" distL="0" distR="0" wp14:anchorId="33C63D30" wp14:editId="5726200B">
            <wp:extent cx="5618259" cy="7734300"/>
            <wp:effectExtent l="0" t="0" r="1905" b="0"/>
            <wp:docPr id="3" name="Picture 3" descr="Mr Alan Henderson AM Chairperson&#10;Commonwealth Grants Commission&#10;86-88 Northbourne Avenue&#10;Braddon   ACT   2612&#10;&#10;Dear Mr Henderson&#10;&#10;I am writing to you to convey the enclosed terms of reference for the Commission's 2015 Methodology Review of GST Revenue Sharing Relativities.&#10;&#10;As you know, on 30 March 2011, the Government appointed the Hon John Brumby, Mr Bruce Carter and the Hon Nick Greiner AC to review Australia's system of distributing the GST amongst the States and Territories. The final report of the GST Distribution Review (Review) was released publicly on 30 November 2012. I discussed the recommendations of the Review with my State colleagues at the Standing Council on Federal Financial Relations meeting of 3 April 2013. The Standing Council agreed to initiate an expedited methodology review, including asking the Commission to take into account certain recommendations from Chapters 3, 6 and 7 from the Review.&#10;&#10;The terms of reference also ask the Commission to consider the appropriate treatment of disability services during the transition to DisabilityCare Australia and once the full scheme is operating nationally and school education funding under the National Education Reform Agreement funding arrangements.&#10;&#10;This review will require close and regular engagement with the Commonwealth and States.  The terms of reference require the Commission to provide a draft report within 12 months of receipt of the terms of reference.  The final report is due by 28 February 2015, in order to inform consideration of the 2015-16 GST revenue sharing relativities.&#10;&#10;I appreciate that this will be a challenging task for the Commission, however I have every confidence that you can deliver within these timeframes.&#10;&#10;Wayne Sw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629" cy="7736186"/>
                    </a:xfrm>
                    <a:prstGeom prst="rect">
                      <a:avLst/>
                    </a:prstGeom>
                    <a:noFill/>
                    <a:ln>
                      <a:noFill/>
                    </a:ln>
                  </pic:spPr>
                </pic:pic>
              </a:graphicData>
            </a:graphic>
          </wp:inline>
        </w:drawing>
      </w:r>
    </w:p>
    <w:p w:rsidR="00A665A9" w:rsidRPr="00EC79CF" w:rsidRDefault="00A665A9" w:rsidP="00A665A9">
      <w:pPr>
        <w:tabs>
          <w:tab w:val="clear" w:pos="567"/>
        </w:tabs>
        <w:spacing w:after="200" w:line="276" w:lineRule="auto"/>
      </w:pPr>
      <w:r w:rsidRPr="00EC79CF">
        <w:br w:type="page"/>
      </w:r>
      <w:r w:rsidRPr="00EC79CF">
        <w:rPr>
          <w:noProof/>
          <w:lang w:eastAsia="en-AU"/>
        </w:rPr>
        <w:lastRenderedPageBreak/>
        <w:drawing>
          <wp:inline distT="0" distB="0" distL="0" distR="0" wp14:anchorId="6CA83C61" wp14:editId="0D215525">
            <wp:extent cx="5676900" cy="8048625"/>
            <wp:effectExtent l="0" t="0" r="0" b="9525"/>
            <wp:docPr id="4" name="Picture 4" descr="Terms of Reference&#10;Commonwealth Grants Commission 2015 Methodology Review&#10;&#10;I, Wayne Maxwell Swan, Deputy Prime Minister and  Treasurer, pursuant to sections 16, 16A and&#10;16AA  of the  Commonwealth Grants Conunission Act 1973, refer to the  Commission for inquiry into the methodological approach to determining the  per  capita relativities to be used to distribute Goods and Services Tax (GST) revenue among the  States, the Northern Territory and the Australian Capital Territory (collectively referred to as the States) from 2015-16. The Commission should provide its final report to the Commonwealth and  States by 28 February 20 15.&#10;&#10;1. In preparing its assessments the Commission should:&#10;&#10;a)  take into account the  Intergovernmental Agreement on  Federal Financial Relations (as amended), which provides that  the  GST revenue will be distributed among the  States in&#10;accordance with the  principle of horizontal fiscal equalisation;&#10;&#10;aim to have assessments that  are  simple and  consistent with the  quality and  fitness for purpose of the  available data;&#10;&#10;c)  ensure robust quality assurance processes; and&#10;&#10;d)  develop methods to appropriately capture the  changing characteristics of the  Indigenous population.&#10;&#10;2.  In undertaking its assessments, the Commission should also have regard to the recommendations of the  final report of the  GST Distribution Review (October 2012) to:&#10;&#10;a)  consider the  appropriateness of the  current materiality thresholds (Recommendation 3.1);&#10;&#10;b)  consider the  appropriateness of continuing to round relativities to five  decimal places&#10;(Recommendation 3.2);&#10;&#10;c)  develop a new transport infrastructure assessment.  This should include, if appropriate, a framework to identify payments for nationally significant transport infrastructure projects which should affect the  relativities only in part and  options for  providing that  treatment (Recommendation 6. 1);&#10;&#10;d)  consider the  use  of data which is updated or released annually with a lag,  or updated or released less  frequently than annually (Recommendation 6.2);&#10;&#10;e)  examine the  merits of adopting a simplified and  integrated assessment framework&#10;(Recommendation 6.3);&#10;&#10;f)  investigate whether it is appropriate and  feasible to equalise interstate costs on  a 'spend gradient' basis (Recommendation 6.4);&#10;&#10;g)  develop a new mining revenue assessment (Recommendations 7.1  and  7.2); and&#10;&#10;h)  consider the  appropriate treatment of mining related expenditure (Recommendation 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900" cy="8048625"/>
                    </a:xfrm>
                    <a:prstGeom prst="rect">
                      <a:avLst/>
                    </a:prstGeom>
                    <a:noFill/>
                    <a:ln>
                      <a:noFill/>
                    </a:ln>
                  </pic:spPr>
                </pic:pic>
              </a:graphicData>
            </a:graphic>
          </wp:inline>
        </w:drawing>
      </w:r>
      <w:r w:rsidRPr="00EC79CF">
        <w:rPr>
          <w:noProof/>
          <w:lang w:eastAsia="en-AU"/>
        </w:rPr>
        <w:lastRenderedPageBreak/>
        <w:drawing>
          <wp:inline distT="0" distB="0" distL="0" distR="0" wp14:anchorId="52CC2250" wp14:editId="7C4D47E7">
            <wp:extent cx="5676900" cy="7829550"/>
            <wp:effectExtent l="0" t="0" r="0" b="0"/>
            <wp:docPr id="5" name="Picture 5" descr="3.  The  Commission should prepare its assessments on the  basis that:&#10;&#10;a)   National Specific Purpose Payments (NSPPs), National Health Reform (NHR) funding and  National Partnership (NP) project payments should affect the  relativities, recognising that  these payments provide the  States with budget support for  providing standard state and territory services;&#10;&#10;1.      NHR funding and  corresponding expenditure relating to the  provision of cross-border services to the  residents of other States should be  allocated to States on the  basis of residence.&#10;&#10;b)  NP  facilitation and  reward payments should not  affect the  relativities, so that  any  benefit to a State from achieving specified outputs sought by the  Commonwealth, or through implementing reforms, will not  be redistributed to other States through the  horizontal fiscal equalisation process;&#10;&#10;c)  general revenue assistance, excluding GST payments, will affect the  relativities, recognising that  these payments are  available to provide untied general budget support to a State or Territory;&#10;&#10;d)  those payments which the  Commission has  previously been directed to treat as having no direct influence on the  relativities continue to be treated in that  way.  Where those payments are  replaced, the  treatment of the  new payment should be  guided by subparagraphs 3(a)- (c)  and  paragraph 4, unless otherwise directed; and&#10;&#10;e)  where responsibilities for funding and  delivering aged care and  disability services has  not been transferred to the  Commonwealth by a State under the  NHR Agreement, these responsibilities will continue to be  assessed as State services for  that  State.&#10;&#10;4.  Notwithstanding subparagraphs 3(a)- (c),  with the  exception of reward payments under NPs, the Commission may determine that  it is appropriate for  particular payments to be treated differently, reflecting the  nature of the  particular payment and  the  role of the  State governments in providing particular services.&#10;&#10;5.  The  Commission should consider the  most appropriate treatment of disability services during the  transition to DisabilityCare Australia (the  National Disability Insurance Scheme) and  once the  full  scheme is operating nationally.&#10;&#10;6.   The  Commission will ensure that  the  GST distribution process will not  have the  effect of unwinding the  recognition of educational disadvantage embedded in the  National Education Reform Agreement (NERA) funding arrangements.  The  Commission will also ensure that  no State or Territory receives a windfall gain through the  GST distribution from non-participation in NERA funding arrangement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6900" cy="7829550"/>
                    </a:xfrm>
                    <a:prstGeom prst="rect">
                      <a:avLst/>
                    </a:prstGeom>
                    <a:noFill/>
                    <a:ln>
                      <a:noFill/>
                    </a:ln>
                  </pic:spPr>
                </pic:pic>
              </a:graphicData>
            </a:graphic>
          </wp:inline>
        </w:drawing>
      </w:r>
      <w:r w:rsidRPr="00EC79CF">
        <w:rPr>
          <w:noProof/>
          <w:lang w:eastAsia="en-AU"/>
        </w:rPr>
        <w:lastRenderedPageBreak/>
        <w:drawing>
          <wp:inline distT="0" distB="0" distL="0" distR="0" wp14:anchorId="3BCC57E3" wp14:editId="295479C1">
            <wp:extent cx="5676900" cy="8048625"/>
            <wp:effectExtent l="0" t="0" r="0" b="9525"/>
            <wp:docPr id="6" name="Picture 6" descr="7.   The  Commission will  consult regularly with the  Commonwealth and  States as it considers these terms of reference.&#10;8.  The  Commission will  develop a work program, in consultation with the  Commonwealth and States, which sees the  matters outlined in paragraphs l(d), 2(c),  2(g), 2 (h),  5 and  6 being progressed as a priority and  subject to early consultation (including multilateral discussions) with the  Commonwealth and  States.&#10;&#10;9. The  Commission should provide a draft report for  consideration by the  Standing Council on&#10;Federal Financial Relations within 12 months from receipt of these terms of reference.&#10;&#10;a)  Should the  ommission expect to make significant changes following consultation on the, further consultation with the  States on  those changes will  be required.&#10;&#10;Wayne S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900" cy="8048625"/>
                    </a:xfrm>
                    <a:prstGeom prst="rect">
                      <a:avLst/>
                    </a:prstGeom>
                    <a:noFill/>
                    <a:ln>
                      <a:noFill/>
                    </a:ln>
                  </pic:spPr>
                </pic:pic>
              </a:graphicData>
            </a:graphic>
          </wp:inline>
        </w:drawing>
      </w:r>
    </w:p>
    <w:p w:rsidR="00A665A9" w:rsidRPr="00EC79CF" w:rsidRDefault="00A665A9" w:rsidP="00A665A9">
      <w:pPr>
        <w:tabs>
          <w:tab w:val="clear" w:pos="567"/>
        </w:tabs>
        <w:spacing w:after="200" w:line="276" w:lineRule="auto"/>
      </w:pPr>
      <w:r w:rsidRPr="00EC79CF">
        <w:br w:type="page"/>
      </w:r>
    </w:p>
    <w:p w:rsidR="00A665A9" w:rsidRPr="00EC79CF" w:rsidRDefault="00A665A9" w:rsidP="00A665A9">
      <w:r w:rsidRPr="00EC79CF">
        <w:rPr>
          <w:noProof/>
          <w:lang w:eastAsia="en-AU"/>
        </w:rPr>
        <w:lastRenderedPageBreak/>
        <w:drawing>
          <wp:inline distT="0" distB="0" distL="0" distR="0" wp14:anchorId="28CFB63C" wp14:editId="438EDC76">
            <wp:extent cx="5677535" cy="8187055"/>
            <wp:effectExtent l="0" t="0" r="0" b="4445"/>
            <wp:docPr id="17" name="Picture 17" descr="Mr Greg Smith&#10;Chairperson&#10;Commonwealth Grants Commission&#10;First Floor, Phoenix House&#10;86-88 Northbourne Ave&#10;BRADDON ACT 2612&#10;&#10;Dear Mr Greg Smith&#10;&#10;I am writing to you to convey the enclosed supplementary terms of reference for the&#10;Commonwealth Grants Commission's 2015 Methodology Review of GST Revenue Sharing Relativities.&#10;The supplementary terms of reference deal with the treatment of Commonwealth payments under the Asset Recycling Initiative, certain other infrastructure payments as well as drawdowns from the DisabilityCare Australia Fund.&#10;&#10;The supplementary terms of reference also require the Commission to provide the Review to me by 28 February 2015, which will then allow me to provide it to the states at a later date. I appreciate your efforts during the Methodology Review process and look forward to receiving the report.&#10;&#10;Yours sincerely&#10;Hon J. B. Hockey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77535" cy="8187055"/>
                    </a:xfrm>
                    <a:prstGeom prst="rect">
                      <a:avLst/>
                    </a:prstGeom>
                    <a:noFill/>
                    <a:ln>
                      <a:noFill/>
                    </a:ln>
                  </pic:spPr>
                </pic:pic>
              </a:graphicData>
            </a:graphic>
          </wp:inline>
        </w:drawing>
      </w:r>
    </w:p>
    <w:p w:rsidR="00A665A9" w:rsidRPr="00EC79CF" w:rsidRDefault="00A665A9" w:rsidP="00A665A9">
      <w:pPr>
        <w:tabs>
          <w:tab w:val="clear" w:pos="567"/>
        </w:tabs>
        <w:spacing w:after="200" w:line="276" w:lineRule="auto"/>
      </w:pPr>
      <w:r w:rsidRPr="00EC79CF">
        <w:br w:type="page"/>
      </w:r>
    </w:p>
    <w:p w:rsidR="00A665A9" w:rsidRPr="00EC79CF" w:rsidRDefault="00A665A9" w:rsidP="00A665A9">
      <w:pPr>
        <w:sectPr w:rsidR="00A665A9" w:rsidRPr="00EC79CF" w:rsidSect="00A665A9">
          <w:footnotePr>
            <w:numRestart w:val="eachSect"/>
          </w:footnotePr>
          <w:pgSz w:w="11899" w:h="16838" w:code="9"/>
          <w:pgMar w:top="1701" w:right="1474" w:bottom="1701" w:left="1474" w:header="709" w:footer="709" w:gutter="0"/>
          <w:pgNumType w:fmt="lowerRoman"/>
          <w:cols w:space="708"/>
          <w:titlePg/>
          <w:docGrid w:linePitch="299"/>
        </w:sectPr>
      </w:pPr>
      <w:r w:rsidRPr="00EC79CF">
        <w:rPr>
          <w:noProof/>
          <w:lang w:eastAsia="en-AU"/>
        </w:rPr>
        <w:lastRenderedPageBreak/>
        <w:drawing>
          <wp:inline distT="0" distB="0" distL="0" distR="0" wp14:anchorId="5AAC6B57" wp14:editId="239EC598">
            <wp:extent cx="5677535" cy="8027670"/>
            <wp:effectExtent l="0" t="0" r="0" b="0"/>
            <wp:docPr id="18" name="Picture 18" descr="Supplementary Terms of Reference for the Commonwealth Grants Commission 2015 Methodology Review&#10;&#10;Commonwealth Grants Commission Act 1973&#10;&#10;I, Joseph Benedict Hockey, Treasurer, pursuant to sections 16, 16A and 16AA of the Commonwealth Grants Commission Act 1973, refer to the Commission for inquiry into and report upon, by 28 February 2015, the question of the per capita relativities to be used to distribute GST  revenue among the states, the Northern Territory and the Australian Capital Territory (collectively referred to as the states) from 2015-16.&#10;1. This supplementary information is to be read in conjunction with the terms of reference provided by the former Treasurer Wayne Swan on 15 June 2013.&#10;2. The Commission should provide its final Report to the Commonwealth by 28 February so that the Commonwealth can provide the Report to the states at an appropriate time, but before the 2015-16 Commonwealth Budget.&#10;3. The Commission should prepare its assessment on the basis that:&#10;a) a 50 per cent discount should be applied to the following Commonwealth payments for major roads when assessing the GST relativities;&#10;i. $1.5 billion for WestConnex;&#10;ii. $3 billion for the East-West Link;&#10;iii. $2.9 billion for the Western Sydney Infrastructure Plan;&#10;iv. $0.6 billion for the Toowoomba Second Range Crossing;&#10;v. $0.9 billion for the Perth Freight Link/Roe Highway;&#10;vi. $0.4 billion for the North-South Road Corridor; and&#10;vii. $0.1 billion for the Northern Territory Roads Package.&#10;b) Commonwealth payments under the $5 billion Asset Recycling Initiative should have no impact on the GST relativities; and&#10;c) states' drawdowns from the DisabilityCare Australia Fund during the transition phase for the National Disability Insurance Scheme should have no impact on the GST relativities.&#10;4. The Commission should consult the Commonwealth Government and the states before deciding on any changes in methods that arise as a result of a significant change in arrangements which govern Commonwealth-state relations and which are considered appropriate for the Commission to fulfil its obligations in respect of these supplementary terms of reference.&#10;J. B. Ho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7535" cy="8027670"/>
                    </a:xfrm>
                    <a:prstGeom prst="rect">
                      <a:avLst/>
                    </a:prstGeom>
                    <a:noFill/>
                    <a:ln>
                      <a:noFill/>
                    </a:ln>
                  </pic:spPr>
                </pic:pic>
              </a:graphicData>
            </a:graphic>
          </wp:inline>
        </w:drawing>
      </w:r>
    </w:p>
    <w:p w:rsidR="00DD414F" w:rsidRPr="00EC79CF" w:rsidRDefault="00A665A9" w:rsidP="00A543D8">
      <w:pPr>
        <w:pStyle w:val="Heading1"/>
      </w:pPr>
      <w:bookmarkStart w:id="323" w:name="_Toc410741650"/>
      <w:bookmarkStart w:id="324" w:name="_Toc410744196"/>
      <w:bookmarkStart w:id="325" w:name="_Toc411511186"/>
      <w:bookmarkStart w:id="326" w:name="_Toc411511639"/>
      <w:bookmarkStart w:id="327" w:name="_Toc411924579"/>
      <w:r w:rsidRPr="00EC79CF">
        <w:lastRenderedPageBreak/>
        <w:t>CONTENTS</w:t>
      </w:r>
      <w:bookmarkEnd w:id="323"/>
      <w:bookmarkEnd w:id="324"/>
      <w:bookmarkEnd w:id="325"/>
      <w:bookmarkEnd w:id="326"/>
      <w:bookmarkEnd w:id="327"/>
    </w:p>
    <w:sdt>
      <w:sdtPr>
        <w:rPr>
          <w:b/>
          <w:bCs/>
          <w:szCs w:val="22"/>
        </w:rPr>
        <w:id w:val="-150600963"/>
        <w:docPartObj>
          <w:docPartGallery w:val="Table of Contents"/>
          <w:docPartUnique/>
        </w:docPartObj>
      </w:sdtPr>
      <w:sdtEndPr>
        <w:rPr>
          <w:b w:val="0"/>
          <w:bCs w:val="0"/>
          <w:noProof/>
        </w:rPr>
      </w:sdtEndPr>
      <w:sdtContent>
        <w:p w:rsidR="0050191D" w:rsidRPr="00EF0029" w:rsidRDefault="00C7591C" w:rsidP="00C7591C">
          <w:pPr>
            <w:pStyle w:val="CGCNumberedPara"/>
            <w:numPr>
              <w:ilvl w:val="0"/>
              <w:numId w:val="0"/>
            </w:numPr>
          </w:pPr>
          <w:r w:rsidRPr="00EF0029">
            <w:t>This report contains the Commission’s response to the terms of reference. It contains our position on the principles we have used and assessments we have made in preparing our recommended relativities. It has been prepared on the basis of State circumstances as we understand them.</w:t>
          </w:r>
        </w:p>
        <w:p w:rsidR="0050191D" w:rsidRPr="00EF0029" w:rsidRDefault="0050191D" w:rsidP="00B94B7A">
          <w:pPr>
            <w:pStyle w:val="TOC1"/>
            <w:rPr>
              <w:b/>
            </w:rPr>
          </w:pPr>
          <w:r w:rsidRPr="00EF0029">
            <w:rPr>
              <w:b/>
            </w:rPr>
            <w:t>VOLUME 1</w:t>
          </w:r>
        </w:p>
        <w:p w:rsidR="00A170A3" w:rsidRPr="00EF0029" w:rsidRDefault="0050191D" w:rsidP="00B94B7A">
          <w:pPr>
            <w:tabs>
              <w:tab w:val="left" w:pos="8505"/>
            </w:tabs>
            <w:ind w:left="567"/>
            <w:rPr>
              <w:noProof/>
            </w:rPr>
          </w:pPr>
          <w:r w:rsidRPr="00EF0029">
            <w:t>Volume 1 contains an overview of our findings, including the per capita relativities to be used to distribute GST revenue among the States in 2015</w:t>
          </w:r>
          <w:r w:rsidRPr="00EF0029">
            <w:noBreakHyphen/>
            <w:t>16. It explains the requirements of the terms of reference and discusses the equalisation objective and our decisions on the main issues, including the priority issues identified in the terms of reference. It also identifies the main fiscal differences between States and explains why they have changed since the 2014 Update of GST relativities.</w:t>
          </w:r>
          <w:r w:rsidR="00A665A9" w:rsidRPr="00EF0029">
            <w:rPr>
              <w:b/>
              <w:bCs/>
            </w:rPr>
            <w:fldChar w:fldCharType="begin"/>
          </w:r>
          <w:r w:rsidR="00A665A9" w:rsidRPr="00EF0029">
            <w:instrText xml:space="preserve"> TOC \o "1-3" \h \z \u </w:instrText>
          </w:r>
          <w:r w:rsidR="00A665A9" w:rsidRPr="00EF0029">
            <w:rPr>
              <w:b/>
              <w:bCs/>
            </w:rPr>
            <w:fldChar w:fldCharType="separate"/>
          </w:r>
        </w:p>
        <w:p w:rsidR="00C7591C" w:rsidRPr="00EF0029" w:rsidRDefault="00532CB2" w:rsidP="00B94B7A">
          <w:pPr>
            <w:pStyle w:val="TOC1"/>
            <w:rPr>
              <w:noProof/>
            </w:rPr>
          </w:pPr>
          <w:hyperlink w:anchor="_Toc411924578" w:history="1">
            <w:r w:rsidR="00C7591C" w:rsidRPr="00EF0029">
              <w:rPr>
                <w:rStyle w:val="Hyperlink"/>
                <w:noProof/>
              </w:rPr>
              <w:t>TERMS OF REFERENCE</w:t>
            </w:r>
            <w:r w:rsidR="00C7591C" w:rsidRPr="00EF0029">
              <w:rPr>
                <w:noProof/>
                <w:webHidden/>
              </w:rPr>
              <w:tab/>
            </w:r>
            <w:r w:rsidR="00C7591C" w:rsidRPr="00EF0029">
              <w:rPr>
                <w:noProof/>
                <w:webHidden/>
              </w:rPr>
              <w:fldChar w:fldCharType="begin"/>
            </w:r>
            <w:r w:rsidR="00C7591C" w:rsidRPr="00EF0029">
              <w:rPr>
                <w:noProof/>
                <w:webHidden/>
              </w:rPr>
              <w:instrText xml:space="preserve"> PAGEREF _Toc411924578 \h </w:instrText>
            </w:r>
            <w:r w:rsidR="00C7591C" w:rsidRPr="00EF0029">
              <w:rPr>
                <w:noProof/>
                <w:webHidden/>
              </w:rPr>
            </w:r>
            <w:r w:rsidR="00C7591C" w:rsidRPr="00EF0029">
              <w:rPr>
                <w:noProof/>
                <w:webHidden/>
              </w:rPr>
              <w:fldChar w:fldCharType="separate"/>
            </w:r>
            <w:r w:rsidR="003A5DEE">
              <w:rPr>
                <w:noProof/>
                <w:webHidden/>
              </w:rPr>
              <w:t>v</w:t>
            </w:r>
            <w:r w:rsidR="00C7591C" w:rsidRPr="00EF0029">
              <w:rPr>
                <w:noProof/>
                <w:webHidden/>
              </w:rPr>
              <w:fldChar w:fldCharType="end"/>
            </w:r>
          </w:hyperlink>
        </w:p>
        <w:p w:rsidR="00A170A3" w:rsidRPr="00EF0029" w:rsidRDefault="00532CB2" w:rsidP="00B94B7A">
          <w:pPr>
            <w:pStyle w:val="TOC1"/>
            <w:rPr>
              <w:rFonts w:eastAsiaTheme="minorEastAsia"/>
              <w:noProof/>
              <w:sz w:val="22"/>
              <w:lang w:eastAsia="en-AU"/>
            </w:rPr>
          </w:pPr>
          <w:hyperlink w:anchor="_Toc411924580" w:history="1">
            <w:r w:rsidR="00A170A3" w:rsidRPr="00EF0029">
              <w:rPr>
                <w:rStyle w:val="Hyperlink"/>
                <w:noProof/>
              </w:rPr>
              <w:t>MAIN FINDINGS</w:t>
            </w:r>
            <w:r w:rsidR="00A170A3" w:rsidRPr="00EF0029">
              <w:rPr>
                <w:noProof/>
                <w:webHidden/>
              </w:rPr>
              <w:tab/>
            </w:r>
            <w:r w:rsidR="00A170A3" w:rsidRPr="00EF0029">
              <w:rPr>
                <w:noProof/>
                <w:webHidden/>
              </w:rPr>
              <w:fldChar w:fldCharType="begin"/>
            </w:r>
            <w:r w:rsidR="00A170A3" w:rsidRPr="00EF0029">
              <w:rPr>
                <w:noProof/>
                <w:webHidden/>
              </w:rPr>
              <w:instrText xml:space="preserve"> PAGEREF _Toc411924580 \h </w:instrText>
            </w:r>
            <w:r w:rsidR="00A170A3" w:rsidRPr="00EF0029">
              <w:rPr>
                <w:noProof/>
                <w:webHidden/>
              </w:rPr>
            </w:r>
            <w:r w:rsidR="00A170A3" w:rsidRPr="00EF0029">
              <w:rPr>
                <w:noProof/>
                <w:webHidden/>
              </w:rPr>
              <w:fldChar w:fldCharType="separate"/>
            </w:r>
            <w:r w:rsidR="003A5DEE">
              <w:rPr>
                <w:noProof/>
                <w:webHidden/>
              </w:rPr>
              <w:t>1</w:t>
            </w:r>
            <w:r w:rsidR="00A170A3" w:rsidRPr="00EF0029">
              <w:rPr>
                <w:noProof/>
                <w:webHidden/>
              </w:rPr>
              <w:fldChar w:fldCharType="end"/>
            </w:r>
          </w:hyperlink>
        </w:p>
        <w:p w:rsidR="00A170A3" w:rsidRPr="00EF0029" w:rsidRDefault="00532CB2" w:rsidP="00B94B7A">
          <w:pPr>
            <w:pStyle w:val="TOC1"/>
            <w:rPr>
              <w:rFonts w:eastAsiaTheme="minorEastAsia"/>
              <w:noProof/>
              <w:sz w:val="22"/>
              <w:lang w:eastAsia="en-AU"/>
            </w:rPr>
          </w:pPr>
          <w:hyperlink w:anchor="_Toc411924586" w:history="1">
            <w:r w:rsidR="00A170A3" w:rsidRPr="00EF0029">
              <w:rPr>
                <w:rStyle w:val="Hyperlink"/>
                <w:noProof/>
              </w:rPr>
              <w:t>CHAPTER 1 ACHIEVING HORIZONTAL FISCAL EQUALISATION</w:t>
            </w:r>
            <w:r w:rsidR="00A170A3" w:rsidRPr="00EF0029">
              <w:rPr>
                <w:noProof/>
                <w:webHidden/>
              </w:rPr>
              <w:tab/>
            </w:r>
            <w:r w:rsidR="00A170A3" w:rsidRPr="00EF0029">
              <w:rPr>
                <w:noProof/>
                <w:webHidden/>
              </w:rPr>
              <w:fldChar w:fldCharType="begin"/>
            </w:r>
            <w:r w:rsidR="00A170A3" w:rsidRPr="00EF0029">
              <w:rPr>
                <w:noProof/>
                <w:webHidden/>
              </w:rPr>
              <w:instrText xml:space="preserve"> PAGEREF _Toc411924586 \h </w:instrText>
            </w:r>
            <w:r w:rsidR="00A170A3" w:rsidRPr="00EF0029">
              <w:rPr>
                <w:noProof/>
                <w:webHidden/>
              </w:rPr>
            </w:r>
            <w:r w:rsidR="00A170A3" w:rsidRPr="00EF0029">
              <w:rPr>
                <w:noProof/>
                <w:webHidden/>
              </w:rPr>
              <w:fldChar w:fldCharType="separate"/>
            </w:r>
            <w:r w:rsidR="003A5DEE">
              <w:rPr>
                <w:noProof/>
                <w:webHidden/>
              </w:rPr>
              <w:t>23</w:t>
            </w:r>
            <w:r w:rsidR="00A170A3" w:rsidRPr="00EF0029">
              <w:rPr>
                <w:noProof/>
                <w:webHidden/>
              </w:rPr>
              <w:fldChar w:fldCharType="end"/>
            </w:r>
          </w:hyperlink>
        </w:p>
        <w:p w:rsidR="00A170A3" w:rsidRPr="00EF0029" w:rsidRDefault="00532CB2" w:rsidP="00B94B7A">
          <w:pPr>
            <w:pStyle w:val="TOC1"/>
            <w:rPr>
              <w:rFonts w:eastAsiaTheme="minorEastAsia"/>
              <w:noProof/>
              <w:sz w:val="22"/>
              <w:lang w:eastAsia="en-AU"/>
            </w:rPr>
          </w:pPr>
          <w:hyperlink w:anchor="_Toc411924595" w:history="1">
            <w:r w:rsidR="00A170A3" w:rsidRPr="00EF0029">
              <w:rPr>
                <w:rStyle w:val="Hyperlink"/>
                <w:noProof/>
              </w:rPr>
              <w:t>CHAPTER 2 MAIN ISSUES</w:t>
            </w:r>
            <w:r w:rsidR="00A170A3" w:rsidRPr="00EF0029">
              <w:rPr>
                <w:noProof/>
                <w:webHidden/>
              </w:rPr>
              <w:tab/>
            </w:r>
            <w:r w:rsidR="00A170A3" w:rsidRPr="00EF0029">
              <w:rPr>
                <w:noProof/>
                <w:webHidden/>
              </w:rPr>
              <w:fldChar w:fldCharType="begin"/>
            </w:r>
            <w:r w:rsidR="00A170A3" w:rsidRPr="00EF0029">
              <w:rPr>
                <w:noProof/>
                <w:webHidden/>
              </w:rPr>
              <w:instrText xml:space="preserve"> PAGEREF _Toc411924595 \h </w:instrText>
            </w:r>
            <w:r w:rsidR="00A170A3" w:rsidRPr="00EF0029">
              <w:rPr>
                <w:noProof/>
                <w:webHidden/>
              </w:rPr>
            </w:r>
            <w:r w:rsidR="00A170A3" w:rsidRPr="00EF0029">
              <w:rPr>
                <w:noProof/>
                <w:webHidden/>
              </w:rPr>
              <w:fldChar w:fldCharType="separate"/>
            </w:r>
            <w:r w:rsidR="003A5DEE">
              <w:rPr>
                <w:noProof/>
                <w:webHidden/>
              </w:rPr>
              <w:t>36</w:t>
            </w:r>
            <w:r w:rsidR="00A170A3" w:rsidRPr="00EF0029">
              <w:rPr>
                <w:noProof/>
                <w:webHidden/>
              </w:rPr>
              <w:fldChar w:fldCharType="end"/>
            </w:r>
          </w:hyperlink>
        </w:p>
        <w:p w:rsidR="00A170A3" w:rsidRPr="00EF0029" w:rsidRDefault="00532CB2" w:rsidP="00B94B7A">
          <w:pPr>
            <w:pStyle w:val="TOC1"/>
            <w:rPr>
              <w:rFonts w:eastAsiaTheme="minorEastAsia"/>
              <w:noProof/>
              <w:sz w:val="22"/>
              <w:lang w:eastAsia="en-AU"/>
            </w:rPr>
          </w:pPr>
          <w:hyperlink w:anchor="_Toc411924604" w:history="1">
            <w:r w:rsidR="00DD414F" w:rsidRPr="00EF0029">
              <w:rPr>
                <w:rStyle w:val="Hyperlink"/>
                <w:noProof/>
              </w:rPr>
              <w:t>CHAPTER</w:t>
            </w:r>
            <w:r w:rsidR="00A170A3" w:rsidRPr="00EF0029">
              <w:rPr>
                <w:rStyle w:val="Hyperlink"/>
                <w:noProof/>
              </w:rPr>
              <w:t xml:space="preserve"> 3 WHY STATE FISCAL CAPACITIES DIFFER</w:t>
            </w:r>
            <w:r w:rsidR="00A170A3" w:rsidRPr="00EF0029">
              <w:rPr>
                <w:noProof/>
                <w:webHidden/>
              </w:rPr>
              <w:tab/>
            </w:r>
            <w:r w:rsidR="00A170A3" w:rsidRPr="00EF0029">
              <w:rPr>
                <w:noProof/>
                <w:webHidden/>
              </w:rPr>
              <w:fldChar w:fldCharType="begin"/>
            </w:r>
            <w:r w:rsidR="00A170A3" w:rsidRPr="00EF0029">
              <w:rPr>
                <w:noProof/>
                <w:webHidden/>
              </w:rPr>
              <w:instrText xml:space="preserve"> PAGEREF _Toc411924604 \h </w:instrText>
            </w:r>
            <w:r w:rsidR="00A170A3" w:rsidRPr="00EF0029">
              <w:rPr>
                <w:noProof/>
                <w:webHidden/>
              </w:rPr>
            </w:r>
            <w:r w:rsidR="00A170A3" w:rsidRPr="00EF0029">
              <w:rPr>
                <w:noProof/>
                <w:webHidden/>
              </w:rPr>
              <w:fldChar w:fldCharType="separate"/>
            </w:r>
            <w:r w:rsidR="003A5DEE">
              <w:rPr>
                <w:noProof/>
                <w:webHidden/>
              </w:rPr>
              <w:t>76</w:t>
            </w:r>
            <w:r w:rsidR="00A170A3" w:rsidRPr="00EF0029">
              <w:rPr>
                <w:noProof/>
                <w:webHidden/>
              </w:rPr>
              <w:fldChar w:fldCharType="end"/>
            </w:r>
          </w:hyperlink>
        </w:p>
        <w:p w:rsidR="00A170A3" w:rsidRPr="00EF0029" w:rsidRDefault="00532CB2" w:rsidP="00B94B7A">
          <w:pPr>
            <w:pStyle w:val="TOC1"/>
            <w:rPr>
              <w:rFonts w:eastAsiaTheme="minorEastAsia"/>
              <w:noProof/>
              <w:sz w:val="22"/>
              <w:lang w:eastAsia="en-AU"/>
            </w:rPr>
          </w:pPr>
          <w:hyperlink w:anchor="_Toc411924611" w:history="1">
            <w:r w:rsidR="00A170A3" w:rsidRPr="00EF0029">
              <w:rPr>
                <w:rStyle w:val="Hyperlink"/>
                <w:noProof/>
              </w:rPr>
              <w:t>CHAPTER 4 CHANGES IN THE GST DISTRIBUTION</w:t>
            </w:r>
            <w:r w:rsidR="00A170A3" w:rsidRPr="00EF0029">
              <w:rPr>
                <w:noProof/>
                <w:webHidden/>
              </w:rPr>
              <w:tab/>
            </w:r>
            <w:r w:rsidR="00A170A3" w:rsidRPr="00EF0029">
              <w:rPr>
                <w:noProof/>
                <w:webHidden/>
              </w:rPr>
              <w:fldChar w:fldCharType="begin"/>
            </w:r>
            <w:r w:rsidR="00A170A3" w:rsidRPr="00EF0029">
              <w:rPr>
                <w:noProof/>
                <w:webHidden/>
              </w:rPr>
              <w:instrText xml:space="preserve"> PAGEREF _Toc411924611 \h </w:instrText>
            </w:r>
            <w:r w:rsidR="00A170A3" w:rsidRPr="00EF0029">
              <w:rPr>
                <w:noProof/>
                <w:webHidden/>
              </w:rPr>
            </w:r>
            <w:r w:rsidR="00A170A3" w:rsidRPr="00EF0029">
              <w:rPr>
                <w:noProof/>
                <w:webHidden/>
              </w:rPr>
              <w:fldChar w:fldCharType="separate"/>
            </w:r>
            <w:r w:rsidR="003A5DEE">
              <w:rPr>
                <w:noProof/>
                <w:webHidden/>
              </w:rPr>
              <w:t>100</w:t>
            </w:r>
            <w:r w:rsidR="00A170A3" w:rsidRPr="00EF0029">
              <w:rPr>
                <w:noProof/>
                <w:webHidden/>
              </w:rPr>
              <w:fldChar w:fldCharType="end"/>
            </w:r>
          </w:hyperlink>
        </w:p>
        <w:p w:rsidR="00A170A3" w:rsidRPr="00EF0029" w:rsidRDefault="00532CB2" w:rsidP="00B94B7A">
          <w:pPr>
            <w:pStyle w:val="TOC1"/>
            <w:rPr>
              <w:rFonts w:eastAsiaTheme="minorEastAsia"/>
              <w:noProof/>
              <w:sz w:val="22"/>
              <w:lang w:eastAsia="en-AU"/>
            </w:rPr>
          </w:pPr>
          <w:hyperlink w:anchor="_Toc411924619" w:history="1">
            <w:r w:rsidR="00A170A3" w:rsidRPr="00EF0029">
              <w:rPr>
                <w:rStyle w:val="Hyperlink"/>
                <w:noProof/>
              </w:rPr>
              <w:t>CHAPTER 5 QUALITY ASSURANCE FOR THE 2015 REVIEW</w:t>
            </w:r>
            <w:r w:rsidR="00A170A3" w:rsidRPr="00EF0029">
              <w:rPr>
                <w:noProof/>
                <w:webHidden/>
              </w:rPr>
              <w:tab/>
            </w:r>
            <w:r w:rsidR="00A170A3" w:rsidRPr="00EF0029">
              <w:rPr>
                <w:noProof/>
                <w:webHidden/>
              </w:rPr>
              <w:fldChar w:fldCharType="begin"/>
            </w:r>
            <w:r w:rsidR="00A170A3" w:rsidRPr="00EF0029">
              <w:rPr>
                <w:noProof/>
                <w:webHidden/>
              </w:rPr>
              <w:instrText xml:space="preserve"> PAGEREF _Toc411924619 \h </w:instrText>
            </w:r>
            <w:r w:rsidR="00A170A3" w:rsidRPr="00EF0029">
              <w:rPr>
                <w:noProof/>
                <w:webHidden/>
              </w:rPr>
            </w:r>
            <w:r w:rsidR="00A170A3" w:rsidRPr="00EF0029">
              <w:rPr>
                <w:noProof/>
                <w:webHidden/>
              </w:rPr>
              <w:fldChar w:fldCharType="separate"/>
            </w:r>
            <w:r w:rsidR="003A5DEE">
              <w:rPr>
                <w:noProof/>
                <w:webHidden/>
              </w:rPr>
              <w:t>125</w:t>
            </w:r>
            <w:r w:rsidR="00A170A3" w:rsidRPr="00EF0029">
              <w:rPr>
                <w:noProof/>
                <w:webHidden/>
              </w:rPr>
              <w:fldChar w:fldCharType="end"/>
            </w:r>
          </w:hyperlink>
        </w:p>
        <w:p w:rsidR="00C7591C" w:rsidRPr="00EF0029" w:rsidRDefault="00A665A9" w:rsidP="00B94B7A">
          <w:pPr>
            <w:tabs>
              <w:tab w:val="left" w:pos="8364"/>
            </w:tabs>
            <w:spacing w:after="0"/>
            <w:rPr>
              <w:b/>
              <w:bCs/>
              <w:noProof/>
            </w:rPr>
          </w:pPr>
          <w:r w:rsidRPr="00EF0029">
            <w:rPr>
              <w:b/>
              <w:bCs/>
              <w:noProof/>
            </w:rPr>
            <w:fldChar w:fldCharType="end"/>
          </w:r>
          <w:r w:rsidR="00A543D8" w:rsidRPr="00EF0029">
            <w:rPr>
              <w:b/>
              <w:bCs/>
              <w:noProof/>
            </w:rPr>
            <w:t>VOLUME 2</w:t>
          </w:r>
        </w:p>
        <w:p w:rsidR="00A543D8" w:rsidRPr="00EF0029" w:rsidRDefault="00C7591C" w:rsidP="00C7591C">
          <w:pPr>
            <w:ind w:left="567"/>
            <w:rPr>
              <w:b/>
              <w:bCs/>
              <w:noProof/>
            </w:rPr>
          </w:pPr>
          <w:r w:rsidRPr="00EF0029">
            <w:t>Volume 2 explains how we have implemented the equalisation objective, including how we have used the supporting principles, treated Commonwealth payments and undertaken the assessments for each category and each disability which affects a number of category assessments.</w:t>
          </w:r>
          <w:r w:rsidR="00A543D8" w:rsidRPr="00EF0029">
            <w:fldChar w:fldCharType="begin"/>
          </w:r>
          <w:r w:rsidR="00A543D8" w:rsidRPr="00EF0029">
            <w:instrText xml:space="preserve"> TOC \o "1-2" \h \z \u </w:instrText>
          </w:r>
          <w:r w:rsidR="00A543D8" w:rsidRPr="00EF0029">
            <w:fldChar w:fldCharType="separate"/>
          </w:r>
        </w:p>
        <w:p w:rsidR="00434502" w:rsidRPr="00EF0029" w:rsidRDefault="00A543D8" w:rsidP="00434502">
          <w:pPr>
            <w:tabs>
              <w:tab w:val="left" w:pos="8364"/>
            </w:tabs>
          </w:pPr>
          <w:r w:rsidRPr="00EF0029">
            <w:fldChar w:fldCharType="end"/>
          </w:r>
          <w:r w:rsidR="00434502" w:rsidRPr="00EF0029">
            <w:t>INTRODUCTION</w:t>
          </w:r>
          <w:r w:rsidR="00434502" w:rsidRPr="00EF0029">
            <w:tab/>
            <w:t>1</w:t>
          </w:r>
        </w:p>
        <w:p w:rsidR="00434502" w:rsidRPr="00EF0029" w:rsidRDefault="00434502" w:rsidP="00434502">
          <w:pPr>
            <w:tabs>
              <w:tab w:val="left" w:pos="8364"/>
            </w:tabs>
          </w:pPr>
          <w:r w:rsidRPr="00EF0029">
            <w:t>CHAPTER 1 IMPLEMENTING EQUALISATION</w:t>
          </w:r>
          <w:r w:rsidRPr="00EF0029">
            <w:tab/>
            <w:t>2</w:t>
          </w:r>
        </w:p>
        <w:p w:rsidR="00434502" w:rsidRPr="00EF0029" w:rsidRDefault="00434502" w:rsidP="00434502">
          <w:pPr>
            <w:tabs>
              <w:tab w:val="left" w:pos="8364"/>
            </w:tabs>
            <w:rPr>
              <w:b/>
            </w:rPr>
          </w:pPr>
          <w:r w:rsidRPr="00EF0029">
            <w:t>CHAPTER 2 TREATMENT OF COMMONWEALTH PAYMENTS</w:t>
          </w:r>
          <w:r w:rsidRPr="00EF0029">
            <w:tab/>
            <w:t>35</w:t>
          </w:r>
        </w:p>
        <w:p w:rsidR="00434502" w:rsidRPr="00EF0029" w:rsidRDefault="00434502" w:rsidP="00434502">
          <w:pPr>
            <w:tabs>
              <w:tab w:val="left" w:pos="8364"/>
            </w:tabs>
          </w:pPr>
          <w:r w:rsidRPr="00EF0029">
            <w:t>CHAPTER 3 PAYROLL TAX</w:t>
          </w:r>
          <w:r w:rsidRPr="00EF0029">
            <w:tab/>
            <w:t>54</w:t>
          </w:r>
        </w:p>
        <w:p w:rsidR="00434502" w:rsidRPr="00EF0029" w:rsidRDefault="00434502" w:rsidP="00434502">
          <w:pPr>
            <w:tabs>
              <w:tab w:val="left" w:pos="8364"/>
            </w:tabs>
          </w:pPr>
          <w:r w:rsidRPr="00EF0029">
            <w:t>CHAPTER 4 LAND TAX</w:t>
          </w:r>
          <w:r w:rsidRPr="00EF0029">
            <w:tab/>
            <w:t>64</w:t>
          </w:r>
        </w:p>
        <w:p w:rsidR="00434502" w:rsidRPr="00EF0029" w:rsidRDefault="00434502" w:rsidP="00434502">
          <w:pPr>
            <w:tabs>
              <w:tab w:val="left" w:pos="8364"/>
            </w:tabs>
          </w:pPr>
          <w:r w:rsidRPr="00EF0029">
            <w:t>CHAPTER 5 STAMP DUTY</w:t>
          </w:r>
          <w:r w:rsidRPr="00EF0029">
            <w:tab/>
            <w:t>76</w:t>
          </w:r>
        </w:p>
        <w:p w:rsidR="00434502" w:rsidRPr="00EF0029" w:rsidRDefault="00434502" w:rsidP="00434502">
          <w:pPr>
            <w:tabs>
              <w:tab w:val="left" w:pos="8364"/>
            </w:tabs>
          </w:pPr>
          <w:r w:rsidRPr="00EF0029">
            <w:t>CHAPTER 6 INSURANCE TAX</w:t>
          </w:r>
          <w:r w:rsidRPr="00EF0029">
            <w:tab/>
            <w:t>89</w:t>
          </w:r>
        </w:p>
        <w:p w:rsidR="00434502" w:rsidRPr="00EF0029" w:rsidRDefault="00434502" w:rsidP="00434502">
          <w:pPr>
            <w:tabs>
              <w:tab w:val="left" w:pos="8364"/>
            </w:tabs>
          </w:pPr>
          <w:r w:rsidRPr="00EF0029">
            <w:t>CHAPTER 7 MOTOR TAXES</w:t>
          </w:r>
          <w:r w:rsidRPr="00EF0029">
            <w:tab/>
            <w:t>97</w:t>
          </w:r>
        </w:p>
        <w:p w:rsidR="00434502" w:rsidRPr="00EF0029" w:rsidRDefault="00434502" w:rsidP="00434502">
          <w:pPr>
            <w:tabs>
              <w:tab w:val="left" w:pos="8364"/>
            </w:tabs>
          </w:pPr>
          <w:r w:rsidRPr="00EF0029">
            <w:lastRenderedPageBreak/>
            <w:t>CHAPTER 8 MINING REVENUE</w:t>
          </w:r>
          <w:r w:rsidRPr="00EF0029">
            <w:tab/>
            <w:t>104</w:t>
          </w:r>
        </w:p>
        <w:p w:rsidR="00434502" w:rsidRPr="00EF0029" w:rsidRDefault="00434502" w:rsidP="00434502">
          <w:pPr>
            <w:tabs>
              <w:tab w:val="left" w:pos="8364"/>
            </w:tabs>
          </w:pPr>
          <w:r w:rsidRPr="00EF0029">
            <w:t>CHAPTER 9 OTHER REVENUE</w:t>
          </w:r>
          <w:r w:rsidRPr="00EF0029">
            <w:tab/>
            <w:t>120</w:t>
          </w:r>
        </w:p>
        <w:p w:rsidR="00A543D8" w:rsidRPr="00EF0029" w:rsidRDefault="00A543D8" w:rsidP="00A543D8">
          <w:pPr>
            <w:tabs>
              <w:tab w:val="left" w:pos="8364"/>
            </w:tabs>
          </w:pPr>
          <w:r w:rsidRPr="00EF0029">
            <w:t>CHAPTER 10 SCHOOLS EDUCATION</w:t>
          </w:r>
          <w:r w:rsidRPr="00EF0029">
            <w:tab/>
            <w:t>127</w:t>
          </w:r>
        </w:p>
        <w:p w:rsidR="00A543D8" w:rsidRPr="00EF0029" w:rsidRDefault="00A543D8" w:rsidP="00A543D8">
          <w:pPr>
            <w:tabs>
              <w:tab w:val="left" w:pos="8364"/>
            </w:tabs>
            <w:rPr>
              <w:b/>
            </w:rPr>
          </w:pPr>
          <w:r w:rsidRPr="00EF0029">
            <w:t>CHAPTER 11 POST-SECONDARY EDUCATION</w:t>
          </w:r>
          <w:r w:rsidRPr="00EF0029">
            <w:tab/>
            <w:t>15</w:t>
          </w:r>
          <w:r w:rsidR="00297D6E">
            <w:t>3</w:t>
          </w:r>
        </w:p>
        <w:p w:rsidR="00A543D8" w:rsidRPr="00EF0029" w:rsidRDefault="00A543D8" w:rsidP="00A543D8">
          <w:pPr>
            <w:tabs>
              <w:tab w:val="left" w:pos="8364"/>
            </w:tabs>
          </w:pPr>
          <w:r w:rsidRPr="00EF0029">
            <w:t>CHAPTER 12 HEALTH</w:t>
          </w:r>
          <w:r w:rsidRPr="00EF0029">
            <w:tab/>
            <w:t>17</w:t>
          </w:r>
          <w:r w:rsidR="00297D6E">
            <w:t>2</w:t>
          </w:r>
        </w:p>
        <w:p w:rsidR="00A543D8" w:rsidRPr="00EF0029" w:rsidRDefault="00A543D8" w:rsidP="00A543D8">
          <w:pPr>
            <w:tabs>
              <w:tab w:val="left" w:pos="8364"/>
            </w:tabs>
          </w:pPr>
          <w:r w:rsidRPr="00EF0029">
            <w:t>CHAPTER 13 WELFARE</w:t>
          </w:r>
          <w:r w:rsidRPr="00EF0029">
            <w:tab/>
            <w:t>21</w:t>
          </w:r>
          <w:r w:rsidR="005A14E2">
            <w:t>7</w:t>
          </w:r>
        </w:p>
        <w:p w:rsidR="00A543D8" w:rsidRPr="00EF0029" w:rsidRDefault="00A543D8" w:rsidP="00A543D8">
          <w:pPr>
            <w:tabs>
              <w:tab w:val="left" w:pos="8364"/>
            </w:tabs>
          </w:pPr>
          <w:r w:rsidRPr="00EF0029">
            <w:t>CHAPTER 14 HOUSING</w:t>
          </w:r>
          <w:r w:rsidRPr="00EF0029">
            <w:tab/>
            <w:t>24</w:t>
          </w:r>
          <w:r w:rsidR="005A14E2">
            <w:t>5</w:t>
          </w:r>
        </w:p>
        <w:p w:rsidR="00A543D8" w:rsidRPr="00EF0029" w:rsidRDefault="00A543D8" w:rsidP="00A543D8">
          <w:pPr>
            <w:tabs>
              <w:tab w:val="left" w:pos="8364"/>
            </w:tabs>
          </w:pPr>
          <w:r w:rsidRPr="00EF0029">
            <w:t>CHAPTER 15 SERVICES TO COMMUNITIES</w:t>
          </w:r>
          <w:r w:rsidRPr="00EF0029">
            <w:tab/>
            <w:t>27</w:t>
          </w:r>
          <w:r w:rsidR="005A14E2">
            <w:t>6</w:t>
          </w:r>
        </w:p>
        <w:p w:rsidR="00A543D8" w:rsidRPr="00EF0029" w:rsidRDefault="00A543D8" w:rsidP="00A543D8">
          <w:pPr>
            <w:tabs>
              <w:tab w:val="left" w:pos="8364"/>
            </w:tabs>
          </w:pPr>
          <w:r w:rsidRPr="00EF0029">
            <w:t>CHAPTER 16 JUSTICE</w:t>
          </w:r>
          <w:r w:rsidRPr="00EF0029">
            <w:tab/>
          </w:r>
          <w:r w:rsidR="00297D6E">
            <w:t>30</w:t>
          </w:r>
          <w:r w:rsidR="005A14E2">
            <w:t>2</w:t>
          </w:r>
        </w:p>
        <w:p w:rsidR="00A543D8" w:rsidRPr="00EF0029" w:rsidRDefault="00A543D8" w:rsidP="00A543D8">
          <w:pPr>
            <w:tabs>
              <w:tab w:val="left" w:pos="8364"/>
            </w:tabs>
          </w:pPr>
          <w:r w:rsidRPr="00EF0029">
            <w:t>CHAPTER 17 ROADS</w:t>
          </w:r>
          <w:r w:rsidRPr="00EF0029">
            <w:tab/>
            <w:t>3</w:t>
          </w:r>
          <w:r w:rsidR="00297D6E">
            <w:t>3</w:t>
          </w:r>
          <w:r w:rsidR="005A14E2">
            <w:t>2</w:t>
          </w:r>
        </w:p>
        <w:p w:rsidR="00A543D8" w:rsidRPr="00EF0029" w:rsidRDefault="00A543D8" w:rsidP="00A543D8">
          <w:pPr>
            <w:tabs>
              <w:tab w:val="left" w:pos="8364"/>
            </w:tabs>
          </w:pPr>
          <w:r w:rsidRPr="00EF0029">
            <w:t>CHAPTER 18 TRANSPORT</w:t>
          </w:r>
          <w:r w:rsidRPr="00EF0029">
            <w:tab/>
            <w:t>35</w:t>
          </w:r>
          <w:r w:rsidR="005A14E2">
            <w:t>4</w:t>
          </w:r>
        </w:p>
        <w:p w:rsidR="00A543D8" w:rsidRPr="00EF0029" w:rsidRDefault="00A543D8" w:rsidP="00A543D8">
          <w:pPr>
            <w:tabs>
              <w:tab w:val="left" w:pos="8364"/>
            </w:tabs>
          </w:pPr>
          <w:r w:rsidRPr="00EF0029">
            <w:t>CHAPTER 19 SERVICES TO INDUSTRY</w:t>
          </w:r>
          <w:r w:rsidRPr="00EF0029">
            <w:tab/>
            <w:t>3</w:t>
          </w:r>
          <w:r w:rsidR="00297D6E">
            <w:t>7</w:t>
          </w:r>
          <w:r w:rsidR="005A14E2">
            <w:t>2</w:t>
          </w:r>
        </w:p>
        <w:p w:rsidR="00A543D8" w:rsidRPr="00EF0029" w:rsidRDefault="00A543D8" w:rsidP="00A543D8">
          <w:pPr>
            <w:tabs>
              <w:tab w:val="left" w:pos="8364"/>
            </w:tabs>
          </w:pPr>
          <w:r w:rsidRPr="00EF0029">
            <w:t>CHAPTER 20 OTHER EXPENSES</w:t>
          </w:r>
          <w:r w:rsidRPr="00EF0029">
            <w:tab/>
            <w:t>3</w:t>
          </w:r>
          <w:r w:rsidR="005A14E2">
            <w:t>90</w:t>
          </w:r>
        </w:p>
        <w:p w:rsidR="00A543D8" w:rsidRPr="00EF0029" w:rsidRDefault="00A543D8" w:rsidP="00A543D8">
          <w:pPr>
            <w:tabs>
              <w:tab w:val="left" w:pos="8364"/>
            </w:tabs>
          </w:pPr>
          <w:r w:rsidRPr="00EF0029">
            <w:t>CHAPTER 21 INFRASTRUCTURE ASSESSMENTS</w:t>
          </w:r>
          <w:r w:rsidRPr="00EF0029">
            <w:tab/>
            <w:t>40</w:t>
          </w:r>
          <w:r w:rsidR="005A14E2">
            <w:t>9</w:t>
          </w:r>
        </w:p>
        <w:p w:rsidR="00A543D8" w:rsidRPr="00EF0029" w:rsidRDefault="00A543D8" w:rsidP="00A543D8">
          <w:pPr>
            <w:tabs>
              <w:tab w:val="left" w:pos="8364"/>
            </w:tabs>
          </w:pPr>
          <w:r w:rsidRPr="00EF0029">
            <w:t>CHAPTER 22 WAGE COSTS</w:t>
          </w:r>
          <w:r w:rsidRPr="00EF0029">
            <w:tab/>
            <w:t>4</w:t>
          </w:r>
          <w:r w:rsidR="00297D6E">
            <w:t>5</w:t>
          </w:r>
          <w:r w:rsidR="005A14E2">
            <w:t>5</w:t>
          </w:r>
        </w:p>
        <w:p w:rsidR="00A543D8" w:rsidRPr="00EF0029" w:rsidRDefault="00A543D8" w:rsidP="00A543D8">
          <w:pPr>
            <w:tabs>
              <w:tab w:val="left" w:pos="8364"/>
            </w:tabs>
          </w:pPr>
          <w:r w:rsidRPr="00EF0029">
            <w:t>CHAPTER 23 REGIONAL COSTS</w:t>
          </w:r>
          <w:r w:rsidRPr="00EF0029">
            <w:tab/>
            <w:t>4</w:t>
          </w:r>
          <w:r w:rsidR="00297D6E">
            <w:t>7</w:t>
          </w:r>
          <w:r w:rsidR="005A14E2">
            <w:t>8</w:t>
          </w:r>
        </w:p>
        <w:p w:rsidR="00A543D8" w:rsidRPr="00EF0029" w:rsidRDefault="00A543D8" w:rsidP="00A543D8">
          <w:pPr>
            <w:tabs>
              <w:tab w:val="left" w:pos="8364"/>
            </w:tabs>
          </w:pPr>
          <w:r w:rsidRPr="00EF0029">
            <w:t>CHAPTER 24 SERVICE DELIVERY SCALE</w:t>
          </w:r>
          <w:r w:rsidRPr="00EF0029">
            <w:tab/>
            <w:t>4</w:t>
          </w:r>
          <w:r w:rsidR="00297D6E">
            <w:t>9</w:t>
          </w:r>
          <w:r w:rsidR="005A14E2">
            <w:t>7</w:t>
          </w:r>
        </w:p>
        <w:p w:rsidR="00A543D8" w:rsidRPr="00EF0029" w:rsidRDefault="00A543D8" w:rsidP="00A543D8">
          <w:pPr>
            <w:tabs>
              <w:tab w:val="left" w:pos="8364"/>
            </w:tabs>
          </w:pPr>
          <w:r w:rsidRPr="00EF0029">
            <w:t>CHAPTER 25 ADMINISTRATIVE SCALE</w:t>
          </w:r>
          <w:r w:rsidRPr="00EF0029">
            <w:tab/>
          </w:r>
          <w:r w:rsidR="00297D6E">
            <w:t>50</w:t>
          </w:r>
          <w:r w:rsidR="005A14E2">
            <w:t>8</w:t>
          </w:r>
        </w:p>
        <w:p w:rsidR="00A543D8" w:rsidRPr="00EF0029" w:rsidRDefault="00A543D8" w:rsidP="00A543D8">
          <w:pPr>
            <w:tabs>
              <w:tab w:val="left" w:pos="8364"/>
            </w:tabs>
          </w:pPr>
          <w:r w:rsidRPr="00EF0029">
            <w:t>CHAPTER 26 IMPACT OF POPULATION GROWTH ON FISCAL CAPACITIES</w:t>
          </w:r>
          <w:r w:rsidRPr="00EF0029">
            <w:tab/>
          </w:r>
          <w:r w:rsidR="00297D6E">
            <w:t>5</w:t>
          </w:r>
          <w:r w:rsidR="005A14E2">
            <w:t>21</w:t>
          </w:r>
        </w:p>
        <w:p w:rsidR="00A543D8" w:rsidRPr="00EF0029" w:rsidRDefault="00A543D8" w:rsidP="00A543D8">
          <w:pPr>
            <w:tabs>
              <w:tab w:val="left" w:pos="8364"/>
            </w:tabs>
          </w:pPr>
          <w:r w:rsidRPr="00EF0029">
            <w:t>CHAPTER 27 OTHER DISABILITIES</w:t>
          </w:r>
          <w:r w:rsidRPr="00EF0029">
            <w:tab/>
          </w:r>
          <w:r w:rsidR="00297D6E">
            <w:t>53</w:t>
          </w:r>
          <w:r w:rsidR="005A14E2">
            <w:t>3</w:t>
          </w:r>
        </w:p>
        <w:p w:rsidR="00A543D8" w:rsidRPr="00EF0029" w:rsidRDefault="00A543D8" w:rsidP="00A543D8">
          <w:pPr>
            <w:tabs>
              <w:tab w:val="left" w:pos="8364"/>
            </w:tabs>
          </w:pPr>
          <w:r w:rsidRPr="00EF0029">
            <w:t>CHAPTER 28 NET BORROWING</w:t>
          </w:r>
          <w:r w:rsidRPr="00EF0029">
            <w:tab/>
          </w:r>
          <w:r w:rsidR="00297D6E">
            <w:t>5</w:t>
          </w:r>
          <w:r w:rsidR="005A14E2">
            <w:t>51</w:t>
          </w:r>
        </w:p>
        <w:p w:rsidR="00A543D8" w:rsidRPr="00EF0029" w:rsidRDefault="00A543D8">
          <w:pPr>
            <w:rPr>
              <w:b/>
            </w:rPr>
          </w:pPr>
          <w:r w:rsidRPr="00EF0029">
            <w:rPr>
              <w:b/>
            </w:rPr>
            <w:t>ATTACHMENTS</w:t>
          </w:r>
        </w:p>
        <w:p w:rsidR="00C7591C" w:rsidRPr="00EC79CF" w:rsidRDefault="00C7591C" w:rsidP="00C7591C">
          <w:pPr>
            <w:ind w:left="567"/>
          </w:pPr>
          <w:r w:rsidRPr="00EF0029">
            <w:t>Technical attachments provide a summary of the main data used in our calculations and an explanation of how we have used them.</w:t>
          </w:r>
        </w:p>
        <w:p w:rsidR="0050191D" w:rsidRPr="0050191D" w:rsidRDefault="00434502" w:rsidP="00434502">
          <w:pPr>
            <w:tabs>
              <w:tab w:val="clear" w:pos="567"/>
              <w:tab w:val="left" w:pos="8364"/>
            </w:tabs>
          </w:pPr>
          <w:r>
            <w:t>ATTACHMENT 1</w:t>
          </w:r>
          <w:r w:rsidR="00444BCA">
            <w:t xml:space="preserve"> POPULATION DATA SUPPORTING THE ASSESSMENTS</w:t>
          </w:r>
          <w:r w:rsidRPr="00B67CD5">
            <w:tab/>
          </w:r>
          <w:r w:rsidR="005A14E2">
            <w:t>557</w:t>
          </w:r>
        </w:p>
        <w:p w:rsidR="0050191D" w:rsidRPr="0050191D" w:rsidRDefault="0050191D" w:rsidP="00434502">
          <w:pPr>
            <w:tabs>
              <w:tab w:val="clear" w:pos="567"/>
              <w:tab w:val="left" w:pos="8364"/>
            </w:tabs>
          </w:pPr>
          <w:r w:rsidRPr="0050191D">
            <w:t xml:space="preserve">ATTACHMENT </w:t>
          </w:r>
          <w:r>
            <w:t>2</w:t>
          </w:r>
          <w:r w:rsidR="00444BCA">
            <w:t xml:space="preserve"> TREATMENT OF COMMONWEALTH PAYMENTS</w:t>
          </w:r>
          <w:r w:rsidR="00434502" w:rsidRPr="00B67CD5">
            <w:tab/>
          </w:r>
          <w:r w:rsidR="005A14E2">
            <w:t>567</w:t>
          </w:r>
        </w:p>
        <w:p w:rsidR="0050191D" w:rsidRPr="0050191D" w:rsidRDefault="0050191D" w:rsidP="00434502">
          <w:pPr>
            <w:tabs>
              <w:tab w:val="clear" w:pos="567"/>
              <w:tab w:val="left" w:pos="8364"/>
            </w:tabs>
          </w:pPr>
          <w:r w:rsidRPr="0050191D">
            <w:t xml:space="preserve">ATTACHMENT </w:t>
          </w:r>
          <w:r>
            <w:t>3</w:t>
          </w:r>
          <w:r w:rsidR="00444BCA">
            <w:t xml:space="preserve"> THE ADJUSTED BUDGET</w:t>
          </w:r>
          <w:r w:rsidR="00434502" w:rsidRPr="00B67CD5">
            <w:tab/>
          </w:r>
          <w:r w:rsidR="00297D6E">
            <w:t>6</w:t>
          </w:r>
          <w:r w:rsidR="005A14E2">
            <w:t>21</w:t>
          </w:r>
        </w:p>
        <w:p w:rsidR="0050191D" w:rsidRPr="0050191D" w:rsidRDefault="0050191D" w:rsidP="00434502">
          <w:pPr>
            <w:tabs>
              <w:tab w:val="clear" w:pos="567"/>
              <w:tab w:val="left" w:pos="8364"/>
            </w:tabs>
          </w:pPr>
          <w:r w:rsidRPr="0050191D">
            <w:t xml:space="preserve">ATTACHMENT </w:t>
          </w:r>
          <w:r>
            <w:t>4</w:t>
          </w:r>
          <w:r w:rsidR="00444BCA">
            <w:t xml:space="preserve"> THE ASSESSED BUDGET</w:t>
          </w:r>
          <w:r w:rsidR="00434502" w:rsidRPr="00B67CD5">
            <w:tab/>
          </w:r>
          <w:r w:rsidR="00297D6E">
            <w:t>6</w:t>
          </w:r>
          <w:r w:rsidR="005A14E2">
            <w:t>38</w:t>
          </w:r>
        </w:p>
        <w:p w:rsidR="0050191D" w:rsidRPr="0050191D" w:rsidRDefault="0050191D" w:rsidP="00434502">
          <w:pPr>
            <w:tabs>
              <w:tab w:val="clear" w:pos="567"/>
              <w:tab w:val="left" w:pos="8364"/>
            </w:tabs>
          </w:pPr>
          <w:r w:rsidRPr="0050191D">
            <w:t xml:space="preserve">ATTACHMENT </w:t>
          </w:r>
          <w:r>
            <w:t>5</w:t>
          </w:r>
          <w:r w:rsidR="00444BCA">
            <w:t xml:space="preserve"> MAIN REASONS FOR DIFFERENCE </w:t>
          </w:r>
          <w:r w:rsidR="007E18BF">
            <w:t>FROM EPC</w:t>
          </w:r>
          <w:r w:rsidR="00444BCA">
            <w:t xml:space="preserve"> – STATE ANALYSIS</w:t>
          </w:r>
          <w:r w:rsidR="00434502" w:rsidRPr="00B67CD5">
            <w:tab/>
          </w:r>
          <w:r w:rsidR="00297D6E">
            <w:t>6</w:t>
          </w:r>
          <w:r w:rsidR="005A14E2">
            <w:t>42</w:t>
          </w:r>
        </w:p>
        <w:p w:rsidR="0050191D" w:rsidRPr="0050191D" w:rsidRDefault="0050191D" w:rsidP="00434502">
          <w:pPr>
            <w:tabs>
              <w:tab w:val="clear" w:pos="567"/>
              <w:tab w:val="left" w:pos="8364"/>
            </w:tabs>
          </w:pPr>
          <w:r w:rsidRPr="0050191D">
            <w:t xml:space="preserve">ATTACHMENT </w:t>
          </w:r>
          <w:r>
            <w:t>6</w:t>
          </w:r>
          <w:r w:rsidR="00444BCA">
            <w:t xml:space="preserve"> CALCULATION OF GST RELATIVITIES</w:t>
          </w:r>
          <w:r w:rsidR="00434502" w:rsidRPr="00B67CD5">
            <w:tab/>
          </w:r>
          <w:r w:rsidR="00297D6E">
            <w:t>6</w:t>
          </w:r>
          <w:r w:rsidR="005A14E2">
            <w:t>47</w:t>
          </w:r>
        </w:p>
        <w:p w:rsidR="0050191D" w:rsidRPr="0050191D" w:rsidRDefault="0050191D" w:rsidP="00434502">
          <w:pPr>
            <w:tabs>
              <w:tab w:val="clear" w:pos="567"/>
              <w:tab w:val="left" w:pos="8364"/>
            </w:tabs>
          </w:pPr>
          <w:r w:rsidRPr="0050191D">
            <w:t xml:space="preserve">ATTACHMENT </w:t>
          </w:r>
          <w:r>
            <w:t>7</w:t>
          </w:r>
          <w:r w:rsidR="00444BCA">
            <w:t xml:space="preserve"> CONSULTATIONS</w:t>
          </w:r>
          <w:r w:rsidR="00434502" w:rsidRPr="00B67CD5">
            <w:tab/>
          </w:r>
          <w:r w:rsidR="00297D6E">
            <w:t>6</w:t>
          </w:r>
          <w:r w:rsidR="005A14E2">
            <w:t>53</w:t>
          </w:r>
        </w:p>
        <w:p w:rsidR="00444BCA" w:rsidRPr="00EC79CF" w:rsidRDefault="00444BCA" w:rsidP="00444BCA">
          <w:pPr>
            <w:tabs>
              <w:tab w:val="clear" w:pos="567"/>
              <w:tab w:val="left" w:pos="8364"/>
            </w:tabs>
          </w:pPr>
          <w:r w:rsidRPr="0050191D">
            <w:t xml:space="preserve">ATTACHMENT </w:t>
          </w:r>
          <w:r>
            <w:t>8 COMMISSION TERMINOLOGY</w:t>
          </w:r>
          <w:r w:rsidRPr="00B67CD5">
            <w:tab/>
          </w:r>
          <w:r w:rsidR="00297D6E">
            <w:t>6</w:t>
          </w:r>
          <w:r w:rsidR="005A14E2">
            <w:t>60</w:t>
          </w:r>
        </w:p>
        <w:p w:rsidR="00A665A9" w:rsidRPr="00EC79CF" w:rsidRDefault="0050191D" w:rsidP="00444BCA">
          <w:pPr>
            <w:tabs>
              <w:tab w:val="clear" w:pos="567"/>
              <w:tab w:val="left" w:pos="8364"/>
            </w:tabs>
          </w:pPr>
          <w:r w:rsidRPr="0050191D">
            <w:t xml:space="preserve">ATTACHMENT </w:t>
          </w:r>
          <w:r w:rsidR="00444BCA">
            <w:t>9 ACRONYMS</w:t>
          </w:r>
          <w:r w:rsidR="00434502" w:rsidRPr="00B67CD5">
            <w:tab/>
          </w:r>
          <w:r w:rsidR="00297D6E">
            <w:t>6</w:t>
          </w:r>
          <w:r w:rsidR="005A14E2">
            <w:t>70</w:t>
          </w:r>
        </w:p>
      </w:sdtContent>
    </w:sdt>
    <w:p w:rsidR="00A665A9" w:rsidRPr="00EC79CF" w:rsidRDefault="00A665A9" w:rsidP="00A665A9">
      <w:pPr>
        <w:sectPr w:rsidR="00A665A9" w:rsidRPr="00EC79CF" w:rsidSect="00A665A9">
          <w:footerReference w:type="default" r:id="rId37"/>
          <w:footerReference w:type="first" r:id="rId38"/>
          <w:footnotePr>
            <w:numRestart w:val="eachSect"/>
          </w:footnotePr>
          <w:pgSz w:w="11899" w:h="16838" w:code="9"/>
          <w:pgMar w:top="1701" w:right="1474" w:bottom="1701" w:left="1474" w:header="709" w:footer="709" w:gutter="0"/>
          <w:pgNumType w:fmt="lowerRoman"/>
          <w:cols w:space="708"/>
          <w:titlePg/>
          <w:docGrid w:linePitch="326"/>
        </w:sectPr>
      </w:pPr>
    </w:p>
    <w:p w:rsidR="00A004DA" w:rsidRPr="00EC79CF" w:rsidRDefault="00A004DA" w:rsidP="00A004DA">
      <w:pPr>
        <w:pStyle w:val="Heading1"/>
      </w:pPr>
      <w:bookmarkStart w:id="328" w:name="_Toc411924580"/>
      <w:bookmarkEnd w:id="0"/>
      <w:r w:rsidRPr="00EC79CF">
        <w:lastRenderedPageBreak/>
        <w:t>MAIN FINDINGS</w:t>
      </w:r>
      <w:bookmarkEnd w:id="328"/>
    </w:p>
    <w:tbl>
      <w:tblPr>
        <w:tblStyle w:val="TableGrid"/>
        <w:tblW w:w="0" w:type="auto"/>
        <w:tblLook w:val="04A0" w:firstRow="1" w:lastRow="0" w:firstColumn="1" w:lastColumn="0" w:noHBand="0" w:noVBand="1"/>
        <w:tblDescription w:val=" "/>
      </w:tblPr>
      <w:tblGrid>
        <w:gridCol w:w="9167"/>
      </w:tblGrid>
      <w:tr w:rsidR="00A004DA" w:rsidRPr="00EC79CF" w:rsidTr="00C71EF0">
        <w:tc>
          <w:tcPr>
            <w:tcW w:w="9167" w:type="dxa"/>
            <w:tcBorders>
              <w:top w:val="nil"/>
              <w:left w:val="nil"/>
              <w:bottom w:val="nil"/>
              <w:right w:val="nil"/>
            </w:tcBorders>
            <w:shd w:val="clear" w:color="auto" w:fill="D9F3E6"/>
          </w:tcPr>
          <w:p w:rsidR="00A004DA" w:rsidRPr="00EC79CF" w:rsidRDefault="00CF5D11" w:rsidP="00CF5D11">
            <w:pPr>
              <w:pStyle w:val="Heading4"/>
              <w:outlineLvl w:val="3"/>
            </w:pPr>
            <w:r>
              <w:t>OVERVIEW</w:t>
            </w:r>
          </w:p>
          <w:p w:rsidR="00CF5D11" w:rsidRDefault="00CF5D11" w:rsidP="00CF5D11">
            <w:pPr>
              <w:spacing w:before="120" w:after="120"/>
            </w:pPr>
            <w:r>
              <w:t xml:space="preserve">This report presents our recommendations for the </w:t>
            </w:r>
            <w:r w:rsidR="00DA62EC">
              <w:t>distribution of the GST revenue</w:t>
            </w:r>
            <w:r>
              <w:t xml:space="preserve"> to the States and Territories </w:t>
            </w:r>
            <w:r w:rsidR="00401FF0">
              <w:t>(</w:t>
            </w:r>
            <w:r>
              <w:t>the S</w:t>
            </w:r>
            <w:r w:rsidR="00401FF0">
              <w:t>tates</w:t>
            </w:r>
            <w:r>
              <w:t>) for 2015-16, and the results of our review of the methodologies used to determine the States’ relative fiscal capacities.</w:t>
            </w:r>
          </w:p>
          <w:p w:rsidR="00CF5D11" w:rsidRDefault="00CF5D11" w:rsidP="00CF5D11">
            <w:pPr>
              <w:spacing w:before="120" w:after="120"/>
            </w:pPr>
            <w:r>
              <w:t>Consistent with our terms of reference, our objective is unchanged. It is to ensure that the GST revenue</w:t>
            </w:r>
            <w:r w:rsidR="00DA62EC">
              <w:t xml:space="preserve"> is</w:t>
            </w:r>
            <w:r>
              <w:t xml:space="preserve"> distributed on the basis of horizontal fiscal equalisation (HFE) so that each of Australia’s States has the same fiscal capacity, under average policies, to provide general government infrastructure and services.</w:t>
            </w:r>
          </w:p>
          <w:p w:rsidR="00CF5D11" w:rsidRDefault="00CF5D11" w:rsidP="00CF5D11">
            <w:pPr>
              <w:spacing w:before="120" w:after="120"/>
            </w:pPr>
            <w:r>
              <w:t xml:space="preserve">The States’ assessed fiscal capacities continue to reflect divergent trends in their economies and other key influences on their circumstances. Particularly significant in recent years are the strong population and economic growth arising from mining development in Western Australia, the large impact of natural disaster costs on Queensland and the ongoing high fiscal disabilities experienced by the Northern Territory and Tasmania. Other emerging influences have been the </w:t>
            </w:r>
            <w:r w:rsidR="00BB6BAE">
              <w:t>property market recovery in New </w:t>
            </w:r>
            <w:r>
              <w:t xml:space="preserve">South Wales and the relatively high </w:t>
            </w:r>
            <w:r w:rsidR="00A730F0">
              <w:t>growth in</w:t>
            </w:r>
            <w:r>
              <w:t xml:space="preserve"> Commonwealth payments to Victoria, each of which reduce their assessed GST shares.</w:t>
            </w:r>
          </w:p>
          <w:p w:rsidR="00CF5D11" w:rsidRDefault="00CF5D11" w:rsidP="00CF5D11">
            <w:pPr>
              <w:spacing w:before="120" w:after="120"/>
            </w:pPr>
            <w:r>
              <w:t xml:space="preserve">The result of our methodology review is to broadly retain the assessment principles and approaches used in previous years, but a range of improvements have been adopted in specific areas. These respond to matters raised in our terms of reference, changing data sources, suggestions </w:t>
            </w:r>
            <w:r w:rsidR="00592B19">
              <w:t xml:space="preserve">made </w:t>
            </w:r>
            <w:r>
              <w:t>by States and our analysis of key issues.</w:t>
            </w:r>
          </w:p>
          <w:p w:rsidR="00CF5D11" w:rsidRDefault="00CF5D11" w:rsidP="00CF5D11">
            <w:pPr>
              <w:spacing w:before="120" w:after="120"/>
            </w:pPr>
            <w:r>
              <w:t>The main changes in this review are a more comprehensive assessment of State housing and public transport infrastructures and services, the adoption of new data sources and methods in health and schools, responses to new funding arrangements for disability services and aged care, and a revised assessment structure for mining revenues.</w:t>
            </w:r>
          </w:p>
          <w:p w:rsidR="00A004DA" w:rsidRPr="00EC79CF" w:rsidRDefault="00CF5D11" w:rsidP="00A730F0">
            <w:pPr>
              <w:spacing w:before="120" w:after="120"/>
            </w:pPr>
            <w:r>
              <w:t xml:space="preserve">We have reviewed the impact of our methods on budget volatility. We concluded that existing methods, applied consistently to all assessments, provide the most reliable, practical and </w:t>
            </w:r>
            <w:r w:rsidR="00A730F0">
              <w:t>appropriate</w:t>
            </w:r>
            <w:r>
              <w:t xml:space="preserve"> outcome consistent with achieving HFE over a run of years (albeit with a lag since reliable data are only available on a historical basis). We have retained the three year averaging approach adopted in </w:t>
            </w:r>
            <w:r w:rsidR="00800B11">
              <w:t xml:space="preserve">the </w:t>
            </w:r>
            <w:r>
              <w:t xml:space="preserve">2010 </w:t>
            </w:r>
            <w:r w:rsidR="00800B11">
              <w:t xml:space="preserve">Review </w:t>
            </w:r>
            <w:r>
              <w:t>which balances competing considerations of practicality, data reliability, contemporaneity and policy neutrality, and which provides for some readily predictable smoothing of payment flows over time.</w:t>
            </w:r>
          </w:p>
        </w:tc>
      </w:tr>
    </w:tbl>
    <w:p w:rsidR="00A004DA" w:rsidRPr="00EC79CF" w:rsidRDefault="00A004DA" w:rsidP="00A004DA">
      <w:pPr>
        <w:tabs>
          <w:tab w:val="clear" w:pos="567"/>
        </w:tabs>
        <w:spacing w:after="200" w:line="276" w:lineRule="auto"/>
      </w:pPr>
      <w:r w:rsidRPr="00EC79CF">
        <w:br w:type="page"/>
      </w:r>
    </w:p>
    <w:p w:rsidR="00A004DA" w:rsidRPr="00C4696B" w:rsidRDefault="00C4696B" w:rsidP="00C4696B">
      <w:pPr>
        <w:pStyle w:val="Heading3"/>
      </w:pPr>
      <w:bookmarkStart w:id="329" w:name="_Toc410744199"/>
      <w:bookmarkStart w:id="330" w:name="_Toc411511188"/>
      <w:bookmarkStart w:id="331" w:name="_Toc411511641"/>
      <w:bookmarkStart w:id="332" w:name="_Toc411924581"/>
      <w:r w:rsidRPr="00C4696B">
        <w:lastRenderedPageBreak/>
        <w:t>The task</w:t>
      </w:r>
      <w:bookmarkEnd w:id="329"/>
      <w:bookmarkEnd w:id="330"/>
      <w:bookmarkEnd w:id="331"/>
      <w:bookmarkEnd w:id="332"/>
    </w:p>
    <w:p w:rsidR="00A004DA" w:rsidRPr="00EC79CF" w:rsidRDefault="00A004DA" w:rsidP="00815584">
      <w:pPr>
        <w:pStyle w:val="CGCNumberedPara"/>
        <w:numPr>
          <w:ilvl w:val="1"/>
          <w:numId w:val="39"/>
        </w:numPr>
      </w:pPr>
      <w:r w:rsidRPr="00EC79CF">
        <w:t>The Commonwealth and the States and Territories (the States) have agreed that Goods and Services Tax (GST) revenue should be distributed to the States to equalise their fiscal capacities. The Intergovernmental Agreement on Federal Financial Relations (the IGA) sets out this requirement.</w:t>
      </w:r>
    </w:p>
    <w:p w:rsidR="00A004DA" w:rsidRPr="00EC79CF" w:rsidRDefault="00A004DA" w:rsidP="00C20E52">
      <w:pPr>
        <w:pStyle w:val="CGCNumberedPara"/>
        <w:numPr>
          <w:ilvl w:val="1"/>
          <w:numId w:val="2"/>
        </w:numPr>
      </w:pPr>
      <w:r w:rsidRPr="00EC79CF">
        <w:t>The Commission has been asked in terms of reference received from the Commonwealth Treasurer on 21 June 2013 to review the methods which should be used to distribute the GST from 2015-16 to achieve this outcome. Supplementary terms of reference were received on 19 December 2014. We are asked to recommend how the GST should be distributed in accordance with the ‘principle of HFE’ and to consider a number of priority issues, including some nominated recommendations of the GST Distribution Review</w:t>
      </w:r>
      <w:r w:rsidR="00401FF0">
        <w:t>.</w:t>
      </w:r>
      <w:r w:rsidRPr="00EC79CF">
        <w:rPr>
          <w:rStyle w:val="FootnoteReference"/>
        </w:rPr>
        <w:footnoteReference w:id="1"/>
      </w:r>
      <w:r w:rsidRPr="00EC79CF">
        <w:t xml:space="preserve"> The terms of reference also provides guidance on the treatment of Commonwealth payments</w:t>
      </w:r>
      <w:r w:rsidR="00D505F9">
        <w:t xml:space="preserve"> and direction on how some payments should be treated</w:t>
      </w:r>
      <w:r w:rsidRPr="00EC79CF">
        <w:t>. The Commission is not asked to comment on the appropriateness of fiscal equalisation as a policy.</w:t>
      </w:r>
    </w:p>
    <w:p w:rsidR="00A004DA" w:rsidRPr="00EC79CF" w:rsidRDefault="00A004DA" w:rsidP="00C20E52">
      <w:pPr>
        <w:pStyle w:val="CGCNumberedPara"/>
        <w:numPr>
          <w:ilvl w:val="1"/>
          <w:numId w:val="2"/>
        </w:numPr>
      </w:pPr>
      <w:r w:rsidRPr="00EC79CF">
        <w:t>The definition of the ‘principle of HFE’ we have adopted for this review is unchanged:</w:t>
      </w:r>
    </w:p>
    <w:p w:rsidR="00A004DA" w:rsidRPr="00EC79CF" w:rsidRDefault="00A004DA" w:rsidP="00012331">
      <w:pPr>
        <w:pStyle w:val="CGCQuotation"/>
      </w:pPr>
      <w:r w:rsidRPr="00EC79CF">
        <w:t>State governments should receive funding from the pool of goods and services tax such that, after allowing for material factors affecting revenues and expenditures, each would have the fiscal capacity to provide services and the associated infrastructure at the same standard, if each made the same effort to raise revenue from its own sources and operated at the same level of efficiency.</w:t>
      </w:r>
    </w:p>
    <w:p w:rsidR="00A004DA" w:rsidRPr="00EC79CF" w:rsidRDefault="00A004DA" w:rsidP="00C20E52">
      <w:pPr>
        <w:pStyle w:val="CGCNumberedPara"/>
        <w:numPr>
          <w:ilvl w:val="1"/>
          <w:numId w:val="2"/>
        </w:numPr>
      </w:pPr>
      <w:r w:rsidRPr="00EC79CF">
        <w:t>In adopting th</w:t>
      </w:r>
      <w:r w:rsidR="007D5DA3">
        <w:t>is</w:t>
      </w:r>
      <w:r w:rsidRPr="00EC79CF">
        <w:t xml:space="preserve"> definition, and in developing its methodology, the Commission is conscious of the desirability of minimising any adverse impacts of HFE on the operations of government and the economy generally.</w:t>
      </w:r>
    </w:p>
    <w:p w:rsidR="00A004DA" w:rsidRPr="00EC79CF" w:rsidRDefault="00A004DA" w:rsidP="00C20E52">
      <w:pPr>
        <w:pStyle w:val="CGCNumberedPara"/>
        <w:numPr>
          <w:ilvl w:val="1"/>
          <w:numId w:val="2"/>
        </w:numPr>
      </w:pPr>
      <w:r w:rsidRPr="00EC79CF">
        <w:t xml:space="preserve">Our approach is based on using the most recent available data to assess State fiscal capacities. As </w:t>
      </w:r>
      <w:r w:rsidR="00592B19">
        <w:t>those</w:t>
      </w:r>
      <w:r w:rsidR="00592B19" w:rsidRPr="00EC79CF">
        <w:t xml:space="preserve"> </w:t>
      </w:r>
      <w:r w:rsidRPr="00EC79CF">
        <w:t>data are only available with a lag, our assessments capture differences in fiscal capacities with a lag. We consider that it is appropriate to calculate GST requirements in this way because it provides the best combination of reflecting current conditions and using robust data. It means that we do not attempt to precisely reflect conditions in the year our assessments are used (because these are unknowable) but rather achieve HFE over several years as current conditions become reflected in published and administrative data.</w:t>
      </w:r>
    </w:p>
    <w:p w:rsidR="00A004DA" w:rsidRPr="00EC79CF" w:rsidRDefault="00A004DA" w:rsidP="00C20E52">
      <w:pPr>
        <w:pStyle w:val="CGCNumberedPara"/>
        <w:numPr>
          <w:ilvl w:val="1"/>
          <w:numId w:val="2"/>
        </w:numPr>
      </w:pPr>
      <w:r w:rsidRPr="00EC79CF">
        <w:t>The Commission also received a separate letter from the Treasurer on 2</w:t>
      </w:r>
      <w:r w:rsidR="00BF609B">
        <w:t>3</w:t>
      </w:r>
      <w:r w:rsidR="00E0466F">
        <w:t> </w:t>
      </w:r>
      <w:r w:rsidRPr="00EC79CF">
        <w:t>December</w:t>
      </w:r>
      <w:r w:rsidR="00E0466F">
        <w:t> </w:t>
      </w:r>
      <w:r w:rsidRPr="00EC79CF">
        <w:t xml:space="preserve">2014 requesting advice </w:t>
      </w:r>
      <w:r w:rsidR="005310C4">
        <w:t>on a possible approach that would mitigate the negative effects of</w:t>
      </w:r>
      <w:r w:rsidR="00EF0029">
        <w:t xml:space="preserve"> large and volatile </w:t>
      </w:r>
      <w:r w:rsidR="005310C4">
        <w:t>revenue</w:t>
      </w:r>
      <w:r w:rsidR="00EF0029">
        <w:t>s</w:t>
      </w:r>
      <w:r w:rsidR="005310C4">
        <w:t xml:space="preserve"> and ensure that States’ shares of GST in the year are appropriate for their fiscal circumstances in that year</w:t>
      </w:r>
      <w:r w:rsidRPr="00EC79CF">
        <w:t xml:space="preserve">. </w:t>
      </w:r>
      <w:r w:rsidR="00CC04D4" w:rsidRPr="00EC79CF">
        <w:t>Th</w:t>
      </w:r>
      <w:r w:rsidR="00CC04D4">
        <w:t>at</w:t>
      </w:r>
      <w:r w:rsidR="00CC04D4" w:rsidRPr="00EC79CF">
        <w:t xml:space="preserve"> </w:t>
      </w:r>
      <w:r w:rsidRPr="00EC79CF">
        <w:t>advice is provided separately from this report.</w:t>
      </w:r>
    </w:p>
    <w:p w:rsidR="00A004DA" w:rsidRPr="00C4696B" w:rsidRDefault="00C4696B" w:rsidP="00C4696B">
      <w:pPr>
        <w:pStyle w:val="Heading3"/>
      </w:pPr>
      <w:bookmarkStart w:id="333" w:name="_Toc410744200"/>
      <w:bookmarkStart w:id="334" w:name="_Toc411511189"/>
      <w:bookmarkStart w:id="335" w:name="_Toc411511642"/>
      <w:bookmarkStart w:id="336" w:name="_Toc411924582"/>
      <w:r w:rsidRPr="00C4696B">
        <w:lastRenderedPageBreak/>
        <w:t>Results</w:t>
      </w:r>
      <w:bookmarkEnd w:id="333"/>
      <w:bookmarkEnd w:id="334"/>
      <w:bookmarkEnd w:id="335"/>
      <w:bookmarkEnd w:id="336"/>
    </w:p>
    <w:p w:rsidR="00A004DA" w:rsidRPr="00EC79CF" w:rsidRDefault="00A004DA" w:rsidP="00C20E52">
      <w:pPr>
        <w:pStyle w:val="CGCNumberedPara"/>
        <w:numPr>
          <w:ilvl w:val="1"/>
          <w:numId w:val="2"/>
        </w:numPr>
      </w:pPr>
      <w:r w:rsidRPr="00EC79CF">
        <w:fldChar w:fldCharType="begin"/>
      </w:r>
      <w:r w:rsidRPr="00EC79CF">
        <w:instrText xml:space="preserve"> REF _Ref410743875 \h </w:instrText>
      </w:r>
      <w:r w:rsidR="00EC79CF">
        <w:instrText xml:space="preserve"> \* MERGEFORMAT </w:instrText>
      </w:r>
      <w:r w:rsidRPr="00EC79CF">
        <w:fldChar w:fldCharType="separate"/>
      </w:r>
      <w:r w:rsidR="003A5DEE" w:rsidRPr="00EC79CF">
        <w:t xml:space="preserve">Table </w:t>
      </w:r>
      <w:r w:rsidR="003A5DEE">
        <w:rPr>
          <w:noProof/>
        </w:rPr>
        <w:t>1</w:t>
      </w:r>
      <w:r w:rsidRPr="00EC79CF">
        <w:fldChar w:fldCharType="end"/>
      </w:r>
      <w:r w:rsidRPr="00EC79CF">
        <w:t xml:space="preserve"> shows the per capita relativities we recommend for use in distributing the GST revenue among the States in 2015-16. It also shows State shares of the GST revenue implied by our 2015-16 recommendations and an illustrative total GST revenue</w:t>
      </w:r>
      <w:r w:rsidR="00C4033D">
        <w:t xml:space="preserve"> distribution</w:t>
      </w:r>
      <w:r w:rsidRPr="00EC79CF">
        <w:t>. It compares these with the results for the 2014-15 year.</w:t>
      </w:r>
    </w:p>
    <w:p w:rsidR="00A004DA" w:rsidRPr="00EC79CF" w:rsidRDefault="00A004DA" w:rsidP="00C20E52">
      <w:pPr>
        <w:pStyle w:val="CGCNumberedPara"/>
        <w:numPr>
          <w:ilvl w:val="1"/>
          <w:numId w:val="2"/>
        </w:numPr>
      </w:pPr>
      <w:r w:rsidRPr="00EC79CF">
        <w:t xml:space="preserve">The methods we have used to derive these results for 2015-16 are set out in the rest of the report. Using our new methods and data for 2011-12, 2012-13 and 2013-14, we have measured how the economic and social conditions in the States affect the relative expenses States incur in providing services (including on infrastructure) and the relative capacity of States to raise their own revenue. The expense and revenue estimates are then combined with the other Commonwealth support States receive (payments for specific purposes) and State populations to calculate State shares of the GST. These shares aim to provide States in 2015-16 with the fiscal capacity to provide the average standard of services and associated infrastructure for their populations, if they make the average effort to raise revenue and operate at the average level of efficiency. </w:t>
      </w:r>
    </w:p>
    <w:p w:rsidR="00A004DA" w:rsidRPr="00EC79CF" w:rsidRDefault="00A004DA" w:rsidP="00C20E52">
      <w:pPr>
        <w:pStyle w:val="CGCNumberedPara"/>
        <w:numPr>
          <w:ilvl w:val="1"/>
          <w:numId w:val="2"/>
        </w:numPr>
      </w:pPr>
      <w:r w:rsidRPr="00EC79CF">
        <w:t>We recommend these methods be used in years following 2015-16 using updated data for three assessment years.</w:t>
      </w:r>
    </w:p>
    <w:p w:rsidR="00A004DA" w:rsidRDefault="00A004DA" w:rsidP="00A004DA">
      <w:pPr>
        <w:pStyle w:val="CGCTableHeading"/>
        <w:ind w:left="0" w:firstLine="0"/>
      </w:pPr>
      <w:bookmarkStart w:id="337" w:name="_Ref395856552"/>
      <w:bookmarkStart w:id="338" w:name="_Ref410743875"/>
      <w:bookmarkStart w:id="339" w:name="_Ref395856540"/>
      <w:r w:rsidRPr="00EC79CF">
        <w:t xml:space="preserve">Table </w:t>
      </w:r>
      <w:bookmarkEnd w:id="337"/>
      <w:r w:rsidRPr="00EC79CF">
        <w:fldChar w:fldCharType="begin"/>
      </w:r>
      <w:r w:rsidRPr="00EC79CF">
        <w:instrText xml:space="preserve"> SEQ Table \* ARABIC \r1 </w:instrText>
      </w:r>
      <w:r w:rsidRPr="00EC79CF">
        <w:fldChar w:fldCharType="separate"/>
      </w:r>
      <w:r w:rsidR="003A5DEE">
        <w:rPr>
          <w:noProof/>
        </w:rPr>
        <w:t>1</w:t>
      </w:r>
      <w:r w:rsidRPr="00EC79CF">
        <w:fldChar w:fldCharType="end"/>
      </w:r>
      <w:bookmarkEnd w:id="338"/>
      <w:r w:rsidRPr="00EC79CF">
        <w:tab/>
        <w:t>Results – relativities, shares and GST distribution 2014-15 and 2015-16</w:t>
      </w:r>
      <w:bookmarkEnd w:id="339"/>
    </w:p>
    <w:tbl>
      <w:tblPr>
        <w:tblW w:w="8940" w:type="dxa"/>
        <w:tblInd w:w="93" w:type="dxa"/>
        <w:tblLook w:val="04A0" w:firstRow="1" w:lastRow="0" w:firstColumn="1" w:lastColumn="0" w:noHBand="0" w:noVBand="1"/>
      </w:tblPr>
      <w:tblGrid>
        <w:gridCol w:w="2460"/>
        <w:gridCol w:w="1080"/>
        <w:gridCol w:w="1080"/>
        <w:gridCol w:w="1080"/>
        <w:gridCol w:w="1080"/>
        <w:gridCol w:w="1080"/>
        <w:gridCol w:w="1080"/>
      </w:tblGrid>
      <w:tr w:rsidR="00B95E12" w:rsidRPr="00B95E12" w:rsidTr="00B95E12">
        <w:trPr>
          <w:trHeight w:val="375"/>
        </w:trPr>
        <w:tc>
          <w:tcPr>
            <w:tcW w:w="2460" w:type="dxa"/>
            <w:tcBorders>
              <w:top w:val="single" w:sz="4" w:space="0" w:color="auto"/>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 </w:t>
            </w:r>
          </w:p>
        </w:tc>
        <w:tc>
          <w:tcPr>
            <w:tcW w:w="2160" w:type="dxa"/>
            <w:gridSpan w:val="2"/>
            <w:tcBorders>
              <w:top w:val="single" w:sz="4" w:space="0" w:color="auto"/>
              <w:left w:val="nil"/>
              <w:bottom w:val="single" w:sz="4" w:space="0" w:color="auto"/>
              <w:right w:val="nil"/>
            </w:tcBorders>
            <w:shd w:val="clear" w:color="auto" w:fill="auto"/>
            <w:noWrap/>
            <w:vAlign w:val="center"/>
            <w:hideMark/>
          </w:tcPr>
          <w:p w:rsidR="00B95E12" w:rsidRPr="00B95E12" w:rsidRDefault="00B95E12" w:rsidP="00B95E12">
            <w:pPr>
              <w:tabs>
                <w:tab w:val="clear" w:pos="567"/>
              </w:tabs>
              <w:spacing w:after="0" w:line="240" w:lineRule="auto"/>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 xml:space="preserve">                   Relativities</w:t>
            </w:r>
          </w:p>
        </w:tc>
        <w:tc>
          <w:tcPr>
            <w:tcW w:w="2160" w:type="dxa"/>
            <w:gridSpan w:val="2"/>
            <w:tcBorders>
              <w:top w:val="single" w:sz="4" w:space="0" w:color="auto"/>
              <w:left w:val="nil"/>
              <w:bottom w:val="single" w:sz="4" w:space="0" w:color="auto"/>
              <w:right w:val="nil"/>
            </w:tcBorders>
            <w:shd w:val="clear" w:color="auto" w:fill="auto"/>
            <w:noWrap/>
            <w:vAlign w:val="center"/>
            <w:hideMark/>
          </w:tcPr>
          <w:p w:rsidR="00B95E12" w:rsidRPr="00B95E12" w:rsidRDefault="00B95E12" w:rsidP="00B95E12">
            <w:pPr>
              <w:tabs>
                <w:tab w:val="clear" w:pos="567"/>
              </w:tabs>
              <w:spacing w:after="0" w:line="240" w:lineRule="auto"/>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 xml:space="preserve">                     Shares</w:t>
            </w:r>
          </w:p>
        </w:tc>
        <w:tc>
          <w:tcPr>
            <w:tcW w:w="2160" w:type="dxa"/>
            <w:gridSpan w:val="2"/>
            <w:tcBorders>
              <w:top w:val="single" w:sz="4" w:space="0" w:color="auto"/>
              <w:left w:val="nil"/>
              <w:bottom w:val="single" w:sz="4" w:space="0" w:color="auto"/>
              <w:right w:val="nil"/>
            </w:tcBorders>
            <w:shd w:val="clear" w:color="auto" w:fill="auto"/>
            <w:noWrap/>
            <w:vAlign w:val="center"/>
            <w:hideMark/>
          </w:tcPr>
          <w:p w:rsidR="00B95E12" w:rsidRPr="00B95E12" w:rsidRDefault="00B95E12" w:rsidP="00B95E12">
            <w:pPr>
              <w:tabs>
                <w:tab w:val="clear" w:pos="567"/>
              </w:tabs>
              <w:spacing w:after="0" w:line="240" w:lineRule="auto"/>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 xml:space="preserve">             GST distribution</w:t>
            </w:r>
          </w:p>
        </w:tc>
      </w:tr>
      <w:tr w:rsidR="00B95E12" w:rsidRPr="00B95E12" w:rsidTr="00B95E12">
        <w:trPr>
          <w:trHeight w:val="375"/>
        </w:trPr>
        <w:tc>
          <w:tcPr>
            <w:tcW w:w="2460" w:type="dxa"/>
            <w:tcBorders>
              <w:top w:val="nil"/>
              <w:left w:val="nil"/>
              <w:bottom w:val="single" w:sz="4" w:space="0" w:color="auto"/>
              <w:right w:val="nil"/>
            </w:tcBorders>
            <w:shd w:val="clear" w:color="auto" w:fill="auto"/>
            <w:noWrap/>
            <w:vAlign w:val="bottom"/>
            <w:hideMark/>
          </w:tcPr>
          <w:p w:rsidR="00B95E12" w:rsidRPr="00B95E12" w:rsidRDefault="00B95E12" w:rsidP="00B95E12">
            <w:pPr>
              <w:tabs>
                <w:tab w:val="clear" w:pos="567"/>
              </w:tabs>
              <w:spacing w:after="0" w:line="240" w:lineRule="auto"/>
              <w:rPr>
                <w:rFonts w:ascii="Calibri" w:eastAsia="Times New Roman" w:hAnsi="Calibri" w:cs="Times New Roman"/>
                <w:sz w:val="20"/>
                <w:szCs w:val="20"/>
                <w:lang w:eastAsia="en-AU"/>
              </w:rPr>
            </w:pPr>
            <w:bookmarkStart w:id="340" w:name="RANGE!A5:G15"/>
            <w:r w:rsidRPr="00B95E12">
              <w:rPr>
                <w:rFonts w:ascii="Calibri" w:eastAsia="Times New Roman" w:hAnsi="Calibri" w:cs="Times New Roman"/>
                <w:sz w:val="20"/>
                <w:szCs w:val="20"/>
                <w:lang w:eastAsia="en-AU"/>
              </w:rPr>
              <w:t> </w:t>
            </w:r>
            <w:bookmarkEnd w:id="340"/>
          </w:p>
        </w:tc>
        <w:tc>
          <w:tcPr>
            <w:tcW w:w="1080" w:type="dxa"/>
            <w:tcBorders>
              <w:top w:val="nil"/>
              <w:left w:val="nil"/>
              <w:bottom w:val="single" w:sz="4" w:space="0" w:color="auto"/>
              <w:right w:val="nil"/>
            </w:tcBorders>
            <w:shd w:val="clear" w:color="auto" w:fill="auto"/>
            <w:noWrap/>
            <w:vAlign w:val="center"/>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2014-15</w:t>
            </w:r>
          </w:p>
        </w:tc>
        <w:tc>
          <w:tcPr>
            <w:tcW w:w="1080" w:type="dxa"/>
            <w:tcBorders>
              <w:top w:val="nil"/>
              <w:left w:val="nil"/>
              <w:bottom w:val="single" w:sz="4" w:space="0" w:color="auto"/>
              <w:right w:val="nil"/>
            </w:tcBorders>
            <w:shd w:val="clear" w:color="auto" w:fill="auto"/>
            <w:noWrap/>
            <w:vAlign w:val="center"/>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2015-16</w:t>
            </w:r>
          </w:p>
        </w:tc>
        <w:tc>
          <w:tcPr>
            <w:tcW w:w="1080" w:type="dxa"/>
            <w:tcBorders>
              <w:top w:val="nil"/>
              <w:left w:val="nil"/>
              <w:bottom w:val="single" w:sz="4" w:space="0" w:color="auto"/>
              <w:right w:val="nil"/>
            </w:tcBorders>
            <w:shd w:val="clear" w:color="auto" w:fill="auto"/>
            <w:noWrap/>
            <w:vAlign w:val="center"/>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2014-15</w:t>
            </w:r>
          </w:p>
        </w:tc>
        <w:tc>
          <w:tcPr>
            <w:tcW w:w="1080" w:type="dxa"/>
            <w:tcBorders>
              <w:top w:val="nil"/>
              <w:left w:val="nil"/>
              <w:bottom w:val="single" w:sz="4" w:space="0" w:color="auto"/>
              <w:right w:val="nil"/>
            </w:tcBorders>
            <w:shd w:val="clear" w:color="auto" w:fill="auto"/>
            <w:noWrap/>
            <w:vAlign w:val="center"/>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2015-16</w:t>
            </w:r>
          </w:p>
        </w:tc>
        <w:tc>
          <w:tcPr>
            <w:tcW w:w="1080" w:type="dxa"/>
            <w:tcBorders>
              <w:top w:val="nil"/>
              <w:left w:val="nil"/>
              <w:bottom w:val="single" w:sz="4" w:space="0" w:color="auto"/>
              <w:right w:val="nil"/>
            </w:tcBorders>
            <w:shd w:val="clear" w:color="auto" w:fill="auto"/>
            <w:noWrap/>
            <w:vAlign w:val="center"/>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2014-15</w:t>
            </w:r>
          </w:p>
        </w:tc>
        <w:tc>
          <w:tcPr>
            <w:tcW w:w="1080" w:type="dxa"/>
            <w:tcBorders>
              <w:top w:val="nil"/>
              <w:left w:val="nil"/>
              <w:bottom w:val="single" w:sz="4" w:space="0" w:color="auto"/>
              <w:right w:val="nil"/>
            </w:tcBorders>
            <w:shd w:val="clear" w:color="auto" w:fill="auto"/>
            <w:noWrap/>
            <w:vAlign w:val="center"/>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2015-16</w:t>
            </w:r>
          </w:p>
        </w:tc>
      </w:tr>
      <w:tr w:rsidR="00B95E12" w:rsidRPr="00B95E12" w:rsidTr="00B95E12">
        <w:trPr>
          <w:trHeight w:val="259"/>
        </w:trPr>
        <w:tc>
          <w:tcPr>
            <w:tcW w:w="246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rPr>
                <w:rFonts w:ascii="Calibri" w:eastAsia="Times New Roman" w:hAnsi="Calibri" w:cs="Times New Roman"/>
                <w:sz w:val="20"/>
                <w:szCs w:val="20"/>
                <w:lang w:eastAsia="en-AU"/>
              </w:rPr>
            </w:pP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$m</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$m</w:t>
            </w:r>
          </w:p>
        </w:tc>
      </w:tr>
      <w:tr w:rsidR="00B95E12" w:rsidRPr="00B95E12" w:rsidTr="00B95E12">
        <w:trPr>
          <w:trHeight w:val="315"/>
        </w:trPr>
        <w:tc>
          <w:tcPr>
            <w:tcW w:w="246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New South Wales</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0.975</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0.947</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31.2</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30.3</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16 774</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17 311</w:t>
            </w:r>
          </w:p>
        </w:tc>
      </w:tr>
      <w:tr w:rsidR="00B95E12" w:rsidRPr="00B95E12" w:rsidTr="00B95E12">
        <w:trPr>
          <w:trHeight w:val="315"/>
        </w:trPr>
        <w:tc>
          <w:tcPr>
            <w:tcW w:w="246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Victoria</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0.883</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0.893</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22.0</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22.3</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11 828</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12 755</w:t>
            </w:r>
          </w:p>
        </w:tc>
      </w:tr>
      <w:tr w:rsidR="00B95E12" w:rsidRPr="00B95E12" w:rsidTr="00B95E12">
        <w:trPr>
          <w:trHeight w:val="315"/>
        </w:trPr>
        <w:tc>
          <w:tcPr>
            <w:tcW w:w="246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Queensland</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1.079</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1.128</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21.8</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22.8</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11 704</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13 046</w:t>
            </w:r>
          </w:p>
        </w:tc>
      </w:tr>
      <w:tr w:rsidR="00B95E12" w:rsidRPr="00B95E12" w:rsidTr="00B95E12">
        <w:trPr>
          <w:trHeight w:val="315"/>
        </w:trPr>
        <w:tc>
          <w:tcPr>
            <w:tcW w:w="246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Western Australia</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0.376</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0.300</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4.2</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3.4</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2 248</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1 935</w:t>
            </w:r>
          </w:p>
        </w:tc>
      </w:tr>
      <w:tr w:rsidR="00B95E12" w:rsidRPr="00B95E12" w:rsidTr="00B95E12">
        <w:trPr>
          <w:trHeight w:val="315"/>
        </w:trPr>
        <w:tc>
          <w:tcPr>
            <w:tcW w:w="246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South Australia</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1.288</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1.359</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9.2</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9.7</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4 955</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5 525</w:t>
            </w:r>
          </w:p>
        </w:tc>
      </w:tr>
      <w:tr w:rsidR="00B95E12" w:rsidRPr="00B95E12" w:rsidTr="00B95E12">
        <w:trPr>
          <w:trHeight w:val="315"/>
        </w:trPr>
        <w:tc>
          <w:tcPr>
            <w:tcW w:w="246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Tasmania</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1.635</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1.819</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3.6</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3.9</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1 914</w:t>
            </w:r>
          </w:p>
        </w:tc>
        <w:tc>
          <w:tcPr>
            <w:tcW w:w="1080" w:type="dxa"/>
            <w:tcBorders>
              <w:top w:val="nil"/>
              <w:left w:val="nil"/>
              <w:bottom w:val="nil"/>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2 236</w:t>
            </w:r>
          </w:p>
        </w:tc>
      </w:tr>
      <w:tr w:rsidR="00B95E12" w:rsidRPr="00B95E12" w:rsidTr="00B95E12">
        <w:trPr>
          <w:trHeight w:val="315"/>
        </w:trPr>
        <w:tc>
          <w:tcPr>
            <w:tcW w:w="246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Australian Capital Territory</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1.236</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1.100</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2.0</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1.8</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1 097</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1 040</w:t>
            </w:r>
          </w:p>
        </w:tc>
      </w:tr>
      <w:tr w:rsidR="00B95E12" w:rsidRPr="00B95E12" w:rsidTr="00B95E12">
        <w:trPr>
          <w:trHeight w:val="315"/>
        </w:trPr>
        <w:tc>
          <w:tcPr>
            <w:tcW w:w="246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Northern Territory</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5.661</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5.571</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5.9</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5.9</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3 189</w:t>
            </w:r>
          </w:p>
        </w:tc>
        <w:tc>
          <w:tcPr>
            <w:tcW w:w="1080" w:type="dxa"/>
            <w:tcBorders>
              <w:top w:val="nil"/>
              <w:left w:val="nil"/>
              <w:bottom w:val="nil"/>
              <w:right w:val="nil"/>
            </w:tcBorders>
            <w:shd w:val="clear" w:color="auto" w:fill="auto"/>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3 351</w:t>
            </w:r>
          </w:p>
        </w:tc>
      </w:tr>
      <w:tr w:rsidR="00B95E12" w:rsidRPr="00B95E12" w:rsidTr="00B95E12">
        <w:trPr>
          <w:trHeight w:val="315"/>
        </w:trPr>
        <w:tc>
          <w:tcPr>
            <w:tcW w:w="2460" w:type="dxa"/>
            <w:tcBorders>
              <w:top w:val="nil"/>
              <w:left w:val="nil"/>
              <w:bottom w:val="single" w:sz="4" w:space="0" w:color="auto"/>
              <w:right w:val="nil"/>
            </w:tcBorders>
            <w:shd w:val="clear" w:color="auto" w:fill="auto"/>
            <w:noWrap/>
            <w:vAlign w:val="bottom"/>
            <w:hideMark/>
          </w:tcPr>
          <w:p w:rsidR="00B95E12" w:rsidRPr="00B95E12" w:rsidRDefault="00B95E12" w:rsidP="00B95E12">
            <w:pPr>
              <w:tabs>
                <w:tab w:val="clear" w:pos="567"/>
              </w:tabs>
              <w:spacing w:after="0" w:line="240" w:lineRule="auto"/>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Total</w:t>
            </w:r>
          </w:p>
        </w:tc>
        <w:tc>
          <w:tcPr>
            <w:tcW w:w="1080" w:type="dxa"/>
            <w:tcBorders>
              <w:top w:val="single" w:sz="4" w:space="0" w:color="auto"/>
              <w:left w:val="nil"/>
              <w:bottom w:val="single" w:sz="4" w:space="0" w:color="auto"/>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1.000</w:t>
            </w:r>
          </w:p>
        </w:tc>
        <w:tc>
          <w:tcPr>
            <w:tcW w:w="1080" w:type="dxa"/>
            <w:tcBorders>
              <w:top w:val="single" w:sz="4" w:space="0" w:color="auto"/>
              <w:left w:val="nil"/>
              <w:bottom w:val="single" w:sz="4" w:space="0" w:color="auto"/>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1.000</w:t>
            </w:r>
          </w:p>
        </w:tc>
        <w:tc>
          <w:tcPr>
            <w:tcW w:w="1080" w:type="dxa"/>
            <w:tcBorders>
              <w:top w:val="single" w:sz="4" w:space="0" w:color="auto"/>
              <w:left w:val="nil"/>
              <w:bottom w:val="single" w:sz="4" w:space="0" w:color="auto"/>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100.0</w:t>
            </w:r>
          </w:p>
        </w:tc>
        <w:tc>
          <w:tcPr>
            <w:tcW w:w="1080" w:type="dxa"/>
            <w:tcBorders>
              <w:top w:val="single" w:sz="4" w:space="0" w:color="auto"/>
              <w:left w:val="nil"/>
              <w:bottom w:val="single" w:sz="4" w:space="0" w:color="auto"/>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100.0</w:t>
            </w:r>
          </w:p>
        </w:tc>
        <w:tc>
          <w:tcPr>
            <w:tcW w:w="1080" w:type="dxa"/>
            <w:tcBorders>
              <w:top w:val="single" w:sz="4" w:space="0" w:color="auto"/>
              <w:left w:val="nil"/>
              <w:bottom w:val="single" w:sz="4" w:space="0" w:color="auto"/>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53 710</w:t>
            </w:r>
          </w:p>
        </w:tc>
        <w:tc>
          <w:tcPr>
            <w:tcW w:w="1080" w:type="dxa"/>
            <w:tcBorders>
              <w:top w:val="single" w:sz="4" w:space="0" w:color="auto"/>
              <w:left w:val="nil"/>
              <w:bottom w:val="single" w:sz="4" w:space="0" w:color="auto"/>
              <w:right w:val="nil"/>
            </w:tcBorders>
            <w:shd w:val="clear" w:color="auto" w:fill="auto"/>
            <w:noWrap/>
            <w:vAlign w:val="bottom"/>
            <w:hideMark/>
          </w:tcPr>
          <w:p w:rsidR="00B95E12" w:rsidRPr="00B95E12" w:rsidRDefault="00B95E12" w:rsidP="00B95E12">
            <w:pPr>
              <w:tabs>
                <w:tab w:val="clear" w:pos="567"/>
              </w:tabs>
              <w:spacing w:after="0" w:line="240" w:lineRule="auto"/>
              <w:jc w:val="right"/>
              <w:rPr>
                <w:rFonts w:ascii="Calibri" w:eastAsia="Times New Roman" w:hAnsi="Calibri" w:cs="Times New Roman"/>
                <w:sz w:val="20"/>
                <w:szCs w:val="20"/>
                <w:lang w:eastAsia="en-AU"/>
              </w:rPr>
            </w:pPr>
            <w:r w:rsidRPr="00B95E12">
              <w:rPr>
                <w:rFonts w:ascii="Calibri" w:eastAsia="Times New Roman" w:hAnsi="Calibri" w:cs="Times New Roman"/>
                <w:sz w:val="20"/>
                <w:szCs w:val="20"/>
                <w:lang w:eastAsia="en-AU"/>
              </w:rPr>
              <w:t>57 200</w:t>
            </w:r>
          </w:p>
        </w:tc>
      </w:tr>
    </w:tbl>
    <w:p w:rsidR="00EF0029" w:rsidRDefault="00376F63" w:rsidP="00376F63">
      <w:pPr>
        <w:pStyle w:val="CGCTableFootnote"/>
      </w:pPr>
      <w:bookmarkStart w:id="341" w:name="_Toc410744201"/>
      <w:r>
        <w:t>Note:</w:t>
      </w:r>
      <w:r>
        <w:tab/>
        <w:t>For further information see Chapter 3.</w:t>
      </w:r>
    </w:p>
    <w:p w:rsidR="005558EE" w:rsidRPr="00EC79CF" w:rsidRDefault="005558EE" w:rsidP="005558EE">
      <w:pPr>
        <w:tabs>
          <w:tab w:val="clear" w:pos="567"/>
          <w:tab w:val="left" w:pos="851"/>
        </w:tabs>
        <w:spacing w:after="0" w:line="240" w:lineRule="auto"/>
        <w:ind w:left="851" w:hanging="851"/>
        <w:rPr>
          <w:sz w:val="20"/>
        </w:rPr>
      </w:pPr>
      <w:r w:rsidRPr="00EC79CF">
        <w:rPr>
          <w:sz w:val="20"/>
        </w:rPr>
        <w:t>Source:</w:t>
      </w:r>
      <w:r w:rsidRPr="00EC79CF">
        <w:rPr>
          <w:sz w:val="20"/>
        </w:rPr>
        <w:tab/>
        <w:t>Commission calculation.</w:t>
      </w:r>
    </w:p>
    <w:p w:rsidR="00EF0029" w:rsidRDefault="00EF0029">
      <w:pPr>
        <w:tabs>
          <w:tab w:val="clear" w:pos="567"/>
        </w:tabs>
        <w:rPr>
          <w:sz w:val="20"/>
          <w:szCs w:val="24"/>
        </w:rPr>
      </w:pPr>
      <w:r>
        <w:br w:type="page"/>
      </w:r>
    </w:p>
    <w:p w:rsidR="00A004DA" w:rsidRPr="00C4696B" w:rsidRDefault="00C4696B" w:rsidP="00C4696B">
      <w:pPr>
        <w:pStyle w:val="Heading3"/>
      </w:pPr>
      <w:bookmarkStart w:id="342" w:name="_Toc411511190"/>
      <w:bookmarkStart w:id="343" w:name="_Toc411511643"/>
      <w:bookmarkStart w:id="344" w:name="_Toc411924583"/>
      <w:r w:rsidRPr="00C4696B">
        <w:lastRenderedPageBreak/>
        <w:t>Equalisation environment</w:t>
      </w:r>
      <w:bookmarkEnd w:id="341"/>
      <w:bookmarkEnd w:id="342"/>
      <w:bookmarkEnd w:id="343"/>
      <w:bookmarkEnd w:id="344"/>
    </w:p>
    <w:p w:rsidR="00A004DA" w:rsidRPr="00EC79CF" w:rsidRDefault="00A004DA" w:rsidP="00C20E52">
      <w:pPr>
        <w:pStyle w:val="CGCNumberedPara"/>
        <w:numPr>
          <w:ilvl w:val="1"/>
          <w:numId w:val="2"/>
        </w:numPr>
      </w:pPr>
      <w:r w:rsidRPr="00EC79CF">
        <w:t xml:space="preserve">Although States can access similar revenue bases and have similar responsibilities in service provision, their innate capacities to raise revenue and cost of providing an average level of services differ because of differences in their economic, social and demographic characteristics. </w:t>
      </w:r>
    </w:p>
    <w:p w:rsidR="00A004DA" w:rsidRPr="00EC79CF" w:rsidRDefault="00A004DA" w:rsidP="00C20E52">
      <w:pPr>
        <w:pStyle w:val="CGCNumberedPara"/>
        <w:numPr>
          <w:ilvl w:val="1"/>
          <w:numId w:val="2"/>
        </w:numPr>
      </w:pPr>
      <w:r w:rsidRPr="00EC79CF">
        <w:t>Table 2 shows the major causes of differences in innate State fiscal capacities. It illustrates the extent to which each drives differences from a</w:t>
      </w:r>
      <w:r w:rsidR="00A730F0">
        <w:t>n equal per capita GST </w:t>
      </w:r>
      <w:r w:rsidRPr="00EC79CF">
        <w:t>distribution. For example</w:t>
      </w:r>
      <w:r w:rsidR="00E71D62">
        <w:t>, because</w:t>
      </w:r>
      <w:r w:rsidRPr="00EC79CF">
        <w:t>:</w:t>
      </w:r>
    </w:p>
    <w:p w:rsidR="00A004DA" w:rsidRPr="00EC79CF" w:rsidRDefault="00A004DA" w:rsidP="00C20E52">
      <w:pPr>
        <w:pStyle w:val="CGCBulletlist"/>
        <w:numPr>
          <w:ilvl w:val="0"/>
          <w:numId w:val="1"/>
        </w:numPr>
        <w:tabs>
          <w:tab w:val="clear" w:pos="927"/>
          <w:tab w:val="left" w:pos="1134"/>
        </w:tabs>
        <w:ind w:left="1134" w:hanging="567"/>
      </w:pPr>
      <w:r w:rsidRPr="00EC79CF">
        <w:t>Western Australia can raise so much more per capita in mining royalties at average rates, other things being equal, it warrants $2 1</w:t>
      </w:r>
      <w:r w:rsidR="007816B6">
        <w:t>80</w:t>
      </w:r>
      <w:r w:rsidRPr="00EC79CF">
        <w:t xml:space="preserve"> less per capita in GST; its capacity to raise revenue from most other tax bases is also above average, </w:t>
      </w:r>
      <w:r w:rsidR="00E71D62">
        <w:t>implying it requires</w:t>
      </w:r>
      <w:r w:rsidR="00E71D62" w:rsidRPr="00EC79CF">
        <w:t xml:space="preserve"> </w:t>
      </w:r>
      <w:r w:rsidRPr="00EC79CF">
        <w:t>less GST</w:t>
      </w:r>
    </w:p>
    <w:p w:rsidR="00A004DA" w:rsidRPr="00EC79CF" w:rsidRDefault="00A004DA" w:rsidP="00C20E52">
      <w:pPr>
        <w:pStyle w:val="CGCBulletlist"/>
        <w:numPr>
          <w:ilvl w:val="0"/>
          <w:numId w:val="1"/>
        </w:numPr>
        <w:tabs>
          <w:tab w:val="clear" w:pos="927"/>
          <w:tab w:val="left" w:pos="1134"/>
        </w:tabs>
        <w:ind w:left="1134" w:hanging="567"/>
      </w:pPr>
      <w:r w:rsidRPr="00EC79CF">
        <w:t xml:space="preserve">Western Australia needs to spend so much more per capita on delivering the average level of services, other things being equal, it </w:t>
      </w:r>
      <w:r w:rsidR="00E71D62">
        <w:t xml:space="preserve">requires </w:t>
      </w:r>
      <w:r w:rsidRPr="00EC79CF">
        <w:t>$</w:t>
      </w:r>
      <w:r w:rsidR="008329D8" w:rsidRPr="00EC79CF">
        <w:t>1 1</w:t>
      </w:r>
      <w:r w:rsidR="007816B6">
        <w:t>97</w:t>
      </w:r>
      <w:r w:rsidRPr="00EC79CF">
        <w:t xml:space="preserve"> more per capita in GST</w:t>
      </w:r>
    </w:p>
    <w:p w:rsidR="00A004DA" w:rsidRPr="00EC79CF" w:rsidRDefault="00A004DA" w:rsidP="00C20E52">
      <w:pPr>
        <w:pStyle w:val="CGCBulletlist"/>
        <w:numPr>
          <w:ilvl w:val="0"/>
          <w:numId w:val="1"/>
        </w:numPr>
        <w:tabs>
          <w:tab w:val="clear" w:pos="927"/>
          <w:tab w:val="left" w:pos="1134"/>
        </w:tabs>
        <w:ind w:left="1134" w:hanging="567"/>
      </w:pPr>
      <w:r w:rsidRPr="00EC79CF">
        <w:t>the Northern Territory has very high costs of ser</w:t>
      </w:r>
      <w:r w:rsidR="008329D8" w:rsidRPr="00EC79CF">
        <w:t xml:space="preserve">vice provision, it needs $11 </w:t>
      </w:r>
      <w:r w:rsidR="007816B6">
        <w:t>661</w:t>
      </w:r>
      <w:r w:rsidRPr="00EC79CF">
        <w:t xml:space="preserve"> more per capita in GST to provide the average level of services; it also needs more GST ($3</w:t>
      </w:r>
      <w:r w:rsidR="008329D8" w:rsidRPr="00EC79CF">
        <w:t>3</w:t>
      </w:r>
      <w:r w:rsidR="007816B6">
        <w:t>7</w:t>
      </w:r>
      <w:r w:rsidRPr="00EC79CF">
        <w:t xml:space="preserve"> per capita) because of its below average revenue raising capacity.</w:t>
      </w:r>
    </w:p>
    <w:p w:rsidR="00A004DA" w:rsidRPr="00EC79CF" w:rsidRDefault="00A004DA" w:rsidP="00C20E52">
      <w:pPr>
        <w:pStyle w:val="CGCNumberedPara"/>
        <w:numPr>
          <w:ilvl w:val="1"/>
          <w:numId w:val="2"/>
        </w:numPr>
      </w:pPr>
      <w:bookmarkStart w:id="345" w:name="_Ref395865875"/>
      <w:r w:rsidRPr="00EC79CF">
        <w:t xml:space="preserve">It is the net impact of all these pluses and minuses which </w:t>
      </w:r>
      <w:r w:rsidR="00E71D62">
        <w:t>determine</w:t>
      </w:r>
      <w:r w:rsidR="00E71D62" w:rsidRPr="00EC79CF">
        <w:t xml:space="preserve"> </w:t>
      </w:r>
      <w:r w:rsidRPr="00EC79CF">
        <w:t>a differential GST distribution.</w:t>
      </w:r>
    </w:p>
    <w:p w:rsidR="00A004DA" w:rsidRPr="00EC79CF" w:rsidRDefault="00A004DA" w:rsidP="00C20E52">
      <w:pPr>
        <w:pStyle w:val="CGCNumberedPara"/>
        <w:numPr>
          <w:ilvl w:val="1"/>
          <w:numId w:val="2"/>
        </w:numPr>
      </w:pPr>
      <w:r w:rsidRPr="00EC79CF">
        <w:t>In this review, data and evidence provided to us have established that there are significant differences in the innate fiscal capacities of States which, for equalisation to be achieved, warrant a distribution of GST revenue which also differs significantly from one based on State population shares.</w:t>
      </w:r>
    </w:p>
    <w:p w:rsidR="00A004DA" w:rsidRPr="00EC79CF" w:rsidRDefault="00A004DA" w:rsidP="00C20E52">
      <w:pPr>
        <w:pStyle w:val="CGCNumberedPara"/>
        <w:numPr>
          <w:ilvl w:val="1"/>
          <w:numId w:val="2"/>
        </w:numPr>
      </w:pPr>
      <w:r w:rsidRPr="00EC79CF">
        <w:t>We have also observed that, over the assessment years, innate State fiscal capacities continued to diverge and th</w:t>
      </w:r>
      <w:r w:rsidR="007D5DA3">
        <w:t>is</w:t>
      </w:r>
      <w:r w:rsidRPr="00EC79CF">
        <w:t xml:space="preserve"> requires, for equalisation, that the GST distribution also continues to diverge from one based on population shares.</w:t>
      </w:r>
      <w:r w:rsidR="00D505F9">
        <w:t xml:space="preserve"> Further information is provided in Chapter</w:t>
      </w:r>
      <w:r w:rsidR="00376F63">
        <w:t xml:space="preserve">s 3 and </w:t>
      </w:r>
      <w:r w:rsidR="00D505F9">
        <w:t>4.</w:t>
      </w:r>
    </w:p>
    <w:p w:rsidR="00A004DA" w:rsidRDefault="00A004DA" w:rsidP="00A004DA">
      <w:pPr>
        <w:pStyle w:val="CGCTableHeading"/>
        <w:ind w:left="0" w:firstLine="0"/>
      </w:pPr>
      <w:r w:rsidRPr="00EC79CF">
        <w:lastRenderedPageBreak/>
        <w:t xml:space="preserve">Table </w:t>
      </w:r>
      <w:fldSimple w:instr=" SEQ Table \* ARABIC ">
        <w:r w:rsidR="003A5DEE">
          <w:rPr>
            <w:noProof/>
          </w:rPr>
          <w:t>2</w:t>
        </w:r>
      </w:fldSimple>
      <w:bookmarkEnd w:id="345"/>
      <w:r w:rsidRPr="00EC79CF">
        <w:tab/>
      </w:r>
      <w:r w:rsidR="00A730F0">
        <w:t>GST effects of</w:t>
      </w:r>
      <w:r w:rsidRPr="00EC79CF">
        <w:t xml:space="preserve"> difference</w:t>
      </w:r>
      <w:r w:rsidR="00A730F0">
        <w:t>s</w:t>
      </w:r>
      <w:r w:rsidRPr="00EC79CF">
        <w:t xml:space="preserve"> in innate fiscal capacities, 2015-16</w:t>
      </w:r>
    </w:p>
    <w:tbl>
      <w:tblPr>
        <w:tblW w:w="9040" w:type="dxa"/>
        <w:tblLayout w:type="fixed"/>
        <w:tblCellMar>
          <w:left w:w="0" w:type="dxa"/>
          <w:right w:w="0" w:type="dxa"/>
        </w:tblCellMar>
        <w:tblLook w:val="04A0" w:firstRow="1" w:lastRow="0" w:firstColumn="1" w:lastColumn="0" w:noHBand="0" w:noVBand="1"/>
      </w:tblPr>
      <w:tblGrid>
        <w:gridCol w:w="3340"/>
        <w:gridCol w:w="600"/>
        <w:gridCol w:w="600"/>
        <w:gridCol w:w="540"/>
        <w:gridCol w:w="700"/>
        <w:gridCol w:w="600"/>
        <w:gridCol w:w="640"/>
        <w:gridCol w:w="600"/>
        <w:gridCol w:w="720"/>
        <w:gridCol w:w="700"/>
      </w:tblGrid>
      <w:tr w:rsidR="00123D07" w:rsidRPr="00123D07" w:rsidTr="006E155D">
        <w:trPr>
          <w:trHeight w:val="379"/>
        </w:trPr>
        <w:tc>
          <w:tcPr>
            <w:tcW w:w="3340" w:type="dxa"/>
            <w:tcBorders>
              <w:top w:val="single" w:sz="4" w:space="0" w:color="auto"/>
              <w:left w:val="nil"/>
              <w:bottom w:val="nil"/>
              <w:right w:val="nil"/>
            </w:tcBorders>
            <w:shd w:val="clear" w:color="auto" w:fill="auto"/>
            <w:noWrap/>
            <w:vAlign w:val="center"/>
            <w:hideMark/>
          </w:tcPr>
          <w:p w:rsidR="00123D07" w:rsidRPr="00123D07" w:rsidRDefault="00123D07" w:rsidP="006E155D">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 </w:t>
            </w:r>
          </w:p>
        </w:tc>
        <w:tc>
          <w:tcPr>
            <w:tcW w:w="600" w:type="dxa"/>
            <w:tcBorders>
              <w:top w:val="single" w:sz="4" w:space="0" w:color="auto"/>
              <w:left w:val="nil"/>
              <w:bottom w:val="nil"/>
              <w:right w:val="nil"/>
            </w:tcBorders>
            <w:shd w:val="clear" w:color="auto" w:fill="auto"/>
            <w:noWrap/>
            <w:vAlign w:val="center"/>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NSW</w:t>
            </w:r>
          </w:p>
        </w:tc>
        <w:tc>
          <w:tcPr>
            <w:tcW w:w="600" w:type="dxa"/>
            <w:tcBorders>
              <w:top w:val="single" w:sz="4" w:space="0" w:color="auto"/>
              <w:left w:val="nil"/>
              <w:bottom w:val="nil"/>
              <w:right w:val="nil"/>
            </w:tcBorders>
            <w:shd w:val="clear" w:color="auto" w:fill="auto"/>
            <w:noWrap/>
            <w:vAlign w:val="center"/>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Vic</w:t>
            </w:r>
          </w:p>
        </w:tc>
        <w:tc>
          <w:tcPr>
            <w:tcW w:w="540" w:type="dxa"/>
            <w:tcBorders>
              <w:top w:val="single" w:sz="4" w:space="0" w:color="auto"/>
              <w:left w:val="nil"/>
              <w:bottom w:val="nil"/>
              <w:right w:val="nil"/>
            </w:tcBorders>
            <w:shd w:val="clear" w:color="auto" w:fill="auto"/>
            <w:noWrap/>
            <w:vAlign w:val="center"/>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Qld</w:t>
            </w:r>
          </w:p>
        </w:tc>
        <w:tc>
          <w:tcPr>
            <w:tcW w:w="700" w:type="dxa"/>
            <w:tcBorders>
              <w:top w:val="single" w:sz="4" w:space="0" w:color="auto"/>
              <w:left w:val="nil"/>
              <w:bottom w:val="nil"/>
              <w:right w:val="nil"/>
            </w:tcBorders>
            <w:shd w:val="clear" w:color="auto" w:fill="auto"/>
            <w:noWrap/>
            <w:vAlign w:val="center"/>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WA</w:t>
            </w:r>
          </w:p>
        </w:tc>
        <w:tc>
          <w:tcPr>
            <w:tcW w:w="600" w:type="dxa"/>
            <w:tcBorders>
              <w:top w:val="single" w:sz="4" w:space="0" w:color="auto"/>
              <w:left w:val="nil"/>
              <w:bottom w:val="nil"/>
              <w:right w:val="nil"/>
            </w:tcBorders>
            <w:shd w:val="clear" w:color="auto" w:fill="auto"/>
            <w:noWrap/>
            <w:vAlign w:val="center"/>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SA</w:t>
            </w:r>
          </w:p>
        </w:tc>
        <w:tc>
          <w:tcPr>
            <w:tcW w:w="640" w:type="dxa"/>
            <w:tcBorders>
              <w:top w:val="single" w:sz="4" w:space="0" w:color="auto"/>
              <w:left w:val="nil"/>
              <w:bottom w:val="nil"/>
              <w:right w:val="nil"/>
            </w:tcBorders>
            <w:shd w:val="clear" w:color="auto" w:fill="auto"/>
            <w:noWrap/>
            <w:vAlign w:val="center"/>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123D07">
              <w:rPr>
                <w:rFonts w:ascii="Calibri" w:eastAsia="Times New Roman" w:hAnsi="Calibri" w:cs="Times New Roman"/>
                <w:sz w:val="20"/>
                <w:szCs w:val="20"/>
                <w:lang w:eastAsia="en-AU"/>
              </w:rPr>
              <w:t>Tas</w:t>
            </w:r>
            <w:proofErr w:type="spellEnd"/>
          </w:p>
        </w:tc>
        <w:tc>
          <w:tcPr>
            <w:tcW w:w="600" w:type="dxa"/>
            <w:tcBorders>
              <w:top w:val="single" w:sz="4" w:space="0" w:color="auto"/>
              <w:left w:val="nil"/>
              <w:bottom w:val="nil"/>
              <w:right w:val="nil"/>
            </w:tcBorders>
            <w:shd w:val="clear" w:color="auto" w:fill="auto"/>
            <w:noWrap/>
            <w:vAlign w:val="center"/>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ACT</w:t>
            </w:r>
          </w:p>
        </w:tc>
        <w:tc>
          <w:tcPr>
            <w:tcW w:w="720" w:type="dxa"/>
            <w:tcBorders>
              <w:top w:val="single" w:sz="4" w:space="0" w:color="auto"/>
              <w:left w:val="nil"/>
              <w:bottom w:val="nil"/>
              <w:right w:val="nil"/>
            </w:tcBorders>
            <w:shd w:val="clear" w:color="auto" w:fill="auto"/>
            <w:noWrap/>
            <w:vAlign w:val="center"/>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NT</w:t>
            </w:r>
          </w:p>
        </w:tc>
        <w:tc>
          <w:tcPr>
            <w:tcW w:w="700" w:type="dxa"/>
            <w:tcBorders>
              <w:top w:val="single" w:sz="4" w:space="0" w:color="auto"/>
              <w:left w:val="nil"/>
              <w:bottom w:val="nil"/>
              <w:right w:val="nil"/>
            </w:tcBorders>
            <w:shd w:val="clear" w:color="auto" w:fill="auto"/>
            <w:noWrap/>
            <w:vAlign w:val="center"/>
            <w:hideMark/>
          </w:tcPr>
          <w:p w:rsidR="00123D07" w:rsidRPr="00123D07" w:rsidRDefault="00A730F0" w:rsidP="006E155D">
            <w:pPr>
              <w:keepNext/>
              <w:keepLines/>
              <w:tabs>
                <w:tab w:val="clear" w:pos="567"/>
              </w:tabs>
              <w:spacing w:after="0" w:line="240" w:lineRule="auto"/>
              <w:jc w:val="right"/>
              <w:rPr>
                <w:rFonts w:ascii="Calibri" w:eastAsia="Times New Roman" w:hAnsi="Calibri" w:cs="Times New Roman"/>
                <w:sz w:val="20"/>
                <w:szCs w:val="20"/>
                <w:lang w:eastAsia="en-AU"/>
              </w:rPr>
            </w:pPr>
            <w:r>
              <w:rPr>
                <w:rFonts w:ascii="Calibri" w:eastAsia="Times New Roman" w:hAnsi="Calibri" w:cs="Times New Roman"/>
                <w:sz w:val="20"/>
                <w:szCs w:val="20"/>
                <w:lang w:eastAsia="en-AU"/>
              </w:rPr>
              <w:t>Ave</w:t>
            </w:r>
          </w:p>
        </w:tc>
      </w:tr>
      <w:tr w:rsidR="00123D07" w:rsidRPr="00123D07" w:rsidTr="006E155D">
        <w:trPr>
          <w:trHeight w:val="259"/>
        </w:trPr>
        <w:tc>
          <w:tcPr>
            <w:tcW w:w="3340" w:type="dxa"/>
            <w:tcBorders>
              <w:top w:val="single" w:sz="4" w:space="0" w:color="auto"/>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 </w:t>
            </w:r>
          </w:p>
        </w:tc>
        <w:tc>
          <w:tcPr>
            <w:tcW w:w="600" w:type="dxa"/>
            <w:tcBorders>
              <w:top w:val="single" w:sz="4" w:space="0" w:color="auto"/>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$pc</w:t>
            </w:r>
          </w:p>
        </w:tc>
        <w:tc>
          <w:tcPr>
            <w:tcW w:w="600" w:type="dxa"/>
            <w:tcBorders>
              <w:top w:val="single" w:sz="4" w:space="0" w:color="auto"/>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$pc</w:t>
            </w:r>
          </w:p>
        </w:tc>
        <w:tc>
          <w:tcPr>
            <w:tcW w:w="540" w:type="dxa"/>
            <w:tcBorders>
              <w:top w:val="single" w:sz="4" w:space="0" w:color="auto"/>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$pc</w:t>
            </w:r>
          </w:p>
        </w:tc>
        <w:tc>
          <w:tcPr>
            <w:tcW w:w="700" w:type="dxa"/>
            <w:tcBorders>
              <w:top w:val="single" w:sz="4" w:space="0" w:color="auto"/>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$pc</w:t>
            </w:r>
          </w:p>
        </w:tc>
        <w:tc>
          <w:tcPr>
            <w:tcW w:w="600" w:type="dxa"/>
            <w:tcBorders>
              <w:top w:val="single" w:sz="4" w:space="0" w:color="auto"/>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$pc</w:t>
            </w:r>
          </w:p>
        </w:tc>
        <w:tc>
          <w:tcPr>
            <w:tcW w:w="640" w:type="dxa"/>
            <w:tcBorders>
              <w:top w:val="single" w:sz="4" w:space="0" w:color="auto"/>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$pc</w:t>
            </w:r>
          </w:p>
        </w:tc>
        <w:tc>
          <w:tcPr>
            <w:tcW w:w="600" w:type="dxa"/>
            <w:tcBorders>
              <w:top w:val="single" w:sz="4" w:space="0" w:color="auto"/>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$pc</w:t>
            </w:r>
          </w:p>
        </w:tc>
        <w:tc>
          <w:tcPr>
            <w:tcW w:w="720" w:type="dxa"/>
            <w:tcBorders>
              <w:top w:val="single" w:sz="4" w:space="0" w:color="auto"/>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$pc</w:t>
            </w:r>
          </w:p>
        </w:tc>
        <w:tc>
          <w:tcPr>
            <w:tcW w:w="700" w:type="dxa"/>
            <w:tcBorders>
              <w:top w:val="single" w:sz="4" w:space="0" w:color="auto"/>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$pc</w:t>
            </w:r>
          </w:p>
        </w:tc>
      </w:tr>
      <w:tr w:rsidR="00123D07" w:rsidRPr="00123D07" w:rsidTr="006E155D">
        <w:trPr>
          <w:trHeight w:val="315"/>
        </w:trPr>
        <w:tc>
          <w:tcPr>
            <w:tcW w:w="334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ind w:left="193" w:hanging="142"/>
              <w:rPr>
                <w:rFonts w:ascii="Calibri" w:eastAsia="Times New Roman" w:hAnsi="Calibri" w:cs="Times New Roman"/>
                <w:b/>
                <w:bCs/>
                <w:sz w:val="20"/>
                <w:szCs w:val="20"/>
                <w:lang w:eastAsia="en-AU"/>
              </w:rPr>
            </w:pPr>
            <w:r w:rsidRPr="00123D07">
              <w:rPr>
                <w:rFonts w:ascii="Calibri" w:eastAsia="Times New Roman" w:hAnsi="Calibri" w:cs="Times New Roman"/>
                <w:b/>
                <w:bCs/>
                <w:sz w:val="20"/>
                <w:szCs w:val="20"/>
                <w:lang w:eastAsia="en-AU"/>
              </w:rPr>
              <w:t>Effects of revenue raising capacity</w:t>
            </w:r>
          </w:p>
        </w:tc>
        <w:tc>
          <w:tcPr>
            <w:tcW w:w="6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54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r>
      <w:tr w:rsidR="00123D07" w:rsidRPr="00123D07" w:rsidTr="006E155D">
        <w:trPr>
          <w:trHeight w:val="315"/>
        </w:trPr>
        <w:tc>
          <w:tcPr>
            <w:tcW w:w="33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Mining production</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294</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498</w:t>
            </w:r>
          </w:p>
        </w:tc>
        <w:tc>
          <w:tcPr>
            <w:tcW w:w="5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-56</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-2 180</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310</w:t>
            </w:r>
          </w:p>
        </w:tc>
        <w:tc>
          <w:tcPr>
            <w:tcW w:w="6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404</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516</w:t>
            </w:r>
          </w:p>
        </w:tc>
        <w:tc>
          <w:tcPr>
            <w:tcW w:w="72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-49</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257</w:t>
            </w:r>
          </w:p>
        </w:tc>
      </w:tr>
      <w:tr w:rsidR="00123D07" w:rsidRPr="00123D07" w:rsidTr="006E155D">
        <w:trPr>
          <w:trHeight w:val="315"/>
        </w:trPr>
        <w:tc>
          <w:tcPr>
            <w:tcW w:w="33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Payrolls paid</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-19</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77</w:t>
            </w:r>
          </w:p>
        </w:tc>
        <w:tc>
          <w:tcPr>
            <w:tcW w:w="5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42</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-411</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227</w:t>
            </w:r>
          </w:p>
        </w:tc>
        <w:tc>
          <w:tcPr>
            <w:tcW w:w="6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403</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-44</w:t>
            </w:r>
          </w:p>
        </w:tc>
        <w:tc>
          <w:tcPr>
            <w:tcW w:w="72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63</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53</w:t>
            </w:r>
          </w:p>
        </w:tc>
      </w:tr>
      <w:tr w:rsidR="00123D07" w:rsidRPr="00123D07" w:rsidTr="006E155D">
        <w:trPr>
          <w:trHeight w:val="315"/>
        </w:trPr>
        <w:tc>
          <w:tcPr>
            <w:tcW w:w="33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Property sales</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-99</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w:t>
            </w:r>
          </w:p>
        </w:tc>
        <w:tc>
          <w:tcPr>
            <w:tcW w:w="5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51</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-64</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283</w:t>
            </w:r>
          </w:p>
        </w:tc>
        <w:tc>
          <w:tcPr>
            <w:tcW w:w="6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342</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25</w:t>
            </w:r>
          </w:p>
        </w:tc>
        <w:tc>
          <w:tcPr>
            <w:tcW w:w="72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173</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40</w:t>
            </w:r>
          </w:p>
        </w:tc>
      </w:tr>
      <w:tr w:rsidR="00123D07" w:rsidRPr="00123D07" w:rsidTr="00123D07">
        <w:trPr>
          <w:trHeight w:val="315"/>
        </w:trPr>
        <w:tc>
          <w:tcPr>
            <w:tcW w:w="33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Land values</w:t>
            </w:r>
          </w:p>
        </w:tc>
        <w:tc>
          <w:tcPr>
            <w:tcW w:w="600" w:type="dxa"/>
            <w:tcBorders>
              <w:top w:val="nil"/>
              <w:left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5</w:t>
            </w:r>
          </w:p>
        </w:tc>
        <w:tc>
          <w:tcPr>
            <w:tcW w:w="600" w:type="dxa"/>
            <w:tcBorders>
              <w:top w:val="nil"/>
              <w:left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-20</w:t>
            </w:r>
          </w:p>
        </w:tc>
        <w:tc>
          <w:tcPr>
            <w:tcW w:w="540" w:type="dxa"/>
            <w:tcBorders>
              <w:top w:val="nil"/>
              <w:left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-6</w:t>
            </w:r>
          </w:p>
        </w:tc>
        <w:tc>
          <w:tcPr>
            <w:tcW w:w="700" w:type="dxa"/>
            <w:tcBorders>
              <w:top w:val="nil"/>
              <w:left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-99</w:t>
            </w:r>
          </w:p>
        </w:tc>
        <w:tc>
          <w:tcPr>
            <w:tcW w:w="600" w:type="dxa"/>
            <w:tcBorders>
              <w:top w:val="nil"/>
              <w:left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134</w:t>
            </w:r>
          </w:p>
        </w:tc>
        <w:tc>
          <w:tcPr>
            <w:tcW w:w="640" w:type="dxa"/>
            <w:tcBorders>
              <w:top w:val="nil"/>
              <w:left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156</w:t>
            </w:r>
          </w:p>
        </w:tc>
        <w:tc>
          <w:tcPr>
            <w:tcW w:w="600" w:type="dxa"/>
            <w:tcBorders>
              <w:top w:val="nil"/>
              <w:left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133</w:t>
            </w:r>
          </w:p>
        </w:tc>
        <w:tc>
          <w:tcPr>
            <w:tcW w:w="720" w:type="dxa"/>
            <w:tcBorders>
              <w:top w:val="nil"/>
              <w:left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91</w:t>
            </w:r>
          </w:p>
        </w:tc>
        <w:tc>
          <w:tcPr>
            <w:tcW w:w="700" w:type="dxa"/>
            <w:tcBorders>
              <w:top w:val="nil"/>
              <w:left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17</w:t>
            </w:r>
          </w:p>
        </w:tc>
      </w:tr>
      <w:tr w:rsidR="00123D07" w:rsidRPr="00123D07" w:rsidTr="00123D07">
        <w:trPr>
          <w:trHeight w:val="315"/>
        </w:trPr>
        <w:tc>
          <w:tcPr>
            <w:tcW w:w="33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Other revenue effects</w:t>
            </w:r>
          </w:p>
        </w:tc>
        <w:tc>
          <w:tcPr>
            <w:tcW w:w="600" w:type="dxa"/>
            <w:tcBorders>
              <w:top w:val="nil"/>
              <w:left w:val="nil"/>
              <w:bottom w:val="single" w:sz="4" w:space="0" w:color="auto"/>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32</w:t>
            </w:r>
          </w:p>
        </w:tc>
        <w:tc>
          <w:tcPr>
            <w:tcW w:w="600" w:type="dxa"/>
            <w:tcBorders>
              <w:top w:val="nil"/>
              <w:left w:val="nil"/>
              <w:bottom w:val="single" w:sz="4" w:space="0" w:color="auto"/>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10</w:t>
            </w:r>
          </w:p>
        </w:tc>
        <w:tc>
          <w:tcPr>
            <w:tcW w:w="540" w:type="dxa"/>
            <w:tcBorders>
              <w:top w:val="nil"/>
              <w:left w:val="nil"/>
              <w:bottom w:val="single" w:sz="4" w:space="0" w:color="auto"/>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-21</w:t>
            </w:r>
          </w:p>
        </w:tc>
        <w:tc>
          <w:tcPr>
            <w:tcW w:w="700" w:type="dxa"/>
            <w:tcBorders>
              <w:top w:val="nil"/>
              <w:left w:val="nil"/>
              <w:bottom w:val="single" w:sz="4" w:space="0" w:color="auto"/>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-91</w:t>
            </w:r>
          </w:p>
        </w:tc>
        <w:tc>
          <w:tcPr>
            <w:tcW w:w="600" w:type="dxa"/>
            <w:tcBorders>
              <w:top w:val="nil"/>
              <w:left w:val="nil"/>
              <w:bottom w:val="single" w:sz="4" w:space="0" w:color="auto"/>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-18</w:t>
            </w:r>
          </w:p>
        </w:tc>
        <w:tc>
          <w:tcPr>
            <w:tcW w:w="640" w:type="dxa"/>
            <w:tcBorders>
              <w:top w:val="nil"/>
              <w:left w:val="nil"/>
              <w:bottom w:val="single" w:sz="4" w:space="0" w:color="auto"/>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37</w:t>
            </w:r>
          </w:p>
        </w:tc>
        <w:tc>
          <w:tcPr>
            <w:tcW w:w="600" w:type="dxa"/>
            <w:tcBorders>
              <w:top w:val="nil"/>
              <w:left w:val="nil"/>
              <w:bottom w:val="single" w:sz="4" w:space="0" w:color="auto"/>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101</w:t>
            </w:r>
          </w:p>
        </w:tc>
        <w:tc>
          <w:tcPr>
            <w:tcW w:w="720" w:type="dxa"/>
            <w:tcBorders>
              <w:top w:val="nil"/>
              <w:left w:val="nil"/>
              <w:bottom w:val="single" w:sz="4" w:space="0" w:color="auto"/>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58</w:t>
            </w:r>
          </w:p>
        </w:tc>
        <w:tc>
          <w:tcPr>
            <w:tcW w:w="700" w:type="dxa"/>
            <w:tcBorders>
              <w:top w:val="nil"/>
              <w:left w:val="nil"/>
              <w:bottom w:val="single" w:sz="4" w:space="0" w:color="auto"/>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16</w:t>
            </w:r>
          </w:p>
        </w:tc>
      </w:tr>
      <w:tr w:rsidR="00123D07" w:rsidRPr="00123D07" w:rsidTr="00123D07">
        <w:trPr>
          <w:trHeight w:val="315"/>
        </w:trPr>
        <w:tc>
          <w:tcPr>
            <w:tcW w:w="33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Total revenue effects</w:t>
            </w:r>
          </w:p>
        </w:tc>
        <w:tc>
          <w:tcPr>
            <w:tcW w:w="600" w:type="dxa"/>
            <w:tcBorders>
              <w:top w:val="single" w:sz="4" w:space="0" w:color="auto"/>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213</w:t>
            </w:r>
          </w:p>
        </w:tc>
        <w:tc>
          <w:tcPr>
            <w:tcW w:w="600" w:type="dxa"/>
            <w:tcBorders>
              <w:top w:val="single" w:sz="4" w:space="0" w:color="auto"/>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560</w:t>
            </w:r>
          </w:p>
        </w:tc>
        <w:tc>
          <w:tcPr>
            <w:tcW w:w="540" w:type="dxa"/>
            <w:tcBorders>
              <w:top w:val="single" w:sz="4" w:space="0" w:color="auto"/>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9</w:t>
            </w:r>
          </w:p>
        </w:tc>
        <w:tc>
          <w:tcPr>
            <w:tcW w:w="700" w:type="dxa"/>
            <w:tcBorders>
              <w:top w:val="single" w:sz="4" w:space="0" w:color="auto"/>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-2 845</w:t>
            </w:r>
          </w:p>
        </w:tc>
        <w:tc>
          <w:tcPr>
            <w:tcW w:w="600" w:type="dxa"/>
            <w:tcBorders>
              <w:top w:val="single" w:sz="4" w:space="0" w:color="auto"/>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935</w:t>
            </w:r>
          </w:p>
        </w:tc>
        <w:tc>
          <w:tcPr>
            <w:tcW w:w="640" w:type="dxa"/>
            <w:tcBorders>
              <w:top w:val="single" w:sz="4" w:space="0" w:color="auto"/>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1 342</w:t>
            </w:r>
          </w:p>
        </w:tc>
        <w:tc>
          <w:tcPr>
            <w:tcW w:w="600" w:type="dxa"/>
            <w:tcBorders>
              <w:top w:val="single" w:sz="4" w:space="0" w:color="auto"/>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731</w:t>
            </w:r>
          </w:p>
        </w:tc>
        <w:tc>
          <w:tcPr>
            <w:tcW w:w="720" w:type="dxa"/>
            <w:tcBorders>
              <w:top w:val="single" w:sz="4" w:space="0" w:color="auto"/>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337</w:t>
            </w:r>
          </w:p>
        </w:tc>
        <w:tc>
          <w:tcPr>
            <w:tcW w:w="700" w:type="dxa"/>
            <w:tcBorders>
              <w:top w:val="single" w:sz="4" w:space="0" w:color="auto"/>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320</w:t>
            </w:r>
          </w:p>
        </w:tc>
      </w:tr>
      <w:tr w:rsidR="00123D07" w:rsidRPr="00123D07" w:rsidTr="006E155D">
        <w:trPr>
          <w:trHeight w:val="315"/>
        </w:trPr>
        <w:tc>
          <w:tcPr>
            <w:tcW w:w="334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ind w:left="193" w:hanging="142"/>
              <w:rPr>
                <w:rFonts w:ascii="Calibri" w:eastAsia="Times New Roman" w:hAnsi="Calibri" w:cs="Times New Roman"/>
                <w:b/>
                <w:bCs/>
                <w:sz w:val="20"/>
                <w:szCs w:val="20"/>
                <w:lang w:eastAsia="en-AU"/>
              </w:rPr>
            </w:pPr>
            <w:r w:rsidRPr="00123D07">
              <w:rPr>
                <w:rFonts w:ascii="Calibri" w:eastAsia="Times New Roman" w:hAnsi="Calibri" w:cs="Times New Roman"/>
                <w:b/>
                <w:bCs/>
                <w:sz w:val="20"/>
                <w:szCs w:val="20"/>
                <w:lang w:eastAsia="en-AU"/>
              </w:rPr>
              <w:t>Effects of expenditure requirements</w:t>
            </w:r>
          </w:p>
        </w:tc>
        <w:tc>
          <w:tcPr>
            <w:tcW w:w="6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54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r>
      <w:tr w:rsidR="00123D07" w:rsidRPr="00123D07" w:rsidTr="006E155D">
        <w:trPr>
          <w:trHeight w:val="315"/>
        </w:trPr>
        <w:tc>
          <w:tcPr>
            <w:tcW w:w="334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Socio-demographic features</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5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p>
        </w:tc>
      </w:tr>
      <w:tr w:rsidR="00123D07" w:rsidRPr="00123D07" w:rsidTr="006E155D">
        <w:trPr>
          <w:trHeight w:val="315"/>
        </w:trPr>
        <w:tc>
          <w:tcPr>
            <w:tcW w:w="33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Remoteness and regional costs</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-174</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-185</w:t>
            </w:r>
          </w:p>
        </w:tc>
        <w:tc>
          <w:tcPr>
            <w:tcW w:w="5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143</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187</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76</w:t>
            </w:r>
          </w:p>
        </w:tc>
        <w:tc>
          <w:tcPr>
            <w:tcW w:w="6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729</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-384</w:t>
            </w:r>
          </w:p>
        </w:tc>
        <w:tc>
          <w:tcPr>
            <w:tcW w:w="72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3 519</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108</w:t>
            </w:r>
          </w:p>
        </w:tc>
      </w:tr>
      <w:tr w:rsidR="00123D07" w:rsidRPr="00123D07" w:rsidTr="006E155D">
        <w:trPr>
          <w:trHeight w:val="315"/>
        </w:trPr>
        <w:tc>
          <w:tcPr>
            <w:tcW w:w="33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Indigenous status</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-15</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-216</w:t>
            </w:r>
          </w:p>
        </w:tc>
        <w:tc>
          <w:tcPr>
            <w:tcW w:w="5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122</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70</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-70</w:t>
            </w:r>
          </w:p>
        </w:tc>
        <w:tc>
          <w:tcPr>
            <w:tcW w:w="6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163</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-139</w:t>
            </w:r>
          </w:p>
        </w:tc>
        <w:tc>
          <w:tcPr>
            <w:tcW w:w="72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2 857</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66</w:t>
            </w:r>
          </w:p>
        </w:tc>
      </w:tr>
      <w:tr w:rsidR="00123D07" w:rsidRPr="00123D07" w:rsidTr="006E155D">
        <w:trPr>
          <w:trHeight w:val="315"/>
        </w:trPr>
        <w:tc>
          <w:tcPr>
            <w:tcW w:w="33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Socio-economic status</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49</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-13</w:t>
            </w:r>
          </w:p>
        </w:tc>
        <w:tc>
          <w:tcPr>
            <w:tcW w:w="5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-13</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-108</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181</w:t>
            </w:r>
          </w:p>
        </w:tc>
        <w:tc>
          <w:tcPr>
            <w:tcW w:w="6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70</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-528</w:t>
            </w:r>
          </w:p>
        </w:tc>
        <w:tc>
          <w:tcPr>
            <w:tcW w:w="72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-300</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30</w:t>
            </w:r>
          </w:p>
        </w:tc>
      </w:tr>
      <w:tr w:rsidR="00123D07" w:rsidRPr="00123D07" w:rsidTr="006E155D">
        <w:trPr>
          <w:trHeight w:val="315"/>
        </w:trPr>
        <w:tc>
          <w:tcPr>
            <w:tcW w:w="3340" w:type="dxa"/>
            <w:tcBorders>
              <w:top w:val="nil"/>
              <w:left w:val="nil"/>
              <w:bottom w:val="nil"/>
              <w:right w:val="nil"/>
            </w:tcBorders>
            <w:shd w:val="clear" w:color="auto" w:fill="auto"/>
            <w:noWrap/>
            <w:vAlign w:val="bottom"/>
            <w:hideMark/>
          </w:tcPr>
          <w:p w:rsidR="00123D07" w:rsidRPr="00123D07" w:rsidRDefault="00123D07" w:rsidP="00C72921">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 xml:space="preserve">Other </w:t>
            </w:r>
            <w:r w:rsidR="00C72921">
              <w:rPr>
                <w:rFonts w:ascii="Calibri" w:eastAsia="Times New Roman" w:hAnsi="Calibri" w:cs="Times New Roman"/>
                <w:sz w:val="20"/>
                <w:szCs w:val="20"/>
                <w:lang w:eastAsia="en-AU"/>
              </w:rPr>
              <w:t>s</w:t>
            </w:r>
            <w:r w:rsidR="00C72921" w:rsidRPr="00123D07">
              <w:rPr>
                <w:rFonts w:ascii="Calibri" w:eastAsia="Times New Roman" w:hAnsi="Calibri" w:cs="Times New Roman"/>
                <w:sz w:val="20"/>
                <w:szCs w:val="20"/>
                <w:lang w:eastAsia="en-AU"/>
              </w:rPr>
              <w:t>ocio-demographic</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-6</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-61</w:t>
            </w:r>
          </w:p>
        </w:tc>
        <w:tc>
          <w:tcPr>
            <w:tcW w:w="5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67</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-41</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56</w:t>
            </w:r>
          </w:p>
        </w:tc>
        <w:tc>
          <w:tcPr>
            <w:tcW w:w="6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53</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-88</w:t>
            </w:r>
          </w:p>
        </w:tc>
        <w:tc>
          <w:tcPr>
            <w:tcW w:w="72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426</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23</w:t>
            </w:r>
          </w:p>
        </w:tc>
      </w:tr>
      <w:tr w:rsidR="00123D07" w:rsidRPr="00123D07" w:rsidTr="006E155D">
        <w:trPr>
          <w:trHeight w:val="315"/>
        </w:trPr>
        <w:tc>
          <w:tcPr>
            <w:tcW w:w="33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Wage costs</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45</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-105</w:t>
            </w:r>
          </w:p>
        </w:tc>
        <w:tc>
          <w:tcPr>
            <w:tcW w:w="5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-95</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311</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-96</w:t>
            </w:r>
          </w:p>
        </w:tc>
        <w:tc>
          <w:tcPr>
            <w:tcW w:w="6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-214</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212</w:t>
            </w:r>
          </w:p>
        </w:tc>
        <w:tc>
          <w:tcPr>
            <w:tcW w:w="72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370</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57</w:t>
            </w:r>
          </w:p>
        </w:tc>
      </w:tr>
      <w:tr w:rsidR="00123D07" w:rsidRPr="00123D07" w:rsidTr="006E155D">
        <w:trPr>
          <w:trHeight w:val="315"/>
        </w:trPr>
        <w:tc>
          <w:tcPr>
            <w:tcW w:w="33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Population growth</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-96</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-25</w:t>
            </w:r>
          </w:p>
        </w:tc>
        <w:tc>
          <w:tcPr>
            <w:tcW w:w="5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32</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373</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-157</w:t>
            </w:r>
          </w:p>
        </w:tc>
        <w:tc>
          <w:tcPr>
            <w:tcW w:w="6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-303</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-93</w:t>
            </w:r>
          </w:p>
        </w:tc>
        <w:tc>
          <w:tcPr>
            <w:tcW w:w="72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717</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56</w:t>
            </w:r>
          </w:p>
        </w:tc>
      </w:tr>
      <w:tr w:rsidR="00123D07" w:rsidRPr="00123D07" w:rsidTr="006E155D">
        <w:trPr>
          <w:trHeight w:val="315"/>
        </w:trPr>
        <w:tc>
          <w:tcPr>
            <w:tcW w:w="33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Urban centre size</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42</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124</w:t>
            </w:r>
          </w:p>
        </w:tc>
        <w:tc>
          <w:tcPr>
            <w:tcW w:w="5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-116</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9</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-89</w:t>
            </w:r>
          </w:p>
        </w:tc>
        <w:tc>
          <w:tcPr>
            <w:tcW w:w="6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-408</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-137</w:t>
            </w:r>
          </w:p>
        </w:tc>
        <w:tc>
          <w:tcPr>
            <w:tcW w:w="72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-442</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45</w:t>
            </w:r>
          </w:p>
        </w:tc>
      </w:tr>
      <w:tr w:rsidR="00123D07" w:rsidRPr="00123D07" w:rsidTr="006E155D">
        <w:trPr>
          <w:trHeight w:val="315"/>
        </w:trPr>
        <w:tc>
          <w:tcPr>
            <w:tcW w:w="334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Administrative scale</w:t>
            </w:r>
          </w:p>
        </w:tc>
        <w:tc>
          <w:tcPr>
            <w:tcW w:w="6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-58</w:t>
            </w:r>
          </w:p>
        </w:tc>
        <w:tc>
          <w:tcPr>
            <w:tcW w:w="6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-47</w:t>
            </w:r>
          </w:p>
        </w:tc>
        <w:tc>
          <w:tcPr>
            <w:tcW w:w="54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-35</w:t>
            </w:r>
          </w:p>
        </w:tc>
        <w:tc>
          <w:tcPr>
            <w:tcW w:w="7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16</w:t>
            </w:r>
          </w:p>
        </w:tc>
        <w:tc>
          <w:tcPr>
            <w:tcW w:w="6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69</w:t>
            </w:r>
          </w:p>
        </w:tc>
        <w:tc>
          <w:tcPr>
            <w:tcW w:w="64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436</w:t>
            </w:r>
          </w:p>
        </w:tc>
        <w:tc>
          <w:tcPr>
            <w:tcW w:w="6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596</w:t>
            </w:r>
          </w:p>
        </w:tc>
        <w:tc>
          <w:tcPr>
            <w:tcW w:w="72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1 079</w:t>
            </w:r>
          </w:p>
        </w:tc>
        <w:tc>
          <w:tcPr>
            <w:tcW w:w="7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37</w:t>
            </w:r>
          </w:p>
        </w:tc>
      </w:tr>
      <w:tr w:rsidR="00123D07" w:rsidRPr="00123D07" w:rsidTr="006E155D">
        <w:trPr>
          <w:trHeight w:val="315"/>
        </w:trPr>
        <w:tc>
          <w:tcPr>
            <w:tcW w:w="33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Natural disaster relief</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-28</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-39</w:t>
            </w:r>
          </w:p>
        </w:tc>
        <w:tc>
          <w:tcPr>
            <w:tcW w:w="5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136</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-28</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-52</w:t>
            </w:r>
          </w:p>
        </w:tc>
        <w:tc>
          <w:tcPr>
            <w:tcW w:w="6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-48</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-42</w:t>
            </w:r>
          </w:p>
        </w:tc>
        <w:tc>
          <w:tcPr>
            <w:tcW w:w="72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-14</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27</w:t>
            </w:r>
          </w:p>
        </w:tc>
      </w:tr>
      <w:tr w:rsidR="00123D07" w:rsidRPr="00123D07" w:rsidTr="006E155D">
        <w:trPr>
          <w:trHeight w:val="315"/>
        </w:trPr>
        <w:tc>
          <w:tcPr>
            <w:tcW w:w="33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Small communities</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-41</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-46</w:t>
            </w:r>
          </w:p>
        </w:tc>
        <w:tc>
          <w:tcPr>
            <w:tcW w:w="5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19</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69</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37</w:t>
            </w:r>
          </w:p>
        </w:tc>
        <w:tc>
          <w:tcPr>
            <w:tcW w:w="6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43</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-49</w:t>
            </w:r>
          </w:p>
        </w:tc>
        <w:tc>
          <w:tcPr>
            <w:tcW w:w="72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943</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25</w:t>
            </w:r>
          </w:p>
        </w:tc>
      </w:tr>
      <w:tr w:rsidR="00123D07" w:rsidRPr="00123D07" w:rsidTr="006E155D">
        <w:trPr>
          <w:trHeight w:val="315"/>
        </w:trPr>
        <w:tc>
          <w:tcPr>
            <w:tcW w:w="334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Non-State sector</w:t>
            </w:r>
          </w:p>
        </w:tc>
        <w:tc>
          <w:tcPr>
            <w:tcW w:w="6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-43</w:t>
            </w:r>
          </w:p>
        </w:tc>
        <w:tc>
          <w:tcPr>
            <w:tcW w:w="6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-38</w:t>
            </w:r>
          </w:p>
        </w:tc>
        <w:tc>
          <w:tcPr>
            <w:tcW w:w="54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5</w:t>
            </w:r>
          </w:p>
        </w:tc>
        <w:tc>
          <w:tcPr>
            <w:tcW w:w="7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158</w:t>
            </w:r>
          </w:p>
        </w:tc>
        <w:tc>
          <w:tcPr>
            <w:tcW w:w="6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-21</w:t>
            </w:r>
          </w:p>
        </w:tc>
        <w:tc>
          <w:tcPr>
            <w:tcW w:w="64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120</w:t>
            </w:r>
          </w:p>
        </w:tc>
        <w:tc>
          <w:tcPr>
            <w:tcW w:w="6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149</w:t>
            </w:r>
          </w:p>
        </w:tc>
        <w:tc>
          <w:tcPr>
            <w:tcW w:w="72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83</w:t>
            </w:r>
          </w:p>
        </w:tc>
        <w:tc>
          <w:tcPr>
            <w:tcW w:w="7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25</w:t>
            </w:r>
          </w:p>
        </w:tc>
      </w:tr>
      <w:tr w:rsidR="00123D07" w:rsidRPr="00123D07" w:rsidTr="006E155D">
        <w:trPr>
          <w:trHeight w:val="315"/>
        </w:trPr>
        <w:tc>
          <w:tcPr>
            <w:tcW w:w="334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Other expense effects</w:t>
            </w:r>
          </w:p>
        </w:tc>
        <w:tc>
          <w:tcPr>
            <w:tcW w:w="6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-62</w:t>
            </w:r>
          </w:p>
        </w:tc>
        <w:tc>
          <w:tcPr>
            <w:tcW w:w="6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-165</w:t>
            </w:r>
          </w:p>
        </w:tc>
        <w:tc>
          <w:tcPr>
            <w:tcW w:w="54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54</w:t>
            </w:r>
          </w:p>
        </w:tc>
        <w:tc>
          <w:tcPr>
            <w:tcW w:w="7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181</w:t>
            </w:r>
          </w:p>
        </w:tc>
        <w:tc>
          <w:tcPr>
            <w:tcW w:w="6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70</w:t>
            </w:r>
          </w:p>
        </w:tc>
        <w:tc>
          <w:tcPr>
            <w:tcW w:w="64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46</w:t>
            </w:r>
          </w:p>
        </w:tc>
        <w:tc>
          <w:tcPr>
            <w:tcW w:w="6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-108</w:t>
            </w:r>
          </w:p>
        </w:tc>
        <w:tc>
          <w:tcPr>
            <w:tcW w:w="72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2 424</w:t>
            </w:r>
          </w:p>
        </w:tc>
        <w:tc>
          <w:tcPr>
            <w:tcW w:w="700" w:type="dxa"/>
            <w:tcBorders>
              <w:top w:val="nil"/>
              <w:left w:val="nil"/>
              <w:bottom w:val="nil"/>
              <w:right w:val="nil"/>
            </w:tcBorders>
            <w:shd w:val="clear" w:color="auto" w:fill="auto"/>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63</w:t>
            </w:r>
          </w:p>
        </w:tc>
      </w:tr>
      <w:tr w:rsidR="00123D07" w:rsidRPr="00123D07" w:rsidTr="00123D07">
        <w:trPr>
          <w:trHeight w:val="315"/>
        </w:trPr>
        <w:tc>
          <w:tcPr>
            <w:tcW w:w="3340" w:type="dxa"/>
            <w:tcBorders>
              <w:top w:val="nil"/>
              <w:left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Total expense and investment effects</w:t>
            </w:r>
          </w:p>
        </w:tc>
        <w:tc>
          <w:tcPr>
            <w:tcW w:w="600" w:type="dxa"/>
            <w:tcBorders>
              <w:top w:val="single" w:sz="4" w:space="0" w:color="auto"/>
              <w:left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-386</w:t>
            </w:r>
          </w:p>
        </w:tc>
        <w:tc>
          <w:tcPr>
            <w:tcW w:w="600" w:type="dxa"/>
            <w:tcBorders>
              <w:top w:val="single" w:sz="4" w:space="0" w:color="auto"/>
              <w:left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-816</w:t>
            </w:r>
          </w:p>
        </w:tc>
        <w:tc>
          <w:tcPr>
            <w:tcW w:w="540" w:type="dxa"/>
            <w:tcBorders>
              <w:top w:val="single" w:sz="4" w:space="0" w:color="auto"/>
              <w:left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319</w:t>
            </w:r>
          </w:p>
        </w:tc>
        <w:tc>
          <w:tcPr>
            <w:tcW w:w="700" w:type="dxa"/>
            <w:tcBorders>
              <w:top w:val="single" w:sz="4" w:space="0" w:color="auto"/>
              <w:left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1 197</w:t>
            </w:r>
          </w:p>
        </w:tc>
        <w:tc>
          <w:tcPr>
            <w:tcW w:w="600" w:type="dxa"/>
            <w:tcBorders>
              <w:top w:val="single" w:sz="4" w:space="0" w:color="auto"/>
              <w:left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5</w:t>
            </w:r>
          </w:p>
        </w:tc>
        <w:tc>
          <w:tcPr>
            <w:tcW w:w="640" w:type="dxa"/>
            <w:tcBorders>
              <w:top w:val="single" w:sz="4" w:space="0" w:color="auto"/>
              <w:left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688</w:t>
            </w:r>
          </w:p>
        </w:tc>
        <w:tc>
          <w:tcPr>
            <w:tcW w:w="600" w:type="dxa"/>
            <w:tcBorders>
              <w:top w:val="single" w:sz="4" w:space="0" w:color="auto"/>
              <w:left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-611</w:t>
            </w:r>
          </w:p>
        </w:tc>
        <w:tc>
          <w:tcPr>
            <w:tcW w:w="720" w:type="dxa"/>
            <w:tcBorders>
              <w:top w:val="single" w:sz="4" w:space="0" w:color="auto"/>
              <w:left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11 661</w:t>
            </w:r>
          </w:p>
        </w:tc>
        <w:tc>
          <w:tcPr>
            <w:tcW w:w="700" w:type="dxa"/>
            <w:tcBorders>
              <w:top w:val="single" w:sz="4" w:space="0" w:color="auto"/>
              <w:left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336</w:t>
            </w:r>
          </w:p>
        </w:tc>
      </w:tr>
      <w:tr w:rsidR="00123D07" w:rsidRPr="00123D07" w:rsidTr="006E155D">
        <w:trPr>
          <w:trHeight w:val="315"/>
        </w:trPr>
        <w:tc>
          <w:tcPr>
            <w:tcW w:w="33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ind w:left="193" w:hanging="142"/>
              <w:rPr>
                <w:rFonts w:ascii="Calibri" w:eastAsia="Times New Roman" w:hAnsi="Calibri" w:cs="Times New Roman"/>
                <w:b/>
                <w:bCs/>
                <w:sz w:val="20"/>
                <w:szCs w:val="20"/>
                <w:lang w:eastAsia="en-AU"/>
              </w:rPr>
            </w:pPr>
            <w:r w:rsidRPr="00123D07">
              <w:rPr>
                <w:rFonts w:ascii="Calibri" w:eastAsia="Times New Roman" w:hAnsi="Calibri" w:cs="Times New Roman"/>
                <w:b/>
                <w:bCs/>
                <w:sz w:val="20"/>
                <w:szCs w:val="20"/>
                <w:lang w:eastAsia="en-AU"/>
              </w:rPr>
              <w:t>Effects of Commonwealth payments</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57</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10</w:t>
            </w:r>
          </w:p>
        </w:tc>
        <w:tc>
          <w:tcPr>
            <w:tcW w:w="5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-15</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-8</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-77</w:t>
            </w:r>
          </w:p>
        </w:tc>
        <w:tc>
          <w:tcPr>
            <w:tcW w:w="64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-73</w:t>
            </w:r>
          </w:p>
        </w:tc>
        <w:tc>
          <w:tcPr>
            <w:tcW w:w="6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127</w:t>
            </w:r>
          </w:p>
        </w:tc>
        <w:tc>
          <w:tcPr>
            <w:tcW w:w="72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-1 115</w:t>
            </w:r>
          </w:p>
        </w:tc>
        <w:tc>
          <w:tcPr>
            <w:tcW w:w="700" w:type="dxa"/>
            <w:tcBorders>
              <w:top w:val="nil"/>
              <w:left w:val="nil"/>
              <w:bottom w:val="nil"/>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23</w:t>
            </w:r>
          </w:p>
        </w:tc>
      </w:tr>
      <w:tr w:rsidR="00123D07" w:rsidRPr="00123D07" w:rsidTr="006E155D">
        <w:trPr>
          <w:trHeight w:val="315"/>
        </w:trPr>
        <w:tc>
          <w:tcPr>
            <w:tcW w:w="3340" w:type="dxa"/>
            <w:tcBorders>
              <w:top w:val="nil"/>
              <w:left w:val="nil"/>
              <w:bottom w:val="single" w:sz="4" w:space="0" w:color="auto"/>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ind w:left="193" w:hanging="142"/>
              <w:rPr>
                <w:rFonts w:ascii="Calibri" w:eastAsia="Times New Roman" w:hAnsi="Calibri" w:cs="Times New Roman"/>
                <w:b/>
                <w:bCs/>
                <w:sz w:val="20"/>
                <w:szCs w:val="20"/>
                <w:lang w:eastAsia="en-AU"/>
              </w:rPr>
            </w:pPr>
            <w:r w:rsidRPr="00123D07">
              <w:rPr>
                <w:rFonts w:ascii="Calibri" w:eastAsia="Times New Roman" w:hAnsi="Calibri" w:cs="Times New Roman"/>
                <w:b/>
                <w:bCs/>
                <w:sz w:val="20"/>
                <w:szCs w:val="20"/>
                <w:lang w:eastAsia="en-AU"/>
              </w:rPr>
              <w:t>Total</w:t>
            </w:r>
          </w:p>
        </w:tc>
        <w:tc>
          <w:tcPr>
            <w:tcW w:w="600" w:type="dxa"/>
            <w:tcBorders>
              <w:top w:val="single" w:sz="4" w:space="0" w:color="auto"/>
              <w:left w:val="nil"/>
              <w:bottom w:val="single" w:sz="4" w:space="0" w:color="auto"/>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-116</w:t>
            </w:r>
          </w:p>
        </w:tc>
        <w:tc>
          <w:tcPr>
            <w:tcW w:w="600" w:type="dxa"/>
            <w:tcBorders>
              <w:top w:val="single" w:sz="4" w:space="0" w:color="auto"/>
              <w:left w:val="nil"/>
              <w:bottom w:val="single" w:sz="4" w:space="0" w:color="auto"/>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-246</w:t>
            </w:r>
          </w:p>
        </w:tc>
        <w:tc>
          <w:tcPr>
            <w:tcW w:w="540" w:type="dxa"/>
            <w:tcBorders>
              <w:top w:val="single" w:sz="4" w:space="0" w:color="auto"/>
              <w:left w:val="nil"/>
              <w:bottom w:val="single" w:sz="4" w:space="0" w:color="auto"/>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313</w:t>
            </w:r>
          </w:p>
        </w:tc>
        <w:tc>
          <w:tcPr>
            <w:tcW w:w="700" w:type="dxa"/>
            <w:tcBorders>
              <w:top w:val="single" w:sz="4" w:space="0" w:color="auto"/>
              <w:left w:val="nil"/>
              <w:bottom w:val="single" w:sz="4" w:space="0" w:color="auto"/>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-1 656</w:t>
            </w:r>
          </w:p>
        </w:tc>
        <w:tc>
          <w:tcPr>
            <w:tcW w:w="600" w:type="dxa"/>
            <w:tcBorders>
              <w:top w:val="single" w:sz="4" w:space="0" w:color="auto"/>
              <w:left w:val="nil"/>
              <w:bottom w:val="single" w:sz="4" w:space="0" w:color="auto"/>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863</w:t>
            </w:r>
          </w:p>
        </w:tc>
        <w:tc>
          <w:tcPr>
            <w:tcW w:w="640" w:type="dxa"/>
            <w:tcBorders>
              <w:top w:val="single" w:sz="4" w:space="0" w:color="auto"/>
              <w:left w:val="nil"/>
              <w:bottom w:val="single" w:sz="4" w:space="0" w:color="auto"/>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1 958</w:t>
            </w:r>
          </w:p>
        </w:tc>
        <w:tc>
          <w:tcPr>
            <w:tcW w:w="600" w:type="dxa"/>
            <w:tcBorders>
              <w:top w:val="single" w:sz="4" w:space="0" w:color="auto"/>
              <w:left w:val="nil"/>
              <w:bottom w:val="single" w:sz="4" w:space="0" w:color="auto"/>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248</w:t>
            </w:r>
          </w:p>
        </w:tc>
        <w:tc>
          <w:tcPr>
            <w:tcW w:w="720" w:type="dxa"/>
            <w:tcBorders>
              <w:top w:val="single" w:sz="4" w:space="0" w:color="auto"/>
              <w:left w:val="nil"/>
              <w:bottom w:val="single" w:sz="4" w:space="0" w:color="auto"/>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10 883</w:t>
            </w:r>
          </w:p>
        </w:tc>
        <w:tc>
          <w:tcPr>
            <w:tcW w:w="700" w:type="dxa"/>
            <w:tcBorders>
              <w:top w:val="single" w:sz="4" w:space="0" w:color="auto"/>
              <w:left w:val="nil"/>
              <w:bottom w:val="single" w:sz="4" w:space="0" w:color="auto"/>
              <w:right w:val="nil"/>
            </w:tcBorders>
            <w:shd w:val="clear" w:color="auto" w:fill="auto"/>
            <w:noWrap/>
            <w:vAlign w:val="bottom"/>
            <w:hideMark/>
          </w:tcPr>
          <w:p w:rsidR="00123D07" w:rsidRPr="00123D07" w:rsidRDefault="00123D07"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123D07">
              <w:rPr>
                <w:rFonts w:ascii="Calibri" w:eastAsia="Times New Roman" w:hAnsi="Calibri" w:cs="Times New Roman"/>
                <w:sz w:val="20"/>
                <w:szCs w:val="20"/>
                <w:lang w:eastAsia="en-AU"/>
              </w:rPr>
              <w:t>284</w:t>
            </w:r>
          </w:p>
        </w:tc>
      </w:tr>
    </w:tbl>
    <w:p w:rsidR="00C71EF0" w:rsidRPr="00EC79CF" w:rsidRDefault="00A004DA" w:rsidP="00C71EF0">
      <w:pPr>
        <w:tabs>
          <w:tab w:val="clear" w:pos="567"/>
          <w:tab w:val="left" w:pos="851"/>
        </w:tabs>
        <w:spacing w:after="0" w:line="240" w:lineRule="auto"/>
        <w:ind w:left="851" w:hanging="851"/>
        <w:rPr>
          <w:sz w:val="20"/>
        </w:rPr>
      </w:pPr>
      <w:r w:rsidRPr="00EC79CF">
        <w:rPr>
          <w:sz w:val="20"/>
        </w:rPr>
        <w:t>Note:</w:t>
      </w:r>
      <w:r w:rsidRPr="00EC79CF">
        <w:rPr>
          <w:sz w:val="20"/>
        </w:rPr>
        <w:tab/>
      </w:r>
      <w:r w:rsidR="00C71EF0" w:rsidRPr="00EC79CF">
        <w:rPr>
          <w:sz w:val="20"/>
        </w:rPr>
        <w:t xml:space="preserve">For explanations of what each disability factor includes, please see Volume 2 of this report and the supporting information to this report located on the </w:t>
      </w:r>
      <w:hyperlink r:id="rId39" w:history="1">
        <w:r w:rsidR="00D05F5E">
          <w:rPr>
            <w:rStyle w:val="Hyperlink"/>
            <w:sz w:val="20"/>
          </w:rPr>
          <w:t>Commission's website</w:t>
        </w:r>
      </w:hyperlink>
      <w:r w:rsidR="00C71EF0" w:rsidRPr="00EC79CF">
        <w:rPr>
          <w:sz w:val="20"/>
        </w:rPr>
        <w:t xml:space="preserve"> </w:t>
      </w:r>
      <w:r w:rsidR="00C71EF0" w:rsidRPr="00EC79CF">
        <w:rPr>
          <w:rStyle w:val="CGCTableStubChar"/>
        </w:rPr>
        <w:t>(www.cgc.gov.au).</w:t>
      </w:r>
    </w:p>
    <w:p w:rsidR="00A004DA" w:rsidRPr="00EC79CF" w:rsidRDefault="00A004DA" w:rsidP="00A004DA">
      <w:pPr>
        <w:tabs>
          <w:tab w:val="clear" w:pos="567"/>
          <w:tab w:val="left" w:pos="851"/>
        </w:tabs>
        <w:spacing w:after="0" w:line="240" w:lineRule="auto"/>
        <w:ind w:left="851" w:hanging="851"/>
        <w:rPr>
          <w:sz w:val="20"/>
        </w:rPr>
      </w:pPr>
      <w:r w:rsidRPr="00EC79CF">
        <w:rPr>
          <w:sz w:val="20"/>
        </w:rPr>
        <w:t>Source:</w:t>
      </w:r>
      <w:r w:rsidRPr="00EC79CF">
        <w:rPr>
          <w:sz w:val="20"/>
        </w:rPr>
        <w:tab/>
        <w:t>Commission calculation.</w:t>
      </w:r>
    </w:p>
    <w:p w:rsidR="00A004DA" w:rsidRPr="00C4696B" w:rsidRDefault="00C4696B" w:rsidP="00C4696B">
      <w:pPr>
        <w:pStyle w:val="Heading3"/>
      </w:pPr>
      <w:bookmarkStart w:id="346" w:name="RANGE!A3:J24"/>
      <w:bookmarkStart w:id="347" w:name="_Toc410744202"/>
      <w:bookmarkStart w:id="348" w:name="_Toc411511191"/>
      <w:bookmarkStart w:id="349" w:name="_Toc411511644"/>
      <w:bookmarkStart w:id="350" w:name="_Toc411924584"/>
      <w:bookmarkEnd w:id="346"/>
      <w:r w:rsidRPr="00C4696B">
        <w:t>What has changed in this review?</w:t>
      </w:r>
      <w:bookmarkEnd w:id="347"/>
      <w:bookmarkEnd w:id="348"/>
      <w:bookmarkEnd w:id="349"/>
      <w:bookmarkEnd w:id="350"/>
    </w:p>
    <w:p w:rsidR="00A004DA" w:rsidRPr="00EC79CF" w:rsidRDefault="00A004DA" w:rsidP="00C20E52">
      <w:pPr>
        <w:pStyle w:val="CGCNumberedPara"/>
        <w:numPr>
          <w:ilvl w:val="1"/>
          <w:numId w:val="2"/>
        </w:numPr>
      </w:pPr>
      <w:r w:rsidRPr="00EC79CF">
        <w:t xml:space="preserve">State capacities change relative to each other over time because of changes in the characteristics identified above. This requires the continual adjustment of the GST distribution to bring these fiscal differences into balance. The </w:t>
      </w:r>
      <w:r w:rsidR="00D505F9">
        <w:t>larger</w:t>
      </w:r>
      <w:r w:rsidR="00D505F9" w:rsidRPr="00EC79CF">
        <w:t xml:space="preserve"> </w:t>
      </w:r>
      <w:r w:rsidRPr="00EC79CF">
        <w:t xml:space="preserve">the relative changes, the greater the change in the GST distribution. </w:t>
      </w:r>
    </w:p>
    <w:p w:rsidR="00A004DA" w:rsidRPr="00EC79CF" w:rsidRDefault="00A004DA" w:rsidP="00C20E52">
      <w:pPr>
        <w:pStyle w:val="CGCNumberedPara"/>
        <w:numPr>
          <w:ilvl w:val="1"/>
          <w:numId w:val="2"/>
        </w:numPr>
      </w:pPr>
      <w:r w:rsidRPr="00EC79CF">
        <w:t>The methods we use to measure these differences also change to better capture changing State characteristics and to use the best available data to measure them.</w:t>
      </w:r>
    </w:p>
    <w:p w:rsidR="00A004DA" w:rsidRPr="00EC79CF" w:rsidRDefault="00A004DA" w:rsidP="00C20E52">
      <w:pPr>
        <w:pStyle w:val="CGCNumberedPara"/>
        <w:numPr>
          <w:ilvl w:val="1"/>
          <w:numId w:val="2"/>
        </w:numPr>
      </w:pPr>
      <w:r w:rsidRPr="00EC79CF">
        <w:lastRenderedPageBreak/>
        <w:t xml:space="preserve">Table 3 shows the differences between the estimated GST distribution for 2014-15 and the illustrative distribution for 2015-16. </w:t>
      </w:r>
      <w:r w:rsidR="007D5DA3">
        <w:t>C</w:t>
      </w:r>
      <w:r w:rsidRPr="00EC79CF">
        <w:t>hange</w:t>
      </w:r>
      <w:r w:rsidR="007D5DA3">
        <w:t>s</w:t>
      </w:r>
      <w:r w:rsidRPr="00EC79CF">
        <w:t xml:space="preserve"> ha</w:t>
      </w:r>
      <w:r w:rsidR="007D5DA3">
        <w:t>ve</w:t>
      </w:r>
      <w:r w:rsidRPr="00EC79CF">
        <w:t xml:space="preserve"> occurred for a number of reasons:</w:t>
      </w:r>
    </w:p>
    <w:p w:rsidR="00A004DA" w:rsidRPr="00EC79CF" w:rsidRDefault="00A004DA" w:rsidP="00C20E52">
      <w:pPr>
        <w:pStyle w:val="CGCBulletlist"/>
        <w:numPr>
          <w:ilvl w:val="0"/>
          <w:numId w:val="1"/>
        </w:numPr>
        <w:tabs>
          <w:tab w:val="clear" w:pos="927"/>
          <w:tab w:val="left" w:pos="1134"/>
        </w:tabs>
        <w:ind w:left="1134" w:hanging="567"/>
      </w:pPr>
      <w:r w:rsidRPr="00EC79CF">
        <w:t>State populations between 2014-15 and 2015-16 have changed</w:t>
      </w:r>
    </w:p>
    <w:p w:rsidR="00A004DA" w:rsidRPr="00EC79CF" w:rsidRDefault="00A004DA" w:rsidP="00C20E52">
      <w:pPr>
        <w:pStyle w:val="CGCBulletlist"/>
        <w:numPr>
          <w:ilvl w:val="0"/>
          <w:numId w:val="1"/>
        </w:numPr>
        <w:tabs>
          <w:tab w:val="clear" w:pos="927"/>
          <w:tab w:val="left" w:pos="1134"/>
        </w:tabs>
        <w:ind w:left="1134" w:hanging="567"/>
      </w:pPr>
      <w:r w:rsidRPr="00EC79CF">
        <w:t>the amount of GST revenue available for distribution has increased</w:t>
      </w:r>
    </w:p>
    <w:p w:rsidR="00A004DA" w:rsidRPr="00EC79CF" w:rsidRDefault="00A004DA" w:rsidP="00C20E52">
      <w:pPr>
        <w:pStyle w:val="CGCBulletlist"/>
        <w:numPr>
          <w:ilvl w:val="0"/>
          <w:numId w:val="1"/>
        </w:numPr>
        <w:tabs>
          <w:tab w:val="clear" w:pos="927"/>
          <w:tab w:val="left" w:pos="1134"/>
        </w:tabs>
        <w:ind w:left="1134" w:hanging="567"/>
      </w:pPr>
      <w:proofErr w:type="gramStart"/>
      <w:r w:rsidRPr="00EC79CF">
        <w:t>the</w:t>
      </w:r>
      <w:proofErr w:type="gramEnd"/>
      <w:r w:rsidRPr="00EC79CF">
        <w:t xml:space="preserve"> relative fiscal capacities of the States have changed because of revisions to data, changes in Commission methods and changes in State circumstances.</w:t>
      </w:r>
    </w:p>
    <w:p w:rsidR="00A004DA" w:rsidRPr="00EC79CF" w:rsidRDefault="00A004DA" w:rsidP="00C20E52">
      <w:pPr>
        <w:pStyle w:val="CGCNumberedPara"/>
        <w:numPr>
          <w:ilvl w:val="1"/>
          <w:numId w:val="2"/>
        </w:numPr>
      </w:pPr>
      <w:r w:rsidRPr="00EC79CF">
        <w:t>The Commission’s work relates only to the changes in fiscal capacities. The largest changes resulting from the work of the Commission are due to changes in circumstances, followed by changes in methods.</w:t>
      </w:r>
    </w:p>
    <w:p w:rsidR="00A004DA" w:rsidRDefault="00A004DA" w:rsidP="00A004DA">
      <w:pPr>
        <w:pStyle w:val="CGCTableHeading"/>
      </w:pPr>
      <w:bookmarkStart w:id="351" w:name="_Ref398281657"/>
      <w:r w:rsidRPr="00EC79CF">
        <w:t xml:space="preserve">Table </w:t>
      </w:r>
      <w:fldSimple w:instr=" SEQ Table \* ARABIC ">
        <w:r w:rsidR="003A5DEE">
          <w:rPr>
            <w:noProof/>
          </w:rPr>
          <w:t>3</w:t>
        </w:r>
      </w:fldSimple>
      <w:bookmarkEnd w:id="351"/>
      <w:r w:rsidRPr="00EC79CF">
        <w:tab/>
        <w:t>Distribution of the 2014-15 GST and the illustrative 2015-16 GST</w:t>
      </w:r>
    </w:p>
    <w:tbl>
      <w:tblPr>
        <w:tblW w:w="8940" w:type="dxa"/>
        <w:tblInd w:w="93" w:type="dxa"/>
        <w:tblLook w:val="04A0" w:firstRow="1" w:lastRow="0" w:firstColumn="1" w:lastColumn="0" w:noHBand="0" w:noVBand="1"/>
      </w:tblPr>
      <w:tblGrid>
        <w:gridCol w:w="2240"/>
        <w:gridCol w:w="780"/>
        <w:gridCol w:w="780"/>
        <w:gridCol w:w="780"/>
        <w:gridCol w:w="720"/>
        <w:gridCol w:w="720"/>
        <w:gridCol w:w="700"/>
        <w:gridCol w:w="700"/>
        <w:gridCol w:w="740"/>
        <w:gridCol w:w="780"/>
      </w:tblGrid>
      <w:tr w:rsidR="008030E8" w:rsidRPr="000F252C" w:rsidTr="0006306B">
        <w:trPr>
          <w:trHeight w:val="379"/>
        </w:trPr>
        <w:tc>
          <w:tcPr>
            <w:tcW w:w="2240" w:type="dxa"/>
            <w:tcBorders>
              <w:top w:val="single" w:sz="4" w:space="0" w:color="auto"/>
              <w:left w:val="nil"/>
              <w:bottom w:val="single" w:sz="4" w:space="0" w:color="auto"/>
              <w:right w:val="nil"/>
            </w:tcBorders>
            <w:shd w:val="clear" w:color="auto" w:fill="auto"/>
            <w:noWrap/>
            <w:vAlign w:val="center"/>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bookmarkStart w:id="352" w:name="RANGE!A5:I13"/>
            <w:r w:rsidRPr="000F252C">
              <w:rPr>
                <w:rFonts w:ascii="Calibri" w:eastAsia="Times New Roman" w:hAnsi="Calibri" w:cs="Times New Roman"/>
                <w:sz w:val="20"/>
                <w:szCs w:val="20"/>
                <w:lang w:eastAsia="en-AU"/>
              </w:rPr>
              <w:t> </w:t>
            </w:r>
            <w:bookmarkEnd w:id="352"/>
          </w:p>
        </w:tc>
        <w:tc>
          <w:tcPr>
            <w:tcW w:w="780" w:type="dxa"/>
            <w:tcBorders>
              <w:top w:val="single" w:sz="4" w:space="0" w:color="auto"/>
              <w:left w:val="nil"/>
              <w:bottom w:val="single" w:sz="4" w:space="0" w:color="auto"/>
              <w:right w:val="nil"/>
            </w:tcBorders>
            <w:shd w:val="clear" w:color="auto" w:fill="auto"/>
            <w:noWrap/>
            <w:vAlign w:val="center"/>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NSW</w:t>
            </w:r>
          </w:p>
        </w:tc>
        <w:tc>
          <w:tcPr>
            <w:tcW w:w="780" w:type="dxa"/>
            <w:tcBorders>
              <w:top w:val="single" w:sz="4" w:space="0" w:color="auto"/>
              <w:left w:val="nil"/>
              <w:bottom w:val="single" w:sz="4" w:space="0" w:color="auto"/>
              <w:right w:val="nil"/>
            </w:tcBorders>
            <w:shd w:val="clear" w:color="auto" w:fill="auto"/>
            <w:noWrap/>
            <w:vAlign w:val="center"/>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Vic</w:t>
            </w:r>
          </w:p>
        </w:tc>
        <w:tc>
          <w:tcPr>
            <w:tcW w:w="780" w:type="dxa"/>
            <w:tcBorders>
              <w:top w:val="single" w:sz="4" w:space="0" w:color="auto"/>
              <w:left w:val="nil"/>
              <w:bottom w:val="single" w:sz="4" w:space="0" w:color="auto"/>
              <w:right w:val="nil"/>
            </w:tcBorders>
            <w:shd w:val="clear" w:color="auto" w:fill="auto"/>
            <w:noWrap/>
            <w:vAlign w:val="center"/>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Qld</w:t>
            </w:r>
          </w:p>
        </w:tc>
        <w:tc>
          <w:tcPr>
            <w:tcW w:w="720" w:type="dxa"/>
            <w:tcBorders>
              <w:top w:val="single" w:sz="4" w:space="0" w:color="auto"/>
              <w:left w:val="nil"/>
              <w:bottom w:val="single" w:sz="4" w:space="0" w:color="auto"/>
              <w:right w:val="nil"/>
            </w:tcBorders>
            <w:shd w:val="clear" w:color="auto" w:fill="auto"/>
            <w:noWrap/>
            <w:vAlign w:val="center"/>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WA</w:t>
            </w:r>
          </w:p>
        </w:tc>
        <w:tc>
          <w:tcPr>
            <w:tcW w:w="720" w:type="dxa"/>
            <w:tcBorders>
              <w:top w:val="single" w:sz="4" w:space="0" w:color="auto"/>
              <w:left w:val="nil"/>
              <w:bottom w:val="single" w:sz="4" w:space="0" w:color="auto"/>
              <w:right w:val="nil"/>
            </w:tcBorders>
            <w:shd w:val="clear" w:color="auto" w:fill="auto"/>
            <w:noWrap/>
            <w:vAlign w:val="center"/>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SA</w:t>
            </w:r>
          </w:p>
        </w:tc>
        <w:tc>
          <w:tcPr>
            <w:tcW w:w="700" w:type="dxa"/>
            <w:tcBorders>
              <w:top w:val="single" w:sz="4" w:space="0" w:color="auto"/>
              <w:left w:val="nil"/>
              <w:bottom w:val="single" w:sz="4" w:space="0" w:color="auto"/>
              <w:right w:val="nil"/>
            </w:tcBorders>
            <w:shd w:val="clear" w:color="auto" w:fill="auto"/>
            <w:noWrap/>
            <w:vAlign w:val="center"/>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proofErr w:type="spellStart"/>
            <w:r w:rsidRPr="000F252C">
              <w:rPr>
                <w:rFonts w:ascii="Calibri" w:eastAsia="Times New Roman" w:hAnsi="Calibri" w:cs="Times New Roman"/>
                <w:sz w:val="20"/>
                <w:szCs w:val="20"/>
                <w:lang w:eastAsia="en-AU"/>
              </w:rPr>
              <w:t>Tas</w:t>
            </w:r>
            <w:proofErr w:type="spellEnd"/>
          </w:p>
        </w:tc>
        <w:tc>
          <w:tcPr>
            <w:tcW w:w="700" w:type="dxa"/>
            <w:tcBorders>
              <w:top w:val="single" w:sz="4" w:space="0" w:color="auto"/>
              <w:left w:val="nil"/>
              <w:bottom w:val="single" w:sz="4" w:space="0" w:color="auto"/>
              <w:right w:val="nil"/>
            </w:tcBorders>
            <w:shd w:val="clear" w:color="auto" w:fill="auto"/>
            <w:noWrap/>
            <w:vAlign w:val="center"/>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ACT</w:t>
            </w:r>
          </w:p>
        </w:tc>
        <w:tc>
          <w:tcPr>
            <w:tcW w:w="740" w:type="dxa"/>
            <w:tcBorders>
              <w:top w:val="single" w:sz="4" w:space="0" w:color="auto"/>
              <w:left w:val="nil"/>
              <w:bottom w:val="single" w:sz="4" w:space="0" w:color="auto"/>
              <w:right w:val="nil"/>
            </w:tcBorders>
            <w:shd w:val="clear" w:color="auto" w:fill="auto"/>
            <w:noWrap/>
            <w:vAlign w:val="center"/>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NT</w:t>
            </w:r>
          </w:p>
        </w:tc>
        <w:tc>
          <w:tcPr>
            <w:tcW w:w="780" w:type="dxa"/>
            <w:tcBorders>
              <w:top w:val="single" w:sz="4" w:space="0" w:color="auto"/>
              <w:left w:val="nil"/>
              <w:bottom w:val="single" w:sz="4" w:space="0" w:color="auto"/>
              <w:right w:val="nil"/>
            </w:tcBorders>
            <w:shd w:val="clear" w:color="auto" w:fill="auto"/>
            <w:noWrap/>
            <w:vAlign w:val="center"/>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Total</w:t>
            </w:r>
          </w:p>
        </w:tc>
      </w:tr>
      <w:tr w:rsidR="008030E8" w:rsidRPr="000F252C" w:rsidTr="0006306B">
        <w:trPr>
          <w:trHeight w:val="259"/>
        </w:trPr>
        <w:tc>
          <w:tcPr>
            <w:tcW w:w="2240" w:type="dxa"/>
            <w:tcBorders>
              <w:top w:val="nil"/>
              <w:left w:val="nil"/>
              <w:bottom w:val="nil"/>
              <w:right w:val="nil"/>
            </w:tcBorders>
            <w:shd w:val="clear" w:color="auto" w:fill="auto"/>
            <w:noWrap/>
            <w:vAlign w:val="center"/>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p>
        </w:tc>
        <w:tc>
          <w:tcPr>
            <w:tcW w:w="780" w:type="dxa"/>
            <w:tcBorders>
              <w:top w:val="nil"/>
              <w:left w:val="nil"/>
              <w:bottom w:val="nil"/>
              <w:right w:val="nil"/>
            </w:tcBorders>
            <w:shd w:val="clear" w:color="auto" w:fill="auto"/>
            <w:noWrap/>
            <w:vAlign w:val="center"/>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$m</w:t>
            </w:r>
          </w:p>
        </w:tc>
        <w:tc>
          <w:tcPr>
            <w:tcW w:w="780" w:type="dxa"/>
            <w:tcBorders>
              <w:top w:val="nil"/>
              <w:left w:val="nil"/>
              <w:bottom w:val="nil"/>
              <w:right w:val="nil"/>
            </w:tcBorders>
            <w:shd w:val="clear" w:color="auto" w:fill="auto"/>
            <w:noWrap/>
            <w:vAlign w:val="center"/>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$m</w:t>
            </w:r>
          </w:p>
        </w:tc>
        <w:tc>
          <w:tcPr>
            <w:tcW w:w="780" w:type="dxa"/>
            <w:tcBorders>
              <w:top w:val="nil"/>
              <w:left w:val="nil"/>
              <w:bottom w:val="nil"/>
              <w:right w:val="nil"/>
            </w:tcBorders>
            <w:shd w:val="clear" w:color="auto" w:fill="auto"/>
            <w:noWrap/>
            <w:vAlign w:val="center"/>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center"/>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center"/>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center"/>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center"/>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center"/>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$m</w:t>
            </w:r>
          </w:p>
        </w:tc>
        <w:tc>
          <w:tcPr>
            <w:tcW w:w="780" w:type="dxa"/>
            <w:tcBorders>
              <w:top w:val="nil"/>
              <w:left w:val="nil"/>
              <w:bottom w:val="nil"/>
              <w:right w:val="nil"/>
            </w:tcBorders>
            <w:shd w:val="clear" w:color="auto" w:fill="auto"/>
            <w:noWrap/>
            <w:vAlign w:val="center"/>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$m</w:t>
            </w:r>
          </w:p>
        </w:tc>
      </w:tr>
      <w:tr w:rsidR="008030E8" w:rsidRPr="000F252C" w:rsidTr="0006306B">
        <w:trPr>
          <w:trHeight w:val="315"/>
        </w:trPr>
        <w:tc>
          <w:tcPr>
            <w:tcW w:w="224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Estimated 2014-15</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16 774</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11 828</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11 704</w:t>
            </w:r>
          </w:p>
        </w:tc>
        <w:tc>
          <w:tcPr>
            <w:tcW w:w="72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2 248</w:t>
            </w:r>
          </w:p>
        </w:tc>
        <w:tc>
          <w:tcPr>
            <w:tcW w:w="72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4 955</w:t>
            </w:r>
          </w:p>
        </w:tc>
        <w:tc>
          <w:tcPr>
            <w:tcW w:w="70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1 914</w:t>
            </w:r>
          </w:p>
        </w:tc>
        <w:tc>
          <w:tcPr>
            <w:tcW w:w="70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1 097</w:t>
            </w:r>
          </w:p>
        </w:tc>
        <w:tc>
          <w:tcPr>
            <w:tcW w:w="74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3 189</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53 710</w:t>
            </w:r>
          </w:p>
        </w:tc>
      </w:tr>
      <w:tr w:rsidR="008030E8" w:rsidRPr="000F252C" w:rsidTr="0006306B">
        <w:trPr>
          <w:trHeight w:val="315"/>
        </w:trPr>
        <w:tc>
          <w:tcPr>
            <w:tcW w:w="224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Illustrative 2015-16</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17 311</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12 755</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13 046</w:t>
            </w:r>
          </w:p>
        </w:tc>
        <w:tc>
          <w:tcPr>
            <w:tcW w:w="72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1 935</w:t>
            </w:r>
          </w:p>
        </w:tc>
        <w:tc>
          <w:tcPr>
            <w:tcW w:w="72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5 525</w:t>
            </w:r>
          </w:p>
        </w:tc>
        <w:tc>
          <w:tcPr>
            <w:tcW w:w="70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2 236</w:t>
            </w:r>
          </w:p>
        </w:tc>
        <w:tc>
          <w:tcPr>
            <w:tcW w:w="70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1 040</w:t>
            </w:r>
          </w:p>
        </w:tc>
        <w:tc>
          <w:tcPr>
            <w:tcW w:w="74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3 351</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57 200</w:t>
            </w:r>
          </w:p>
        </w:tc>
      </w:tr>
      <w:tr w:rsidR="008030E8" w:rsidRPr="000F252C" w:rsidTr="0006306B">
        <w:trPr>
          <w:trHeight w:val="315"/>
        </w:trPr>
        <w:tc>
          <w:tcPr>
            <w:tcW w:w="224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Change</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537</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927</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1 342</w:t>
            </w:r>
          </w:p>
        </w:tc>
        <w:tc>
          <w:tcPr>
            <w:tcW w:w="72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-313</w:t>
            </w:r>
          </w:p>
        </w:tc>
        <w:tc>
          <w:tcPr>
            <w:tcW w:w="72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571</w:t>
            </w:r>
          </w:p>
        </w:tc>
        <w:tc>
          <w:tcPr>
            <w:tcW w:w="70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322</w:t>
            </w:r>
          </w:p>
        </w:tc>
        <w:tc>
          <w:tcPr>
            <w:tcW w:w="70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-57</w:t>
            </w:r>
          </w:p>
        </w:tc>
        <w:tc>
          <w:tcPr>
            <w:tcW w:w="74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161</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3 490</w:t>
            </w:r>
          </w:p>
        </w:tc>
      </w:tr>
      <w:tr w:rsidR="008030E8" w:rsidRPr="000F252C" w:rsidTr="0006306B">
        <w:trPr>
          <w:trHeight w:val="315"/>
        </w:trPr>
        <w:tc>
          <w:tcPr>
            <w:tcW w:w="224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Change caused by new:</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p>
        </w:tc>
        <w:tc>
          <w:tcPr>
            <w:tcW w:w="74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p>
        </w:tc>
      </w:tr>
      <w:tr w:rsidR="008030E8" w:rsidRPr="000F252C" w:rsidTr="0006306B">
        <w:trPr>
          <w:trHeight w:val="315"/>
        </w:trPr>
        <w:tc>
          <w:tcPr>
            <w:tcW w:w="224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Population</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-34</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26</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24</w:t>
            </w:r>
          </w:p>
        </w:tc>
        <w:tc>
          <w:tcPr>
            <w:tcW w:w="72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32</w:t>
            </w:r>
          </w:p>
        </w:tc>
        <w:tc>
          <w:tcPr>
            <w:tcW w:w="72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-33</w:t>
            </w:r>
          </w:p>
        </w:tc>
        <w:tc>
          <w:tcPr>
            <w:tcW w:w="70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-26</w:t>
            </w:r>
          </w:p>
        </w:tc>
        <w:tc>
          <w:tcPr>
            <w:tcW w:w="70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w:t>
            </w:r>
          </w:p>
        </w:tc>
        <w:tc>
          <w:tcPr>
            <w:tcW w:w="74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10</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0</w:t>
            </w:r>
          </w:p>
        </w:tc>
      </w:tr>
      <w:tr w:rsidR="008030E8" w:rsidRPr="000F252C" w:rsidTr="0006306B">
        <w:trPr>
          <w:trHeight w:val="315"/>
        </w:trPr>
        <w:tc>
          <w:tcPr>
            <w:tcW w:w="224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Pool</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1 088</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770</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762</w:t>
            </w:r>
          </w:p>
        </w:tc>
        <w:tc>
          <w:tcPr>
            <w:tcW w:w="72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148</w:t>
            </w:r>
          </w:p>
        </w:tc>
        <w:tc>
          <w:tcPr>
            <w:tcW w:w="72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320</w:t>
            </w:r>
          </w:p>
        </w:tc>
        <w:tc>
          <w:tcPr>
            <w:tcW w:w="70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123</w:t>
            </w:r>
          </w:p>
        </w:tc>
        <w:tc>
          <w:tcPr>
            <w:tcW w:w="70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71</w:t>
            </w:r>
          </w:p>
        </w:tc>
        <w:tc>
          <w:tcPr>
            <w:tcW w:w="74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208</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3 490</w:t>
            </w:r>
          </w:p>
        </w:tc>
      </w:tr>
      <w:tr w:rsidR="008030E8" w:rsidRPr="000F252C" w:rsidTr="0006306B">
        <w:trPr>
          <w:trHeight w:val="315"/>
        </w:trPr>
        <w:tc>
          <w:tcPr>
            <w:tcW w:w="224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Fiscal capacities</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-517</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131</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556</w:t>
            </w:r>
          </w:p>
        </w:tc>
        <w:tc>
          <w:tcPr>
            <w:tcW w:w="72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-494</w:t>
            </w:r>
          </w:p>
        </w:tc>
        <w:tc>
          <w:tcPr>
            <w:tcW w:w="72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284</w:t>
            </w:r>
          </w:p>
        </w:tc>
        <w:tc>
          <w:tcPr>
            <w:tcW w:w="70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225</w:t>
            </w:r>
          </w:p>
        </w:tc>
        <w:tc>
          <w:tcPr>
            <w:tcW w:w="70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-129</w:t>
            </w:r>
          </w:p>
        </w:tc>
        <w:tc>
          <w:tcPr>
            <w:tcW w:w="74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-56</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0</w:t>
            </w:r>
          </w:p>
        </w:tc>
      </w:tr>
      <w:tr w:rsidR="008030E8" w:rsidRPr="000F252C" w:rsidTr="0006306B">
        <w:trPr>
          <w:trHeight w:val="315"/>
        </w:trPr>
        <w:tc>
          <w:tcPr>
            <w:tcW w:w="2240" w:type="dxa"/>
            <w:tcBorders>
              <w:top w:val="nil"/>
              <w:left w:val="nil"/>
              <w:bottom w:val="nil"/>
              <w:right w:val="nil"/>
            </w:tcBorders>
            <w:shd w:val="clear" w:color="auto" w:fill="auto"/>
            <w:noWrap/>
            <w:vAlign w:val="bottom"/>
            <w:hideMark/>
          </w:tcPr>
          <w:p w:rsidR="008030E8" w:rsidRPr="000F252C" w:rsidRDefault="008030E8" w:rsidP="0006306B">
            <w:pPr>
              <w:tabs>
                <w:tab w:val="clear" w:pos="567"/>
              </w:tabs>
              <w:spacing w:after="0" w:line="240" w:lineRule="auto"/>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 xml:space="preserve">  - Method changes</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-105</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423</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-186</w:t>
            </w:r>
          </w:p>
        </w:tc>
        <w:tc>
          <w:tcPr>
            <w:tcW w:w="72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-255</w:t>
            </w:r>
          </w:p>
        </w:tc>
        <w:tc>
          <w:tcPr>
            <w:tcW w:w="72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74</w:t>
            </w:r>
          </w:p>
        </w:tc>
        <w:tc>
          <w:tcPr>
            <w:tcW w:w="70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89</w:t>
            </w:r>
          </w:p>
        </w:tc>
        <w:tc>
          <w:tcPr>
            <w:tcW w:w="70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-93</w:t>
            </w:r>
          </w:p>
        </w:tc>
        <w:tc>
          <w:tcPr>
            <w:tcW w:w="74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53</w:t>
            </w:r>
          </w:p>
        </w:tc>
        <w:tc>
          <w:tcPr>
            <w:tcW w:w="780" w:type="dxa"/>
            <w:tcBorders>
              <w:top w:val="nil"/>
              <w:left w:val="nil"/>
              <w:bottom w:val="nil"/>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0</w:t>
            </w:r>
          </w:p>
        </w:tc>
      </w:tr>
      <w:tr w:rsidR="00CE75E5" w:rsidRPr="000F252C" w:rsidTr="00C84F41">
        <w:trPr>
          <w:trHeight w:val="315"/>
        </w:trPr>
        <w:tc>
          <w:tcPr>
            <w:tcW w:w="2240" w:type="dxa"/>
            <w:tcBorders>
              <w:top w:val="nil"/>
              <w:left w:val="nil"/>
              <w:bottom w:val="nil"/>
              <w:right w:val="nil"/>
            </w:tcBorders>
            <w:shd w:val="clear" w:color="auto" w:fill="auto"/>
            <w:noWrap/>
            <w:vAlign w:val="bottom"/>
            <w:hideMark/>
          </w:tcPr>
          <w:p w:rsidR="00CE75E5" w:rsidRPr="000F252C" w:rsidRDefault="00CE75E5" w:rsidP="00C84F41">
            <w:pPr>
              <w:tabs>
                <w:tab w:val="clear" w:pos="567"/>
              </w:tabs>
              <w:spacing w:after="0" w:line="240" w:lineRule="auto"/>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 xml:space="preserve">  - Revised data</w:t>
            </w:r>
          </w:p>
        </w:tc>
        <w:tc>
          <w:tcPr>
            <w:tcW w:w="780" w:type="dxa"/>
            <w:tcBorders>
              <w:top w:val="nil"/>
              <w:left w:val="nil"/>
              <w:bottom w:val="nil"/>
              <w:right w:val="nil"/>
            </w:tcBorders>
            <w:shd w:val="clear" w:color="auto" w:fill="auto"/>
            <w:vAlign w:val="bottom"/>
            <w:hideMark/>
          </w:tcPr>
          <w:p w:rsidR="00CE75E5" w:rsidRPr="000F252C" w:rsidRDefault="00CE75E5" w:rsidP="00C84F41">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-157</w:t>
            </w:r>
          </w:p>
        </w:tc>
        <w:tc>
          <w:tcPr>
            <w:tcW w:w="780" w:type="dxa"/>
            <w:tcBorders>
              <w:top w:val="nil"/>
              <w:left w:val="nil"/>
              <w:bottom w:val="nil"/>
              <w:right w:val="nil"/>
            </w:tcBorders>
            <w:shd w:val="clear" w:color="auto" w:fill="auto"/>
            <w:vAlign w:val="bottom"/>
            <w:hideMark/>
          </w:tcPr>
          <w:p w:rsidR="00CE75E5" w:rsidRPr="000F252C" w:rsidRDefault="00CE75E5" w:rsidP="00C84F41">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-44</w:t>
            </w:r>
          </w:p>
        </w:tc>
        <w:tc>
          <w:tcPr>
            <w:tcW w:w="780" w:type="dxa"/>
            <w:tcBorders>
              <w:top w:val="nil"/>
              <w:left w:val="nil"/>
              <w:bottom w:val="nil"/>
              <w:right w:val="nil"/>
            </w:tcBorders>
            <w:shd w:val="clear" w:color="auto" w:fill="auto"/>
            <w:vAlign w:val="bottom"/>
            <w:hideMark/>
          </w:tcPr>
          <w:p w:rsidR="00CE75E5" w:rsidRPr="000F252C" w:rsidRDefault="00CE75E5" w:rsidP="00C84F41">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-45</w:t>
            </w:r>
          </w:p>
        </w:tc>
        <w:tc>
          <w:tcPr>
            <w:tcW w:w="720" w:type="dxa"/>
            <w:tcBorders>
              <w:top w:val="nil"/>
              <w:left w:val="nil"/>
              <w:bottom w:val="nil"/>
              <w:right w:val="nil"/>
            </w:tcBorders>
            <w:shd w:val="clear" w:color="auto" w:fill="auto"/>
            <w:vAlign w:val="bottom"/>
            <w:hideMark/>
          </w:tcPr>
          <w:p w:rsidR="00CE75E5" w:rsidRPr="000F252C" w:rsidRDefault="00CE75E5" w:rsidP="00C84F41">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202</w:t>
            </w:r>
          </w:p>
        </w:tc>
        <w:tc>
          <w:tcPr>
            <w:tcW w:w="720" w:type="dxa"/>
            <w:tcBorders>
              <w:top w:val="nil"/>
              <w:left w:val="nil"/>
              <w:bottom w:val="nil"/>
              <w:right w:val="nil"/>
            </w:tcBorders>
            <w:shd w:val="clear" w:color="auto" w:fill="auto"/>
            <w:vAlign w:val="bottom"/>
            <w:hideMark/>
          </w:tcPr>
          <w:p w:rsidR="00CE75E5" w:rsidRPr="000F252C" w:rsidRDefault="00CE75E5" w:rsidP="00C84F41">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58</w:t>
            </w:r>
          </w:p>
        </w:tc>
        <w:tc>
          <w:tcPr>
            <w:tcW w:w="700" w:type="dxa"/>
            <w:tcBorders>
              <w:top w:val="nil"/>
              <w:left w:val="nil"/>
              <w:bottom w:val="nil"/>
              <w:right w:val="nil"/>
            </w:tcBorders>
            <w:shd w:val="clear" w:color="auto" w:fill="auto"/>
            <w:vAlign w:val="bottom"/>
            <w:hideMark/>
          </w:tcPr>
          <w:p w:rsidR="00CE75E5" w:rsidRPr="000F252C" w:rsidRDefault="00CE75E5" w:rsidP="00C84F41">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-7</w:t>
            </w:r>
          </w:p>
        </w:tc>
        <w:tc>
          <w:tcPr>
            <w:tcW w:w="700" w:type="dxa"/>
            <w:tcBorders>
              <w:top w:val="nil"/>
              <w:left w:val="nil"/>
              <w:bottom w:val="nil"/>
              <w:right w:val="nil"/>
            </w:tcBorders>
            <w:shd w:val="clear" w:color="auto" w:fill="auto"/>
            <w:vAlign w:val="bottom"/>
            <w:hideMark/>
          </w:tcPr>
          <w:p w:rsidR="00CE75E5" w:rsidRPr="000F252C" w:rsidRDefault="00CE75E5" w:rsidP="00C84F41">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-47</w:t>
            </w:r>
          </w:p>
        </w:tc>
        <w:tc>
          <w:tcPr>
            <w:tcW w:w="740" w:type="dxa"/>
            <w:tcBorders>
              <w:top w:val="nil"/>
              <w:left w:val="nil"/>
              <w:bottom w:val="nil"/>
              <w:right w:val="nil"/>
            </w:tcBorders>
            <w:shd w:val="clear" w:color="auto" w:fill="auto"/>
            <w:vAlign w:val="bottom"/>
            <w:hideMark/>
          </w:tcPr>
          <w:p w:rsidR="00CE75E5" w:rsidRPr="000F252C" w:rsidRDefault="00CE75E5" w:rsidP="00C84F41">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40</w:t>
            </w:r>
          </w:p>
        </w:tc>
        <w:tc>
          <w:tcPr>
            <w:tcW w:w="780" w:type="dxa"/>
            <w:tcBorders>
              <w:top w:val="nil"/>
              <w:left w:val="nil"/>
              <w:bottom w:val="nil"/>
              <w:right w:val="nil"/>
            </w:tcBorders>
            <w:shd w:val="clear" w:color="auto" w:fill="auto"/>
            <w:vAlign w:val="bottom"/>
            <w:hideMark/>
          </w:tcPr>
          <w:p w:rsidR="00CE75E5" w:rsidRPr="000F252C" w:rsidRDefault="00CE75E5" w:rsidP="00C84F41">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0</w:t>
            </w:r>
          </w:p>
        </w:tc>
      </w:tr>
      <w:tr w:rsidR="008030E8" w:rsidRPr="000F252C" w:rsidTr="0006306B">
        <w:trPr>
          <w:trHeight w:val="315"/>
        </w:trPr>
        <w:tc>
          <w:tcPr>
            <w:tcW w:w="2240" w:type="dxa"/>
            <w:tcBorders>
              <w:top w:val="nil"/>
              <w:left w:val="nil"/>
              <w:bottom w:val="nil"/>
              <w:right w:val="nil"/>
            </w:tcBorders>
            <w:shd w:val="clear" w:color="auto" w:fill="auto"/>
            <w:noWrap/>
            <w:vAlign w:val="bottom"/>
            <w:hideMark/>
          </w:tcPr>
          <w:p w:rsidR="008030E8" w:rsidRPr="000F252C" w:rsidRDefault="008030E8" w:rsidP="0006306B">
            <w:pPr>
              <w:tabs>
                <w:tab w:val="clear" w:pos="567"/>
              </w:tabs>
              <w:spacing w:after="0" w:line="240" w:lineRule="auto"/>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 xml:space="preserve">  - New circumstances</w:t>
            </w:r>
          </w:p>
        </w:tc>
        <w:tc>
          <w:tcPr>
            <w:tcW w:w="78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-254</w:t>
            </w:r>
          </w:p>
        </w:tc>
        <w:tc>
          <w:tcPr>
            <w:tcW w:w="78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-249</w:t>
            </w:r>
          </w:p>
        </w:tc>
        <w:tc>
          <w:tcPr>
            <w:tcW w:w="78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787</w:t>
            </w:r>
          </w:p>
        </w:tc>
        <w:tc>
          <w:tcPr>
            <w:tcW w:w="72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-441</w:t>
            </w:r>
          </w:p>
        </w:tc>
        <w:tc>
          <w:tcPr>
            <w:tcW w:w="72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152</w:t>
            </w:r>
          </w:p>
        </w:tc>
        <w:tc>
          <w:tcPr>
            <w:tcW w:w="70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144</w:t>
            </w:r>
          </w:p>
        </w:tc>
        <w:tc>
          <w:tcPr>
            <w:tcW w:w="70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10</w:t>
            </w:r>
          </w:p>
        </w:tc>
        <w:tc>
          <w:tcPr>
            <w:tcW w:w="74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-149</w:t>
            </w:r>
          </w:p>
        </w:tc>
        <w:tc>
          <w:tcPr>
            <w:tcW w:w="78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0</w:t>
            </w:r>
          </w:p>
        </w:tc>
      </w:tr>
      <w:tr w:rsidR="008030E8" w:rsidRPr="000F252C" w:rsidTr="0006306B">
        <w:trPr>
          <w:trHeight w:val="315"/>
        </w:trPr>
        <w:tc>
          <w:tcPr>
            <w:tcW w:w="2240" w:type="dxa"/>
            <w:tcBorders>
              <w:top w:val="nil"/>
              <w:left w:val="nil"/>
              <w:bottom w:val="nil"/>
              <w:right w:val="nil"/>
            </w:tcBorders>
            <w:shd w:val="clear" w:color="auto" w:fill="auto"/>
            <w:noWrap/>
            <w:vAlign w:val="bottom"/>
            <w:hideMark/>
          </w:tcPr>
          <w:p w:rsidR="008030E8" w:rsidRPr="000F252C" w:rsidRDefault="008030E8" w:rsidP="0006306B">
            <w:pPr>
              <w:tabs>
                <w:tab w:val="clear" w:pos="567"/>
              </w:tabs>
              <w:spacing w:after="0" w:line="240" w:lineRule="auto"/>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Change ($m)</w:t>
            </w:r>
          </w:p>
        </w:tc>
        <w:tc>
          <w:tcPr>
            <w:tcW w:w="78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537</w:t>
            </w:r>
          </w:p>
        </w:tc>
        <w:tc>
          <w:tcPr>
            <w:tcW w:w="78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927</w:t>
            </w:r>
          </w:p>
        </w:tc>
        <w:tc>
          <w:tcPr>
            <w:tcW w:w="78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1 342</w:t>
            </w:r>
          </w:p>
        </w:tc>
        <w:tc>
          <w:tcPr>
            <w:tcW w:w="72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-313</w:t>
            </w:r>
          </w:p>
        </w:tc>
        <w:tc>
          <w:tcPr>
            <w:tcW w:w="72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571</w:t>
            </w:r>
          </w:p>
        </w:tc>
        <w:tc>
          <w:tcPr>
            <w:tcW w:w="70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322</w:t>
            </w:r>
          </w:p>
        </w:tc>
        <w:tc>
          <w:tcPr>
            <w:tcW w:w="70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-57</w:t>
            </w:r>
          </w:p>
        </w:tc>
        <w:tc>
          <w:tcPr>
            <w:tcW w:w="74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161</w:t>
            </w:r>
          </w:p>
        </w:tc>
        <w:tc>
          <w:tcPr>
            <w:tcW w:w="78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3 490</w:t>
            </w:r>
          </w:p>
        </w:tc>
      </w:tr>
      <w:tr w:rsidR="008030E8" w:rsidRPr="000F252C" w:rsidTr="0006306B">
        <w:trPr>
          <w:trHeight w:val="315"/>
        </w:trPr>
        <w:tc>
          <w:tcPr>
            <w:tcW w:w="2240" w:type="dxa"/>
            <w:tcBorders>
              <w:top w:val="nil"/>
              <w:left w:val="nil"/>
              <w:bottom w:val="single" w:sz="4" w:space="0" w:color="auto"/>
              <w:right w:val="nil"/>
            </w:tcBorders>
            <w:shd w:val="clear" w:color="auto" w:fill="auto"/>
            <w:noWrap/>
            <w:vAlign w:val="bottom"/>
            <w:hideMark/>
          </w:tcPr>
          <w:p w:rsidR="008030E8" w:rsidRPr="000F252C" w:rsidRDefault="008030E8" w:rsidP="0006306B">
            <w:pPr>
              <w:tabs>
                <w:tab w:val="clear" w:pos="567"/>
              </w:tabs>
              <w:spacing w:after="0" w:line="240" w:lineRule="auto"/>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Change ($pc)</w:t>
            </w:r>
          </w:p>
        </w:tc>
        <w:tc>
          <w:tcPr>
            <w:tcW w:w="78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70</w:t>
            </w:r>
          </w:p>
        </w:tc>
        <w:tc>
          <w:tcPr>
            <w:tcW w:w="78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154</w:t>
            </w:r>
          </w:p>
        </w:tc>
        <w:tc>
          <w:tcPr>
            <w:tcW w:w="78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276</w:t>
            </w:r>
          </w:p>
        </w:tc>
        <w:tc>
          <w:tcPr>
            <w:tcW w:w="72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-116</w:t>
            </w:r>
          </w:p>
        </w:tc>
        <w:tc>
          <w:tcPr>
            <w:tcW w:w="72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334</w:t>
            </w:r>
          </w:p>
        </w:tc>
        <w:tc>
          <w:tcPr>
            <w:tcW w:w="70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623</w:t>
            </w:r>
          </w:p>
        </w:tc>
        <w:tc>
          <w:tcPr>
            <w:tcW w:w="70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-143</w:t>
            </w:r>
          </w:p>
        </w:tc>
        <w:tc>
          <w:tcPr>
            <w:tcW w:w="74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638</w:t>
            </w:r>
          </w:p>
        </w:tc>
        <w:tc>
          <w:tcPr>
            <w:tcW w:w="780" w:type="dxa"/>
            <w:tcBorders>
              <w:top w:val="nil"/>
              <w:left w:val="nil"/>
              <w:bottom w:val="single" w:sz="4" w:space="0" w:color="auto"/>
              <w:right w:val="nil"/>
            </w:tcBorders>
            <w:shd w:val="clear" w:color="auto" w:fill="auto"/>
            <w:vAlign w:val="bottom"/>
            <w:hideMark/>
          </w:tcPr>
          <w:p w:rsidR="008030E8" w:rsidRPr="000F252C" w:rsidRDefault="008030E8" w:rsidP="0006306B">
            <w:pPr>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145</w:t>
            </w:r>
          </w:p>
        </w:tc>
      </w:tr>
    </w:tbl>
    <w:p w:rsidR="00A004DA" w:rsidRPr="00EC79CF" w:rsidRDefault="00A004DA" w:rsidP="00A004DA">
      <w:pPr>
        <w:pStyle w:val="CGCTableFootnote"/>
      </w:pPr>
      <w:r w:rsidRPr="00EC79CF">
        <w:t>Source:</w:t>
      </w:r>
      <w:r w:rsidRPr="00EC79CF">
        <w:tab/>
        <w:t xml:space="preserve">Australian Government Budget, </w:t>
      </w:r>
      <w:r w:rsidRPr="00EC79CF">
        <w:rPr>
          <w:i/>
        </w:rPr>
        <w:t>Mid</w:t>
      </w:r>
      <w:r w:rsidRPr="00EC79CF">
        <w:rPr>
          <w:i/>
        </w:rPr>
        <w:noBreakHyphen/>
        <w:t xml:space="preserve">Year Economic and Fiscal Outlook 2014-15, </w:t>
      </w:r>
      <w:r w:rsidRPr="00EC79CF">
        <w:t>Commonwealth Treasury</w:t>
      </w:r>
      <w:r w:rsidR="00891E6C">
        <w:t xml:space="preserve"> and Commission calculation</w:t>
      </w:r>
      <w:r w:rsidRPr="00EC79CF">
        <w:t>.</w:t>
      </w:r>
    </w:p>
    <w:p w:rsidR="00A004DA" w:rsidRDefault="00A004DA" w:rsidP="00C20E52">
      <w:pPr>
        <w:pStyle w:val="CGCNumberedPara"/>
        <w:numPr>
          <w:ilvl w:val="1"/>
          <w:numId w:val="2"/>
        </w:numPr>
      </w:pPr>
      <w:r w:rsidRPr="00EC79CF">
        <w:t>The major cause of change in State fiscal capacities was due to changes in State capacities to raise revenues from mining royalties. Western Australia’s capacity to raise revenue increased further, reducing its need for GST. There has been a dramatic increase in natural disaster relief expenses claimed by Queensland</w:t>
      </w:r>
      <w:r w:rsidR="004538F1">
        <w:t xml:space="preserve"> under </w:t>
      </w:r>
      <w:r w:rsidR="00815584">
        <w:t xml:space="preserve">the </w:t>
      </w:r>
      <w:r w:rsidR="00815584" w:rsidRPr="00434AC7">
        <w:t>Natural Disaster Relief and Recovery Arrangements (NDRRA)</w:t>
      </w:r>
      <w:r w:rsidRPr="00EC79CF">
        <w:t xml:space="preserve"> in 2013-14, leading to increases in its GST share. The increased investment needs arising from changes in population growth and the inclusion of housing and urban transpor</w:t>
      </w:r>
      <w:r w:rsidR="00376E11">
        <w:t>t infrastructure in the i</w:t>
      </w:r>
      <w:r w:rsidRPr="00EC79CF">
        <w:t>nvestment assessment increased Western Australia’s need for GST and reduced that of Queensland.</w:t>
      </w:r>
    </w:p>
    <w:p w:rsidR="005558EE" w:rsidRPr="00EC79CF" w:rsidRDefault="005558EE" w:rsidP="005558EE">
      <w:pPr>
        <w:pStyle w:val="CGCNumberedPara"/>
        <w:numPr>
          <w:ilvl w:val="0"/>
          <w:numId w:val="0"/>
        </w:numPr>
        <w:ind w:left="567"/>
      </w:pPr>
    </w:p>
    <w:p w:rsidR="00A004DA" w:rsidRPr="00EC79CF" w:rsidRDefault="00A004DA" w:rsidP="00A004DA">
      <w:pPr>
        <w:pStyle w:val="Heading4"/>
      </w:pPr>
      <w:r w:rsidRPr="00EC79CF">
        <w:lastRenderedPageBreak/>
        <w:t>Method changes</w:t>
      </w:r>
    </w:p>
    <w:p w:rsidR="00A004DA" w:rsidRPr="00EC79CF" w:rsidRDefault="00A004DA" w:rsidP="00C20E52">
      <w:pPr>
        <w:pStyle w:val="CGCNumberedPara"/>
        <w:numPr>
          <w:ilvl w:val="1"/>
          <w:numId w:val="2"/>
        </w:numPr>
      </w:pPr>
      <w:r w:rsidRPr="00EC79CF">
        <w:t>The development of revised methods has benefited from substantial consultation with all States and detailed submissions from them.</w:t>
      </w:r>
    </w:p>
    <w:p w:rsidR="00A004DA" w:rsidRPr="00EC79CF" w:rsidRDefault="00A004DA" w:rsidP="00C20E52">
      <w:pPr>
        <w:pStyle w:val="CGCNumberedPara"/>
        <w:numPr>
          <w:ilvl w:val="1"/>
          <w:numId w:val="2"/>
        </w:numPr>
      </w:pPr>
      <w:r w:rsidRPr="00EC79CF">
        <w:t xml:space="preserve">In this review, we have not changed how fiscal equalisation is defined </w:t>
      </w:r>
      <w:r w:rsidR="00E70AD9">
        <w:t>n</w:t>
      </w:r>
      <w:r w:rsidRPr="00EC79CF">
        <w:t>or what we equalise (net financial worth). We have continued to use the same assessment principles to guide us in our work. Methods, as far as practical</w:t>
      </w:r>
      <w:r w:rsidR="007D5DA3">
        <w:t xml:space="preserve"> and feasible</w:t>
      </w:r>
      <w:r w:rsidRPr="00EC79CF">
        <w:t>, should:</w:t>
      </w:r>
    </w:p>
    <w:p w:rsidR="00A004DA" w:rsidRPr="00EC79CF" w:rsidRDefault="00A004DA" w:rsidP="00C20E52">
      <w:pPr>
        <w:pStyle w:val="CGCBulletlist"/>
        <w:numPr>
          <w:ilvl w:val="0"/>
          <w:numId w:val="1"/>
        </w:numPr>
        <w:tabs>
          <w:tab w:val="clear" w:pos="927"/>
          <w:tab w:val="left" w:pos="1134"/>
        </w:tabs>
        <w:ind w:left="1134" w:hanging="567"/>
      </w:pPr>
      <w:r w:rsidRPr="00EC79CF">
        <w:t xml:space="preserve">reflect </w:t>
      </w:r>
      <w:r w:rsidR="007D5DA3">
        <w:t>what States do</w:t>
      </w:r>
    </w:p>
    <w:p w:rsidR="00A004DA" w:rsidRPr="00EC79CF" w:rsidRDefault="00A004DA" w:rsidP="00C20E52">
      <w:pPr>
        <w:pStyle w:val="CGCBulletlist"/>
        <w:numPr>
          <w:ilvl w:val="0"/>
          <w:numId w:val="1"/>
        </w:numPr>
        <w:tabs>
          <w:tab w:val="clear" w:pos="927"/>
          <w:tab w:val="left" w:pos="1134"/>
        </w:tabs>
        <w:ind w:left="1134" w:hanging="567"/>
      </w:pPr>
      <w:r w:rsidRPr="00EC79CF">
        <w:t>be policy neutral in that an individual State should not be able, by its own actions, to directly influence its own share of the GST distribution</w:t>
      </w:r>
    </w:p>
    <w:p w:rsidR="00A004DA" w:rsidRPr="00EC79CF" w:rsidRDefault="00A004DA" w:rsidP="00C20E52">
      <w:pPr>
        <w:pStyle w:val="CGCBulletlist"/>
        <w:numPr>
          <w:ilvl w:val="0"/>
          <w:numId w:val="1"/>
        </w:numPr>
        <w:tabs>
          <w:tab w:val="clear" w:pos="927"/>
          <w:tab w:val="left" w:pos="1134"/>
        </w:tabs>
        <w:ind w:left="1134" w:hanging="567"/>
      </w:pPr>
      <w:r w:rsidRPr="00EC79CF">
        <w:t>capture as contemporaneously as reliable data will allow, the conditions in the States in the year the GST is distributed</w:t>
      </w:r>
    </w:p>
    <w:p w:rsidR="00A004DA" w:rsidRPr="00EC79CF" w:rsidRDefault="00A004DA" w:rsidP="00C20E52">
      <w:pPr>
        <w:pStyle w:val="CGCBulletlist"/>
        <w:numPr>
          <w:ilvl w:val="0"/>
          <w:numId w:val="1"/>
        </w:numPr>
        <w:tabs>
          <w:tab w:val="clear" w:pos="927"/>
          <w:tab w:val="left" w:pos="1134"/>
        </w:tabs>
        <w:ind w:left="1134" w:hanging="567"/>
      </w:pPr>
      <w:proofErr w:type="gramStart"/>
      <w:r w:rsidRPr="00EC79CF">
        <w:t>be</w:t>
      </w:r>
      <w:proofErr w:type="gramEnd"/>
      <w:r w:rsidRPr="00EC79CF">
        <w:t xml:space="preserve"> derived in a practical way, as simply as possible, consistent with achieving </w:t>
      </w:r>
      <w:r w:rsidR="007D5DA3">
        <w:t xml:space="preserve">horizontal </w:t>
      </w:r>
      <w:r w:rsidRPr="00EC79CF">
        <w:t>fiscal equalisation and the quality of the available data.</w:t>
      </w:r>
    </w:p>
    <w:p w:rsidR="00A004DA" w:rsidRPr="00EC79CF" w:rsidRDefault="00A004DA" w:rsidP="00C20E52">
      <w:pPr>
        <w:pStyle w:val="CGCNumberedPara"/>
        <w:numPr>
          <w:ilvl w:val="1"/>
          <w:numId w:val="2"/>
        </w:numPr>
      </w:pPr>
      <w:r w:rsidRPr="00EC79CF">
        <w:t>However, we have sought to develop methods that reflect State policy and practice in service delivery and revenue raising, and which are resilient so that they will continue to be relevant and appropriate as State policies change and as their economic and social circumstances change. This has meant some changes to previous methods to get the best available measure of innate fiscal capacities. In some cases, a method change was made because of changes in the data available to us.</w:t>
      </w:r>
    </w:p>
    <w:p w:rsidR="00A004DA" w:rsidRPr="00EC79CF" w:rsidRDefault="00592B19" w:rsidP="00C20E52">
      <w:pPr>
        <w:pStyle w:val="CGCNumberedPara"/>
        <w:numPr>
          <w:ilvl w:val="1"/>
          <w:numId w:val="2"/>
        </w:numPr>
      </w:pPr>
      <w:r>
        <w:t>W</w:t>
      </w:r>
      <w:r w:rsidR="00A004DA" w:rsidRPr="00EC79CF">
        <w:t xml:space="preserve">e have adapted the methods </w:t>
      </w:r>
      <w:r w:rsidR="007D5DA3">
        <w:t>used</w:t>
      </w:r>
      <w:r w:rsidR="007D5DA3" w:rsidRPr="00EC79CF">
        <w:t xml:space="preserve"> </w:t>
      </w:r>
      <w:r w:rsidR="00A004DA" w:rsidRPr="00EC79CF">
        <w:t>in previous reviews to make them more relevant. For example, in the 2010 Review, we moved to directly capture the impact of State spending on infrastructure to recognise more quickly the impact of different</w:t>
      </w:r>
      <w:r w:rsidR="009E026C">
        <w:t>ial</w:t>
      </w:r>
      <w:r w:rsidR="00A004DA" w:rsidRPr="00EC79CF">
        <w:t xml:space="preserve"> population growth. In this review</w:t>
      </w:r>
      <w:r w:rsidR="00464E43">
        <w:t>,</w:t>
      </w:r>
      <w:r w:rsidR="00A004DA" w:rsidRPr="00EC79CF">
        <w:t xml:space="preserve"> we have broadened the scope of that work to include infrastructure expenditure on public housing and urban public transport.</w:t>
      </w:r>
    </w:p>
    <w:p w:rsidR="00A004DA" w:rsidRPr="00EC79CF" w:rsidRDefault="00A004DA" w:rsidP="00C20E52">
      <w:pPr>
        <w:pStyle w:val="CGCNumberedPara"/>
        <w:numPr>
          <w:ilvl w:val="1"/>
          <w:numId w:val="2"/>
        </w:numPr>
      </w:pPr>
      <w:r w:rsidRPr="00EC79CF">
        <w:t xml:space="preserve">The terms of reference asked us to consider particular </w:t>
      </w:r>
      <w:r w:rsidR="00D505F9">
        <w:t>issues as a matter of priority</w:t>
      </w:r>
      <w:r w:rsidRPr="00EC79CF">
        <w:t xml:space="preserve">. Our response to these issues </w:t>
      </w:r>
      <w:r w:rsidR="00E71D62">
        <w:t>is</w:t>
      </w:r>
      <w:r w:rsidR="00E71D62" w:rsidRPr="00EC79CF">
        <w:t xml:space="preserve"> </w:t>
      </w:r>
      <w:r w:rsidRPr="00EC79CF">
        <w:t>summarised below and in full in Chapter 2 of this volume.</w:t>
      </w:r>
    </w:p>
    <w:p w:rsidR="00A004DA" w:rsidRPr="00EC79CF" w:rsidRDefault="00A004DA" w:rsidP="00C20E52">
      <w:pPr>
        <w:pStyle w:val="CGCBulletlist"/>
        <w:numPr>
          <w:ilvl w:val="0"/>
          <w:numId w:val="1"/>
        </w:numPr>
        <w:tabs>
          <w:tab w:val="clear" w:pos="927"/>
          <w:tab w:val="left" w:pos="1134"/>
        </w:tabs>
        <w:ind w:left="1134" w:hanging="567"/>
      </w:pPr>
      <w:r w:rsidRPr="00EC79CF">
        <w:t>Clause 1(d). To more appropriately capture the changing characteristics of the Indigenous population, we have used a new more direct measure of the socio</w:t>
      </w:r>
      <w:r w:rsidRPr="00EC79CF">
        <w:noBreakHyphen/>
        <w:t xml:space="preserve">economic status of Indigenous residents in assessing service delivery costs. </w:t>
      </w:r>
    </w:p>
    <w:p w:rsidR="00A004DA" w:rsidRPr="00EC79CF" w:rsidRDefault="00A004DA" w:rsidP="00C20E52">
      <w:pPr>
        <w:pStyle w:val="CGCBulletlist"/>
        <w:numPr>
          <w:ilvl w:val="0"/>
          <w:numId w:val="1"/>
        </w:numPr>
        <w:tabs>
          <w:tab w:val="clear" w:pos="927"/>
          <w:tab w:val="left" w:pos="1134"/>
        </w:tabs>
        <w:ind w:left="1134" w:hanging="567"/>
      </w:pPr>
      <w:r w:rsidRPr="00EC79CF">
        <w:t xml:space="preserve">Clause 2(c). We have introduced a new urban transport infrastructure assessment which recognises that State urban transport infrastructure requirements increase with city size. </w:t>
      </w:r>
      <w:r w:rsidR="00E71D62">
        <w:t>W</w:t>
      </w:r>
      <w:r w:rsidRPr="00EC79CF">
        <w:t xml:space="preserve">e do not consider it appropriate or possible for us to develop a framework to identify which transport infrastructure projects are of national significance. However, we note that the terms of reference have instructed us to treat 50% of certain roads payments as </w:t>
      </w:r>
      <w:r w:rsidRPr="00EC79CF">
        <w:lastRenderedPageBreak/>
        <w:t>not impacting the relativities</w:t>
      </w:r>
      <w:r w:rsidR="00B17F89">
        <w:t>.</w:t>
      </w:r>
      <w:r w:rsidR="00E0466F">
        <w:t xml:space="preserve"> </w:t>
      </w:r>
      <w:r w:rsidR="00B17F89">
        <w:t>W</w:t>
      </w:r>
      <w:r w:rsidRPr="00EC79CF">
        <w:t>e have decided to treat all payments for road and rail projects on the national transport networks in the same way.</w:t>
      </w:r>
    </w:p>
    <w:p w:rsidR="00A004DA" w:rsidRPr="00EC79CF" w:rsidRDefault="00A004DA" w:rsidP="00C20E52">
      <w:pPr>
        <w:pStyle w:val="CGCBulletlist"/>
        <w:numPr>
          <w:ilvl w:val="0"/>
          <w:numId w:val="1"/>
        </w:numPr>
        <w:tabs>
          <w:tab w:val="clear" w:pos="927"/>
          <w:tab w:val="left" w:pos="1134"/>
        </w:tabs>
        <w:ind w:left="1134" w:hanging="567"/>
      </w:pPr>
      <w:r w:rsidRPr="00EC79CF">
        <w:t xml:space="preserve">Clause 2(g). We have developed a mining revenue assessment which assesses mining revenue capacity on a mineral by mineral basis. We regard this assessment as achieving </w:t>
      </w:r>
      <w:r w:rsidR="00376E11">
        <w:t>HFE</w:t>
      </w:r>
      <w:r w:rsidR="00E70AD9">
        <w:t xml:space="preserve"> while avoiding practical concerns that arose through the grouping of minerals under the</w:t>
      </w:r>
      <w:r w:rsidRPr="00EC79CF">
        <w:t xml:space="preserve"> 2010 Review approach.</w:t>
      </w:r>
    </w:p>
    <w:p w:rsidR="00A004DA" w:rsidRPr="00EC79CF" w:rsidRDefault="00A004DA" w:rsidP="00C20E52">
      <w:pPr>
        <w:pStyle w:val="CGCBulletlist"/>
        <w:numPr>
          <w:ilvl w:val="0"/>
          <w:numId w:val="1"/>
        </w:numPr>
        <w:tabs>
          <w:tab w:val="clear" w:pos="927"/>
          <w:tab w:val="left" w:pos="1134"/>
        </w:tabs>
        <w:ind w:left="1134" w:hanging="567"/>
      </w:pPr>
      <w:r w:rsidRPr="00EC79CF">
        <w:t xml:space="preserve">Clause 2(h). In considering the appropriate treatment of mining related expenditure, such as spending on services and social infrastructure for mining communities and on services to the mining industry, we have concluded that, on balance, most is being assessed appropriately. </w:t>
      </w:r>
      <w:r w:rsidR="0082460F">
        <w:t>W</w:t>
      </w:r>
      <w:r w:rsidRPr="00EC79CF">
        <w:t>e have introduced assessments of additional expenses incurred in providing more than an equal per capita level of spending on community amenities in high growth areas and higher spending on planning and regulation relating to investment.</w:t>
      </w:r>
    </w:p>
    <w:p w:rsidR="00A004DA" w:rsidRPr="00EC79CF" w:rsidRDefault="00A004DA" w:rsidP="00C20E52">
      <w:pPr>
        <w:pStyle w:val="CGCBulletlist"/>
        <w:numPr>
          <w:ilvl w:val="0"/>
          <w:numId w:val="1"/>
        </w:numPr>
        <w:tabs>
          <w:tab w:val="clear" w:pos="927"/>
          <w:tab w:val="left" w:pos="1134"/>
        </w:tabs>
        <w:ind w:left="1134" w:hanging="567"/>
      </w:pPr>
      <w:r w:rsidRPr="00EC79CF">
        <w:t xml:space="preserve">Clause 5. In considering the most appropriate treatment of disability services during the transition to </w:t>
      </w:r>
      <w:proofErr w:type="spellStart"/>
      <w:r w:rsidRPr="00EC79CF">
        <w:t>DisabilityCare</w:t>
      </w:r>
      <w:proofErr w:type="spellEnd"/>
      <w:r w:rsidRPr="00EC79CF">
        <w:t xml:space="preserve"> Australia and once the full scheme is operating, we have decided to assess State expenses relating to disability care </w:t>
      </w:r>
      <w:r w:rsidR="003426A9" w:rsidRPr="00EC79CF">
        <w:t>using dual</w:t>
      </w:r>
      <w:r w:rsidRPr="00EC79CF">
        <w:t xml:space="preserve"> assessments – State spending on disability service delivery and State contributions to </w:t>
      </w:r>
      <w:proofErr w:type="spellStart"/>
      <w:r w:rsidRPr="00EC79CF">
        <w:t>DisabilityCare</w:t>
      </w:r>
      <w:proofErr w:type="spellEnd"/>
      <w:r w:rsidRPr="00EC79CF">
        <w:t xml:space="preserve"> Australia. The assessment relating to State spending will cease if and when it becomes immaterial.</w:t>
      </w:r>
    </w:p>
    <w:p w:rsidR="00A004DA" w:rsidRPr="00EC79CF" w:rsidRDefault="00A004DA" w:rsidP="00C20E52">
      <w:pPr>
        <w:pStyle w:val="CGCBulletlist"/>
        <w:numPr>
          <w:ilvl w:val="0"/>
          <w:numId w:val="1"/>
        </w:numPr>
        <w:tabs>
          <w:tab w:val="clear" w:pos="927"/>
          <w:tab w:val="left" w:pos="1134"/>
        </w:tabs>
        <w:ind w:left="1134" w:hanging="567"/>
      </w:pPr>
      <w:r w:rsidRPr="00EC79CF">
        <w:t xml:space="preserve">Clause 6. To ensure no unwinding of the embedded educational disadvantage in the National Education Reform Agreement (NERA) funding arrangements, we have </w:t>
      </w:r>
      <w:r w:rsidR="004538F1">
        <w:t>assessed</w:t>
      </w:r>
      <w:r w:rsidR="004538F1" w:rsidRPr="00EC79CF">
        <w:t xml:space="preserve"> </w:t>
      </w:r>
      <w:r w:rsidRPr="00EC79CF">
        <w:t xml:space="preserve">the distribution of Commonwealth funding provided to the States on the basis of the Schools Resourcing Standard. As all States are now participating in NERA, no action was required to ensure </w:t>
      </w:r>
      <w:r w:rsidR="00B17F89">
        <w:t>a</w:t>
      </w:r>
      <w:r w:rsidR="00B17F89" w:rsidRPr="00EC79CF">
        <w:t xml:space="preserve"> </w:t>
      </w:r>
      <w:r w:rsidRPr="00EC79CF">
        <w:t>non-participating State received any windfall gain through the GST distribution.</w:t>
      </w:r>
    </w:p>
    <w:p w:rsidR="00A004DA" w:rsidRPr="00EC79CF" w:rsidRDefault="00A004DA" w:rsidP="00C20E52">
      <w:pPr>
        <w:pStyle w:val="CGCNumberedPara"/>
        <w:numPr>
          <w:ilvl w:val="1"/>
          <w:numId w:val="2"/>
        </w:numPr>
      </w:pPr>
      <w:r w:rsidRPr="00EC79CF">
        <w:t>Chapter 2 also provides a response to the request from Western Australia that we make our relativities more contemporaneous, consistent with our supporting principles, particularly in relation to the mining assessment.</w:t>
      </w:r>
    </w:p>
    <w:p w:rsidR="00A004DA" w:rsidRPr="00EC79CF" w:rsidRDefault="00A004DA" w:rsidP="00C20E52">
      <w:pPr>
        <w:pStyle w:val="CGCNumberedPara"/>
        <w:numPr>
          <w:ilvl w:val="1"/>
          <w:numId w:val="2"/>
        </w:numPr>
      </w:pPr>
      <w:r w:rsidRPr="00EC79CF">
        <w:t xml:space="preserve">Our response to other specific issues in the terms of reference </w:t>
      </w:r>
      <w:r w:rsidR="00E70AD9">
        <w:t xml:space="preserve">and supplementary terms of reference </w:t>
      </w:r>
      <w:r w:rsidR="00CC04D4">
        <w:t>is</w:t>
      </w:r>
      <w:r w:rsidR="00CC04D4" w:rsidRPr="00EC79CF">
        <w:t xml:space="preserve"> </w:t>
      </w:r>
      <w:r w:rsidRPr="00EC79CF">
        <w:t xml:space="preserve">summarised in </w:t>
      </w:r>
      <w:r w:rsidR="00EC79CF" w:rsidRPr="00EC79CF">
        <w:fldChar w:fldCharType="begin"/>
      </w:r>
      <w:r w:rsidR="00EC79CF" w:rsidRPr="00EC79CF">
        <w:instrText xml:space="preserve"> REF _Ref395860868 \h </w:instrText>
      </w:r>
      <w:r w:rsidR="00EC79CF">
        <w:instrText xml:space="preserve"> \* MERGEFORMAT </w:instrText>
      </w:r>
      <w:r w:rsidR="00EC79CF" w:rsidRPr="00EC79CF">
        <w:fldChar w:fldCharType="separate"/>
      </w:r>
      <w:r w:rsidR="003A5DEE" w:rsidRPr="00EC79CF">
        <w:t xml:space="preserve">Table </w:t>
      </w:r>
      <w:r w:rsidR="003A5DEE">
        <w:rPr>
          <w:noProof/>
        </w:rPr>
        <w:t>4</w:t>
      </w:r>
      <w:r w:rsidR="00EC79CF" w:rsidRPr="00EC79CF">
        <w:fldChar w:fldCharType="end"/>
      </w:r>
      <w:r w:rsidRPr="00EC79CF">
        <w:t>. A full response to them is provided elsewhere in the report, as specified in the table.</w:t>
      </w:r>
    </w:p>
    <w:p w:rsidR="00A004DA" w:rsidRDefault="00A004DA" w:rsidP="008A04BC">
      <w:pPr>
        <w:pStyle w:val="CGCTableHeading"/>
      </w:pPr>
      <w:bookmarkStart w:id="353" w:name="_Ref395860868"/>
      <w:r w:rsidRPr="00EC79CF">
        <w:lastRenderedPageBreak/>
        <w:t xml:space="preserve">Table </w:t>
      </w:r>
      <w:fldSimple w:instr=" SEQ Table \* ARABIC ">
        <w:r w:rsidR="003A5DEE">
          <w:rPr>
            <w:noProof/>
          </w:rPr>
          <w:t>4</w:t>
        </w:r>
      </w:fldSimple>
      <w:bookmarkEnd w:id="353"/>
      <w:r w:rsidRPr="00EC79CF">
        <w:tab/>
        <w:t>Response to other issues in terms of reference</w:t>
      </w:r>
    </w:p>
    <w:tbl>
      <w:tblPr>
        <w:tblW w:w="8938" w:type="dxa"/>
        <w:tblLayout w:type="fixed"/>
        <w:tblCellMar>
          <w:left w:w="0" w:type="dxa"/>
          <w:right w:w="0" w:type="dxa"/>
        </w:tblCellMar>
        <w:tblLook w:val="04A0" w:firstRow="1" w:lastRow="0" w:firstColumn="1" w:lastColumn="0" w:noHBand="0" w:noVBand="1"/>
      </w:tblPr>
      <w:tblGrid>
        <w:gridCol w:w="3119"/>
        <w:gridCol w:w="283"/>
        <w:gridCol w:w="4111"/>
        <w:gridCol w:w="259"/>
        <w:gridCol w:w="1166"/>
      </w:tblGrid>
      <w:tr w:rsidR="00FB60EE" w:rsidRPr="00EC79CF" w:rsidTr="00646D3F">
        <w:trPr>
          <w:trHeight w:val="460"/>
        </w:trPr>
        <w:tc>
          <w:tcPr>
            <w:tcW w:w="3119" w:type="dxa"/>
            <w:tcBorders>
              <w:top w:val="single" w:sz="4" w:space="0" w:color="auto"/>
              <w:left w:val="nil"/>
              <w:bottom w:val="single" w:sz="4" w:space="0" w:color="auto"/>
              <w:right w:val="nil"/>
            </w:tcBorders>
            <w:shd w:val="clear" w:color="auto" w:fill="auto"/>
            <w:vAlign w:val="center"/>
            <w:hideMark/>
          </w:tcPr>
          <w:p w:rsidR="00FB60EE" w:rsidRPr="00EC79CF" w:rsidRDefault="00FB60EE" w:rsidP="00646D3F">
            <w:pPr>
              <w:keepNext/>
              <w:keepLines/>
              <w:tabs>
                <w:tab w:val="clear" w:pos="567"/>
              </w:tabs>
              <w:spacing w:after="0" w:line="240" w:lineRule="auto"/>
              <w:ind w:left="193" w:hanging="142"/>
              <w:rPr>
                <w:rFonts w:ascii="Calibri" w:eastAsia="Times New Roman" w:hAnsi="Calibri" w:cs="Times New Roman"/>
                <w:bCs/>
                <w:color w:val="000000"/>
                <w:sz w:val="20"/>
                <w:szCs w:val="20"/>
                <w:lang w:eastAsia="en-AU"/>
              </w:rPr>
            </w:pPr>
            <w:r w:rsidRPr="00EC79CF">
              <w:rPr>
                <w:rFonts w:ascii="Calibri" w:eastAsia="Times New Roman" w:hAnsi="Calibri" w:cs="Times New Roman"/>
                <w:bCs/>
                <w:color w:val="000000"/>
                <w:sz w:val="20"/>
                <w:szCs w:val="20"/>
                <w:lang w:eastAsia="en-AU"/>
              </w:rPr>
              <w:t>2015 Review reference clause</w:t>
            </w:r>
          </w:p>
        </w:tc>
        <w:tc>
          <w:tcPr>
            <w:tcW w:w="283" w:type="dxa"/>
            <w:tcBorders>
              <w:top w:val="single" w:sz="4" w:space="0" w:color="auto"/>
              <w:left w:val="nil"/>
              <w:bottom w:val="single" w:sz="4" w:space="0" w:color="auto"/>
              <w:right w:val="nil"/>
            </w:tcBorders>
            <w:shd w:val="clear" w:color="auto" w:fill="auto"/>
            <w:vAlign w:val="center"/>
            <w:hideMark/>
          </w:tcPr>
          <w:p w:rsidR="00FB60EE" w:rsidRPr="00EC79CF" w:rsidRDefault="00FB60EE" w:rsidP="00646D3F">
            <w:pPr>
              <w:keepNext/>
              <w:keepLines/>
              <w:tabs>
                <w:tab w:val="clear" w:pos="567"/>
              </w:tabs>
              <w:spacing w:after="0" w:line="240" w:lineRule="auto"/>
              <w:rPr>
                <w:rFonts w:ascii="Calibri" w:eastAsia="Times New Roman" w:hAnsi="Calibri" w:cs="Times New Roman"/>
                <w:bCs/>
                <w:color w:val="000000"/>
                <w:sz w:val="20"/>
                <w:szCs w:val="20"/>
                <w:lang w:eastAsia="en-AU"/>
              </w:rPr>
            </w:pPr>
            <w:r w:rsidRPr="00EC79CF">
              <w:rPr>
                <w:rFonts w:ascii="Calibri" w:eastAsia="Times New Roman" w:hAnsi="Calibri" w:cs="Times New Roman"/>
                <w:bCs/>
                <w:color w:val="000000"/>
                <w:sz w:val="20"/>
                <w:szCs w:val="20"/>
                <w:lang w:eastAsia="en-AU"/>
              </w:rPr>
              <w:t> </w:t>
            </w:r>
          </w:p>
        </w:tc>
        <w:tc>
          <w:tcPr>
            <w:tcW w:w="4111" w:type="dxa"/>
            <w:tcBorders>
              <w:top w:val="single" w:sz="4" w:space="0" w:color="auto"/>
              <w:left w:val="nil"/>
              <w:bottom w:val="single" w:sz="4" w:space="0" w:color="auto"/>
              <w:right w:val="nil"/>
            </w:tcBorders>
            <w:shd w:val="clear" w:color="auto" w:fill="auto"/>
            <w:vAlign w:val="center"/>
            <w:hideMark/>
          </w:tcPr>
          <w:p w:rsidR="00FB60EE" w:rsidRPr="00EC79CF" w:rsidRDefault="00FB60EE" w:rsidP="00646D3F">
            <w:pPr>
              <w:keepNext/>
              <w:keepLines/>
              <w:tabs>
                <w:tab w:val="clear" w:pos="567"/>
              </w:tabs>
              <w:spacing w:after="0" w:line="240" w:lineRule="auto"/>
              <w:rPr>
                <w:rFonts w:ascii="Calibri" w:eastAsia="Times New Roman" w:hAnsi="Calibri" w:cs="Times New Roman"/>
                <w:bCs/>
                <w:color w:val="000000"/>
                <w:sz w:val="20"/>
                <w:szCs w:val="20"/>
                <w:lang w:eastAsia="en-AU"/>
              </w:rPr>
            </w:pPr>
            <w:r w:rsidRPr="00EC79CF">
              <w:rPr>
                <w:rFonts w:ascii="Calibri" w:eastAsia="Times New Roman" w:hAnsi="Calibri" w:cs="Times New Roman"/>
                <w:bCs/>
                <w:color w:val="000000"/>
                <w:sz w:val="20"/>
                <w:szCs w:val="20"/>
                <w:lang w:eastAsia="en-AU"/>
              </w:rPr>
              <w:t>Response</w:t>
            </w:r>
          </w:p>
        </w:tc>
        <w:tc>
          <w:tcPr>
            <w:tcW w:w="259" w:type="dxa"/>
            <w:tcBorders>
              <w:top w:val="single" w:sz="4" w:space="0" w:color="auto"/>
              <w:left w:val="nil"/>
              <w:bottom w:val="single" w:sz="4" w:space="0" w:color="auto"/>
              <w:right w:val="nil"/>
            </w:tcBorders>
            <w:shd w:val="clear" w:color="auto" w:fill="auto"/>
            <w:vAlign w:val="center"/>
            <w:hideMark/>
          </w:tcPr>
          <w:p w:rsidR="00FB60EE" w:rsidRPr="00EC79CF" w:rsidRDefault="00FB60EE" w:rsidP="00646D3F">
            <w:pPr>
              <w:keepNext/>
              <w:keepLines/>
              <w:tabs>
                <w:tab w:val="clear" w:pos="567"/>
              </w:tabs>
              <w:spacing w:after="0" w:line="240" w:lineRule="auto"/>
              <w:rPr>
                <w:rFonts w:ascii="Calibri" w:eastAsia="Times New Roman" w:hAnsi="Calibri" w:cs="Times New Roman"/>
                <w:bCs/>
                <w:color w:val="000000"/>
                <w:sz w:val="20"/>
                <w:szCs w:val="20"/>
                <w:lang w:eastAsia="en-AU"/>
              </w:rPr>
            </w:pPr>
            <w:r w:rsidRPr="00EC79CF">
              <w:rPr>
                <w:rFonts w:ascii="Calibri" w:eastAsia="Times New Roman" w:hAnsi="Calibri" w:cs="Times New Roman"/>
                <w:bCs/>
                <w:color w:val="000000"/>
                <w:sz w:val="20"/>
                <w:szCs w:val="20"/>
                <w:lang w:eastAsia="en-AU"/>
              </w:rPr>
              <w:t> </w:t>
            </w:r>
          </w:p>
        </w:tc>
        <w:tc>
          <w:tcPr>
            <w:tcW w:w="1166" w:type="dxa"/>
            <w:tcBorders>
              <w:top w:val="single" w:sz="4" w:space="0" w:color="auto"/>
              <w:left w:val="nil"/>
              <w:bottom w:val="single" w:sz="4" w:space="0" w:color="auto"/>
              <w:right w:val="nil"/>
            </w:tcBorders>
            <w:shd w:val="clear" w:color="auto" w:fill="auto"/>
            <w:vAlign w:val="center"/>
            <w:hideMark/>
          </w:tcPr>
          <w:p w:rsidR="00FB60EE" w:rsidRPr="00EC79CF" w:rsidRDefault="00FB60EE" w:rsidP="00646D3F">
            <w:pPr>
              <w:keepNext/>
              <w:keepLines/>
              <w:tabs>
                <w:tab w:val="clear" w:pos="567"/>
              </w:tabs>
              <w:spacing w:after="0" w:line="240" w:lineRule="auto"/>
              <w:rPr>
                <w:rFonts w:ascii="Calibri" w:eastAsia="Times New Roman" w:hAnsi="Calibri" w:cs="Times New Roman"/>
                <w:bCs/>
                <w:color w:val="000000"/>
                <w:sz w:val="20"/>
                <w:szCs w:val="20"/>
                <w:lang w:eastAsia="en-AU"/>
              </w:rPr>
            </w:pPr>
            <w:r w:rsidRPr="00EC79CF">
              <w:rPr>
                <w:rFonts w:ascii="Calibri" w:eastAsia="Times New Roman" w:hAnsi="Calibri" w:cs="Times New Roman"/>
                <w:bCs/>
                <w:color w:val="000000"/>
                <w:sz w:val="20"/>
                <w:szCs w:val="20"/>
                <w:lang w:eastAsia="en-AU"/>
              </w:rPr>
              <w:t>Reference</w:t>
            </w:r>
          </w:p>
        </w:tc>
      </w:tr>
      <w:tr w:rsidR="00FB60EE" w:rsidRPr="00EC79CF" w:rsidTr="00646D3F">
        <w:trPr>
          <w:trHeight w:val="850"/>
        </w:trPr>
        <w:tc>
          <w:tcPr>
            <w:tcW w:w="3119" w:type="dxa"/>
            <w:tcBorders>
              <w:top w:val="nil"/>
              <w:left w:val="nil"/>
              <w:bottom w:val="nil"/>
              <w:right w:val="nil"/>
            </w:tcBorders>
            <w:shd w:val="clear" w:color="auto" w:fill="auto"/>
            <w:hideMark/>
          </w:tcPr>
          <w:p w:rsidR="00FB60EE" w:rsidRPr="00F567B9" w:rsidRDefault="00FB60EE" w:rsidP="00376E11">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 xml:space="preserve">1(a)  take into account the IGA … which provides that the GST will be distributed among the States in accordance with the principle of </w:t>
            </w:r>
            <w:r w:rsidR="00376E11" w:rsidRPr="00F567B9">
              <w:rPr>
                <w:rFonts w:ascii="Calibri" w:eastAsia="Times New Roman" w:hAnsi="Calibri" w:cs="Times New Roman"/>
                <w:color w:val="000000"/>
                <w:sz w:val="20"/>
                <w:szCs w:val="20"/>
                <w:lang w:eastAsia="en-AU"/>
              </w:rPr>
              <w:t>HFE</w:t>
            </w:r>
          </w:p>
        </w:tc>
        <w:tc>
          <w:tcPr>
            <w:tcW w:w="283"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 </w:t>
            </w:r>
          </w:p>
        </w:tc>
        <w:tc>
          <w:tcPr>
            <w:tcW w:w="4111" w:type="dxa"/>
            <w:tcBorders>
              <w:top w:val="nil"/>
              <w:left w:val="nil"/>
              <w:bottom w:val="nil"/>
              <w:right w:val="nil"/>
            </w:tcBorders>
            <w:shd w:val="clear" w:color="auto" w:fill="auto"/>
            <w:hideMark/>
          </w:tcPr>
          <w:p w:rsidR="00FB60EE" w:rsidRPr="00F567B9" w:rsidRDefault="00FB60EE" w:rsidP="009E026C">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The Commission has taken into account the IGA in preparing its assessments. It has explained its understanding of the HFE objective and supporting principles and applied these in developing its assessments.</w:t>
            </w:r>
          </w:p>
        </w:tc>
        <w:tc>
          <w:tcPr>
            <w:tcW w:w="259"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 </w:t>
            </w:r>
          </w:p>
        </w:tc>
        <w:tc>
          <w:tcPr>
            <w:tcW w:w="1166" w:type="dxa"/>
            <w:tcBorders>
              <w:top w:val="nil"/>
              <w:left w:val="nil"/>
              <w:bottom w:val="nil"/>
              <w:right w:val="nil"/>
            </w:tcBorders>
            <w:shd w:val="clear" w:color="auto" w:fill="auto"/>
            <w:hideMark/>
          </w:tcPr>
          <w:p w:rsidR="00FB60EE" w:rsidRPr="00F567B9" w:rsidRDefault="00FB60EE" w:rsidP="00592B19">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Volume 1 Chapter 1 and Volume 2</w:t>
            </w:r>
          </w:p>
        </w:tc>
      </w:tr>
      <w:tr w:rsidR="00FB60EE" w:rsidRPr="00EC79CF" w:rsidTr="00646D3F">
        <w:trPr>
          <w:trHeight w:val="850"/>
        </w:trPr>
        <w:tc>
          <w:tcPr>
            <w:tcW w:w="3119"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1(b)   aim to have assessments that are simple and consistent with the quality and fitness for purpose of the available data</w:t>
            </w:r>
          </w:p>
        </w:tc>
        <w:tc>
          <w:tcPr>
            <w:tcW w:w="283"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 </w:t>
            </w:r>
          </w:p>
        </w:tc>
        <w:tc>
          <w:tcPr>
            <w:tcW w:w="4111" w:type="dxa"/>
            <w:tcBorders>
              <w:top w:val="nil"/>
              <w:left w:val="nil"/>
              <w:bottom w:val="nil"/>
              <w:right w:val="nil"/>
            </w:tcBorders>
            <w:shd w:val="clear" w:color="auto" w:fill="auto"/>
            <w:hideMark/>
          </w:tcPr>
          <w:p w:rsidR="00FB60EE" w:rsidRPr="00F567B9" w:rsidRDefault="00FB60EE" w:rsidP="009E026C">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 xml:space="preserve">The Commission’s supporting principle of practicality, articulated in guidelines which it uses to develop </w:t>
            </w:r>
            <w:proofErr w:type="gramStart"/>
            <w:r w:rsidRPr="00F567B9">
              <w:rPr>
                <w:rFonts w:ascii="Calibri" w:eastAsia="Times New Roman" w:hAnsi="Calibri" w:cs="Times New Roman"/>
                <w:color w:val="000000"/>
                <w:sz w:val="20"/>
                <w:szCs w:val="20"/>
                <w:lang w:eastAsia="en-AU"/>
              </w:rPr>
              <w:t>assessments,</w:t>
            </w:r>
            <w:proofErr w:type="gramEnd"/>
            <w:r w:rsidRPr="00F567B9">
              <w:rPr>
                <w:rFonts w:ascii="Calibri" w:eastAsia="Times New Roman" w:hAnsi="Calibri" w:cs="Times New Roman"/>
                <w:color w:val="000000"/>
                <w:sz w:val="20"/>
                <w:szCs w:val="20"/>
                <w:lang w:eastAsia="en-AU"/>
              </w:rPr>
              <w:t xml:space="preserve"> aims to ensure assessments have these features.</w:t>
            </w:r>
          </w:p>
        </w:tc>
        <w:tc>
          <w:tcPr>
            <w:tcW w:w="259"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 </w:t>
            </w:r>
          </w:p>
        </w:tc>
        <w:tc>
          <w:tcPr>
            <w:tcW w:w="1166"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Volume 2 Chapter 1</w:t>
            </w:r>
          </w:p>
        </w:tc>
      </w:tr>
      <w:tr w:rsidR="00FB60EE" w:rsidRPr="00EC79CF" w:rsidTr="00646D3F">
        <w:trPr>
          <w:trHeight w:val="850"/>
        </w:trPr>
        <w:tc>
          <w:tcPr>
            <w:tcW w:w="3119"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1(c)   ensure robust quality assurance procedures</w:t>
            </w:r>
          </w:p>
        </w:tc>
        <w:tc>
          <w:tcPr>
            <w:tcW w:w="283"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 </w:t>
            </w:r>
          </w:p>
        </w:tc>
        <w:tc>
          <w:tcPr>
            <w:tcW w:w="4111" w:type="dxa"/>
            <w:tcBorders>
              <w:top w:val="nil"/>
              <w:left w:val="nil"/>
              <w:bottom w:val="nil"/>
              <w:right w:val="nil"/>
            </w:tcBorders>
            <w:shd w:val="clear" w:color="auto" w:fill="auto"/>
            <w:hideMark/>
          </w:tcPr>
          <w:p w:rsidR="00FB60EE" w:rsidRPr="00F567B9" w:rsidRDefault="00FB60EE" w:rsidP="009E026C">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The requirements of the Commission’s Quality Assurance Strategic Plan, on which States were consulted, have been satisfied.</w:t>
            </w:r>
          </w:p>
        </w:tc>
        <w:tc>
          <w:tcPr>
            <w:tcW w:w="259"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 </w:t>
            </w:r>
          </w:p>
        </w:tc>
        <w:tc>
          <w:tcPr>
            <w:tcW w:w="1166"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Volume 1 Chapter 5</w:t>
            </w:r>
          </w:p>
        </w:tc>
      </w:tr>
      <w:tr w:rsidR="00FB60EE" w:rsidRPr="00EC79CF" w:rsidTr="00646D3F">
        <w:trPr>
          <w:trHeight w:val="856"/>
        </w:trPr>
        <w:tc>
          <w:tcPr>
            <w:tcW w:w="3119"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2(a)   consider the appropriateness of the current materiality thresholds (recommendation 3.1)</w:t>
            </w:r>
          </w:p>
        </w:tc>
        <w:tc>
          <w:tcPr>
            <w:tcW w:w="283"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p>
        </w:tc>
        <w:tc>
          <w:tcPr>
            <w:tcW w:w="4111" w:type="dxa"/>
            <w:tcBorders>
              <w:top w:val="nil"/>
              <w:left w:val="nil"/>
              <w:bottom w:val="nil"/>
              <w:right w:val="nil"/>
            </w:tcBorders>
            <w:shd w:val="clear" w:color="auto" w:fill="auto"/>
            <w:hideMark/>
          </w:tcPr>
          <w:p w:rsidR="00FB60EE" w:rsidRPr="00F567B9" w:rsidRDefault="00FB60EE" w:rsidP="009E026C">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The Commission has increased the thresholds for disabilities to $30 per capita and for data adjustments to $10 per capita.</w:t>
            </w:r>
          </w:p>
        </w:tc>
        <w:tc>
          <w:tcPr>
            <w:tcW w:w="259"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p>
        </w:tc>
        <w:tc>
          <w:tcPr>
            <w:tcW w:w="1166"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Volume 2 Chapter 1</w:t>
            </w:r>
          </w:p>
        </w:tc>
      </w:tr>
      <w:tr w:rsidR="00FB60EE" w:rsidRPr="00EC79CF" w:rsidTr="00646D3F">
        <w:trPr>
          <w:trHeight w:val="1280"/>
        </w:trPr>
        <w:tc>
          <w:tcPr>
            <w:tcW w:w="3119"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2(b)   consider the appropriateness of continuing to round the relativities to five decimal places (recommendation 3.2)</w:t>
            </w:r>
          </w:p>
        </w:tc>
        <w:tc>
          <w:tcPr>
            <w:tcW w:w="283"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p>
        </w:tc>
        <w:tc>
          <w:tcPr>
            <w:tcW w:w="4111" w:type="dxa"/>
            <w:tcBorders>
              <w:top w:val="nil"/>
              <w:left w:val="nil"/>
              <w:bottom w:val="nil"/>
              <w:right w:val="nil"/>
            </w:tcBorders>
            <w:shd w:val="clear" w:color="auto" w:fill="auto"/>
            <w:hideMark/>
          </w:tcPr>
          <w:p w:rsidR="00FB60EE" w:rsidRPr="00F567B9" w:rsidRDefault="00FB60EE" w:rsidP="009E026C">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The Commission does not consider there is significant benefit in terms of simplification or reduced false precision from rounding the relativities to less than five decimal places. Doing so may have a material impact on State GST shares.</w:t>
            </w:r>
          </w:p>
        </w:tc>
        <w:tc>
          <w:tcPr>
            <w:tcW w:w="259"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p>
        </w:tc>
        <w:tc>
          <w:tcPr>
            <w:tcW w:w="1166"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Volume 2 Chapter 1</w:t>
            </w:r>
          </w:p>
        </w:tc>
      </w:tr>
      <w:tr w:rsidR="00FB60EE" w:rsidRPr="00EC79CF" w:rsidTr="00646D3F">
        <w:trPr>
          <w:trHeight w:val="1256"/>
        </w:trPr>
        <w:tc>
          <w:tcPr>
            <w:tcW w:w="3119"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2(d)   consider the use of data which are updated or released annually with a lag, or updated or released less frequently than annually (recommendation 6.2)</w:t>
            </w:r>
          </w:p>
        </w:tc>
        <w:tc>
          <w:tcPr>
            <w:tcW w:w="283"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p>
        </w:tc>
        <w:tc>
          <w:tcPr>
            <w:tcW w:w="4111" w:type="dxa"/>
            <w:tcBorders>
              <w:top w:val="nil"/>
              <w:left w:val="nil"/>
              <w:bottom w:val="nil"/>
              <w:right w:val="nil"/>
            </w:tcBorders>
            <w:shd w:val="clear" w:color="auto" w:fill="auto"/>
            <w:hideMark/>
          </w:tcPr>
          <w:p w:rsidR="00FB60EE" w:rsidRPr="00F567B9" w:rsidRDefault="00FB60EE" w:rsidP="009E026C">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The Commission will continue to use data which best reflect States’ likely circumstances in the year of application.</w:t>
            </w:r>
          </w:p>
        </w:tc>
        <w:tc>
          <w:tcPr>
            <w:tcW w:w="259"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p>
        </w:tc>
        <w:tc>
          <w:tcPr>
            <w:tcW w:w="1166"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Volume 2 Chapter 1</w:t>
            </w:r>
          </w:p>
        </w:tc>
      </w:tr>
      <w:tr w:rsidR="00FB60EE" w:rsidRPr="00EC79CF" w:rsidTr="00646D3F">
        <w:trPr>
          <w:trHeight w:val="1273"/>
        </w:trPr>
        <w:tc>
          <w:tcPr>
            <w:tcW w:w="3119"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2(e)   examine the merits of adopting a simplified and integrated assessment framework (recommendation 6.3)</w:t>
            </w:r>
          </w:p>
        </w:tc>
        <w:tc>
          <w:tcPr>
            <w:tcW w:w="283"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p>
        </w:tc>
        <w:tc>
          <w:tcPr>
            <w:tcW w:w="4111" w:type="dxa"/>
            <w:tcBorders>
              <w:top w:val="nil"/>
              <w:left w:val="nil"/>
              <w:bottom w:val="nil"/>
              <w:right w:val="nil"/>
            </w:tcBorders>
            <w:shd w:val="clear" w:color="auto" w:fill="auto"/>
            <w:hideMark/>
          </w:tcPr>
          <w:p w:rsidR="00FB60EE" w:rsidRPr="00F567B9" w:rsidRDefault="00FB60EE" w:rsidP="009E026C">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The Commission will continue equalising State net financial worth per capita and recognising needs for infrastructure and net financial worth directly and immediately, rather than adopting the simplified and integrated or other holding cost approaches.</w:t>
            </w:r>
          </w:p>
        </w:tc>
        <w:tc>
          <w:tcPr>
            <w:tcW w:w="259"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p>
        </w:tc>
        <w:tc>
          <w:tcPr>
            <w:tcW w:w="1166" w:type="dxa"/>
            <w:tcBorders>
              <w:top w:val="nil"/>
              <w:left w:val="nil"/>
              <w:bottom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Volume 2 Chapter 1</w:t>
            </w:r>
          </w:p>
        </w:tc>
      </w:tr>
      <w:tr w:rsidR="00FB60EE" w:rsidRPr="00EC79CF" w:rsidTr="00646D3F">
        <w:trPr>
          <w:trHeight w:val="1291"/>
        </w:trPr>
        <w:tc>
          <w:tcPr>
            <w:tcW w:w="3119" w:type="dxa"/>
            <w:tcBorders>
              <w:top w:val="nil"/>
              <w:left w:val="nil"/>
              <w:right w:val="nil"/>
            </w:tcBorders>
            <w:shd w:val="clear" w:color="auto" w:fill="auto"/>
            <w:hideMark/>
          </w:tcPr>
          <w:p w:rsidR="00FB60EE" w:rsidRPr="00F567B9" w:rsidRDefault="00FB60EE" w:rsidP="00646D3F">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2(f)   investigate whether it is appropriate and feasible to equalise interstate costs on a ‘spend gradient’ basis (recommendation 6.4)</w:t>
            </w:r>
          </w:p>
        </w:tc>
        <w:tc>
          <w:tcPr>
            <w:tcW w:w="283" w:type="dxa"/>
            <w:tcBorders>
              <w:top w:val="nil"/>
              <w:left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p>
        </w:tc>
        <w:tc>
          <w:tcPr>
            <w:tcW w:w="4111" w:type="dxa"/>
            <w:tcBorders>
              <w:top w:val="nil"/>
              <w:left w:val="nil"/>
              <w:right w:val="nil"/>
            </w:tcBorders>
            <w:shd w:val="clear" w:color="auto" w:fill="auto"/>
            <w:hideMark/>
          </w:tcPr>
          <w:p w:rsidR="00FB60EE" w:rsidRPr="00F567B9" w:rsidRDefault="00FB60EE" w:rsidP="009E026C">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 xml:space="preserve">The Commission will not adopt </w:t>
            </w:r>
            <w:proofErr w:type="gramStart"/>
            <w:r w:rsidRPr="00F567B9">
              <w:rPr>
                <w:rFonts w:ascii="Calibri" w:eastAsia="Times New Roman" w:hAnsi="Calibri" w:cs="Times New Roman"/>
                <w:color w:val="000000"/>
                <w:sz w:val="20"/>
                <w:szCs w:val="20"/>
                <w:lang w:eastAsia="en-AU"/>
              </w:rPr>
              <w:t>a spend</w:t>
            </w:r>
            <w:proofErr w:type="gramEnd"/>
            <w:r w:rsidRPr="00F567B9">
              <w:rPr>
                <w:rFonts w:ascii="Calibri" w:eastAsia="Times New Roman" w:hAnsi="Calibri" w:cs="Times New Roman"/>
                <w:color w:val="000000"/>
                <w:sz w:val="20"/>
                <w:szCs w:val="20"/>
                <w:lang w:eastAsia="en-AU"/>
              </w:rPr>
              <w:t xml:space="preserve"> gradient approach to interstate costs, because doing so is inconsistent with HFE.</w:t>
            </w:r>
          </w:p>
        </w:tc>
        <w:tc>
          <w:tcPr>
            <w:tcW w:w="259" w:type="dxa"/>
            <w:tcBorders>
              <w:top w:val="nil"/>
              <w:left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p>
        </w:tc>
        <w:tc>
          <w:tcPr>
            <w:tcW w:w="1166" w:type="dxa"/>
            <w:tcBorders>
              <w:top w:val="nil"/>
              <w:left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Volume 2 Chapter 1</w:t>
            </w:r>
          </w:p>
        </w:tc>
      </w:tr>
      <w:tr w:rsidR="00FB60EE" w:rsidRPr="00EC79CF" w:rsidTr="00646D3F">
        <w:trPr>
          <w:trHeight w:val="998"/>
        </w:trPr>
        <w:tc>
          <w:tcPr>
            <w:tcW w:w="3119" w:type="dxa"/>
            <w:tcBorders>
              <w:top w:val="nil"/>
              <w:left w:val="nil"/>
              <w:right w:val="nil"/>
            </w:tcBorders>
            <w:shd w:val="clear" w:color="auto" w:fill="auto"/>
            <w:hideMark/>
          </w:tcPr>
          <w:p w:rsidR="00FB60EE" w:rsidRPr="00F567B9" w:rsidRDefault="00FB60EE" w:rsidP="00646D3F">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 xml:space="preserve">3 and 4 of main reference and 3 of supplementary reference </w:t>
            </w:r>
            <w:r w:rsidRPr="00F567B9">
              <w:rPr>
                <w:rFonts w:ascii="Calibri" w:eastAsia="Times New Roman" w:hAnsi="Calibri" w:cs="Times New Roman"/>
                <w:color w:val="000000"/>
                <w:sz w:val="20"/>
                <w:szCs w:val="20"/>
                <w:lang w:eastAsia="en-AU"/>
              </w:rPr>
              <w:noBreakHyphen/>
              <w:t xml:space="preserve"> treatment of Commonwealth payments </w:t>
            </w:r>
          </w:p>
        </w:tc>
        <w:tc>
          <w:tcPr>
            <w:tcW w:w="283" w:type="dxa"/>
            <w:tcBorders>
              <w:top w:val="nil"/>
              <w:left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 </w:t>
            </w:r>
          </w:p>
        </w:tc>
        <w:tc>
          <w:tcPr>
            <w:tcW w:w="4111" w:type="dxa"/>
            <w:tcBorders>
              <w:top w:val="nil"/>
              <w:left w:val="nil"/>
              <w:right w:val="nil"/>
            </w:tcBorders>
            <w:shd w:val="clear" w:color="auto" w:fill="auto"/>
            <w:hideMark/>
          </w:tcPr>
          <w:p w:rsidR="00FB60EE" w:rsidRPr="00F567B9" w:rsidRDefault="00FB60EE" w:rsidP="009E026C">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The requirements of the IGA have been followed in deciding the treatment of Commonwealth payments, except where specifically quarantined in whole or in part by the terms of reference.</w:t>
            </w:r>
          </w:p>
        </w:tc>
        <w:tc>
          <w:tcPr>
            <w:tcW w:w="259" w:type="dxa"/>
            <w:tcBorders>
              <w:top w:val="nil"/>
              <w:left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 </w:t>
            </w:r>
          </w:p>
        </w:tc>
        <w:tc>
          <w:tcPr>
            <w:tcW w:w="1166" w:type="dxa"/>
            <w:tcBorders>
              <w:top w:val="nil"/>
              <w:left w:val="nil"/>
              <w:right w:val="nil"/>
            </w:tcBorders>
            <w:shd w:val="clear" w:color="auto" w:fill="auto"/>
            <w:hideMark/>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Volume 2 Chapter 2 and Attachment 2</w:t>
            </w:r>
          </w:p>
        </w:tc>
      </w:tr>
      <w:tr w:rsidR="00FB60EE" w:rsidRPr="00EC79CF" w:rsidTr="00646D3F">
        <w:trPr>
          <w:trHeight w:val="998"/>
        </w:trPr>
        <w:tc>
          <w:tcPr>
            <w:tcW w:w="3119" w:type="dxa"/>
            <w:tcBorders>
              <w:top w:val="nil"/>
              <w:left w:val="nil"/>
              <w:bottom w:val="single" w:sz="4" w:space="0" w:color="auto"/>
              <w:right w:val="nil"/>
            </w:tcBorders>
            <w:shd w:val="clear" w:color="auto" w:fill="auto"/>
          </w:tcPr>
          <w:p w:rsidR="00FB60EE" w:rsidRPr="00F567B9" w:rsidRDefault="00FB60EE" w:rsidP="00646D3F">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 xml:space="preserve">7, 8 and 9 of main reference and 4 of supplementary reference </w:t>
            </w:r>
            <w:r w:rsidRPr="00F567B9">
              <w:rPr>
                <w:rFonts w:ascii="Calibri" w:eastAsia="Times New Roman" w:hAnsi="Calibri" w:cs="Times New Roman"/>
                <w:color w:val="000000"/>
                <w:sz w:val="20"/>
                <w:szCs w:val="20"/>
                <w:lang w:eastAsia="en-AU"/>
              </w:rPr>
              <w:noBreakHyphen/>
              <w:t> consultation</w:t>
            </w:r>
          </w:p>
        </w:tc>
        <w:tc>
          <w:tcPr>
            <w:tcW w:w="283" w:type="dxa"/>
            <w:tcBorders>
              <w:top w:val="nil"/>
              <w:left w:val="nil"/>
              <w:bottom w:val="single" w:sz="4" w:space="0" w:color="auto"/>
              <w:right w:val="nil"/>
            </w:tcBorders>
            <w:shd w:val="clear" w:color="auto" w:fill="auto"/>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p>
        </w:tc>
        <w:tc>
          <w:tcPr>
            <w:tcW w:w="4111" w:type="dxa"/>
            <w:tcBorders>
              <w:top w:val="nil"/>
              <w:left w:val="nil"/>
              <w:bottom w:val="single" w:sz="4" w:space="0" w:color="auto"/>
              <w:right w:val="nil"/>
            </w:tcBorders>
            <w:shd w:val="clear" w:color="auto" w:fill="auto"/>
          </w:tcPr>
          <w:p w:rsidR="00FB60EE" w:rsidRPr="00F567B9" w:rsidRDefault="00FB60EE" w:rsidP="007D5DA3">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 xml:space="preserve">The Commission has consulted regularly and extensively with the Commonwealth and State Governments on the development of principles and methods. </w:t>
            </w:r>
            <w:r w:rsidR="007D5DA3">
              <w:rPr>
                <w:rFonts w:ascii="Calibri" w:eastAsia="Times New Roman" w:hAnsi="Calibri" w:cs="Times New Roman"/>
                <w:color w:val="000000"/>
                <w:sz w:val="20"/>
                <w:szCs w:val="20"/>
                <w:lang w:eastAsia="en-AU"/>
              </w:rPr>
              <w:t>We</w:t>
            </w:r>
            <w:r w:rsidR="007D5DA3" w:rsidRPr="00F567B9">
              <w:rPr>
                <w:rFonts w:ascii="Calibri" w:eastAsia="Times New Roman" w:hAnsi="Calibri" w:cs="Times New Roman"/>
                <w:color w:val="000000"/>
                <w:sz w:val="20"/>
                <w:szCs w:val="20"/>
                <w:lang w:eastAsia="en-AU"/>
              </w:rPr>
              <w:t xml:space="preserve"> </w:t>
            </w:r>
            <w:r w:rsidRPr="00F567B9">
              <w:rPr>
                <w:rFonts w:ascii="Calibri" w:eastAsia="Times New Roman" w:hAnsi="Calibri" w:cs="Times New Roman"/>
                <w:color w:val="000000"/>
                <w:sz w:val="20"/>
                <w:szCs w:val="20"/>
                <w:lang w:eastAsia="en-AU"/>
              </w:rPr>
              <w:t xml:space="preserve">held early consultations on those issues to be progressed as a priority. </w:t>
            </w:r>
            <w:r w:rsidR="007D5DA3">
              <w:rPr>
                <w:rFonts w:ascii="Calibri" w:eastAsia="Times New Roman" w:hAnsi="Calibri" w:cs="Times New Roman"/>
                <w:color w:val="000000"/>
                <w:sz w:val="20"/>
                <w:szCs w:val="20"/>
                <w:lang w:eastAsia="en-AU"/>
              </w:rPr>
              <w:t>We</w:t>
            </w:r>
            <w:r w:rsidR="007D5DA3" w:rsidRPr="00F567B9">
              <w:rPr>
                <w:rFonts w:ascii="Calibri" w:eastAsia="Times New Roman" w:hAnsi="Calibri" w:cs="Times New Roman"/>
                <w:color w:val="000000"/>
                <w:sz w:val="20"/>
                <w:szCs w:val="20"/>
                <w:lang w:eastAsia="en-AU"/>
              </w:rPr>
              <w:t xml:space="preserve"> </w:t>
            </w:r>
            <w:r w:rsidRPr="00F567B9">
              <w:rPr>
                <w:rFonts w:ascii="Calibri" w:eastAsia="Times New Roman" w:hAnsi="Calibri" w:cs="Times New Roman"/>
                <w:color w:val="000000"/>
                <w:sz w:val="20"/>
                <w:szCs w:val="20"/>
                <w:lang w:eastAsia="en-AU"/>
              </w:rPr>
              <w:t>provided a draft report and advice on significant changes following the draft report.</w:t>
            </w:r>
          </w:p>
        </w:tc>
        <w:tc>
          <w:tcPr>
            <w:tcW w:w="259" w:type="dxa"/>
            <w:tcBorders>
              <w:top w:val="nil"/>
              <w:left w:val="nil"/>
              <w:bottom w:val="single" w:sz="4" w:space="0" w:color="auto"/>
              <w:right w:val="nil"/>
            </w:tcBorders>
            <w:shd w:val="clear" w:color="auto" w:fill="auto"/>
          </w:tcPr>
          <w:p w:rsidR="00FB60EE" w:rsidRPr="00F567B9" w:rsidRDefault="00FB60EE" w:rsidP="00646D3F">
            <w:pPr>
              <w:keepNext/>
              <w:keepLines/>
              <w:tabs>
                <w:tab w:val="clear" w:pos="567"/>
              </w:tabs>
              <w:spacing w:after="0" w:line="240" w:lineRule="auto"/>
              <w:rPr>
                <w:rFonts w:ascii="Calibri" w:eastAsia="Times New Roman" w:hAnsi="Calibri" w:cs="Times New Roman"/>
                <w:color w:val="000000"/>
                <w:sz w:val="20"/>
                <w:szCs w:val="20"/>
                <w:lang w:eastAsia="en-AU"/>
              </w:rPr>
            </w:pPr>
          </w:p>
        </w:tc>
        <w:tc>
          <w:tcPr>
            <w:tcW w:w="1166" w:type="dxa"/>
            <w:tcBorders>
              <w:top w:val="nil"/>
              <w:left w:val="nil"/>
              <w:bottom w:val="single" w:sz="4" w:space="0" w:color="auto"/>
              <w:right w:val="nil"/>
            </w:tcBorders>
            <w:shd w:val="clear" w:color="auto" w:fill="auto"/>
          </w:tcPr>
          <w:p w:rsidR="00FB60EE" w:rsidRPr="00F567B9" w:rsidRDefault="00FB60EE" w:rsidP="00971D8D">
            <w:pPr>
              <w:keepNext/>
              <w:keepLines/>
              <w:tabs>
                <w:tab w:val="clear" w:pos="567"/>
              </w:tabs>
              <w:spacing w:after="0" w:line="240" w:lineRule="auto"/>
              <w:rPr>
                <w:rFonts w:ascii="Calibri" w:eastAsia="Times New Roman" w:hAnsi="Calibri" w:cs="Times New Roman"/>
                <w:color w:val="000000"/>
                <w:sz w:val="20"/>
                <w:szCs w:val="20"/>
                <w:lang w:eastAsia="en-AU"/>
              </w:rPr>
            </w:pPr>
            <w:r w:rsidRPr="00F567B9">
              <w:rPr>
                <w:rFonts w:ascii="Calibri" w:eastAsia="Times New Roman" w:hAnsi="Calibri" w:cs="Times New Roman"/>
                <w:color w:val="000000"/>
                <w:sz w:val="20"/>
                <w:szCs w:val="20"/>
                <w:lang w:eastAsia="en-AU"/>
              </w:rPr>
              <w:t xml:space="preserve">Volume 1 Chapter 1 and Volume 2 Attachment </w:t>
            </w:r>
            <w:r w:rsidR="00971D8D">
              <w:rPr>
                <w:rFonts w:ascii="Calibri" w:eastAsia="Times New Roman" w:hAnsi="Calibri" w:cs="Times New Roman"/>
                <w:color w:val="000000"/>
                <w:sz w:val="20"/>
                <w:szCs w:val="20"/>
                <w:lang w:eastAsia="en-AU"/>
              </w:rPr>
              <w:t>7</w:t>
            </w:r>
          </w:p>
        </w:tc>
      </w:tr>
    </w:tbl>
    <w:p w:rsidR="00BB79E3" w:rsidRDefault="00BB79E3" w:rsidP="00BB79E3">
      <w:pPr>
        <w:pStyle w:val="CGCNumberedPara"/>
        <w:numPr>
          <w:ilvl w:val="0"/>
          <w:numId w:val="0"/>
        </w:numPr>
        <w:ind w:left="567" w:hanging="567"/>
      </w:pPr>
    </w:p>
    <w:p w:rsidR="00A004DA" w:rsidRPr="00EC79CF" w:rsidRDefault="00A004DA" w:rsidP="00C20E52">
      <w:pPr>
        <w:pStyle w:val="CGCNumberedPara"/>
        <w:numPr>
          <w:ilvl w:val="1"/>
          <w:numId w:val="2"/>
        </w:numPr>
      </w:pPr>
      <w:r w:rsidRPr="00EC79CF">
        <w:lastRenderedPageBreak/>
        <w:t>Other substantial changes in assessment methods during this review included.</w:t>
      </w:r>
    </w:p>
    <w:p w:rsidR="00A004DA" w:rsidRPr="00EC79CF" w:rsidRDefault="00A004DA" w:rsidP="00C20E52">
      <w:pPr>
        <w:pStyle w:val="CGCBulletlist"/>
        <w:numPr>
          <w:ilvl w:val="0"/>
          <w:numId w:val="1"/>
        </w:numPr>
        <w:tabs>
          <w:tab w:val="clear" w:pos="927"/>
          <w:tab w:val="left" w:pos="1134"/>
        </w:tabs>
        <w:ind w:left="1134" w:hanging="567"/>
      </w:pPr>
      <w:r w:rsidRPr="00376E11">
        <w:rPr>
          <w:rStyle w:val="Heading6Char"/>
        </w:rPr>
        <w:t>Schools.</w:t>
      </w:r>
      <w:r w:rsidRPr="00EC79CF">
        <w:t xml:space="preserve"> We used Australian Curriculum and Reporting Authority (ACARA) data to calculate the loadings for high cost students. We consider the new data provides </w:t>
      </w:r>
      <w:r w:rsidRPr="00EC79CF">
        <w:rPr>
          <w:lang w:val="en" w:eastAsia="en-AU"/>
        </w:rPr>
        <w:t>us with more reliable estimates</w:t>
      </w:r>
      <w:r w:rsidRPr="00EC79CF">
        <w:rPr>
          <w:lang w:val="en"/>
        </w:rPr>
        <w:t xml:space="preserve"> </w:t>
      </w:r>
      <w:r w:rsidRPr="00EC79CF">
        <w:t>of the additional costs of certain high cost students. In addition, we have moved to actual enrolments as our broad measure of use for all age groups, whereas in the 2010 Review</w:t>
      </w:r>
      <w:r w:rsidR="00464E43">
        <w:t>,</w:t>
      </w:r>
      <w:r w:rsidRPr="00EC79CF">
        <w:t xml:space="preserve"> we calculated a</w:t>
      </w:r>
      <w:r w:rsidR="00DB0C03">
        <w:t>n average</w:t>
      </w:r>
      <w:r w:rsidRPr="00EC79CF">
        <w:t xml:space="preserve"> policy number of pre</w:t>
      </w:r>
      <w:r w:rsidRPr="00EC79CF">
        <w:noBreakHyphen/>
        <w:t xml:space="preserve"> and post</w:t>
      </w:r>
      <w:r w:rsidRPr="00EC79CF">
        <w:noBreakHyphen/>
        <w:t>compulsory students.</w:t>
      </w:r>
    </w:p>
    <w:p w:rsidR="00A004DA" w:rsidRPr="00EC79CF" w:rsidRDefault="00A004DA" w:rsidP="00C20E52">
      <w:pPr>
        <w:pStyle w:val="CGCBulletlist"/>
        <w:numPr>
          <w:ilvl w:val="0"/>
          <w:numId w:val="1"/>
        </w:numPr>
        <w:tabs>
          <w:tab w:val="clear" w:pos="927"/>
          <w:tab w:val="left" w:pos="1134"/>
        </w:tabs>
        <w:ind w:left="1134" w:hanging="567"/>
      </w:pPr>
      <w:r w:rsidRPr="004A42F3">
        <w:rPr>
          <w:rStyle w:val="Heading6Char"/>
        </w:rPr>
        <w:t>Health.</w:t>
      </w:r>
      <w:r w:rsidRPr="00EC79CF">
        <w:t xml:space="preserve"> We</w:t>
      </w:r>
      <w:r w:rsidRPr="00EC79CF">
        <w:rPr>
          <w:lang w:val="en" w:eastAsia="en-AU"/>
        </w:rPr>
        <w:t xml:space="preserve"> </w:t>
      </w:r>
      <w:r w:rsidRPr="00EC79CF">
        <w:t>developed a more direct method of assessment for each health service which recognises the main drivers of expenses as the socio</w:t>
      </w:r>
      <w:r w:rsidRPr="00EC79CF">
        <w:noBreakHyphen/>
        <w:t xml:space="preserve">demographic profile of State populations and the impact of the non-State sector. We consider that new data sourced from the Independent Hospital Pricing Authority (IHPA) </w:t>
      </w:r>
      <w:r w:rsidRPr="00EC79CF">
        <w:rPr>
          <w:lang w:val="en" w:eastAsia="en-AU"/>
        </w:rPr>
        <w:t>provide us with a more accurate estimate of the net cost for each population group.</w:t>
      </w:r>
    </w:p>
    <w:p w:rsidR="00A004DA" w:rsidRPr="00EC79CF" w:rsidRDefault="00A004DA" w:rsidP="00C20E52">
      <w:pPr>
        <w:pStyle w:val="CGCBulletlist"/>
        <w:numPr>
          <w:ilvl w:val="0"/>
          <w:numId w:val="1"/>
        </w:numPr>
        <w:tabs>
          <w:tab w:val="clear" w:pos="927"/>
          <w:tab w:val="left" w:pos="1134"/>
        </w:tabs>
        <w:ind w:left="1134" w:hanging="567"/>
      </w:pPr>
      <w:r w:rsidRPr="004A42F3">
        <w:rPr>
          <w:rStyle w:val="Heading6Char"/>
        </w:rPr>
        <w:t>Welfare.</w:t>
      </w:r>
      <w:r w:rsidRPr="00EC79CF">
        <w:rPr>
          <w:rStyle w:val="FootnoteReference"/>
        </w:rPr>
        <w:footnoteReference w:id="2"/>
      </w:r>
      <w:r w:rsidRPr="00EC79CF">
        <w:t xml:space="preserve"> Since the 2010 Review, the Commonwealth has taken over State responsibilities in the areas of aged care services and disability services for older people. </w:t>
      </w:r>
      <w:r w:rsidR="00BF609B">
        <w:t>Commonwealth payments and spending on aged care services</w:t>
      </w:r>
      <w:r w:rsidRPr="00EC79CF">
        <w:t xml:space="preserve"> </w:t>
      </w:r>
      <w:r w:rsidR="00BF609B">
        <w:t>now have no impact on State GST shares.</w:t>
      </w:r>
    </w:p>
    <w:p w:rsidR="00A004DA" w:rsidRPr="00EC79CF" w:rsidRDefault="00A004DA" w:rsidP="00C20E52">
      <w:pPr>
        <w:pStyle w:val="CGCBulletlist"/>
        <w:numPr>
          <w:ilvl w:val="0"/>
          <w:numId w:val="1"/>
        </w:numPr>
        <w:tabs>
          <w:tab w:val="clear" w:pos="927"/>
          <w:tab w:val="left" w:pos="1134"/>
        </w:tabs>
        <w:ind w:left="1134" w:hanging="567"/>
      </w:pPr>
      <w:r w:rsidRPr="004A42F3">
        <w:rPr>
          <w:rStyle w:val="Heading6Char"/>
        </w:rPr>
        <w:t>Housing.</w:t>
      </w:r>
      <w:r w:rsidRPr="00EC79CF">
        <w:t xml:space="preserve"> </w:t>
      </w:r>
      <w:r w:rsidR="00BF609B">
        <w:t>T</w:t>
      </w:r>
      <w:r w:rsidR="00BF609B" w:rsidRPr="00EC79CF">
        <w:t xml:space="preserve">he Commission considers the provision of social housing is more like a general government than a commercial service </w:t>
      </w:r>
      <w:r w:rsidR="00BF609B">
        <w:t>so h</w:t>
      </w:r>
      <w:r w:rsidRPr="00EC79CF">
        <w:t xml:space="preserve">ousing services now include both general government and </w:t>
      </w:r>
      <w:r w:rsidR="00BF609B" w:rsidRPr="00434AC7">
        <w:t xml:space="preserve">public non-financial corporation </w:t>
      </w:r>
      <w:r w:rsidR="00BF609B">
        <w:t>(</w:t>
      </w:r>
      <w:r w:rsidRPr="00EC79CF">
        <w:t>PNFC</w:t>
      </w:r>
      <w:r w:rsidR="00BF609B">
        <w:t>)</w:t>
      </w:r>
      <w:r w:rsidR="00B454EE">
        <w:t xml:space="preserve"> expenditures and revenue</w:t>
      </w:r>
      <w:r w:rsidRPr="00EC79CF">
        <w:t>. We have made separate assessments of housing expenses and revenue. The assessments recognise that expenses and revenue vary across States because of the socio</w:t>
      </w:r>
      <w:r w:rsidRPr="00EC79CF">
        <w:noBreakHyphen/>
        <w:t>demographic composition of State populations.</w:t>
      </w:r>
    </w:p>
    <w:p w:rsidR="00141C57" w:rsidRPr="00F567B9" w:rsidRDefault="00141C57" w:rsidP="00141C57">
      <w:pPr>
        <w:pStyle w:val="CGCBulletlist"/>
        <w:numPr>
          <w:ilvl w:val="0"/>
          <w:numId w:val="1"/>
        </w:numPr>
        <w:tabs>
          <w:tab w:val="clear" w:pos="927"/>
          <w:tab w:val="left" w:pos="1134"/>
        </w:tabs>
        <w:ind w:left="1134" w:hanging="567"/>
        <w:rPr>
          <w:szCs w:val="24"/>
        </w:rPr>
      </w:pPr>
      <w:r w:rsidRPr="00F567B9">
        <w:rPr>
          <w:rStyle w:val="Heading6Char"/>
        </w:rPr>
        <w:t>Investment and net borrowing.</w:t>
      </w:r>
      <w:r w:rsidRPr="00F567B9">
        <w:rPr>
          <w:szCs w:val="24"/>
        </w:rPr>
        <w:t xml:space="preserve"> </w:t>
      </w:r>
      <w:r w:rsidR="00592B19">
        <w:rPr>
          <w:szCs w:val="24"/>
        </w:rPr>
        <w:t>W</w:t>
      </w:r>
      <w:r w:rsidRPr="00F567B9">
        <w:rPr>
          <w:szCs w:val="24"/>
        </w:rPr>
        <w:t xml:space="preserve">e now assess the effects of interstate differences in city size on the infrastructure required to provide urban transport services and income, Indigenous status and remoteness on </w:t>
      </w:r>
      <w:r w:rsidR="00592B19">
        <w:rPr>
          <w:szCs w:val="24"/>
        </w:rPr>
        <w:t xml:space="preserve">public </w:t>
      </w:r>
      <w:r w:rsidRPr="00F567B9">
        <w:rPr>
          <w:szCs w:val="24"/>
        </w:rPr>
        <w:t>housing infrastructure.</w:t>
      </w:r>
    </w:p>
    <w:p w:rsidR="00A004DA" w:rsidRPr="00EC79CF" w:rsidRDefault="00A004DA" w:rsidP="00A004DA">
      <w:pPr>
        <w:pStyle w:val="Heading4"/>
      </w:pPr>
      <w:r w:rsidRPr="00EC79CF">
        <w:t>Data revisions</w:t>
      </w:r>
    </w:p>
    <w:p w:rsidR="00A004DA" w:rsidRPr="00EC79CF" w:rsidRDefault="00A004DA" w:rsidP="00C20E52">
      <w:pPr>
        <w:pStyle w:val="CGCNumberedPara"/>
        <w:numPr>
          <w:ilvl w:val="1"/>
          <w:numId w:val="2"/>
        </w:numPr>
      </w:pPr>
      <w:r w:rsidRPr="00EC79CF">
        <w:t>We consider our recommendations should be based on the best data available at the time they are made. That means as data are revised our recommendations adapt. The major revisions to data during this review included the following</w:t>
      </w:r>
      <w:r w:rsidR="00592B19">
        <w:t>.</w:t>
      </w:r>
    </w:p>
    <w:p w:rsidR="00566B6E" w:rsidRPr="00EC79CF" w:rsidRDefault="00566B6E" w:rsidP="00566B6E">
      <w:pPr>
        <w:pStyle w:val="CGCBulletlist"/>
        <w:numPr>
          <w:ilvl w:val="0"/>
          <w:numId w:val="1"/>
        </w:numPr>
        <w:tabs>
          <w:tab w:val="clear" w:pos="927"/>
          <w:tab w:val="left" w:pos="1134"/>
        </w:tabs>
        <w:ind w:left="1134" w:hanging="567"/>
      </w:pPr>
      <w:r w:rsidRPr="004A42F3">
        <w:rPr>
          <w:rStyle w:val="Heading6Char"/>
        </w:rPr>
        <w:t>Road investment.</w:t>
      </w:r>
      <w:r w:rsidRPr="00EC79CF">
        <w:t xml:space="preserve"> We decided to use </w:t>
      </w:r>
      <w:r>
        <w:t xml:space="preserve">a mix of </w:t>
      </w:r>
      <w:r w:rsidRPr="00EC79CF">
        <w:t xml:space="preserve">State </w:t>
      </w:r>
      <w:r>
        <w:t xml:space="preserve">and National Transport Commission (NTC) </w:t>
      </w:r>
      <w:r w:rsidRPr="00EC79CF">
        <w:t xml:space="preserve">data on the urban/rural dissection of investment for road gross capital expenditure, Department of Infrastructure </w:t>
      </w:r>
      <w:r>
        <w:t xml:space="preserve">and Regional Development </w:t>
      </w:r>
      <w:r w:rsidRPr="00EC79CF">
        <w:t xml:space="preserve">data on the location of projects funded by </w:t>
      </w:r>
      <w:r>
        <w:t>national network road (</w:t>
      </w:r>
      <w:r w:rsidRPr="00EC79CF">
        <w:t>NNR</w:t>
      </w:r>
      <w:r>
        <w:t>)</w:t>
      </w:r>
      <w:r w:rsidRPr="00EC79CF">
        <w:t xml:space="preserve"> payments and up-to-date State data on the split of depreciation. This </w:t>
      </w:r>
      <w:r w:rsidRPr="00EC79CF">
        <w:lastRenderedPageBreak/>
        <w:t xml:space="preserve">substantially increased </w:t>
      </w:r>
      <w:r>
        <w:t xml:space="preserve">measured </w:t>
      </w:r>
      <w:r w:rsidRPr="00EC79CF">
        <w:t>investment in rural roads relative to the previous review.</w:t>
      </w:r>
    </w:p>
    <w:p w:rsidR="00A004DA" w:rsidRPr="00EC79CF" w:rsidRDefault="00A004DA" w:rsidP="00C20E52">
      <w:pPr>
        <w:pStyle w:val="CGCBulletlist"/>
        <w:numPr>
          <w:ilvl w:val="0"/>
          <w:numId w:val="1"/>
        </w:numPr>
        <w:tabs>
          <w:tab w:val="clear" w:pos="927"/>
          <w:tab w:val="left" w:pos="1134"/>
        </w:tabs>
        <w:ind w:left="1134" w:hanging="567"/>
      </w:pPr>
      <w:r w:rsidRPr="004A42F3">
        <w:rPr>
          <w:rStyle w:val="Heading6Char"/>
        </w:rPr>
        <w:t>Payroll tax.</w:t>
      </w:r>
      <w:r w:rsidRPr="00EC79CF">
        <w:t xml:space="preserve"> The ABS made large upward revisions to ACT payroll data for </w:t>
      </w:r>
      <w:r w:rsidR="007D5DA3">
        <w:t xml:space="preserve">the </w:t>
      </w:r>
      <w:r w:rsidRPr="00EC79CF">
        <w:t>years 2010-11 to 2012-13. These revisions increased its assessed payroll tax capacity, reducing its GST share. Over the same period, the ABS made smaller upward revisions to data for New South Wales, Queensland, Western Australia and South Australia, increasing their assessed payroll tax capacities and reducing their GST shares.</w:t>
      </w:r>
    </w:p>
    <w:p w:rsidR="00A004DA" w:rsidRPr="00EC79CF" w:rsidRDefault="00A004DA" w:rsidP="00A004DA">
      <w:pPr>
        <w:pStyle w:val="Heading4"/>
      </w:pPr>
      <w:r w:rsidRPr="00EC79CF">
        <w:t>Changes in circumstances</w:t>
      </w:r>
    </w:p>
    <w:p w:rsidR="00A004DA" w:rsidRPr="00EC79CF" w:rsidRDefault="00A004DA" w:rsidP="00C20E52">
      <w:pPr>
        <w:pStyle w:val="CGCNumberedPara"/>
        <w:numPr>
          <w:ilvl w:val="1"/>
          <w:numId w:val="2"/>
        </w:numPr>
      </w:pPr>
      <w:r w:rsidRPr="00EC79CF">
        <w:t>Our recommendations for the GST distribution in 2015-16 are based on data for 2011</w:t>
      </w:r>
      <w:r w:rsidRPr="00EC79CF">
        <w:noBreakHyphen/>
        <w:t>12 to 2013</w:t>
      </w:r>
      <w:r w:rsidRPr="00EC79CF">
        <w:noBreakHyphen/>
        <w:t>14. Compared to our recommendations last year</w:t>
      </w:r>
      <w:r w:rsidR="007D5DA3">
        <w:t>,</w:t>
      </w:r>
      <w:r w:rsidRPr="00EC79CF">
        <w:t xml:space="preserve"> we incorporate data for 2013-14 </w:t>
      </w:r>
      <w:r w:rsidR="007D5DA3">
        <w:t>while</w:t>
      </w:r>
      <w:r w:rsidR="007D5DA3" w:rsidRPr="00EC79CF">
        <w:t xml:space="preserve"> </w:t>
      </w:r>
      <w:r w:rsidRPr="00EC79CF">
        <w:t>data for 2010-11 no longer affect the GST distribution. In this way</w:t>
      </w:r>
      <w:r w:rsidR="00464E43">
        <w:t>,</w:t>
      </w:r>
      <w:r w:rsidRPr="00EC79CF">
        <w:t xml:space="preserve"> we track the evolution of State economies and the spending and revenue policies of the States. The most important changes in circumstances were:</w:t>
      </w:r>
    </w:p>
    <w:p w:rsidR="00A004DA" w:rsidRPr="00EC79CF" w:rsidRDefault="00A004DA" w:rsidP="00C20E52">
      <w:pPr>
        <w:pStyle w:val="CGCBulletlist"/>
        <w:numPr>
          <w:ilvl w:val="0"/>
          <w:numId w:val="1"/>
        </w:numPr>
        <w:tabs>
          <w:tab w:val="clear" w:pos="927"/>
          <w:tab w:val="left" w:pos="1134"/>
        </w:tabs>
        <w:ind w:left="1134" w:hanging="567"/>
      </w:pPr>
      <w:r w:rsidRPr="004A42F3">
        <w:rPr>
          <w:rStyle w:val="Heading6Char"/>
        </w:rPr>
        <w:t>Commonwealth payments.</w:t>
      </w:r>
      <w:r w:rsidRPr="00EC79CF">
        <w:t xml:space="preserve"> We observed significant changes in the </w:t>
      </w:r>
      <w:r w:rsidR="00592B19">
        <w:t xml:space="preserve">size and </w:t>
      </w:r>
      <w:r w:rsidRPr="00EC79CF">
        <w:t>distribution of the payments among the States in the last year. For Victoria, its increased share of road and rail construction funding between 2010-11 and 2013-14</w:t>
      </w:r>
      <w:r w:rsidR="004538F1">
        <w:t xml:space="preserve"> reduced its GST share</w:t>
      </w:r>
      <w:r w:rsidRPr="00EC79CF">
        <w:t xml:space="preserve">. </w:t>
      </w:r>
    </w:p>
    <w:p w:rsidR="00A004DA" w:rsidRPr="00EC79CF" w:rsidRDefault="00A004DA" w:rsidP="00C20E52">
      <w:pPr>
        <w:pStyle w:val="CGCBulletlist"/>
        <w:numPr>
          <w:ilvl w:val="0"/>
          <w:numId w:val="1"/>
        </w:numPr>
        <w:tabs>
          <w:tab w:val="clear" w:pos="927"/>
          <w:tab w:val="left" w:pos="1134"/>
        </w:tabs>
        <w:ind w:left="1134" w:hanging="567"/>
      </w:pPr>
      <w:r w:rsidRPr="004A42F3">
        <w:rPr>
          <w:rStyle w:val="Heading6Char"/>
        </w:rPr>
        <w:t>Mining revenue.</w:t>
      </w:r>
      <w:r w:rsidRPr="00EC79CF">
        <w:t xml:space="preserve"> A decline in iron ore prices between 2010-11 and 2013-14 was offset by large increases in the volume of production. As the majority of production occurs in Western Australia, its assessed mining capacity increased, reducing its GST share. Over the same period, the decline in coal prices was not offset by production increases. The price decline reduced Queensland’s assessed mining capacity, increasing its GST share.</w:t>
      </w:r>
    </w:p>
    <w:p w:rsidR="004538F1" w:rsidRPr="00EC79CF" w:rsidRDefault="004538F1" w:rsidP="004538F1">
      <w:pPr>
        <w:pStyle w:val="CGCBulletlist"/>
        <w:numPr>
          <w:ilvl w:val="0"/>
          <w:numId w:val="1"/>
        </w:numPr>
        <w:tabs>
          <w:tab w:val="clear" w:pos="927"/>
          <w:tab w:val="left" w:pos="1134"/>
        </w:tabs>
        <w:ind w:left="1134" w:hanging="567"/>
      </w:pPr>
      <w:r w:rsidRPr="004A42F3">
        <w:rPr>
          <w:rStyle w:val="Heading6Char"/>
        </w:rPr>
        <w:t>Natural disaster relief.</w:t>
      </w:r>
      <w:r w:rsidRPr="00EC79CF">
        <w:t xml:space="preserve"> There has been a dramatic increase in the natural disaster relief expenses (net of Commonwealth assistance) </w:t>
      </w:r>
      <w:r>
        <w:t>for</w:t>
      </w:r>
      <w:r w:rsidRPr="00EC79CF">
        <w:t xml:space="preserve"> Queensland in 2013-14 compared with 2010-11, leading to increases in its GST share. Its expenses principally related to the flood and cyclone events of 2011 and 2012. On the other hand, New South Wales and Victoria expenses in 2013</w:t>
      </w:r>
      <w:r w:rsidRPr="00EC79CF">
        <w:noBreakHyphen/>
        <w:t xml:space="preserve">14 were more than offset by Commonwealth reimbursements </w:t>
      </w:r>
      <w:r>
        <w:t xml:space="preserve">paid or payable </w:t>
      </w:r>
      <w:r w:rsidRPr="00EC79CF">
        <w:t>for expenditure incurred in previous years.</w:t>
      </w:r>
    </w:p>
    <w:p w:rsidR="00A004DA" w:rsidRPr="00EC79CF" w:rsidRDefault="00A004DA" w:rsidP="00C20E52">
      <w:pPr>
        <w:pStyle w:val="CGCBulletlist"/>
        <w:numPr>
          <w:ilvl w:val="0"/>
          <w:numId w:val="1"/>
        </w:numPr>
        <w:tabs>
          <w:tab w:val="clear" w:pos="927"/>
          <w:tab w:val="left" w:pos="1134"/>
        </w:tabs>
        <w:ind w:left="1134" w:hanging="567"/>
      </w:pPr>
      <w:r w:rsidRPr="004A42F3">
        <w:rPr>
          <w:rStyle w:val="Heading6Char"/>
        </w:rPr>
        <w:t>Stamp duty.</w:t>
      </w:r>
      <w:r w:rsidRPr="00EC79CF">
        <w:t xml:space="preserve"> There was a </w:t>
      </w:r>
      <w:r w:rsidR="0082460F">
        <w:t>4</w:t>
      </w:r>
      <w:r w:rsidR="0082460F" w:rsidRPr="00EC79CF">
        <w:t>0</w:t>
      </w:r>
      <w:r w:rsidRPr="00EC79CF">
        <w:t xml:space="preserve">% increase in the value of property transferred in New South Wales </w:t>
      </w:r>
      <w:r w:rsidR="0082460F">
        <w:t>between 2010-11 and</w:t>
      </w:r>
      <w:r w:rsidR="0082460F" w:rsidRPr="00EC79CF">
        <w:t xml:space="preserve"> </w:t>
      </w:r>
      <w:r w:rsidRPr="00EC79CF">
        <w:t>2013-14. This increased its assessed property capacity, reducing its GST share. Victoria</w:t>
      </w:r>
      <w:r w:rsidR="0082460F">
        <w:t xml:space="preserve"> experienced a below average increase over this time, reducing its assessed capacity and increasing its GST share.</w:t>
      </w:r>
      <w:r w:rsidRPr="00EC79CF">
        <w:t xml:space="preserve"> </w:t>
      </w:r>
    </w:p>
    <w:p w:rsidR="00A004DA" w:rsidRPr="00EC79CF" w:rsidRDefault="00A004DA" w:rsidP="00A004DA">
      <w:pPr>
        <w:pStyle w:val="Heading4"/>
      </w:pPr>
      <w:r w:rsidRPr="00EC79CF">
        <w:lastRenderedPageBreak/>
        <w:t>The future</w:t>
      </w:r>
    </w:p>
    <w:p w:rsidR="00A004DA" w:rsidRPr="00EC79CF" w:rsidRDefault="00A004DA" w:rsidP="00C20E52">
      <w:pPr>
        <w:pStyle w:val="CGCNumberedPara"/>
        <w:numPr>
          <w:ilvl w:val="1"/>
          <w:numId w:val="2"/>
        </w:numPr>
      </w:pPr>
      <w:bookmarkStart w:id="354" w:name="_Ref410291553"/>
      <w:r w:rsidRPr="00EC79CF">
        <w:t>In this review, we have identified a number of areas of State activity that will require monitoring. These include the following</w:t>
      </w:r>
      <w:r w:rsidR="00592B19">
        <w:t>.</w:t>
      </w:r>
    </w:p>
    <w:p w:rsidR="00A004DA" w:rsidRPr="00EC79CF" w:rsidRDefault="00A004DA" w:rsidP="00C20E52">
      <w:pPr>
        <w:pStyle w:val="CGCBulletlist"/>
        <w:numPr>
          <w:ilvl w:val="0"/>
          <w:numId w:val="1"/>
        </w:numPr>
        <w:tabs>
          <w:tab w:val="clear" w:pos="927"/>
          <w:tab w:val="left" w:pos="1134"/>
        </w:tabs>
        <w:ind w:left="1134" w:hanging="567"/>
      </w:pPr>
      <w:r w:rsidRPr="00EC79CF">
        <w:t>We will monitor developments in State mining policies:</w:t>
      </w:r>
    </w:p>
    <w:p w:rsidR="00A004DA" w:rsidRPr="00EC79CF" w:rsidRDefault="00A004DA" w:rsidP="00C20E52">
      <w:pPr>
        <w:pStyle w:val="CGCSubbulletlist"/>
        <w:numPr>
          <w:ilvl w:val="0"/>
          <w:numId w:val="3"/>
        </w:numPr>
        <w:tabs>
          <w:tab w:val="clear" w:pos="927"/>
        </w:tabs>
        <w:ind w:left="1701" w:hanging="567"/>
      </w:pPr>
      <w:r w:rsidRPr="00EC79CF">
        <w:t>to ensure our mineral by mineral assessment is not influencing State behaviour</w:t>
      </w:r>
    </w:p>
    <w:p w:rsidR="00A004DA" w:rsidRPr="00EC79CF" w:rsidRDefault="00A004DA" w:rsidP="00C20E52">
      <w:pPr>
        <w:pStyle w:val="CGCSubbulletlist"/>
        <w:numPr>
          <w:ilvl w:val="0"/>
          <w:numId w:val="3"/>
        </w:numPr>
        <w:tabs>
          <w:tab w:val="clear" w:pos="927"/>
        </w:tabs>
        <w:ind w:left="1701" w:hanging="567"/>
      </w:pPr>
      <w:r w:rsidRPr="00EC79CF">
        <w:t xml:space="preserve">to check </w:t>
      </w:r>
      <w:r w:rsidR="00EB6444">
        <w:t xml:space="preserve">whether </w:t>
      </w:r>
      <w:r w:rsidRPr="00EC79CF">
        <w:t>other minerals, such as coal seam gas, become material, requiring a change to the minerals separately assessed</w:t>
      </w:r>
    </w:p>
    <w:p w:rsidR="00A004DA" w:rsidRPr="00EC79CF" w:rsidRDefault="00A004DA" w:rsidP="00C20E52">
      <w:pPr>
        <w:pStyle w:val="CGCSubbulletlist"/>
        <w:numPr>
          <w:ilvl w:val="0"/>
          <w:numId w:val="3"/>
        </w:numPr>
        <w:tabs>
          <w:tab w:val="clear" w:pos="927"/>
        </w:tabs>
        <w:ind w:left="1701" w:hanging="567"/>
      </w:pPr>
      <w:proofErr w:type="gramStart"/>
      <w:r w:rsidRPr="00EC79CF">
        <w:t>to</w:t>
      </w:r>
      <w:proofErr w:type="gramEnd"/>
      <w:r w:rsidRPr="00EC79CF">
        <w:t xml:space="preserve"> ensure the revenue base we observe with respect to say, coal seam gas</w:t>
      </w:r>
      <w:r w:rsidR="00EB6444">
        <w:t>,</w:t>
      </w:r>
      <w:r w:rsidRPr="00EC79CF">
        <w:t xml:space="preserve"> is consistent with average policy.</w:t>
      </w:r>
    </w:p>
    <w:p w:rsidR="00A004DA" w:rsidRPr="00EC79CF" w:rsidRDefault="00A004DA" w:rsidP="00C20E52">
      <w:pPr>
        <w:pStyle w:val="CGCBulletlist"/>
        <w:numPr>
          <w:ilvl w:val="0"/>
          <w:numId w:val="1"/>
        </w:numPr>
        <w:tabs>
          <w:tab w:val="clear" w:pos="927"/>
          <w:tab w:val="left" w:pos="1134"/>
        </w:tabs>
        <w:ind w:left="1134" w:hanging="567"/>
      </w:pPr>
      <w:r w:rsidRPr="00EC79CF">
        <w:t>We will review the advice provided by the Department of Infrastructure and Regional Development on which projects are on the national road and rail networks to ensure identified projects are consistent with our understanding of those networks and are treated appropriately, including for projects not declared to be on the network until after completion.</w:t>
      </w:r>
    </w:p>
    <w:p w:rsidR="00A004DA" w:rsidRPr="00EC79CF" w:rsidRDefault="00A004DA" w:rsidP="00C20E52">
      <w:pPr>
        <w:pStyle w:val="CGCBulletlist"/>
        <w:numPr>
          <w:ilvl w:val="0"/>
          <w:numId w:val="1"/>
        </w:numPr>
        <w:tabs>
          <w:tab w:val="clear" w:pos="927"/>
          <w:tab w:val="left" w:pos="1134"/>
        </w:tabs>
        <w:ind w:left="1134" w:hanging="567"/>
      </w:pPr>
      <w:r w:rsidRPr="00EC79CF">
        <w:t xml:space="preserve">We may need to reconsider the </w:t>
      </w:r>
      <w:r w:rsidR="005D0922">
        <w:t>n</w:t>
      </w:r>
      <w:r w:rsidRPr="00EC79CF">
        <w:t xml:space="preserve">atural </w:t>
      </w:r>
      <w:r w:rsidR="005D0922">
        <w:t>d</w:t>
      </w:r>
      <w:r w:rsidRPr="00EC79CF">
        <w:t xml:space="preserve">isaster </w:t>
      </w:r>
      <w:r w:rsidR="005D0922">
        <w:t>r</w:t>
      </w:r>
      <w:r w:rsidRPr="00EC79CF">
        <w:t>elief assessment if the Commonwealth changes the Natural Disasters Relief and Recovery Arrangements following the Productivity Commission</w:t>
      </w:r>
      <w:r w:rsidR="009E026C">
        <w:t>’</w:t>
      </w:r>
      <w:r w:rsidRPr="00EC79CF">
        <w:t>s report on those.</w:t>
      </w:r>
    </w:p>
    <w:p w:rsidR="00A004DA" w:rsidRPr="00EC79CF" w:rsidRDefault="00A004DA" w:rsidP="00C20E52">
      <w:pPr>
        <w:pStyle w:val="CGCNumberedPara"/>
        <w:numPr>
          <w:ilvl w:val="1"/>
          <w:numId w:val="2"/>
        </w:numPr>
      </w:pPr>
      <w:r w:rsidRPr="00EC79CF">
        <w:t>Also in this review, we have found the data required to properly review an assessment is not always available. For example, we have not made any changes to the wage</w:t>
      </w:r>
      <w:r w:rsidR="00464E43">
        <w:t xml:space="preserve"> costs</w:t>
      </w:r>
      <w:r w:rsidRPr="00EC79CF">
        <w:t xml:space="preserve"> assessme</w:t>
      </w:r>
      <w:r w:rsidR="00B454EE">
        <w:t>nt because the replacement data</w:t>
      </w:r>
      <w:r w:rsidRPr="00EC79CF">
        <w:t>set (Compensation of Employees) which will replace the Survey of Employment and Training is not yet available. We will consider changes when the new data are available, expected within the next 12 months. We will need to review whether</w:t>
      </w:r>
      <w:r w:rsidR="007D5DA3">
        <w:t xml:space="preserve"> a conceptual case for</w:t>
      </w:r>
      <w:r w:rsidRPr="00EC79CF">
        <w:t xml:space="preserve"> the disability continues to exist, and if it </w:t>
      </w:r>
      <w:proofErr w:type="gramStart"/>
      <w:r w:rsidRPr="00EC79CF">
        <w:t>does,</w:t>
      </w:r>
      <w:proofErr w:type="gramEnd"/>
      <w:r w:rsidRPr="00EC79CF">
        <w:t xml:space="preserve"> the most appropriate method to assess it.</w:t>
      </w:r>
    </w:p>
    <w:p w:rsidR="00A004DA" w:rsidRPr="00EC79CF" w:rsidRDefault="00592B19" w:rsidP="00C20E52">
      <w:pPr>
        <w:pStyle w:val="CGCNumberedPara"/>
        <w:numPr>
          <w:ilvl w:val="1"/>
          <w:numId w:val="2"/>
        </w:numPr>
      </w:pPr>
      <w:r>
        <w:t>T</w:t>
      </w:r>
      <w:r w:rsidR="00A004DA" w:rsidRPr="00EC79CF">
        <w:t>he Commission has update guidelines, agreed with States</w:t>
      </w:r>
      <w:r>
        <w:t>, which</w:t>
      </w:r>
      <w:r w:rsidR="00A004DA" w:rsidRPr="00EC79CF">
        <w:t xml:space="preserve"> give us the flexibility to make changes in methods, following consultation, in relation to major changes in federal financial relations and major budget developments and to apply new or better data. This ensures the relativities remain as contemporaneous as possible but are not changed unnecessarily. </w:t>
      </w:r>
      <w:r w:rsidR="007D5DA3">
        <w:t>R</w:t>
      </w:r>
      <w:r w:rsidR="00A004DA" w:rsidRPr="00EC79CF">
        <w:t>e-examination of the wage</w:t>
      </w:r>
      <w:r w:rsidR="00464E43">
        <w:t xml:space="preserve"> costs</w:t>
      </w:r>
      <w:r w:rsidR="00A004DA" w:rsidRPr="00EC79CF">
        <w:t xml:space="preserve"> data would be permitted by these guidelines. Similarly, the u</w:t>
      </w:r>
      <w:r w:rsidR="00464E43">
        <w:t>se of a 2011 </w:t>
      </w:r>
      <w:r w:rsidR="003426A9" w:rsidRPr="00EC79CF">
        <w:t>Census based Socio</w:t>
      </w:r>
      <w:r w:rsidR="003426A9" w:rsidRPr="00EC79CF">
        <w:noBreakHyphen/>
      </w:r>
      <w:r w:rsidR="00A004DA" w:rsidRPr="00EC79CF">
        <w:t>economic index for individuals (SEIFI) or household</w:t>
      </w:r>
      <w:r w:rsidR="00C4552E">
        <w:t>s</w:t>
      </w:r>
      <w:r w:rsidR="00A004DA" w:rsidRPr="00EC79CF">
        <w:t xml:space="preserve"> instead of the adjusted 2006 Census based SEIFI in the </w:t>
      </w:r>
      <w:r w:rsidR="005D0922">
        <w:t>W</w:t>
      </w:r>
      <w:r w:rsidR="00A004DA" w:rsidRPr="00EC79CF">
        <w:t xml:space="preserve">elfare category would be </w:t>
      </w:r>
      <w:r w:rsidR="00E71D62">
        <w:t>feasible</w:t>
      </w:r>
      <w:r w:rsidR="00A004DA" w:rsidRPr="00EC79CF">
        <w:t>.</w:t>
      </w:r>
    </w:p>
    <w:p w:rsidR="00A004DA" w:rsidRPr="00EC79CF" w:rsidRDefault="00A004DA" w:rsidP="00C20E52">
      <w:pPr>
        <w:pStyle w:val="CGCNumberedPara"/>
        <w:numPr>
          <w:ilvl w:val="1"/>
          <w:numId w:val="2"/>
        </w:numPr>
      </w:pPr>
      <w:r w:rsidRPr="00EC79CF">
        <w:t>Work could also commence on improving the data available to support assessments. The areas in which this would be beneficial have been identified throughout the report, and include work on the quantum of administrative scale expenses, the Indigenous socio-economic index, disaggregating services to industry expenses and improving the split of urban and rural roads data. In the past</w:t>
      </w:r>
      <w:r w:rsidR="00464E43">
        <w:t>,</w:t>
      </w:r>
      <w:r w:rsidRPr="00EC79CF">
        <w:t xml:space="preserve"> such work has been undertaken by a working party of State and Commission officers. We intend to </w:t>
      </w:r>
      <w:r w:rsidRPr="00EC79CF">
        <w:lastRenderedPageBreak/>
        <w:t xml:space="preserve">continue this approach. </w:t>
      </w:r>
      <w:r w:rsidRPr="00EC79CF">
        <w:fldChar w:fldCharType="begin"/>
      </w:r>
      <w:r w:rsidRPr="00EC79CF">
        <w:instrText xml:space="preserve"> REF _Ref410731062 \h  \* MERGEFORMAT </w:instrText>
      </w:r>
      <w:r w:rsidRPr="00EC79CF">
        <w:fldChar w:fldCharType="separate"/>
      </w:r>
      <w:r w:rsidR="003A5DEE" w:rsidRPr="00EC79CF">
        <w:t xml:space="preserve">Table </w:t>
      </w:r>
      <w:r w:rsidR="003A5DEE">
        <w:rPr>
          <w:noProof/>
        </w:rPr>
        <w:t>5</w:t>
      </w:r>
      <w:r w:rsidRPr="00EC79CF">
        <w:fldChar w:fldCharType="end"/>
      </w:r>
      <w:r w:rsidRPr="00EC79CF">
        <w:t xml:space="preserve"> provides a summary of the areas in which work could be undertaken.</w:t>
      </w:r>
    </w:p>
    <w:p w:rsidR="00A004DA" w:rsidRDefault="00A004DA" w:rsidP="00C20E52">
      <w:pPr>
        <w:pStyle w:val="CGCNumberedPara"/>
        <w:numPr>
          <w:ilvl w:val="1"/>
          <w:numId w:val="2"/>
        </w:numPr>
      </w:pPr>
      <w:r w:rsidRPr="00EC79CF">
        <w:t>Other work that might lead to a method change such as exploring the relationship between urban road and transport spending and progressing the development of the urban transport infrastructure model should be left to a method</w:t>
      </w:r>
      <w:r w:rsidR="00592B19">
        <w:t>ology</w:t>
      </w:r>
      <w:r w:rsidRPr="00EC79CF">
        <w:t xml:space="preserve"> review.</w:t>
      </w:r>
    </w:p>
    <w:p w:rsidR="00FC43E7" w:rsidRPr="00EC79CF" w:rsidRDefault="00FC43E7" w:rsidP="00FC43E7">
      <w:pPr>
        <w:pStyle w:val="CGCTableHeading"/>
        <w:ind w:left="0" w:firstLine="0"/>
      </w:pPr>
      <w:bookmarkStart w:id="355" w:name="_Ref410731062"/>
      <w:r w:rsidRPr="00EC79CF">
        <w:t xml:space="preserve">Table </w:t>
      </w:r>
      <w:fldSimple w:instr=" SEQ Table \* ARABIC ">
        <w:r w:rsidR="003A5DEE">
          <w:rPr>
            <w:noProof/>
          </w:rPr>
          <w:t>5</w:t>
        </w:r>
      </w:fldSimple>
      <w:bookmarkEnd w:id="355"/>
      <w:r w:rsidRPr="00EC79CF">
        <w:tab/>
        <w:t>Improving data to support assessments</w:t>
      </w:r>
    </w:p>
    <w:tbl>
      <w:tblPr>
        <w:tblW w:w="5000" w:type="pct"/>
        <w:tblCellMar>
          <w:left w:w="85" w:type="dxa"/>
          <w:right w:w="85" w:type="dxa"/>
        </w:tblCellMar>
        <w:tblLook w:val="0000" w:firstRow="0" w:lastRow="0" w:firstColumn="0" w:lastColumn="0" w:noHBand="0" w:noVBand="0"/>
      </w:tblPr>
      <w:tblGrid>
        <w:gridCol w:w="2354"/>
        <w:gridCol w:w="2694"/>
        <w:gridCol w:w="4073"/>
      </w:tblGrid>
      <w:tr w:rsidR="00FC43E7" w:rsidRPr="00EC79CF" w:rsidTr="007C3093">
        <w:tc>
          <w:tcPr>
            <w:tcW w:w="1290" w:type="pct"/>
            <w:tcBorders>
              <w:top w:val="single" w:sz="6" w:space="0" w:color="auto"/>
              <w:bottom w:val="single" w:sz="6" w:space="0" w:color="auto"/>
            </w:tcBorders>
            <w:vAlign w:val="bottom"/>
          </w:tcPr>
          <w:p w:rsidR="00FC43E7" w:rsidRPr="00EC79CF" w:rsidRDefault="00FC43E7" w:rsidP="007C3093">
            <w:pPr>
              <w:pStyle w:val="TableColHeadings"/>
              <w:jc w:val="left"/>
              <w:rPr>
                <w:rFonts w:cstheme="minorHAnsi"/>
              </w:rPr>
            </w:pPr>
            <w:r w:rsidRPr="00EC79CF">
              <w:rPr>
                <w:rFonts w:cstheme="minorHAnsi"/>
              </w:rPr>
              <w:t>Category</w:t>
            </w:r>
          </w:p>
        </w:tc>
        <w:tc>
          <w:tcPr>
            <w:tcW w:w="1477" w:type="pct"/>
            <w:tcBorders>
              <w:top w:val="single" w:sz="6" w:space="0" w:color="auto"/>
              <w:bottom w:val="single" w:sz="6" w:space="0" w:color="auto"/>
            </w:tcBorders>
            <w:vAlign w:val="bottom"/>
          </w:tcPr>
          <w:p w:rsidR="00FC43E7" w:rsidRPr="00EC79CF" w:rsidRDefault="00FC43E7" w:rsidP="007C3093">
            <w:pPr>
              <w:pStyle w:val="TableColHeadings"/>
              <w:jc w:val="left"/>
              <w:rPr>
                <w:rFonts w:cstheme="minorHAnsi"/>
              </w:rPr>
            </w:pPr>
            <w:r w:rsidRPr="00EC79CF">
              <w:rPr>
                <w:rFonts w:cstheme="minorHAnsi"/>
              </w:rPr>
              <w:t>Dataset</w:t>
            </w:r>
          </w:p>
        </w:tc>
        <w:tc>
          <w:tcPr>
            <w:tcW w:w="2233" w:type="pct"/>
            <w:tcBorders>
              <w:top w:val="single" w:sz="6" w:space="0" w:color="auto"/>
              <w:bottom w:val="single" w:sz="6" w:space="0" w:color="auto"/>
            </w:tcBorders>
            <w:vAlign w:val="bottom"/>
          </w:tcPr>
          <w:p w:rsidR="00FC43E7" w:rsidRPr="00EC79CF" w:rsidRDefault="00FC43E7" w:rsidP="007C3093">
            <w:pPr>
              <w:pStyle w:val="TableColHeadings"/>
              <w:jc w:val="left"/>
              <w:rPr>
                <w:rFonts w:cstheme="minorHAnsi"/>
              </w:rPr>
            </w:pPr>
            <w:r w:rsidRPr="00EC79CF">
              <w:rPr>
                <w:rFonts w:cstheme="minorHAnsi"/>
              </w:rPr>
              <w:t>Work required</w:t>
            </w:r>
          </w:p>
        </w:tc>
      </w:tr>
      <w:tr w:rsidR="00FC43E7" w:rsidRPr="00EC79CF" w:rsidTr="007C3093">
        <w:tc>
          <w:tcPr>
            <w:tcW w:w="1290" w:type="pct"/>
          </w:tcPr>
          <w:p w:rsidR="00FC43E7" w:rsidRPr="00EC79CF" w:rsidRDefault="00065F4A" w:rsidP="007C3093">
            <w:pPr>
              <w:pStyle w:val="CGCTableStub"/>
              <w:ind w:left="142" w:hanging="142"/>
              <w:rPr>
                <w:rFonts w:cstheme="minorHAnsi"/>
              </w:rPr>
            </w:pPr>
            <w:r>
              <w:rPr>
                <w:rFonts w:cstheme="minorHAnsi"/>
              </w:rPr>
              <w:t>Wage costs</w:t>
            </w:r>
          </w:p>
        </w:tc>
        <w:tc>
          <w:tcPr>
            <w:tcW w:w="1477" w:type="pct"/>
          </w:tcPr>
          <w:p w:rsidR="00FC43E7" w:rsidRPr="00EC79CF" w:rsidRDefault="00FC43E7" w:rsidP="009E026C">
            <w:pPr>
              <w:pStyle w:val="TableRowNormal"/>
              <w:ind w:left="0" w:firstLine="0"/>
              <w:jc w:val="left"/>
              <w:rPr>
                <w:rFonts w:cstheme="minorHAnsi"/>
              </w:rPr>
            </w:pPr>
            <w:r w:rsidRPr="00EC79CF">
              <w:rPr>
                <w:rFonts w:cstheme="minorHAnsi"/>
              </w:rPr>
              <w:t>ABS Compensation of employees</w:t>
            </w:r>
          </w:p>
        </w:tc>
        <w:tc>
          <w:tcPr>
            <w:tcW w:w="2233" w:type="pct"/>
          </w:tcPr>
          <w:p w:rsidR="00FC43E7" w:rsidRPr="00EC79CF" w:rsidRDefault="00FC43E7" w:rsidP="009E026C">
            <w:pPr>
              <w:pStyle w:val="TableRowNormal"/>
              <w:ind w:left="0" w:firstLine="0"/>
              <w:jc w:val="left"/>
              <w:rPr>
                <w:rFonts w:cstheme="minorHAnsi"/>
              </w:rPr>
            </w:pPr>
            <w:r w:rsidRPr="00EC79CF">
              <w:t xml:space="preserve">Reconsider whether </w:t>
            </w:r>
            <w:r w:rsidR="007D5DA3">
              <w:t xml:space="preserve">a conceptual case for </w:t>
            </w:r>
            <w:r w:rsidRPr="00EC79CF">
              <w:t>the disability continues to exist, and if it doe</w:t>
            </w:r>
            <w:r w:rsidR="009E026C">
              <w:t>s, the model used to measure it;</w:t>
            </w:r>
            <w:r w:rsidRPr="00EC79CF">
              <w:t xml:space="preserve"> whether wage levels should be based on w</w:t>
            </w:r>
            <w:r w:rsidR="009E026C">
              <w:t>hole of State or capital cities;</w:t>
            </w:r>
            <w:r w:rsidRPr="00EC79CF">
              <w:t xml:space="preserve"> whether a State specific regional cost allowance is required</w:t>
            </w:r>
            <w:r w:rsidR="009E026C">
              <w:t>;</w:t>
            </w:r>
            <w:r w:rsidRPr="00EC79CF">
              <w:t xml:space="preserve"> and the appropriate level of discounting.</w:t>
            </w:r>
          </w:p>
        </w:tc>
      </w:tr>
      <w:tr w:rsidR="00FC43E7" w:rsidRPr="00EC79CF" w:rsidTr="007C3093">
        <w:tc>
          <w:tcPr>
            <w:tcW w:w="1290" w:type="pct"/>
          </w:tcPr>
          <w:p w:rsidR="00FC43E7" w:rsidRPr="00EC79CF" w:rsidRDefault="00FC43E7" w:rsidP="007C3093">
            <w:pPr>
              <w:pStyle w:val="CGCTableStub"/>
              <w:ind w:left="142" w:hanging="142"/>
              <w:rPr>
                <w:rFonts w:cstheme="minorHAnsi"/>
              </w:rPr>
            </w:pPr>
            <w:r w:rsidRPr="00EC79CF">
              <w:rPr>
                <w:rFonts w:cstheme="minorHAnsi"/>
              </w:rPr>
              <w:t>Administrative scale</w:t>
            </w:r>
          </w:p>
        </w:tc>
        <w:tc>
          <w:tcPr>
            <w:tcW w:w="1477" w:type="pct"/>
          </w:tcPr>
          <w:p w:rsidR="00FC43E7" w:rsidRPr="00EC79CF" w:rsidRDefault="00FC43E7" w:rsidP="009E026C">
            <w:pPr>
              <w:pStyle w:val="TableRowNormal"/>
              <w:ind w:left="0" w:firstLine="0"/>
              <w:jc w:val="left"/>
              <w:rPr>
                <w:rFonts w:cstheme="minorHAnsi"/>
              </w:rPr>
            </w:pPr>
            <w:r w:rsidRPr="00EC79CF">
              <w:rPr>
                <w:rFonts w:cstheme="minorHAnsi"/>
              </w:rPr>
              <w:t>Quantum of scale affected expenses</w:t>
            </w:r>
          </w:p>
        </w:tc>
        <w:tc>
          <w:tcPr>
            <w:tcW w:w="2233" w:type="pct"/>
          </w:tcPr>
          <w:p w:rsidR="00FC43E7" w:rsidRPr="00EC79CF" w:rsidRDefault="00FC43E7" w:rsidP="009E026C">
            <w:pPr>
              <w:pStyle w:val="TableRowNormal"/>
              <w:ind w:left="0" w:firstLine="0"/>
              <w:jc w:val="left"/>
              <w:rPr>
                <w:rFonts w:cstheme="minorHAnsi"/>
              </w:rPr>
            </w:pPr>
            <w:r w:rsidRPr="00EC79CF">
              <w:rPr>
                <w:rFonts w:cstheme="minorHAnsi"/>
              </w:rPr>
              <w:t>Review scale affected expenses and collect data on these.</w:t>
            </w:r>
          </w:p>
        </w:tc>
      </w:tr>
      <w:tr w:rsidR="00FC43E7" w:rsidRPr="00EC79CF" w:rsidTr="007C3093">
        <w:tc>
          <w:tcPr>
            <w:tcW w:w="1290" w:type="pct"/>
          </w:tcPr>
          <w:p w:rsidR="00FC43E7" w:rsidRPr="00EC79CF" w:rsidRDefault="00FC43E7" w:rsidP="007C3093">
            <w:pPr>
              <w:pStyle w:val="CGCTableStub"/>
              <w:ind w:left="142" w:hanging="142"/>
              <w:rPr>
                <w:rFonts w:cstheme="minorHAnsi"/>
              </w:rPr>
            </w:pPr>
            <w:r w:rsidRPr="00EC79CF">
              <w:rPr>
                <w:rFonts w:cstheme="minorHAnsi"/>
              </w:rPr>
              <w:t>Socio-economic status classification</w:t>
            </w:r>
          </w:p>
        </w:tc>
        <w:tc>
          <w:tcPr>
            <w:tcW w:w="1477" w:type="pct"/>
          </w:tcPr>
          <w:p w:rsidR="00FC43E7" w:rsidRPr="00EC79CF" w:rsidRDefault="00FC43E7" w:rsidP="009E026C">
            <w:pPr>
              <w:pStyle w:val="TableRowNormal"/>
              <w:ind w:left="0" w:firstLine="0"/>
              <w:jc w:val="left"/>
              <w:rPr>
                <w:rFonts w:cstheme="minorHAnsi"/>
              </w:rPr>
            </w:pPr>
            <w:r w:rsidRPr="00EC79CF">
              <w:rPr>
                <w:rFonts w:cstheme="minorHAnsi"/>
              </w:rPr>
              <w:t>Indigenous socio-economic</w:t>
            </w:r>
            <w:r w:rsidR="00CF5D11">
              <w:rPr>
                <w:rFonts w:cstheme="minorHAnsi"/>
              </w:rPr>
              <w:t xml:space="preserve"> status</w:t>
            </w:r>
          </w:p>
        </w:tc>
        <w:tc>
          <w:tcPr>
            <w:tcW w:w="2233" w:type="pct"/>
          </w:tcPr>
          <w:p w:rsidR="00FC43E7" w:rsidRPr="00EC79CF" w:rsidRDefault="00FC43E7" w:rsidP="009E026C">
            <w:pPr>
              <w:pStyle w:val="TableRowNormal"/>
              <w:ind w:left="0" w:firstLine="0"/>
              <w:jc w:val="left"/>
              <w:rPr>
                <w:rFonts w:cstheme="minorHAnsi"/>
              </w:rPr>
            </w:pPr>
            <w:r w:rsidRPr="00EC79CF">
              <w:rPr>
                <w:rFonts w:cstheme="minorHAnsi"/>
              </w:rPr>
              <w:t>Consider whether there is a more fit for purpose index.</w:t>
            </w:r>
          </w:p>
        </w:tc>
      </w:tr>
      <w:tr w:rsidR="005D0922" w:rsidRPr="00EC79CF" w:rsidTr="00E0466F">
        <w:tc>
          <w:tcPr>
            <w:tcW w:w="1290" w:type="pct"/>
          </w:tcPr>
          <w:p w:rsidR="005D0922" w:rsidRPr="00EC79CF" w:rsidRDefault="005D0922" w:rsidP="00E0466F">
            <w:pPr>
              <w:pStyle w:val="CGCTableStub"/>
              <w:ind w:left="142" w:hanging="142"/>
              <w:rPr>
                <w:rFonts w:cstheme="minorHAnsi"/>
              </w:rPr>
            </w:pPr>
            <w:r w:rsidRPr="00EC79CF">
              <w:rPr>
                <w:rFonts w:cstheme="minorHAnsi"/>
              </w:rPr>
              <w:t>Health</w:t>
            </w:r>
          </w:p>
        </w:tc>
        <w:tc>
          <w:tcPr>
            <w:tcW w:w="1477" w:type="pct"/>
          </w:tcPr>
          <w:p w:rsidR="005D0922" w:rsidRPr="00EC79CF" w:rsidRDefault="005D0922" w:rsidP="009E026C">
            <w:pPr>
              <w:pStyle w:val="TableRowNormal"/>
              <w:ind w:left="0" w:firstLine="0"/>
              <w:jc w:val="left"/>
              <w:rPr>
                <w:rFonts w:cstheme="minorHAnsi"/>
              </w:rPr>
            </w:pPr>
            <w:r w:rsidRPr="00EC79CF">
              <w:t>Independent Hospital Pricing Authority</w:t>
            </w:r>
            <w:r>
              <w:t xml:space="preserve"> hospital data</w:t>
            </w:r>
          </w:p>
        </w:tc>
        <w:tc>
          <w:tcPr>
            <w:tcW w:w="2233" w:type="pct"/>
          </w:tcPr>
          <w:p w:rsidR="005D0922" w:rsidRPr="00EC79CF" w:rsidRDefault="005D0922" w:rsidP="009E026C">
            <w:pPr>
              <w:pStyle w:val="TableRowNormal"/>
              <w:ind w:left="0" w:firstLine="0"/>
              <w:jc w:val="left"/>
            </w:pPr>
            <w:r w:rsidRPr="00EC79CF">
              <w:t>Monitor improvements in these data, including data on block funded hospitals.</w:t>
            </w:r>
          </w:p>
        </w:tc>
      </w:tr>
      <w:tr w:rsidR="00FC43E7" w:rsidRPr="00EC79CF" w:rsidTr="007C3093">
        <w:tc>
          <w:tcPr>
            <w:tcW w:w="1290" w:type="pct"/>
          </w:tcPr>
          <w:p w:rsidR="00FC43E7" w:rsidRPr="00EC79CF" w:rsidRDefault="00FC43E7" w:rsidP="007C3093">
            <w:pPr>
              <w:pStyle w:val="CGCTableStub"/>
              <w:ind w:left="142" w:hanging="142"/>
              <w:rPr>
                <w:rFonts w:cstheme="minorHAnsi"/>
              </w:rPr>
            </w:pPr>
            <w:r w:rsidRPr="00EC79CF">
              <w:rPr>
                <w:rFonts w:cstheme="minorHAnsi"/>
              </w:rPr>
              <w:t>Services to communities</w:t>
            </w:r>
          </w:p>
        </w:tc>
        <w:tc>
          <w:tcPr>
            <w:tcW w:w="1477" w:type="pct"/>
          </w:tcPr>
          <w:p w:rsidR="00FC43E7" w:rsidRPr="00EC79CF" w:rsidRDefault="00FC43E7" w:rsidP="009E026C">
            <w:pPr>
              <w:pStyle w:val="TableRowNormal"/>
              <w:ind w:left="0" w:firstLine="0"/>
              <w:jc w:val="left"/>
              <w:rPr>
                <w:rFonts w:cstheme="minorHAnsi"/>
              </w:rPr>
            </w:pPr>
            <w:r w:rsidRPr="00EC79CF">
              <w:rPr>
                <w:rFonts w:cstheme="minorHAnsi"/>
              </w:rPr>
              <w:t>Electricity and water subsidies by location and urban centre size</w:t>
            </w:r>
          </w:p>
        </w:tc>
        <w:tc>
          <w:tcPr>
            <w:tcW w:w="2233" w:type="pct"/>
          </w:tcPr>
          <w:p w:rsidR="00FC43E7" w:rsidRPr="00EC79CF" w:rsidRDefault="00FC43E7" w:rsidP="009E026C">
            <w:pPr>
              <w:pStyle w:val="TableRowNormal"/>
              <w:ind w:left="0" w:firstLine="0"/>
              <w:jc w:val="left"/>
            </w:pPr>
            <w:r w:rsidRPr="00EC79CF">
              <w:t>Develop data collection with States in an attempt to better specify the relationship.</w:t>
            </w:r>
          </w:p>
        </w:tc>
      </w:tr>
      <w:tr w:rsidR="00FC43E7" w:rsidRPr="00EC79CF" w:rsidTr="00B454EE">
        <w:tc>
          <w:tcPr>
            <w:tcW w:w="1290" w:type="pct"/>
          </w:tcPr>
          <w:p w:rsidR="00FC43E7" w:rsidRPr="00EC79CF" w:rsidRDefault="00FC43E7" w:rsidP="007C3093">
            <w:pPr>
              <w:pStyle w:val="CGCTableStub"/>
              <w:ind w:left="142" w:hanging="142"/>
              <w:rPr>
                <w:rFonts w:cstheme="minorHAnsi"/>
              </w:rPr>
            </w:pPr>
            <w:r w:rsidRPr="00EC79CF">
              <w:rPr>
                <w:rFonts w:cstheme="minorHAnsi"/>
              </w:rPr>
              <w:t>Services to communities</w:t>
            </w:r>
          </w:p>
        </w:tc>
        <w:tc>
          <w:tcPr>
            <w:tcW w:w="1477" w:type="pct"/>
          </w:tcPr>
          <w:p w:rsidR="00FC43E7" w:rsidRPr="00EC79CF" w:rsidRDefault="00FC43E7" w:rsidP="009E026C">
            <w:pPr>
              <w:pStyle w:val="TableRowNormal"/>
              <w:ind w:left="0" w:firstLine="0"/>
              <w:jc w:val="left"/>
              <w:rPr>
                <w:rFonts w:cstheme="minorHAnsi"/>
              </w:rPr>
            </w:pPr>
            <w:r w:rsidRPr="00EC79CF">
              <w:rPr>
                <w:rFonts w:cstheme="minorHAnsi"/>
              </w:rPr>
              <w:t>Other influences</w:t>
            </w:r>
          </w:p>
        </w:tc>
        <w:tc>
          <w:tcPr>
            <w:tcW w:w="2233" w:type="pct"/>
          </w:tcPr>
          <w:p w:rsidR="00FC43E7" w:rsidRPr="00EC79CF" w:rsidRDefault="00FC43E7" w:rsidP="009E026C">
            <w:pPr>
              <w:pStyle w:val="TableRowNormal"/>
              <w:ind w:left="0" w:firstLine="0"/>
              <w:jc w:val="left"/>
            </w:pPr>
            <w:r w:rsidRPr="00EC79CF">
              <w:t>Explore impact of other influences such as physical environment, water quality</w:t>
            </w:r>
            <w:r w:rsidR="005D0922">
              <w:t xml:space="preserve"> and</w:t>
            </w:r>
            <w:r w:rsidRPr="00EC79CF">
              <w:t xml:space="preserve"> distance from water source.</w:t>
            </w:r>
          </w:p>
        </w:tc>
      </w:tr>
      <w:tr w:rsidR="00B454EE" w:rsidRPr="00EC79CF" w:rsidTr="00B454EE">
        <w:tc>
          <w:tcPr>
            <w:tcW w:w="1290" w:type="pct"/>
          </w:tcPr>
          <w:p w:rsidR="00B454EE" w:rsidRPr="00EC79CF" w:rsidRDefault="00B454EE" w:rsidP="009E6214">
            <w:pPr>
              <w:pStyle w:val="CGCTableStub"/>
              <w:ind w:left="142" w:hanging="142"/>
              <w:rPr>
                <w:rFonts w:cstheme="minorHAnsi"/>
              </w:rPr>
            </w:pPr>
            <w:r w:rsidRPr="00EC79CF">
              <w:rPr>
                <w:rFonts w:cstheme="minorHAnsi"/>
              </w:rPr>
              <w:t>Justice</w:t>
            </w:r>
          </w:p>
        </w:tc>
        <w:tc>
          <w:tcPr>
            <w:tcW w:w="1477" w:type="pct"/>
          </w:tcPr>
          <w:p w:rsidR="00B454EE" w:rsidRPr="00EC79CF" w:rsidRDefault="00B454EE" w:rsidP="009E6214">
            <w:pPr>
              <w:pStyle w:val="TableRowNormal"/>
              <w:ind w:left="0" w:firstLine="0"/>
              <w:jc w:val="left"/>
              <w:rPr>
                <w:rFonts w:cstheme="minorHAnsi"/>
              </w:rPr>
            </w:pPr>
            <w:r w:rsidRPr="00EC79CF">
              <w:rPr>
                <w:rFonts w:cstheme="minorHAnsi"/>
              </w:rPr>
              <w:t>Australian Institute of Criminology national police custody data</w:t>
            </w:r>
          </w:p>
        </w:tc>
        <w:tc>
          <w:tcPr>
            <w:tcW w:w="2233" w:type="pct"/>
          </w:tcPr>
          <w:p w:rsidR="00B454EE" w:rsidRPr="00FC43E7" w:rsidRDefault="00B454EE" w:rsidP="009E6214">
            <w:pPr>
              <w:pStyle w:val="TableRowNormal"/>
              <w:ind w:left="0" w:firstLine="0"/>
              <w:jc w:val="left"/>
            </w:pPr>
            <w:r w:rsidRPr="00EC79CF">
              <w:t>Review to determine their suitability to replace existing police data; whether they could be used to derive Indigenous cost weights; and whether the level of discounting is appropriate.</w:t>
            </w:r>
          </w:p>
        </w:tc>
      </w:tr>
      <w:tr w:rsidR="00B454EE" w:rsidRPr="00EC79CF" w:rsidTr="00B454EE">
        <w:tc>
          <w:tcPr>
            <w:tcW w:w="1290" w:type="pct"/>
          </w:tcPr>
          <w:p w:rsidR="00B454EE" w:rsidRPr="00EC79CF" w:rsidRDefault="00B454EE" w:rsidP="009E6214">
            <w:pPr>
              <w:pStyle w:val="CGCTableStub"/>
              <w:ind w:left="142" w:hanging="142"/>
              <w:rPr>
                <w:rFonts w:cstheme="minorHAnsi"/>
              </w:rPr>
            </w:pPr>
            <w:r w:rsidRPr="00EC79CF">
              <w:rPr>
                <w:rFonts w:cstheme="minorHAnsi"/>
              </w:rPr>
              <w:t>Services to industry</w:t>
            </w:r>
          </w:p>
        </w:tc>
        <w:tc>
          <w:tcPr>
            <w:tcW w:w="1477" w:type="pct"/>
          </w:tcPr>
          <w:p w:rsidR="00B454EE" w:rsidRPr="00EC79CF" w:rsidRDefault="00B454EE" w:rsidP="009E6214">
            <w:pPr>
              <w:pStyle w:val="TableRowNormal"/>
              <w:ind w:left="0" w:firstLine="0"/>
              <w:jc w:val="left"/>
              <w:rPr>
                <w:rFonts w:cstheme="minorHAnsi"/>
              </w:rPr>
            </w:pPr>
            <w:r w:rsidRPr="00EC79CF">
              <w:rPr>
                <w:rFonts w:cstheme="minorHAnsi"/>
              </w:rPr>
              <w:t>Disaggregating category expenses by purpose (regulation/industry development)</w:t>
            </w:r>
          </w:p>
        </w:tc>
        <w:tc>
          <w:tcPr>
            <w:tcW w:w="2233" w:type="pct"/>
          </w:tcPr>
          <w:p w:rsidR="00B454EE" w:rsidRPr="00EC79CF" w:rsidRDefault="00B454EE" w:rsidP="009E6214">
            <w:pPr>
              <w:pStyle w:val="TableRowNormal"/>
              <w:ind w:left="0" w:firstLine="0"/>
              <w:jc w:val="left"/>
              <w:rPr>
                <w:rFonts w:cstheme="minorHAnsi"/>
              </w:rPr>
            </w:pPr>
            <w:r w:rsidRPr="00EC79CF">
              <w:rPr>
                <w:rFonts w:cstheme="minorHAnsi"/>
              </w:rPr>
              <w:t>Consider new options for doing this.</w:t>
            </w:r>
          </w:p>
        </w:tc>
      </w:tr>
      <w:tr w:rsidR="00B454EE" w:rsidRPr="00EC79CF" w:rsidTr="00B454EE">
        <w:tc>
          <w:tcPr>
            <w:tcW w:w="1290" w:type="pct"/>
          </w:tcPr>
          <w:p w:rsidR="00B454EE" w:rsidRPr="00EC79CF" w:rsidRDefault="00B454EE" w:rsidP="009E6214">
            <w:pPr>
              <w:pStyle w:val="CGCTableStub"/>
              <w:ind w:left="142" w:hanging="142"/>
              <w:rPr>
                <w:rFonts w:cstheme="minorHAnsi"/>
              </w:rPr>
            </w:pPr>
            <w:r w:rsidRPr="00EC79CF">
              <w:rPr>
                <w:rFonts w:cstheme="minorHAnsi"/>
              </w:rPr>
              <w:t>Roads</w:t>
            </w:r>
          </w:p>
        </w:tc>
        <w:tc>
          <w:tcPr>
            <w:tcW w:w="1477" w:type="pct"/>
          </w:tcPr>
          <w:p w:rsidR="00B454EE" w:rsidRPr="00EC79CF" w:rsidRDefault="00B454EE" w:rsidP="009E6214">
            <w:pPr>
              <w:pStyle w:val="TableRowNormal"/>
              <w:ind w:left="0" w:firstLine="0"/>
              <w:jc w:val="left"/>
              <w:rPr>
                <w:rFonts w:cstheme="minorHAnsi"/>
              </w:rPr>
            </w:pPr>
            <w:r w:rsidRPr="00EC79CF">
              <w:rPr>
                <w:rFonts w:cstheme="minorHAnsi"/>
              </w:rPr>
              <w:t>Rural roads synthetic network</w:t>
            </w:r>
          </w:p>
        </w:tc>
        <w:tc>
          <w:tcPr>
            <w:tcW w:w="2233" w:type="pct"/>
          </w:tcPr>
          <w:p w:rsidR="00B454EE" w:rsidRPr="00EC79CF" w:rsidRDefault="00B454EE" w:rsidP="009E6214">
            <w:pPr>
              <w:pStyle w:val="TableRowNormal"/>
              <w:ind w:left="0" w:firstLine="0"/>
              <w:jc w:val="left"/>
              <w:rPr>
                <w:rFonts w:cstheme="minorHAnsi"/>
              </w:rPr>
            </w:pPr>
            <w:r w:rsidRPr="00EC79CF">
              <w:rPr>
                <w:rFonts w:cstheme="minorHAnsi"/>
              </w:rPr>
              <w:t>Review parameters and update</w:t>
            </w:r>
            <w:r>
              <w:rPr>
                <w:rFonts w:cstheme="minorHAnsi"/>
              </w:rPr>
              <w:t>.</w:t>
            </w:r>
          </w:p>
        </w:tc>
      </w:tr>
      <w:tr w:rsidR="00B454EE" w:rsidRPr="00EC79CF" w:rsidTr="00B454EE">
        <w:tc>
          <w:tcPr>
            <w:tcW w:w="1290" w:type="pct"/>
          </w:tcPr>
          <w:p w:rsidR="00B454EE" w:rsidRPr="00EC79CF" w:rsidRDefault="00B454EE" w:rsidP="009E6214">
            <w:pPr>
              <w:pStyle w:val="CGCTableStub"/>
              <w:ind w:left="142" w:hanging="142"/>
              <w:rPr>
                <w:rFonts w:cstheme="minorHAnsi"/>
              </w:rPr>
            </w:pPr>
            <w:r w:rsidRPr="00EC79CF">
              <w:rPr>
                <w:rFonts w:cstheme="minorHAnsi"/>
              </w:rPr>
              <w:t>Roads</w:t>
            </w:r>
          </w:p>
        </w:tc>
        <w:tc>
          <w:tcPr>
            <w:tcW w:w="1477" w:type="pct"/>
          </w:tcPr>
          <w:p w:rsidR="00B454EE" w:rsidRPr="00EC79CF" w:rsidRDefault="00B454EE" w:rsidP="009E6214">
            <w:pPr>
              <w:pStyle w:val="TableRowNormal"/>
              <w:ind w:left="0" w:firstLine="0"/>
              <w:jc w:val="left"/>
              <w:rPr>
                <w:rFonts w:cstheme="minorHAnsi"/>
              </w:rPr>
            </w:pPr>
            <w:r w:rsidRPr="00EC79CF">
              <w:rPr>
                <w:rFonts w:cstheme="minorHAnsi"/>
              </w:rPr>
              <w:t>Urban road lengths</w:t>
            </w:r>
          </w:p>
        </w:tc>
        <w:tc>
          <w:tcPr>
            <w:tcW w:w="2233" w:type="pct"/>
          </w:tcPr>
          <w:p w:rsidR="00B454EE" w:rsidRPr="00EC79CF" w:rsidRDefault="00B454EE" w:rsidP="009E6214">
            <w:pPr>
              <w:pStyle w:val="TableRowNormal"/>
              <w:ind w:left="0" w:firstLine="0"/>
              <w:jc w:val="left"/>
              <w:rPr>
                <w:rFonts w:cstheme="minorHAnsi"/>
              </w:rPr>
            </w:pPr>
            <w:r w:rsidRPr="00EC79CF">
              <w:rPr>
                <w:rFonts w:cstheme="minorHAnsi"/>
              </w:rPr>
              <w:t>Consider development of alternative proxy to urban population.</w:t>
            </w:r>
          </w:p>
        </w:tc>
      </w:tr>
      <w:tr w:rsidR="00B454EE" w:rsidRPr="00EC79CF" w:rsidTr="00B454EE">
        <w:tc>
          <w:tcPr>
            <w:tcW w:w="1290" w:type="pct"/>
          </w:tcPr>
          <w:p w:rsidR="00B454EE" w:rsidRPr="00EC79CF" w:rsidRDefault="00B454EE" w:rsidP="009E6214">
            <w:pPr>
              <w:pStyle w:val="CGCTableStub"/>
              <w:ind w:left="142" w:hanging="142"/>
              <w:rPr>
                <w:rFonts w:cstheme="minorHAnsi"/>
              </w:rPr>
            </w:pPr>
            <w:r w:rsidRPr="00EC79CF">
              <w:rPr>
                <w:rFonts w:cstheme="minorHAnsi"/>
              </w:rPr>
              <w:t>Roads infrastructure</w:t>
            </w:r>
          </w:p>
        </w:tc>
        <w:tc>
          <w:tcPr>
            <w:tcW w:w="1477" w:type="pct"/>
          </w:tcPr>
          <w:p w:rsidR="00B454EE" w:rsidRPr="00EC79CF" w:rsidRDefault="00B454EE" w:rsidP="009E6214">
            <w:pPr>
              <w:pStyle w:val="TableRowNormal"/>
              <w:ind w:left="0" w:firstLine="0"/>
              <w:jc w:val="left"/>
              <w:rPr>
                <w:rFonts w:cstheme="minorHAnsi"/>
              </w:rPr>
            </w:pPr>
            <w:r w:rsidRPr="00EC79CF">
              <w:rPr>
                <w:rFonts w:cstheme="minorHAnsi"/>
              </w:rPr>
              <w:t>Urban/rural roads data splits</w:t>
            </w:r>
          </w:p>
        </w:tc>
        <w:tc>
          <w:tcPr>
            <w:tcW w:w="2233" w:type="pct"/>
          </w:tcPr>
          <w:p w:rsidR="00B454EE" w:rsidRPr="00EC79CF" w:rsidRDefault="00B454EE" w:rsidP="009E6214">
            <w:pPr>
              <w:pStyle w:val="TableRowNormal"/>
              <w:ind w:left="0" w:firstLine="0"/>
              <w:jc w:val="left"/>
              <w:rPr>
                <w:rFonts w:cstheme="minorHAnsi"/>
              </w:rPr>
            </w:pPr>
            <w:r w:rsidRPr="00EC79CF">
              <w:rPr>
                <w:rFonts w:cstheme="minorHAnsi"/>
              </w:rPr>
              <w:t>Review definition of urban and rural roads and collect more consistent data from States. Review discount.</w:t>
            </w:r>
          </w:p>
        </w:tc>
      </w:tr>
      <w:tr w:rsidR="00B454EE" w:rsidRPr="00EC79CF" w:rsidTr="00B454EE">
        <w:tc>
          <w:tcPr>
            <w:tcW w:w="1290" w:type="pct"/>
            <w:tcBorders>
              <w:bottom w:val="single" w:sz="4" w:space="0" w:color="auto"/>
            </w:tcBorders>
          </w:tcPr>
          <w:p w:rsidR="00B454EE" w:rsidRPr="00EC79CF" w:rsidRDefault="00B454EE" w:rsidP="009E6214">
            <w:pPr>
              <w:pStyle w:val="CGCTableStub"/>
              <w:ind w:left="142" w:hanging="142"/>
              <w:rPr>
                <w:rFonts w:cstheme="minorHAnsi"/>
              </w:rPr>
            </w:pPr>
            <w:r w:rsidRPr="00EC79CF">
              <w:rPr>
                <w:rFonts w:cstheme="minorHAnsi"/>
              </w:rPr>
              <w:t>Transport infrastructure</w:t>
            </w:r>
          </w:p>
        </w:tc>
        <w:tc>
          <w:tcPr>
            <w:tcW w:w="1477" w:type="pct"/>
            <w:tcBorders>
              <w:bottom w:val="single" w:sz="4" w:space="0" w:color="auto"/>
            </w:tcBorders>
          </w:tcPr>
          <w:p w:rsidR="00B454EE" w:rsidRPr="00EC79CF" w:rsidRDefault="00B454EE" w:rsidP="009E6214">
            <w:pPr>
              <w:pStyle w:val="TableRowNormal"/>
              <w:ind w:left="0" w:firstLine="0"/>
              <w:jc w:val="left"/>
              <w:rPr>
                <w:rFonts w:cstheme="minorHAnsi"/>
              </w:rPr>
            </w:pPr>
            <w:r w:rsidRPr="00EC79CF">
              <w:rPr>
                <w:rFonts w:cstheme="minorHAnsi"/>
              </w:rPr>
              <w:t>Asset values by city size</w:t>
            </w:r>
          </w:p>
        </w:tc>
        <w:tc>
          <w:tcPr>
            <w:tcW w:w="2233" w:type="pct"/>
            <w:tcBorders>
              <w:bottom w:val="single" w:sz="4" w:space="0" w:color="auto"/>
            </w:tcBorders>
          </w:tcPr>
          <w:p w:rsidR="00B454EE" w:rsidRPr="00EC79CF" w:rsidRDefault="00B454EE" w:rsidP="009E6214">
            <w:pPr>
              <w:pStyle w:val="TableRowNormal"/>
              <w:ind w:left="0" w:firstLine="0"/>
              <w:jc w:val="left"/>
              <w:rPr>
                <w:rFonts w:cstheme="minorHAnsi"/>
              </w:rPr>
            </w:pPr>
            <w:r w:rsidRPr="00EC79CF">
              <w:rPr>
                <w:rFonts w:cstheme="minorHAnsi"/>
              </w:rPr>
              <w:t>Improve quality of data.</w:t>
            </w:r>
          </w:p>
        </w:tc>
      </w:tr>
    </w:tbl>
    <w:p w:rsidR="00FC43E7" w:rsidRPr="00EC79CF" w:rsidRDefault="00FC43E7" w:rsidP="00FC43E7">
      <w:pPr>
        <w:pStyle w:val="CGCNumberedPara"/>
        <w:numPr>
          <w:ilvl w:val="0"/>
          <w:numId w:val="0"/>
        </w:numPr>
        <w:ind w:left="567" w:hanging="567"/>
      </w:pPr>
    </w:p>
    <w:p w:rsidR="00A004DA" w:rsidRPr="00C4696B" w:rsidRDefault="00C4696B" w:rsidP="00C4696B">
      <w:pPr>
        <w:pStyle w:val="Heading3"/>
      </w:pPr>
      <w:bookmarkStart w:id="356" w:name="_Toc410744203"/>
      <w:bookmarkStart w:id="357" w:name="_Toc411511192"/>
      <w:bookmarkStart w:id="358" w:name="_Toc411511645"/>
      <w:bookmarkStart w:id="359" w:name="_Toc411924585"/>
      <w:bookmarkEnd w:id="354"/>
      <w:r w:rsidRPr="00C4696B">
        <w:lastRenderedPageBreak/>
        <w:t xml:space="preserve">State fiscal capacities and changes since the 2014 </w:t>
      </w:r>
      <w:r w:rsidR="00E07184">
        <w:t>U</w:t>
      </w:r>
      <w:r w:rsidRPr="00C4696B">
        <w:t>pdate</w:t>
      </w:r>
      <w:bookmarkEnd w:id="356"/>
      <w:bookmarkEnd w:id="357"/>
      <w:bookmarkEnd w:id="358"/>
      <w:bookmarkEnd w:id="359"/>
    </w:p>
    <w:p w:rsidR="00A004DA" w:rsidRPr="00EC79CF" w:rsidRDefault="00A004DA" w:rsidP="00C20E52">
      <w:pPr>
        <w:pStyle w:val="CGCNumberedPara"/>
        <w:numPr>
          <w:ilvl w:val="1"/>
          <w:numId w:val="2"/>
        </w:numPr>
        <w:sectPr w:rsidR="00A004DA" w:rsidRPr="00EC79CF" w:rsidSect="003E760D">
          <w:footerReference w:type="default" r:id="rId40"/>
          <w:footerReference w:type="first" r:id="rId41"/>
          <w:pgSz w:w="11899" w:h="16838" w:code="9"/>
          <w:pgMar w:top="1701" w:right="1474" w:bottom="1701" w:left="1474" w:header="709" w:footer="709" w:gutter="0"/>
          <w:pgNumType w:start="1"/>
          <w:cols w:space="708"/>
          <w:titlePg/>
          <w:docGrid w:linePitch="299"/>
        </w:sectPr>
      </w:pPr>
      <w:r w:rsidRPr="00EC79CF">
        <w:t>Changes that had important effects on the assessed fiscal capacity of each State are summarised in the following section. The changes described as due to movements in relativities are based on 2015-16 GST revenue and December 2015 populations. The tables for each State may not add due to rounding. Chapter 3</w:t>
      </w:r>
      <w:r w:rsidR="0068327F">
        <w:t xml:space="preserve"> – </w:t>
      </w:r>
      <w:r w:rsidR="00BB79E3">
        <w:t>Why State f</w:t>
      </w:r>
      <w:r w:rsidR="004D2A14">
        <w:t xml:space="preserve">iscal </w:t>
      </w:r>
      <w:r w:rsidR="00BB79E3">
        <w:t>capacities differ</w:t>
      </w:r>
      <w:r w:rsidR="004D2A14">
        <w:t xml:space="preserve"> </w:t>
      </w:r>
      <w:r w:rsidRPr="00EC79CF">
        <w:t xml:space="preserve">and </w:t>
      </w:r>
      <w:r w:rsidR="004D2A14">
        <w:t xml:space="preserve">Chapter </w:t>
      </w:r>
      <w:r w:rsidRPr="00EC79CF">
        <w:t>4</w:t>
      </w:r>
      <w:r w:rsidR="0068327F">
        <w:t xml:space="preserve"> – </w:t>
      </w:r>
      <w:r w:rsidR="00BB79E3">
        <w:t xml:space="preserve">Changes in the </w:t>
      </w:r>
      <w:r w:rsidR="00891E6C">
        <w:t xml:space="preserve">GST </w:t>
      </w:r>
      <w:r w:rsidR="004D2A14">
        <w:t>distribution</w:t>
      </w:r>
      <w:r w:rsidR="00F567B9">
        <w:t>,</w:t>
      </w:r>
      <w:r w:rsidR="004D2A14">
        <w:t xml:space="preserve"> </w:t>
      </w:r>
      <w:r w:rsidRPr="00EC79CF">
        <w:t>provide more detail.</w:t>
      </w:r>
    </w:p>
    <w:p w:rsidR="00A004DA" w:rsidRPr="00EC79CF" w:rsidRDefault="00A004DA" w:rsidP="00A004DA">
      <w:pPr>
        <w:pStyle w:val="Heading6"/>
        <w:rPr>
          <w:i w:val="0"/>
        </w:rPr>
      </w:pPr>
      <w:r w:rsidRPr="00EC79CF">
        <w:rPr>
          <w:i w:val="0"/>
        </w:rPr>
        <w:lastRenderedPageBreak/>
        <w:t>NEW SOUTH WALES</w:t>
      </w:r>
    </w:p>
    <w:p w:rsidR="00A004DA" w:rsidRPr="00EC79CF" w:rsidRDefault="00A004DA" w:rsidP="00A004DA">
      <w:pPr>
        <w:tabs>
          <w:tab w:val="clear" w:pos="567"/>
        </w:tabs>
        <w:spacing w:after="40" w:line="240" w:lineRule="auto"/>
        <w:rPr>
          <w:rFonts w:cs="Arial"/>
          <w:b/>
          <w:color w:val="0000FF"/>
        </w:rPr>
        <w:sectPr w:rsidR="00A004DA" w:rsidRPr="00EC79CF" w:rsidSect="00C71EF0">
          <w:footerReference w:type="default" r:id="rId42"/>
          <w:footerReference w:type="first" r:id="rId43"/>
          <w:pgSz w:w="11899" w:h="16838" w:code="9"/>
          <w:pgMar w:top="1701" w:right="1474" w:bottom="1701" w:left="1474" w:header="709" w:footer="709" w:gutter="0"/>
          <w:cols w:space="708"/>
          <w:titlePg/>
          <w:docGrid w:linePitch="299"/>
        </w:sectPr>
      </w:pPr>
    </w:p>
    <w:p w:rsidR="00A004DA" w:rsidRPr="00EC79CF" w:rsidRDefault="00A004DA" w:rsidP="00A004DA">
      <w:r w:rsidRPr="00EC79CF">
        <w:lastRenderedPageBreak/>
        <w:t>New South Wales has the third highest assessed fiscal capacity, and is one of three States with above average fiscal capacity. It has below average assessed costs of providing services, reflecting the State’s below average shares of Indigenous people and people living in remote areas, above average non-State provision of health services and economies of scale in administration. Above avera</w:t>
      </w:r>
      <w:r w:rsidR="00B454EE">
        <w:t>ge wages increase its expenses.</w:t>
      </w:r>
    </w:p>
    <w:p w:rsidR="00A004DA" w:rsidRPr="00EC79CF" w:rsidRDefault="00A004DA" w:rsidP="00A004DA">
      <w:r w:rsidRPr="00EC79CF">
        <w:t>It also has below average assessed requirements for infrastructure because of below average population growth. Those effects are partly offset by the State’s below average revenue raising capacity, which is mainly due to its below average mining production and motor vehicle registrations, although it does have an above average capacity to raise revenue through stamp duty and taxable payrolls.</w:t>
      </w:r>
    </w:p>
    <w:p w:rsidR="00A004DA" w:rsidRDefault="00A004DA" w:rsidP="00A004DA">
      <w:pPr>
        <w:pStyle w:val="CGCTableHeading"/>
        <w:spacing w:before="0" w:after="0"/>
      </w:pPr>
      <w:r w:rsidRPr="00EC79CF">
        <w:lastRenderedPageBreak/>
        <w:t xml:space="preserve">Table </w:t>
      </w:r>
      <w:fldSimple w:instr=" SEQ Table \* ARABIC ">
        <w:r w:rsidR="003A5DEE">
          <w:rPr>
            <w:noProof/>
          </w:rPr>
          <w:t>6</w:t>
        </w:r>
      </w:fldSimple>
      <w:r w:rsidRPr="00EC79CF">
        <w:tab/>
        <w:t>Assessed GST, 2015-16</w:t>
      </w:r>
    </w:p>
    <w:tbl>
      <w:tblPr>
        <w:tblW w:w="4500" w:type="dxa"/>
        <w:tblInd w:w="93" w:type="dxa"/>
        <w:tblLook w:val="04A0" w:firstRow="1" w:lastRow="0" w:firstColumn="1" w:lastColumn="0" w:noHBand="0" w:noVBand="1"/>
      </w:tblPr>
      <w:tblGrid>
        <w:gridCol w:w="2740"/>
        <w:gridCol w:w="880"/>
        <w:gridCol w:w="880"/>
      </w:tblGrid>
      <w:tr w:rsidR="007C3093" w:rsidRPr="007C3093" w:rsidTr="007C3093">
        <w:trPr>
          <w:trHeight w:val="315"/>
        </w:trPr>
        <w:tc>
          <w:tcPr>
            <w:tcW w:w="2740" w:type="dxa"/>
            <w:tcBorders>
              <w:top w:val="single" w:sz="4" w:space="0" w:color="auto"/>
              <w:left w:val="nil"/>
              <w:bottom w:val="single" w:sz="4" w:space="0" w:color="auto"/>
              <w:right w:val="nil"/>
            </w:tcBorders>
            <w:shd w:val="clear" w:color="auto" w:fill="auto"/>
            <w:noWrap/>
            <w:vAlign w:val="center"/>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 </w:t>
            </w:r>
          </w:p>
        </w:tc>
        <w:tc>
          <w:tcPr>
            <w:tcW w:w="880" w:type="dxa"/>
            <w:tcBorders>
              <w:top w:val="single" w:sz="4" w:space="0" w:color="auto"/>
              <w:left w:val="nil"/>
              <w:bottom w:val="single" w:sz="4" w:space="0" w:color="auto"/>
              <w:right w:val="nil"/>
            </w:tcBorders>
            <w:shd w:val="clear" w:color="auto" w:fill="auto"/>
            <w:noWrap/>
            <w:vAlign w:val="center"/>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$m</w:t>
            </w:r>
          </w:p>
        </w:tc>
        <w:tc>
          <w:tcPr>
            <w:tcW w:w="880" w:type="dxa"/>
            <w:tcBorders>
              <w:top w:val="single" w:sz="4" w:space="0" w:color="auto"/>
              <w:left w:val="nil"/>
              <w:bottom w:val="single" w:sz="4" w:space="0" w:color="auto"/>
              <w:right w:val="nil"/>
            </w:tcBorders>
            <w:shd w:val="clear" w:color="auto" w:fill="auto"/>
            <w:noWrap/>
            <w:vAlign w:val="center"/>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$pc</w:t>
            </w: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Equal per capita share</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18 200</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2 370</w:t>
            </w: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Effect of assessed:</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Expenses</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-2 511</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-327</w:t>
            </w: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Investment</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-539</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-70</w:t>
            </w: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Net borrowing</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85</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11</w:t>
            </w: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Revenue</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1 638</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213</w:t>
            </w: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Commonwealth payments</w:t>
            </w:r>
          </w:p>
        </w:tc>
        <w:tc>
          <w:tcPr>
            <w:tcW w:w="880" w:type="dxa"/>
            <w:tcBorders>
              <w:top w:val="nil"/>
              <w:left w:val="nil"/>
              <w:bottom w:val="single" w:sz="4" w:space="0" w:color="auto"/>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438</w:t>
            </w:r>
          </w:p>
        </w:tc>
        <w:tc>
          <w:tcPr>
            <w:tcW w:w="880" w:type="dxa"/>
            <w:tcBorders>
              <w:top w:val="nil"/>
              <w:left w:val="nil"/>
              <w:bottom w:val="single" w:sz="4" w:space="0" w:color="auto"/>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57</w:t>
            </w:r>
          </w:p>
        </w:tc>
      </w:tr>
      <w:tr w:rsidR="007C3093" w:rsidRPr="007C3093" w:rsidTr="007C3093">
        <w:trPr>
          <w:trHeight w:val="315"/>
        </w:trPr>
        <w:tc>
          <w:tcPr>
            <w:tcW w:w="2740" w:type="dxa"/>
            <w:tcBorders>
              <w:top w:val="nil"/>
              <w:left w:val="nil"/>
              <w:bottom w:val="single" w:sz="4" w:space="0" w:color="auto"/>
              <w:right w:val="nil"/>
            </w:tcBorders>
            <w:shd w:val="clear" w:color="auto" w:fill="auto"/>
            <w:noWrap/>
            <w:vAlign w:val="bottom"/>
            <w:hideMark/>
          </w:tcPr>
          <w:p w:rsidR="007C3093" w:rsidRPr="007C3093" w:rsidRDefault="007C3093" w:rsidP="007C3093">
            <w:pPr>
              <w:tabs>
                <w:tab w:val="clear" w:pos="567"/>
              </w:tabs>
              <w:spacing w:after="0" w:line="240" w:lineRule="auto"/>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Assessed GST</w:t>
            </w:r>
          </w:p>
        </w:tc>
        <w:tc>
          <w:tcPr>
            <w:tcW w:w="880" w:type="dxa"/>
            <w:tcBorders>
              <w:top w:val="nil"/>
              <w:left w:val="nil"/>
              <w:bottom w:val="single" w:sz="4" w:space="0" w:color="auto"/>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17 311</w:t>
            </w:r>
          </w:p>
        </w:tc>
        <w:tc>
          <w:tcPr>
            <w:tcW w:w="880" w:type="dxa"/>
            <w:tcBorders>
              <w:top w:val="nil"/>
              <w:left w:val="nil"/>
              <w:bottom w:val="single" w:sz="4" w:space="0" w:color="auto"/>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2 254</w:t>
            </w:r>
          </w:p>
        </w:tc>
      </w:tr>
    </w:tbl>
    <w:p w:rsidR="00A004DA" w:rsidRPr="00EC79CF" w:rsidRDefault="00A004DA" w:rsidP="00A004DA">
      <w:pPr>
        <w:pStyle w:val="CGCTableStub"/>
      </w:pPr>
      <w:r w:rsidRPr="00EC79CF">
        <w:t>Note: The table may not add due to rounding.</w:t>
      </w:r>
    </w:p>
    <w:p w:rsidR="00A004DA" w:rsidRDefault="00A004DA" w:rsidP="00A004DA">
      <w:pPr>
        <w:pStyle w:val="CGCTableHeading"/>
        <w:spacing w:before="0" w:after="0"/>
      </w:pPr>
      <w:r w:rsidRPr="00EC79CF">
        <w:t xml:space="preserve">Table </w:t>
      </w:r>
      <w:fldSimple w:instr=" SEQ Table \* ARABIC ">
        <w:r w:rsidR="003A5DEE">
          <w:rPr>
            <w:noProof/>
          </w:rPr>
          <w:t>7</w:t>
        </w:r>
      </w:fldSimple>
      <w:r w:rsidRPr="00EC79CF">
        <w:tab/>
        <w:t>Changes in GST</w:t>
      </w:r>
    </w:p>
    <w:tbl>
      <w:tblPr>
        <w:tblW w:w="4500" w:type="dxa"/>
        <w:tblInd w:w="93" w:type="dxa"/>
        <w:tblLook w:val="04A0" w:firstRow="1" w:lastRow="0" w:firstColumn="1" w:lastColumn="0" w:noHBand="0" w:noVBand="1"/>
      </w:tblPr>
      <w:tblGrid>
        <w:gridCol w:w="2740"/>
        <w:gridCol w:w="880"/>
        <w:gridCol w:w="880"/>
      </w:tblGrid>
      <w:tr w:rsidR="007C3093" w:rsidRPr="007C3093" w:rsidTr="007C3093">
        <w:trPr>
          <w:trHeight w:val="315"/>
        </w:trPr>
        <w:tc>
          <w:tcPr>
            <w:tcW w:w="2740" w:type="dxa"/>
            <w:tcBorders>
              <w:top w:val="single" w:sz="4" w:space="0" w:color="auto"/>
              <w:left w:val="nil"/>
              <w:bottom w:val="single" w:sz="4" w:space="0" w:color="auto"/>
              <w:right w:val="nil"/>
            </w:tcBorders>
            <w:shd w:val="clear" w:color="auto" w:fill="auto"/>
            <w:noWrap/>
            <w:vAlign w:val="center"/>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 </w:t>
            </w:r>
          </w:p>
        </w:tc>
        <w:tc>
          <w:tcPr>
            <w:tcW w:w="880" w:type="dxa"/>
            <w:tcBorders>
              <w:top w:val="single" w:sz="4" w:space="0" w:color="auto"/>
              <w:left w:val="nil"/>
              <w:bottom w:val="single" w:sz="4" w:space="0" w:color="auto"/>
              <w:right w:val="nil"/>
            </w:tcBorders>
            <w:shd w:val="clear" w:color="auto" w:fill="auto"/>
            <w:noWrap/>
            <w:vAlign w:val="center"/>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$m</w:t>
            </w:r>
          </w:p>
        </w:tc>
        <w:tc>
          <w:tcPr>
            <w:tcW w:w="880" w:type="dxa"/>
            <w:tcBorders>
              <w:top w:val="single" w:sz="4" w:space="0" w:color="auto"/>
              <w:left w:val="nil"/>
              <w:bottom w:val="single" w:sz="4" w:space="0" w:color="auto"/>
              <w:right w:val="nil"/>
            </w:tcBorders>
            <w:shd w:val="clear" w:color="auto" w:fill="auto"/>
            <w:noWrap/>
            <w:vAlign w:val="center"/>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$pc</w:t>
            </w: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Change due to</w:t>
            </w:r>
            <w:r w:rsidR="00F02ECB">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rPr>
                <w:rFonts w:ascii="Calibri" w:eastAsia="Times New Roman" w:hAnsi="Calibri" w:cs="Times New Roman"/>
                <w:sz w:val="20"/>
                <w:szCs w:val="20"/>
                <w:lang w:eastAsia="en-AU"/>
              </w:rPr>
            </w:pP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New population</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-34</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-4</w:t>
            </w: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Growth in GST available</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1 088</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142</w:t>
            </w: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New relativities</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-517</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-67</w:t>
            </w:r>
          </w:p>
        </w:tc>
      </w:tr>
      <w:tr w:rsidR="008030E8" w:rsidRPr="007C3093" w:rsidTr="007C3093">
        <w:trPr>
          <w:trHeight w:val="315"/>
        </w:trPr>
        <w:tc>
          <w:tcPr>
            <w:tcW w:w="2740" w:type="dxa"/>
            <w:tcBorders>
              <w:top w:val="nil"/>
              <w:left w:val="nil"/>
              <w:bottom w:val="nil"/>
              <w:right w:val="nil"/>
            </w:tcBorders>
            <w:shd w:val="clear" w:color="auto" w:fill="auto"/>
            <w:noWrap/>
            <w:vAlign w:val="bottom"/>
            <w:hideMark/>
          </w:tcPr>
          <w:p w:rsidR="008030E8" w:rsidRPr="007C3093" w:rsidRDefault="008030E8"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Revised data</w:t>
            </w:r>
          </w:p>
        </w:tc>
        <w:tc>
          <w:tcPr>
            <w:tcW w:w="880" w:type="dxa"/>
            <w:tcBorders>
              <w:top w:val="nil"/>
              <w:left w:val="nil"/>
              <w:bottom w:val="nil"/>
              <w:right w:val="nil"/>
            </w:tcBorders>
            <w:shd w:val="clear" w:color="auto" w:fill="auto"/>
            <w:noWrap/>
            <w:vAlign w:val="bottom"/>
            <w:hideMark/>
          </w:tcPr>
          <w:p w:rsidR="008030E8" w:rsidRPr="000F252C"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-157</w:t>
            </w:r>
          </w:p>
        </w:tc>
        <w:tc>
          <w:tcPr>
            <w:tcW w:w="880" w:type="dxa"/>
            <w:tcBorders>
              <w:top w:val="nil"/>
              <w:left w:val="nil"/>
              <w:bottom w:val="nil"/>
              <w:right w:val="nil"/>
            </w:tcBorders>
            <w:shd w:val="clear" w:color="auto" w:fill="auto"/>
            <w:noWrap/>
            <w:vAlign w:val="bottom"/>
            <w:hideMark/>
          </w:tcPr>
          <w:p w:rsidR="008030E8" w:rsidRPr="000F252C"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-21</w:t>
            </w:r>
          </w:p>
        </w:tc>
      </w:tr>
      <w:tr w:rsidR="008030E8" w:rsidRPr="007C3093" w:rsidTr="007C3093">
        <w:trPr>
          <w:trHeight w:val="315"/>
        </w:trPr>
        <w:tc>
          <w:tcPr>
            <w:tcW w:w="2740" w:type="dxa"/>
            <w:tcBorders>
              <w:top w:val="nil"/>
              <w:left w:val="nil"/>
              <w:bottom w:val="nil"/>
              <w:right w:val="nil"/>
            </w:tcBorders>
            <w:shd w:val="clear" w:color="auto" w:fill="auto"/>
            <w:noWrap/>
            <w:vAlign w:val="bottom"/>
            <w:hideMark/>
          </w:tcPr>
          <w:p w:rsidR="008030E8" w:rsidRPr="007C3093" w:rsidRDefault="008030E8"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Method changes</w:t>
            </w:r>
          </w:p>
        </w:tc>
        <w:tc>
          <w:tcPr>
            <w:tcW w:w="880" w:type="dxa"/>
            <w:tcBorders>
              <w:top w:val="nil"/>
              <w:left w:val="nil"/>
              <w:bottom w:val="nil"/>
              <w:right w:val="nil"/>
            </w:tcBorders>
            <w:shd w:val="clear" w:color="auto" w:fill="auto"/>
            <w:noWrap/>
            <w:vAlign w:val="bottom"/>
            <w:hideMark/>
          </w:tcPr>
          <w:p w:rsidR="008030E8" w:rsidRPr="000F252C"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-105</w:t>
            </w:r>
          </w:p>
        </w:tc>
        <w:tc>
          <w:tcPr>
            <w:tcW w:w="880" w:type="dxa"/>
            <w:tcBorders>
              <w:top w:val="nil"/>
              <w:left w:val="nil"/>
              <w:bottom w:val="nil"/>
              <w:right w:val="nil"/>
            </w:tcBorders>
            <w:shd w:val="clear" w:color="auto" w:fill="auto"/>
            <w:noWrap/>
            <w:vAlign w:val="bottom"/>
            <w:hideMark/>
          </w:tcPr>
          <w:p w:rsidR="008030E8" w:rsidRPr="000F252C"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-14</w:t>
            </w:r>
          </w:p>
        </w:tc>
      </w:tr>
      <w:tr w:rsidR="008030E8" w:rsidRPr="007C3093" w:rsidTr="007C3093">
        <w:trPr>
          <w:trHeight w:val="315"/>
        </w:trPr>
        <w:tc>
          <w:tcPr>
            <w:tcW w:w="2740" w:type="dxa"/>
            <w:tcBorders>
              <w:top w:val="nil"/>
              <w:left w:val="nil"/>
              <w:bottom w:val="nil"/>
              <w:right w:val="nil"/>
            </w:tcBorders>
            <w:shd w:val="clear" w:color="auto" w:fill="auto"/>
            <w:noWrap/>
            <w:vAlign w:val="bottom"/>
            <w:hideMark/>
          </w:tcPr>
          <w:p w:rsidR="008030E8" w:rsidRPr="007C3093" w:rsidRDefault="008030E8"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New circumstances</w:t>
            </w:r>
          </w:p>
        </w:tc>
        <w:tc>
          <w:tcPr>
            <w:tcW w:w="880" w:type="dxa"/>
            <w:tcBorders>
              <w:top w:val="nil"/>
              <w:left w:val="nil"/>
              <w:bottom w:val="single" w:sz="4" w:space="0" w:color="auto"/>
              <w:right w:val="nil"/>
            </w:tcBorders>
            <w:shd w:val="clear" w:color="auto" w:fill="auto"/>
            <w:noWrap/>
            <w:vAlign w:val="bottom"/>
            <w:hideMark/>
          </w:tcPr>
          <w:p w:rsidR="008030E8" w:rsidRPr="000F252C"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-254</w:t>
            </w:r>
          </w:p>
        </w:tc>
        <w:tc>
          <w:tcPr>
            <w:tcW w:w="880" w:type="dxa"/>
            <w:tcBorders>
              <w:top w:val="nil"/>
              <w:left w:val="nil"/>
              <w:bottom w:val="single" w:sz="4" w:space="0" w:color="auto"/>
              <w:right w:val="nil"/>
            </w:tcBorders>
            <w:shd w:val="clear" w:color="auto" w:fill="auto"/>
            <w:noWrap/>
            <w:vAlign w:val="bottom"/>
            <w:hideMark/>
          </w:tcPr>
          <w:p w:rsidR="008030E8" w:rsidRPr="000F252C"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0F252C">
              <w:rPr>
                <w:rFonts w:ascii="Calibri" w:eastAsia="Times New Roman" w:hAnsi="Calibri" w:cs="Times New Roman"/>
                <w:sz w:val="20"/>
                <w:szCs w:val="20"/>
                <w:lang w:eastAsia="en-AU"/>
              </w:rPr>
              <w:t>-33</w:t>
            </w:r>
          </w:p>
        </w:tc>
      </w:tr>
      <w:tr w:rsidR="007C3093" w:rsidRPr="007C3093" w:rsidTr="007C3093">
        <w:trPr>
          <w:trHeight w:val="315"/>
        </w:trPr>
        <w:tc>
          <w:tcPr>
            <w:tcW w:w="2740" w:type="dxa"/>
            <w:tcBorders>
              <w:top w:val="nil"/>
              <w:left w:val="nil"/>
              <w:bottom w:val="single" w:sz="4" w:space="0" w:color="auto"/>
              <w:right w:val="nil"/>
            </w:tcBorders>
            <w:shd w:val="clear" w:color="auto" w:fill="auto"/>
            <w:noWrap/>
            <w:vAlign w:val="bottom"/>
            <w:hideMark/>
          </w:tcPr>
          <w:p w:rsidR="007C3093" w:rsidRPr="007C3093" w:rsidRDefault="007C3093" w:rsidP="007C3093">
            <w:pPr>
              <w:tabs>
                <w:tab w:val="clear" w:pos="567"/>
              </w:tabs>
              <w:spacing w:after="0" w:line="240" w:lineRule="auto"/>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Total change</w:t>
            </w:r>
          </w:p>
        </w:tc>
        <w:tc>
          <w:tcPr>
            <w:tcW w:w="880" w:type="dxa"/>
            <w:tcBorders>
              <w:top w:val="nil"/>
              <w:left w:val="nil"/>
              <w:bottom w:val="single" w:sz="4" w:space="0" w:color="auto"/>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537</w:t>
            </w:r>
          </w:p>
        </w:tc>
        <w:tc>
          <w:tcPr>
            <w:tcW w:w="880" w:type="dxa"/>
            <w:tcBorders>
              <w:top w:val="nil"/>
              <w:left w:val="nil"/>
              <w:bottom w:val="single" w:sz="4" w:space="0" w:color="auto"/>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70</w:t>
            </w:r>
          </w:p>
        </w:tc>
      </w:tr>
    </w:tbl>
    <w:p w:rsidR="00A004DA" w:rsidRPr="00EC79CF" w:rsidRDefault="00A004DA" w:rsidP="00A004DA">
      <w:pPr>
        <w:pStyle w:val="NoSpacing"/>
      </w:pPr>
    </w:p>
    <w:p w:rsidR="00A004DA" w:rsidRPr="00EC79CF" w:rsidRDefault="00A004DA" w:rsidP="00A004DA">
      <w:pPr>
        <w:tabs>
          <w:tab w:val="clear" w:pos="567"/>
        </w:tabs>
        <w:spacing w:after="200" w:line="276" w:lineRule="auto"/>
        <w:rPr>
          <w:rFonts w:cs="Arial"/>
        </w:rPr>
        <w:sectPr w:rsidR="00A004DA" w:rsidRPr="00EC79CF" w:rsidSect="00C71EF0">
          <w:type w:val="continuous"/>
          <w:pgSz w:w="11899" w:h="16838" w:code="9"/>
          <w:pgMar w:top="1701" w:right="1474" w:bottom="1701" w:left="1474" w:header="709" w:footer="709" w:gutter="0"/>
          <w:cols w:num="2" w:space="293"/>
          <w:docGrid w:linePitch="299"/>
        </w:sectPr>
      </w:pPr>
    </w:p>
    <w:p w:rsidR="00A004DA" w:rsidRPr="00EC79CF" w:rsidRDefault="00A004DA" w:rsidP="00A004DA">
      <w:pPr>
        <w:tabs>
          <w:tab w:val="clear" w:pos="567"/>
        </w:tabs>
        <w:spacing w:after="0" w:line="280" w:lineRule="atLeast"/>
        <w:rPr>
          <w:rFonts w:cs="Arial"/>
          <w:sz w:val="21"/>
          <w:szCs w:val="21"/>
        </w:rPr>
      </w:pPr>
      <w:bookmarkStart w:id="360" w:name="_Ref190076541"/>
      <w:r w:rsidRPr="00EC79CF">
        <w:lastRenderedPageBreak/>
        <w:t>Compared with 2014-15, the State’s GST will rise by $</w:t>
      </w:r>
      <w:r w:rsidR="00807CAA">
        <w:t>537</w:t>
      </w:r>
      <w:r w:rsidRPr="00EC79CF">
        <w:t xml:space="preserve"> million or </w:t>
      </w:r>
      <w:r w:rsidR="00807CAA">
        <w:t>3.2</w:t>
      </w:r>
      <w:r w:rsidRPr="00EC79CF">
        <w:t>%. However, its GST share will fall from 31.2% to 30.</w:t>
      </w:r>
      <w:r w:rsidR="00807CAA">
        <w:t>3</w:t>
      </w:r>
      <w:r w:rsidRPr="00EC79CF">
        <w:t>%, primarily due to a substantial increase in its share of stamp duty revenue and a fall in its share of natural disaster relief expenses.</w:t>
      </w:r>
    </w:p>
    <w:p w:rsidR="00A004DA" w:rsidRPr="00EC79CF" w:rsidRDefault="00A004DA" w:rsidP="00A004DA">
      <w:pPr>
        <w:pStyle w:val="CGCTableHeading"/>
      </w:pPr>
      <w:bookmarkStart w:id="361" w:name="_Ref252430372"/>
      <w:r w:rsidRPr="00EC79CF">
        <w:rPr>
          <w:bCs/>
        </w:rPr>
        <w:t xml:space="preserve">Table </w:t>
      </w:r>
      <w:r w:rsidRPr="00EC79CF">
        <w:rPr>
          <w:bCs/>
        </w:rPr>
        <w:fldChar w:fldCharType="begin"/>
      </w:r>
      <w:r w:rsidRPr="00EC79CF">
        <w:rPr>
          <w:bCs/>
        </w:rPr>
        <w:instrText xml:space="preserve"> SEQ Table \* ARABIC </w:instrText>
      </w:r>
      <w:r w:rsidRPr="00EC79CF">
        <w:rPr>
          <w:bCs/>
        </w:rPr>
        <w:fldChar w:fldCharType="separate"/>
      </w:r>
      <w:r w:rsidR="003A5DEE">
        <w:rPr>
          <w:bCs/>
          <w:noProof/>
        </w:rPr>
        <w:t>8</w:t>
      </w:r>
      <w:r w:rsidRPr="00EC79CF">
        <w:rPr>
          <w:bCs/>
        </w:rPr>
        <w:fldChar w:fldCharType="end"/>
      </w:r>
      <w:bookmarkEnd w:id="360"/>
      <w:bookmarkEnd w:id="361"/>
      <w:r w:rsidRPr="00EC79CF">
        <w:rPr>
          <w:bCs/>
        </w:rPr>
        <w:tab/>
      </w:r>
      <w:r w:rsidR="004538F1">
        <w:t>Five largest changes</w:t>
      </w:r>
      <w:r w:rsidR="00CD1096">
        <w:t xml:space="preserve"> for New South Wales</w:t>
      </w:r>
    </w:p>
    <w:tbl>
      <w:tblPr>
        <w:tblW w:w="5000" w:type="pct"/>
        <w:tblLayout w:type="fixed"/>
        <w:tblCellMar>
          <w:left w:w="0" w:type="dxa"/>
          <w:right w:w="0" w:type="dxa"/>
        </w:tblCellMar>
        <w:tblLook w:val="0000" w:firstRow="0" w:lastRow="0" w:firstColumn="0" w:lastColumn="0" w:noHBand="0" w:noVBand="0"/>
      </w:tblPr>
      <w:tblGrid>
        <w:gridCol w:w="1207"/>
        <w:gridCol w:w="7744"/>
      </w:tblGrid>
      <w:tr w:rsidR="00A004DA" w:rsidRPr="00EC79CF" w:rsidTr="00C71EF0">
        <w:tc>
          <w:tcPr>
            <w:tcW w:w="674" w:type="pct"/>
            <w:tcBorders>
              <w:top w:val="single" w:sz="6" w:space="0" w:color="auto"/>
              <w:bottom w:val="single" w:sz="6" w:space="0" w:color="auto"/>
            </w:tcBorders>
            <w:vAlign w:val="center"/>
          </w:tcPr>
          <w:p w:rsidR="00A004DA" w:rsidRPr="00EC79CF" w:rsidRDefault="00A004DA" w:rsidP="00C71EF0">
            <w:pPr>
              <w:pStyle w:val="TableColHeadings"/>
              <w:ind w:left="193" w:hanging="142"/>
              <w:jc w:val="both"/>
              <w:rPr>
                <w:rFonts w:cstheme="minorHAnsi"/>
              </w:rPr>
            </w:pPr>
            <w:r w:rsidRPr="00EC79CF">
              <w:rPr>
                <w:rFonts w:cstheme="minorHAnsi"/>
              </w:rPr>
              <w:t>Change ($m)</w:t>
            </w:r>
          </w:p>
        </w:tc>
        <w:tc>
          <w:tcPr>
            <w:tcW w:w="4326" w:type="pct"/>
            <w:tcBorders>
              <w:top w:val="single" w:sz="6" w:space="0" w:color="auto"/>
              <w:bottom w:val="single" w:sz="6" w:space="0" w:color="auto"/>
            </w:tcBorders>
            <w:vAlign w:val="center"/>
          </w:tcPr>
          <w:p w:rsidR="00A004DA" w:rsidRPr="00EC79CF" w:rsidRDefault="00A004DA" w:rsidP="00C71EF0">
            <w:pPr>
              <w:pStyle w:val="TableColHeadings"/>
              <w:ind w:left="193" w:hanging="142"/>
              <w:jc w:val="left"/>
              <w:rPr>
                <w:rFonts w:cstheme="minorHAnsi"/>
              </w:rPr>
            </w:pPr>
            <w:r w:rsidRPr="00EC79CF">
              <w:rPr>
                <w:rFonts w:cstheme="minorHAnsi"/>
              </w:rPr>
              <w:t>Reason for change</w:t>
            </w:r>
          </w:p>
        </w:tc>
      </w:tr>
      <w:tr w:rsidR="00A004DA" w:rsidRPr="00EC79CF" w:rsidTr="00C71EF0">
        <w:tc>
          <w:tcPr>
            <w:tcW w:w="5000" w:type="pct"/>
            <w:gridSpan w:val="2"/>
          </w:tcPr>
          <w:p w:rsidR="00A004DA" w:rsidRPr="00EC79CF" w:rsidRDefault="00A004DA" w:rsidP="00C71EF0">
            <w:pPr>
              <w:pStyle w:val="TableRowNormal"/>
              <w:ind w:left="193" w:hanging="142"/>
              <w:jc w:val="left"/>
              <w:rPr>
                <w:rFonts w:cstheme="minorHAnsi"/>
              </w:rPr>
            </w:pPr>
            <w:r w:rsidRPr="00EC79CF">
              <w:rPr>
                <w:rFonts w:cs="Arial"/>
                <w:b/>
              </w:rPr>
              <w:t>Changes in data</w:t>
            </w:r>
          </w:p>
        </w:tc>
      </w:tr>
      <w:tr w:rsidR="00A004DA" w:rsidRPr="00EC79CF" w:rsidTr="00C71EF0">
        <w:trPr>
          <w:trHeight w:val="432"/>
        </w:trPr>
        <w:tc>
          <w:tcPr>
            <w:tcW w:w="674" w:type="pct"/>
          </w:tcPr>
          <w:p w:rsidR="00A004DA" w:rsidRPr="00EC79CF" w:rsidRDefault="00A004DA" w:rsidP="003C0A59">
            <w:pPr>
              <w:pStyle w:val="CGCTableStub"/>
              <w:tabs>
                <w:tab w:val="clear" w:pos="284"/>
                <w:tab w:val="left" w:pos="425"/>
                <w:tab w:val="left" w:pos="709"/>
                <w:tab w:val="left" w:pos="851"/>
              </w:tabs>
              <w:spacing w:before="0" w:after="0"/>
              <w:ind w:left="142"/>
              <w:rPr>
                <w:rFonts w:cs="Arial"/>
              </w:rPr>
            </w:pPr>
            <w:r w:rsidRPr="00EC79CF">
              <w:rPr>
                <w:rFonts w:cs="Arial"/>
              </w:rPr>
              <w:t>-17</w:t>
            </w:r>
            <w:r w:rsidR="003C0A59">
              <w:rPr>
                <w:rFonts w:cs="Arial"/>
              </w:rPr>
              <w:t>7</w:t>
            </w:r>
          </w:p>
        </w:tc>
        <w:tc>
          <w:tcPr>
            <w:tcW w:w="4326" w:type="pct"/>
          </w:tcPr>
          <w:p w:rsidR="00A004DA" w:rsidRPr="00EC79CF" w:rsidRDefault="003C0A59" w:rsidP="00592B19">
            <w:pPr>
              <w:pStyle w:val="CGCTableStub"/>
              <w:tabs>
                <w:tab w:val="clear" w:pos="284"/>
                <w:tab w:val="left" w:pos="425"/>
                <w:tab w:val="left" w:pos="709"/>
                <w:tab w:val="left" w:pos="851"/>
              </w:tabs>
              <w:spacing w:before="0" w:after="0"/>
              <w:ind w:left="142"/>
              <w:rPr>
                <w:rFonts w:cs="Arial"/>
              </w:rPr>
            </w:pPr>
            <w:r>
              <w:rPr>
                <w:rFonts w:cs="Arial"/>
                <w:b/>
              </w:rPr>
              <w:t>Capital</w:t>
            </w:r>
            <w:r w:rsidR="00A004DA" w:rsidRPr="00EC79CF">
              <w:rPr>
                <w:rFonts w:cs="Arial"/>
                <w:b/>
              </w:rPr>
              <w:t>.</w:t>
            </w:r>
            <w:r w:rsidR="00A004DA" w:rsidRPr="00EC79CF">
              <w:rPr>
                <w:rFonts w:cs="Arial"/>
              </w:rPr>
              <w:t xml:space="preserve"> Improved investment data increased the importance of roads, especially rural roads, which reduced</w:t>
            </w:r>
            <w:r w:rsidR="00CD4BA8">
              <w:rPr>
                <w:rFonts w:cs="Arial"/>
              </w:rPr>
              <w:t xml:space="preserve"> assessed</w:t>
            </w:r>
            <w:r w:rsidR="00A004DA" w:rsidRPr="00EC79CF">
              <w:rPr>
                <w:rFonts w:cs="Arial"/>
              </w:rPr>
              <w:t xml:space="preserve"> investment in New South Wales</w:t>
            </w:r>
            <w:r w:rsidR="00006A5C">
              <w:rPr>
                <w:rFonts w:cs="Arial"/>
              </w:rPr>
              <w:t xml:space="preserve"> and its GST revenue</w:t>
            </w:r>
            <w:r w:rsidR="00A004DA" w:rsidRPr="00EC79CF">
              <w:rPr>
                <w:rFonts w:cs="Arial"/>
              </w:rPr>
              <w:t>.</w:t>
            </w:r>
          </w:p>
        </w:tc>
      </w:tr>
      <w:tr w:rsidR="00A004DA" w:rsidRPr="00EC79CF" w:rsidTr="00C71EF0">
        <w:tc>
          <w:tcPr>
            <w:tcW w:w="5000" w:type="pct"/>
            <w:gridSpan w:val="2"/>
          </w:tcPr>
          <w:p w:rsidR="00A004DA" w:rsidRPr="00EC79CF" w:rsidRDefault="00A004DA" w:rsidP="00C71EF0">
            <w:pPr>
              <w:pStyle w:val="TableRowNormal"/>
              <w:ind w:left="193" w:hanging="142"/>
              <w:jc w:val="left"/>
              <w:rPr>
                <w:rFonts w:cstheme="minorHAnsi"/>
                <w:b/>
              </w:rPr>
            </w:pPr>
            <w:r w:rsidRPr="00EC79CF">
              <w:rPr>
                <w:rFonts w:cs="Arial"/>
                <w:b/>
              </w:rPr>
              <w:t>Changes in methods</w:t>
            </w:r>
          </w:p>
        </w:tc>
      </w:tr>
      <w:tr w:rsidR="003C0A59" w:rsidRPr="00EC79CF" w:rsidTr="007A30DC">
        <w:tc>
          <w:tcPr>
            <w:tcW w:w="674" w:type="pct"/>
          </w:tcPr>
          <w:p w:rsidR="003C0A59" w:rsidRPr="00EC79CF" w:rsidRDefault="003C0A59" w:rsidP="007A30DC">
            <w:pPr>
              <w:pStyle w:val="CGCTableStub"/>
              <w:tabs>
                <w:tab w:val="clear" w:pos="284"/>
                <w:tab w:val="left" w:pos="425"/>
                <w:tab w:val="left" w:pos="709"/>
                <w:tab w:val="left" w:pos="851"/>
              </w:tabs>
              <w:spacing w:before="0" w:after="0"/>
              <w:ind w:left="142"/>
              <w:rPr>
                <w:rFonts w:cs="Arial"/>
              </w:rPr>
            </w:pPr>
            <w:r>
              <w:rPr>
                <w:rFonts w:cs="Arial"/>
              </w:rPr>
              <w:t>310</w:t>
            </w:r>
          </w:p>
        </w:tc>
        <w:tc>
          <w:tcPr>
            <w:tcW w:w="4326" w:type="pct"/>
          </w:tcPr>
          <w:p w:rsidR="003C0A59" w:rsidRPr="00F567B9" w:rsidRDefault="003C0A59" w:rsidP="00B861CC">
            <w:pPr>
              <w:pStyle w:val="CGCTableStub"/>
              <w:tabs>
                <w:tab w:val="clear" w:pos="284"/>
                <w:tab w:val="left" w:pos="425"/>
                <w:tab w:val="left" w:pos="709"/>
                <w:tab w:val="left" w:pos="851"/>
              </w:tabs>
              <w:spacing w:before="0" w:after="0"/>
              <w:ind w:left="142"/>
              <w:rPr>
                <w:rFonts w:cs="Arial"/>
              </w:rPr>
            </w:pPr>
            <w:r w:rsidRPr="00F567B9">
              <w:rPr>
                <w:rFonts w:cs="Arial"/>
                <w:b/>
              </w:rPr>
              <w:t xml:space="preserve">Capital. </w:t>
            </w:r>
            <w:r w:rsidR="00B861CC" w:rsidRPr="00F567B9">
              <w:rPr>
                <w:rFonts w:cs="Arial"/>
              </w:rPr>
              <w:t>Recognising the impact of city size and urban population growth on the need for urban transport infrastructure increased New South Wales’ GST</w:t>
            </w:r>
            <w:r w:rsidR="00006A5C">
              <w:rPr>
                <w:rFonts w:cs="Arial"/>
              </w:rPr>
              <w:t xml:space="preserve"> revenue</w:t>
            </w:r>
            <w:r w:rsidR="00B861CC" w:rsidRPr="00F567B9">
              <w:rPr>
                <w:rFonts w:cs="Arial"/>
              </w:rPr>
              <w:t>.</w:t>
            </w:r>
          </w:p>
        </w:tc>
      </w:tr>
      <w:tr w:rsidR="00A004DA" w:rsidRPr="00EC79CF" w:rsidTr="00C71EF0">
        <w:trPr>
          <w:trHeight w:val="387"/>
        </w:trPr>
        <w:tc>
          <w:tcPr>
            <w:tcW w:w="674" w:type="pct"/>
          </w:tcPr>
          <w:p w:rsidR="00A004DA" w:rsidRPr="00EC79CF" w:rsidRDefault="00A004DA" w:rsidP="003C0A59">
            <w:pPr>
              <w:pStyle w:val="CGCTableStub"/>
              <w:tabs>
                <w:tab w:val="clear" w:pos="284"/>
                <w:tab w:val="left" w:pos="425"/>
                <w:tab w:val="left" w:pos="709"/>
                <w:tab w:val="left" w:pos="851"/>
              </w:tabs>
              <w:spacing w:before="0" w:after="0"/>
              <w:ind w:left="142"/>
              <w:rPr>
                <w:rFonts w:cs="Arial"/>
              </w:rPr>
            </w:pPr>
            <w:r w:rsidRPr="00EC79CF">
              <w:rPr>
                <w:rFonts w:cs="Arial"/>
              </w:rPr>
              <w:t>-22</w:t>
            </w:r>
            <w:r w:rsidR="003C0A59">
              <w:rPr>
                <w:rFonts w:cs="Arial"/>
              </w:rPr>
              <w:t>1</w:t>
            </w:r>
          </w:p>
        </w:tc>
        <w:tc>
          <w:tcPr>
            <w:tcW w:w="4326" w:type="pct"/>
          </w:tcPr>
          <w:p w:rsidR="00A004DA" w:rsidRPr="00F567B9" w:rsidRDefault="00A004DA" w:rsidP="00006A5C">
            <w:pPr>
              <w:pStyle w:val="CGCTableStub"/>
              <w:tabs>
                <w:tab w:val="clear" w:pos="284"/>
                <w:tab w:val="left" w:pos="425"/>
                <w:tab w:val="left" w:pos="709"/>
                <w:tab w:val="left" w:pos="851"/>
              </w:tabs>
              <w:spacing w:before="0" w:after="0"/>
              <w:ind w:left="142"/>
              <w:rPr>
                <w:rFonts w:cs="Arial"/>
              </w:rPr>
            </w:pPr>
            <w:r w:rsidRPr="00F567B9">
              <w:rPr>
                <w:rFonts w:cs="Arial"/>
                <w:b/>
              </w:rPr>
              <w:t>Schools education.</w:t>
            </w:r>
            <w:r w:rsidRPr="00F567B9">
              <w:rPr>
                <w:rFonts w:cs="Arial"/>
              </w:rPr>
              <w:t xml:space="preserve"> New student loadings based on ACARA data, a move to actual enrolments and a new assessment of NERA funding</w:t>
            </w:r>
            <w:r w:rsidR="00006A5C">
              <w:rPr>
                <w:rFonts w:cs="Arial"/>
              </w:rPr>
              <w:t xml:space="preserve"> reduced </w:t>
            </w:r>
            <w:r w:rsidR="00006A5C" w:rsidRPr="00F567B9">
              <w:rPr>
                <w:rFonts w:cs="Arial"/>
              </w:rPr>
              <w:t>New South Wales’ GST</w:t>
            </w:r>
            <w:r w:rsidR="00006A5C">
              <w:rPr>
                <w:rFonts w:cs="Arial"/>
              </w:rPr>
              <w:t xml:space="preserve"> revenue</w:t>
            </w:r>
            <w:r w:rsidRPr="00F567B9">
              <w:rPr>
                <w:rFonts w:cs="Arial"/>
              </w:rPr>
              <w:t>.</w:t>
            </w:r>
          </w:p>
        </w:tc>
      </w:tr>
      <w:tr w:rsidR="00A004DA" w:rsidRPr="00EC79CF" w:rsidTr="003C0A59">
        <w:tc>
          <w:tcPr>
            <w:tcW w:w="5000" w:type="pct"/>
            <w:gridSpan w:val="2"/>
          </w:tcPr>
          <w:p w:rsidR="00A004DA" w:rsidRPr="00F567B9" w:rsidRDefault="00A004DA" w:rsidP="00C71EF0">
            <w:pPr>
              <w:pStyle w:val="TableRowNormal"/>
              <w:ind w:left="193" w:hanging="142"/>
              <w:jc w:val="left"/>
              <w:rPr>
                <w:rFonts w:cstheme="minorHAnsi"/>
              </w:rPr>
            </w:pPr>
            <w:r w:rsidRPr="00F567B9">
              <w:rPr>
                <w:rFonts w:cs="Arial"/>
                <w:b/>
              </w:rPr>
              <w:t>Changes in circumstances</w:t>
            </w:r>
          </w:p>
        </w:tc>
      </w:tr>
      <w:tr w:rsidR="003C0A59" w:rsidRPr="00EC79CF" w:rsidTr="003C0A59">
        <w:tc>
          <w:tcPr>
            <w:tcW w:w="674" w:type="pct"/>
          </w:tcPr>
          <w:p w:rsidR="003C0A59" w:rsidRPr="00EC79CF" w:rsidRDefault="003C0A59" w:rsidP="007A30DC">
            <w:pPr>
              <w:pStyle w:val="CGCTableStub"/>
              <w:tabs>
                <w:tab w:val="clear" w:pos="284"/>
                <w:tab w:val="left" w:pos="425"/>
                <w:tab w:val="left" w:pos="709"/>
                <w:tab w:val="left" w:pos="851"/>
              </w:tabs>
              <w:spacing w:before="0" w:after="0"/>
              <w:ind w:left="142"/>
              <w:rPr>
                <w:rFonts w:cs="Arial"/>
              </w:rPr>
            </w:pPr>
            <w:r w:rsidRPr="00EC79CF">
              <w:rPr>
                <w:rFonts w:cs="Arial"/>
              </w:rPr>
              <w:t>-297</w:t>
            </w:r>
          </w:p>
        </w:tc>
        <w:tc>
          <w:tcPr>
            <w:tcW w:w="4326" w:type="pct"/>
          </w:tcPr>
          <w:p w:rsidR="003C0A59" w:rsidRPr="00F567B9" w:rsidRDefault="003C0A59" w:rsidP="00006A5C">
            <w:pPr>
              <w:pStyle w:val="CGCTableStub"/>
              <w:tabs>
                <w:tab w:val="clear" w:pos="284"/>
                <w:tab w:val="left" w:pos="425"/>
                <w:tab w:val="left" w:pos="709"/>
                <w:tab w:val="left" w:pos="851"/>
              </w:tabs>
              <w:spacing w:before="0" w:after="0"/>
              <w:ind w:left="142"/>
              <w:rPr>
                <w:rFonts w:cs="Arial"/>
              </w:rPr>
            </w:pPr>
            <w:r w:rsidRPr="00F567B9">
              <w:rPr>
                <w:rFonts w:cs="Arial"/>
                <w:b/>
              </w:rPr>
              <w:t>Stamp duty.</w:t>
            </w:r>
            <w:r w:rsidRPr="00F567B9">
              <w:rPr>
                <w:rFonts w:cs="Arial"/>
              </w:rPr>
              <w:t xml:space="preserve"> Above average growth in property turnover, increased </w:t>
            </w:r>
            <w:r w:rsidR="00006A5C">
              <w:rPr>
                <w:rFonts w:cs="Arial"/>
              </w:rPr>
              <w:t>the State’s</w:t>
            </w:r>
            <w:r w:rsidR="00006A5C" w:rsidRPr="00F567B9">
              <w:rPr>
                <w:rFonts w:cs="Arial"/>
              </w:rPr>
              <w:t xml:space="preserve"> </w:t>
            </w:r>
            <w:r w:rsidRPr="00F567B9">
              <w:rPr>
                <w:rFonts w:cs="Arial"/>
              </w:rPr>
              <w:t xml:space="preserve">share of </w:t>
            </w:r>
            <w:r w:rsidR="00006A5C">
              <w:rPr>
                <w:rFonts w:cs="Arial"/>
              </w:rPr>
              <w:t xml:space="preserve">the </w:t>
            </w:r>
            <w:r w:rsidRPr="00F567B9">
              <w:rPr>
                <w:rFonts w:cs="Arial"/>
              </w:rPr>
              <w:t xml:space="preserve">property transfers tax base from </w:t>
            </w:r>
            <w:r w:rsidR="0068327F" w:rsidRPr="00F567B9">
              <w:rPr>
                <w:rFonts w:cs="Arial"/>
              </w:rPr>
              <w:t>33</w:t>
            </w:r>
            <w:r w:rsidRPr="00F567B9">
              <w:rPr>
                <w:rFonts w:cs="Arial"/>
              </w:rPr>
              <w:t xml:space="preserve">% in 2010-11 to </w:t>
            </w:r>
            <w:r w:rsidR="0068327F" w:rsidRPr="00F567B9">
              <w:rPr>
                <w:rFonts w:cs="Arial"/>
              </w:rPr>
              <w:t>39</w:t>
            </w:r>
            <w:r w:rsidRPr="00F567B9">
              <w:rPr>
                <w:rFonts w:cs="Arial"/>
              </w:rPr>
              <w:t>% in 2013-14</w:t>
            </w:r>
            <w:r w:rsidR="00006A5C">
              <w:rPr>
                <w:rFonts w:cs="Arial"/>
              </w:rPr>
              <w:t>, thus reducing its GST revenue</w:t>
            </w:r>
            <w:r w:rsidRPr="00F567B9">
              <w:rPr>
                <w:rFonts w:cs="Arial"/>
              </w:rPr>
              <w:t>.</w:t>
            </w:r>
          </w:p>
        </w:tc>
      </w:tr>
      <w:tr w:rsidR="00A004DA" w:rsidRPr="00EC79CF" w:rsidTr="003C0A59">
        <w:tc>
          <w:tcPr>
            <w:tcW w:w="674" w:type="pct"/>
            <w:tcBorders>
              <w:bottom w:val="single" w:sz="4" w:space="0" w:color="auto"/>
            </w:tcBorders>
          </w:tcPr>
          <w:p w:rsidR="00A004DA" w:rsidRPr="00EC79CF" w:rsidRDefault="00A004DA" w:rsidP="003C0A59">
            <w:pPr>
              <w:pStyle w:val="CGCTableStub"/>
              <w:tabs>
                <w:tab w:val="clear" w:pos="284"/>
                <w:tab w:val="left" w:pos="425"/>
                <w:tab w:val="left" w:pos="709"/>
                <w:tab w:val="left" w:pos="851"/>
              </w:tabs>
              <w:spacing w:before="0" w:after="0"/>
              <w:ind w:left="142"/>
              <w:rPr>
                <w:rFonts w:cs="Arial"/>
              </w:rPr>
            </w:pPr>
            <w:r w:rsidRPr="00EC79CF">
              <w:rPr>
                <w:rFonts w:cs="Arial"/>
              </w:rPr>
              <w:t>-</w:t>
            </w:r>
            <w:r w:rsidR="003C0A59">
              <w:rPr>
                <w:rFonts w:cs="Arial"/>
              </w:rPr>
              <w:t>16</w:t>
            </w:r>
            <w:r w:rsidRPr="00EC79CF">
              <w:rPr>
                <w:rFonts w:cs="Arial"/>
              </w:rPr>
              <w:t>7</w:t>
            </w:r>
          </w:p>
        </w:tc>
        <w:tc>
          <w:tcPr>
            <w:tcW w:w="4326" w:type="pct"/>
            <w:tcBorders>
              <w:bottom w:val="single" w:sz="4" w:space="0" w:color="auto"/>
            </w:tcBorders>
          </w:tcPr>
          <w:p w:rsidR="00A004DA" w:rsidRPr="00F567B9" w:rsidRDefault="003C0A59" w:rsidP="00006A5C">
            <w:pPr>
              <w:pStyle w:val="CGCTableStub"/>
              <w:tabs>
                <w:tab w:val="clear" w:pos="284"/>
                <w:tab w:val="left" w:pos="425"/>
                <w:tab w:val="left" w:pos="709"/>
                <w:tab w:val="left" w:pos="851"/>
              </w:tabs>
              <w:spacing w:before="0" w:after="0"/>
              <w:ind w:left="142"/>
              <w:rPr>
                <w:rFonts w:cs="Arial"/>
              </w:rPr>
            </w:pPr>
            <w:r w:rsidRPr="00F567B9">
              <w:rPr>
                <w:rFonts w:cs="Arial"/>
                <w:b/>
              </w:rPr>
              <w:t>Other expenses</w:t>
            </w:r>
            <w:r w:rsidR="00A004DA" w:rsidRPr="00F567B9">
              <w:rPr>
                <w:rFonts w:cs="Arial"/>
                <w:b/>
              </w:rPr>
              <w:t>.</w:t>
            </w:r>
            <w:r w:rsidR="00A004DA" w:rsidRPr="00F567B9">
              <w:rPr>
                <w:rFonts w:cs="Arial"/>
              </w:rPr>
              <w:t xml:space="preserve"> </w:t>
            </w:r>
            <w:r w:rsidR="00B861CC" w:rsidRPr="00F567B9">
              <w:rPr>
                <w:rFonts w:cs="Arial"/>
              </w:rPr>
              <w:t>A large increase in net natural disaster relief expenses in Queensland, coupled with a large fall in net expenses in New South Wales in 2013-14</w:t>
            </w:r>
            <w:r w:rsidR="00006A5C">
              <w:rPr>
                <w:rFonts w:cs="Arial"/>
              </w:rPr>
              <w:t xml:space="preserve"> reduced the State’s</w:t>
            </w:r>
            <w:r w:rsidR="00006A5C" w:rsidRPr="00F567B9">
              <w:rPr>
                <w:rFonts w:cs="Arial"/>
              </w:rPr>
              <w:t xml:space="preserve"> GST</w:t>
            </w:r>
            <w:r w:rsidR="00006A5C">
              <w:rPr>
                <w:rFonts w:cs="Arial"/>
              </w:rPr>
              <w:t xml:space="preserve"> revenue</w:t>
            </w:r>
            <w:r w:rsidR="00B861CC" w:rsidRPr="00F567B9">
              <w:rPr>
                <w:rFonts w:cs="Arial"/>
              </w:rPr>
              <w:t>.</w:t>
            </w:r>
          </w:p>
        </w:tc>
      </w:tr>
    </w:tbl>
    <w:p w:rsidR="00A004DA" w:rsidRPr="00EC79CF" w:rsidRDefault="00A004DA" w:rsidP="00A004DA">
      <w:pPr>
        <w:tabs>
          <w:tab w:val="clear" w:pos="567"/>
        </w:tabs>
        <w:spacing w:after="40" w:line="240" w:lineRule="auto"/>
        <w:rPr>
          <w:rFonts w:cs="Arial"/>
          <w:b/>
          <w:color w:val="0000FF"/>
        </w:rPr>
        <w:sectPr w:rsidR="00A004DA" w:rsidRPr="00EC79CF" w:rsidSect="00C71EF0">
          <w:type w:val="continuous"/>
          <w:pgSz w:w="11899" w:h="16838" w:code="9"/>
          <w:pgMar w:top="1701" w:right="1474" w:bottom="1701" w:left="1474" w:header="709" w:footer="709" w:gutter="0"/>
          <w:cols w:space="708"/>
          <w:docGrid w:linePitch="299"/>
        </w:sectPr>
      </w:pPr>
    </w:p>
    <w:p w:rsidR="00A004DA" w:rsidRPr="00EC79CF" w:rsidRDefault="00A004DA" w:rsidP="00A004DA">
      <w:pPr>
        <w:pStyle w:val="Heading6"/>
        <w:rPr>
          <w:i w:val="0"/>
        </w:rPr>
      </w:pPr>
      <w:r w:rsidRPr="00EC79CF">
        <w:rPr>
          <w:i w:val="0"/>
        </w:rPr>
        <w:lastRenderedPageBreak/>
        <w:t>VICTORIA</w:t>
      </w:r>
    </w:p>
    <w:p w:rsidR="00A004DA" w:rsidRPr="00EC79CF" w:rsidRDefault="00A004DA" w:rsidP="00A004DA">
      <w:pPr>
        <w:tabs>
          <w:tab w:val="clear" w:pos="567"/>
        </w:tabs>
        <w:spacing w:after="40" w:line="240" w:lineRule="auto"/>
        <w:rPr>
          <w:rFonts w:cs="Arial"/>
          <w:b/>
          <w:color w:val="0000FF"/>
        </w:rPr>
        <w:sectPr w:rsidR="00A004DA" w:rsidRPr="00EC79CF" w:rsidSect="00C71EF0">
          <w:footerReference w:type="default" r:id="rId44"/>
          <w:footerReference w:type="first" r:id="rId45"/>
          <w:pgSz w:w="11899" w:h="16838" w:code="9"/>
          <w:pgMar w:top="1701" w:right="1474" w:bottom="1701" w:left="1474" w:header="709" w:footer="709" w:gutter="0"/>
          <w:cols w:space="708"/>
          <w:titlePg/>
          <w:docGrid w:linePitch="299"/>
        </w:sectPr>
      </w:pPr>
    </w:p>
    <w:p w:rsidR="00A004DA" w:rsidRPr="00EC79CF" w:rsidRDefault="00A004DA" w:rsidP="00A004DA">
      <w:r w:rsidRPr="00EC79CF">
        <w:lastRenderedPageBreak/>
        <w:t>Victoria has the second highest assessed fiscal capacity. This is due to its well below average assessed expenses in providing services and infrastructure.</w:t>
      </w:r>
      <w:r w:rsidRPr="00EC79CF">
        <w:rPr>
          <w:noProof/>
          <w:lang w:eastAsia="en-AU"/>
        </w:rPr>
        <w:t xml:space="preserve"> </w:t>
      </w:r>
    </w:p>
    <w:p w:rsidR="00A004DA" w:rsidRPr="00EC79CF" w:rsidRDefault="00006A5C" w:rsidP="00A004DA">
      <w:r>
        <w:t>B</w:t>
      </w:r>
      <w:r w:rsidR="00A004DA" w:rsidRPr="00EC79CF">
        <w:t xml:space="preserve">elow average expense requirements </w:t>
      </w:r>
      <w:r w:rsidR="00B454EE">
        <w:t xml:space="preserve">reflect </w:t>
      </w:r>
      <w:proofErr w:type="gramStart"/>
      <w:r w:rsidR="00A004DA" w:rsidRPr="00EC79CF">
        <w:t>its</w:t>
      </w:r>
      <w:proofErr w:type="gramEnd"/>
      <w:r w:rsidR="00A004DA" w:rsidRPr="00EC79CF">
        <w:t xml:space="preserve"> below average shares of government school enrolments, Indigenous people, </w:t>
      </w:r>
      <w:r w:rsidR="00B972E5">
        <w:t xml:space="preserve">and </w:t>
      </w:r>
      <w:r w:rsidR="00A004DA" w:rsidRPr="00EC79CF">
        <w:t>people living in remote areas and economies of scale in administration. It is accentuate</w:t>
      </w:r>
      <w:r w:rsidR="00B454EE">
        <w:t>d by below average wage levels.</w:t>
      </w:r>
    </w:p>
    <w:p w:rsidR="00A004DA" w:rsidRPr="00EC79CF" w:rsidRDefault="00A004DA" w:rsidP="00A004DA">
      <w:r w:rsidRPr="00EC79CF">
        <w:t>Those effects on its fiscal capacity are partly offset by its below average revenue raising capacity, which is mainly due to its well below average mining production and taxable payrolls.</w:t>
      </w:r>
    </w:p>
    <w:p w:rsidR="00A004DA" w:rsidRDefault="00A004DA" w:rsidP="00A004DA"/>
    <w:p w:rsidR="00B454EE" w:rsidRPr="00EC79CF" w:rsidRDefault="00B454EE" w:rsidP="00A004DA"/>
    <w:p w:rsidR="00A004DA" w:rsidRPr="00EC79CF" w:rsidRDefault="00A004DA" w:rsidP="00A004DA"/>
    <w:p w:rsidR="00A004DA" w:rsidRDefault="00A004DA" w:rsidP="00A004DA">
      <w:pPr>
        <w:pStyle w:val="CGCTableHeading"/>
        <w:spacing w:before="0" w:after="0"/>
      </w:pPr>
      <w:r w:rsidRPr="00EC79CF">
        <w:lastRenderedPageBreak/>
        <w:t xml:space="preserve">Table </w:t>
      </w:r>
      <w:fldSimple w:instr=" SEQ Table \* ARABIC ">
        <w:r w:rsidR="003A5DEE">
          <w:rPr>
            <w:noProof/>
          </w:rPr>
          <w:t>9</w:t>
        </w:r>
      </w:fldSimple>
      <w:r w:rsidRPr="00EC79CF">
        <w:tab/>
        <w:t>Assessed GST, 2015-16</w:t>
      </w:r>
    </w:p>
    <w:tbl>
      <w:tblPr>
        <w:tblW w:w="4500" w:type="dxa"/>
        <w:tblInd w:w="93" w:type="dxa"/>
        <w:tblLook w:val="04A0" w:firstRow="1" w:lastRow="0" w:firstColumn="1" w:lastColumn="0" w:noHBand="0" w:noVBand="1"/>
      </w:tblPr>
      <w:tblGrid>
        <w:gridCol w:w="2740"/>
        <w:gridCol w:w="880"/>
        <w:gridCol w:w="880"/>
      </w:tblGrid>
      <w:tr w:rsidR="007C3093" w:rsidRPr="007C3093" w:rsidTr="007C3093">
        <w:trPr>
          <w:trHeight w:val="315"/>
        </w:trPr>
        <w:tc>
          <w:tcPr>
            <w:tcW w:w="2740" w:type="dxa"/>
            <w:tcBorders>
              <w:top w:val="single" w:sz="4" w:space="0" w:color="auto"/>
              <w:left w:val="nil"/>
              <w:bottom w:val="single" w:sz="4" w:space="0" w:color="auto"/>
              <w:right w:val="nil"/>
            </w:tcBorders>
            <w:shd w:val="clear" w:color="auto" w:fill="auto"/>
            <w:noWrap/>
            <w:vAlign w:val="center"/>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 </w:t>
            </w:r>
          </w:p>
        </w:tc>
        <w:tc>
          <w:tcPr>
            <w:tcW w:w="880" w:type="dxa"/>
            <w:tcBorders>
              <w:top w:val="single" w:sz="4" w:space="0" w:color="auto"/>
              <w:left w:val="nil"/>
              <w:bottom w:val="single" w:sz="4" w:space="0" w:color="auto"/>
              <w:right w:val="nil"/>
            </w:tcBorders>
            <w:shd w:val="clear" w:color="auto" w:fill="auto"/>
            <w:noWrap/>
            <w:vAlign w:val="center"/>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$m</w:t>
            </w:r>
          </w:p>
        </w:tc>
        <w:tc>
          <w:tcPr>
            <w:tcW w:w="880" w:type="dxa"/>
            <w:tcBorders>
              <w:top w:val="single" w:sz="4" w:space="0" w:color="auto"/>
              <w:left w:val="nil"/>
              <w:bottom w:val="single" w:sz="4" w:space="0" w:color="auto"/>
              <w:right w:val="nil"/>
            </w:tcBorders>
            <w:shd w:val="clear" w:color="auto" w:fill="auto"/>
            <w:noWrap/>
            <w:vAlign w:val="center"/>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$pc</w:t>
            </w: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Equal per capita share</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14 234</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2 370</w:t>
            </w: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Effect of assessed:</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Expenses</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-4 823</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-803</w:t>
            </w: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Investment</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-71</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-12</w:t>
            </w: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Net borrowing</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-9</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-2</w:t>
            </w: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Revenue</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3 366</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560</w:t>
            </w: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Commonwealth payments</w:t>
            </w:r>
          </w:p>
        </w:tc>
        <w:tc>
          <w:tcPr>
            <w:tcW w:w="880" w:type="dxa"/>
            <w:tcBorders>
              <w:top w:val="nil"/>
              <w:left w:val="nil"/>
              <w:bottom w:val="single" w:sz="4" w:space="0" w:color="auto"/>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59</w:t>
            </w:r>
          </w:p>
        </w:tc>
        <w:tc>
          <w:tcPr>
            <w:tcW w:w="880" w:type="dxa"/>
            <w:tcBorders>
              <w:top w:val="nil"/>
              <w:left w:val="nil"/>
              <w:bottom w:val="single" w:sz="4" w:space="0" w:color="auto"/>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10</w:t>
            </w:r>
          </w:p>
        </w:tc>
      </w:tr>
      <w:tr w:rsidR="007C3093" w:rsidRPr="007C3093" w:rsidTr="007C3093">
        <w:trPr>
          <w:trHeight w:val="315"/>
        </w:trPr>
        <w:tc>
          <w:tcPr>
            <w:tcW w:w="2740" w:type="dxa"/>
            <w:tcBorders>
              <w:top w:val="nil"/>
              <w:left w:val="nil"/>
              <w:bottom w:val="single" w:sz="4" w:space="0" w:color="auto"/>
              <w:right w:val="nil"/>
            </w:tcBorders>
            <w:shd w:val="clear" w:color="auto" w:fill="auto"/>
            <w:noWrap/>
            <w:vAlign w:val="bottom"/>
            <w:hideMark/>
          </w:tcPr>
          <w:p w:rsidR="007C3093" w:rsidRPr="007C3093" w:rsidRDefault="007C3093" w:rsidP="007C3093">
            <w:pPr>
              <w:tabs>
                <w:tab w:val="clear" w:pos="567"/>
              </w:tabs>
              <w:spacing w:after="0" w:line="240" w:lineRule="auto"/>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Assessed GST</w:t>
            </w:r>
          </w:p>
        </w:tc>
        <w:tc>
          <w:tcPr>
            <w:tcW w:w="880" w:type="dxa"/>
            <w:tcBorders>
              <w:top w:val="nil"/>
              <w:left w:val="nil"/>
              <w:bottom w:val="single" w:sz="4" w:space="0" w:color="auto"/>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12 755</w:t>
            </w:r>
          </w:p>
        </w:tc>
        <w:tc>
          <w:tcPr>
            <w:tcW w:w="880" w:type="dxa"/>
            <w:tcBorders>
              <w:top w:val="nil"/>
              <w:left w:val="nil"/>
              <w:bottom w:val="single" w:sz="4" w:space="0" w:color="auto"/>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2 123</w:t>
            </w:r>
          </w:p>
        </w:tc>
      </w:tr>
    </w:tbl>
    <w:p w:rsidR="00A004DA" w:rsidRPr="00EC79CF" w:rsidRDefault="00A004DA" w:rsidP="00A004DA">
      <w:pPr>
        <w:pStyle w:val="CGCTableStub"/>
      </w:pPr>
      <w:r w:rsidRPr="00EC79CF">
        <w:t>Note: The table may not add due to rounding.</w:t>
      </w:r>
    </w:p>
    <w:p w:rsidR="00A004DA" w:rsidRDefault="00A004DA" w:rsidP="00A004DA">
      <w:pPr>
        <w:pStyle w:val="CGCTableHeading"/>
        <w:spacing w:before="0" w:after="0"/>
      </w:pPr>
      <w:r w:rsidRPr="00EC79CF">
        <w:t xml:space="preserve">Table </w:t>
      </w:r>
      <w:fldSimple w:instr=" SEQ Table \* ARABIC ">
        <w:r w:rsidR="003A5DEE">
          <w:rPr>
            <w:noProof/>
          </w:rPr>
          <w:t>10</w:t>
        </w:r>
      </w:fldSimple>
      <w:r w:rsidRPr="00EC79CF">
        <w:tab/>
        <w:t>Changes in GST</w:t>
      </w:r>
    </w:p>
    <w:tbl>
      <w:tblPr>
        <w:tblW w:w="4500" w:type="dxa"/>
        <w:tblInd w:w="93" w:type="dxa"/>
        <w:tblLook w:val="04A0" w:firstRow="1" w:lastRow="0" w:firstColumn="1" w:lastColumn="0" w:noHBand="0" w:noVBand="1"/>
      </w:tblPr>
      <w:tblGrid>
        <w:gridCol w:w="2740"/>
        <w:gridCol w:w="880"/>
        <w:gridCol w:w="880"/>
      </w:tblGrid>
      <w:tr w:rsidR="007C3093" w:rsidRPr="007C3093" w:rsidTr="007C3093">
        <w:trPr>
          <w:trHeight w:val="315"/>
        </w:trPr>
        <w:tc>
          <w:tcPr>
            <w:tcW w:w="2740" w:type="dxa"/>
            <w:tcBorders>
              <w:top w:val="single" w:sz="4" w:space="0" w:color="auto"/>
              <w:left w:val="nil"/>
              <w:bottom w:val="single" w:sz="4" w:space="0" w:color="auto"/>
              <w:right w:val="nil"/>
            </w:tcBorders>
            <w:shd w:val="clear" w:color="auto" w:fill="auto"/>
            <w:noWrap/>
            <w:vAlign w:val="center"/>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 </w:t>
            </w:r>
          </w:p>
        </w:tc>
        <w:tc>
          <w:tcPr>
            <w:tcW w:w="880" w:type="dxa"/>
            <w:tcBorders>
              <w:top w:val="single" w:sz="4" w:space="0" w:color="auto"/>
              <w:left w:val="nil"/>
              <w:bottom w:val="single" w:sz="4" w:space="0" w:color="auto"/>
              <w:right w:val="nil"/>
            </w:tcBorders>
            <w:shd w:val="clear" w:color="auto" w:fill="auto"/>
            <w:noWrap/>
            <w:vAlign w:val="center"/>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$m</w:t>
            </w:r>
          </w:p>
        </w:tc>
        <w:tc>
          <w:tcPr>
            <w:tcW w:w="880" w:type="dxa"/>
            <w:tcBorders>
              <w:top w:val="single" w:sz="4" w:space="0" w:color="auto"/>
              <w:left w:val="nil"/>
              <w:bottom w:val="single" w:sz="4" w:space="0" w:color="auto"/>
              <w:right w:val="nil"/>
            </w:tcBorders>
            <w:shd w:val="clear" w:color="auto" w:fill="auto"/>
            <w:noWrap/>
            <w:vAlign w:val="center"/>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$pc</w:t>
            </w: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Change due to</w:t>
            </w:r>
            <w:r w:rsidR="00F02ECB">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rPr>
                <w:rFonts w:ascii="Calibri" w:eastAsia="Times New Roman" w:hAnsi="Calibri" w:cs="Times New Roman"/>
                <w:sz w:val="20"/>
                <w:szCs w:val="20"/>
                <w:lang w:eastAsia="en-AU"/>
              </w:rPr>
            </w:pP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New population</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26</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4</w:t>
            </w: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Growth in GST available</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770</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128</w:t>
            </w:r>
          </w:p>
        </w:tc>
      </w:tr>
      <w:tr w:rsidR="007C3093" w:rsidRPr="007C3093" w:rsidTr="007C3093">
        <w:trPr>
          <w:trHeight w:val="315"/>
        </w:trPr>
        <w:tc>
          <w:tcPr>
            <w:tcW w:w="274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New relativities</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131</w:t>
            </w:r>
          </w:p>
        </w:tc>
        <w:tc>
          <w:tcPr>
            <w:tcW w:w="880" w:type="dxa"/>
            <w:tcBorders>
              <w:top w:val="nil"/>
              <w:left w:val="nil"/>
              <w:bottom w:val="nil"/>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22</w:t>
            </w:r>
          </w:p>
        </w:tc>
      </w:tr>
      <w:tr w:rsidR="008030E8" w:rsidRPr="007C3093" w:rsidTr="007C3093">
        <w:trPr>
          <w:trHeight w:val="315"/>
        </w:trPr>
        <w:tc>
          <w:tcPr>
            <w:tcW w:w="2740" w:type="dxa"/>
            <w:tcBorders>
              <w:top w:val="nil"/>
              <w:left w:val="nil"/>
              <w:bottom w:val="nil"/>
              <w:right w:val="nil"/>
            </w:tcBorders>
            <w:shd w:val="clear" w:color="auto" w:fill="auto"/>
            <w:noWrap/>
            <w:vAlign w:val="bottom"/>
            <w:hideMark/>
          </w:tcPr>
          <w:p w:rsidR="008030E8" w:rsidRPr="007C3093" w:rsidRDefault="008030E8"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Revised data</w:t>
            </w:r>
          </w:p>
        </w:tc>
        <w:tc>
          <w:tcPr>
            <w:tcW w:w="880" w:type="dxa"/>
            <w:tcBorders>
              <w:top w:val="nil"/>
              <w:left w:val="nil"/>
              <w:bottom w:val="nil"/>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-44</w:t>
            </w:r>
          </w:p>
        </w:tc>
        <w:tc>
          <w:tcPr>
            <w:tcW w:w="880" w:type="dxa"/>
            <w:tcBorders>
              <w:top w:val="nil"/>
              <w:left w:val="nil"/>
              <w:bottom w:val="nil"/>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-7</w:t>
            </w:r>
          </w:p>
        </w:tc>
      </w:tr>
      <w:tr w:rsidR="008030E8" w:rsidRPr="007C3093" w:rsidTr="007C3093">
        <w:trPr>
          <w:trHeight w:val="315"/>
        </w:trPr>
        <w:tc>
          <w:tcPr>
            <w:tcW w:w="2740" w:type="dxa"/>
            <w:tcBorders>
              <w:top w:val="nil"/>
              <w:left w:val="nil"/>
              <w:bottom w:val="nil"/>
              <w:right w:val="nil"/>
            </w:tcBorders>
            <w:shd w:val="clear" w:color="auto" w:fill="auto"/>
            <w:noWrap/>
            <w:vAlign w:val="bottom"/>
            <w:hideMark/>
          </w:tcPr>
          <w:p w:rsidR="008030E8" w:rsidRPr="007C3093" w:rsidRDefault="008030E8"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Method changes</w:t>
            </w:r>
          </w:p>
        </w:tc>
        <w:tc>
          <w:tcPr>
            <w:tcW w:w="880" w:type="dxa"/>
            <w:tcBorders>
              <w:top w:val="nil"/>
              <w:left w:val="nil"/>
              <w:bottom w:val="nil"/>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423</w:t>
            </w:r>
          </w:p>
        </w:tc>
        <w:tc>
          <w:tcPr>
            <w:tcW w:w="880" w:type="dxa"/>
            <w:tcBorders>
              <w:top w:val="nil"/>
              <w:left w:val="nil"/>
              <w:bottom w:val="nil"/>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70</w:t>
            </w:r>
          </w:p>
        </w:tc>
      </w:tr>
      <w:tr w:rsidR="008030E8" w:rsidRPr="007C3093" w:rsidTr="007C3093">
        <w:trPr>
          <w:trHeight w:val="315"/>
        </w:trPr>
        <w:tc>
          <w:tcPr>
            <w:tcW w:w="2740" w:type="dxa"/>
            <w:tcBorders>
              <w:top w:val="nil"/>
              <w:left w:val="nil"/>
              <w:bottom w:val="nil"/>
              <w:right w:val="nil"/>
            </w:tcBorders>
            <w:shd w:val="clear" w:color="auto" w:fill="auto"/>
            <w:noWrap/>
            <w:vAlign w:val="bottom"/>
            <w:hideMark/>
          </w:tcPr>
          <w:p w:rsidR="008030E8" w:rsidRPr="007C3093" w:rsidRDefault="008030E8"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New circumstances</w:t>
            </w:r>
          </w:p>
        </w:tc>
        <w:tc>
          <w:tcPr>
            <w:tcW w:w="880" w:type="dxa"/>
            <w:tcBorders>
              <w:top w:val="nil"/>
              <w:left w:val="nil"/>
              <w:bottom w:val="single" w:sz="4" w:space="0" w:color="auto"/>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-249</w:t>
            </w:r>
          </w:p>
        </w:tc>
        <w:tc>
          <w:tcPr>
            <w:tcW w:w="880" w:type="dxa"/>
            <w:tcBorders>
              <w:top w:val="nil"/>
              <w:left w:val="nil"/>
              <w:bottom w:val="single" w:sz="4" w:space="0" w:color="auto"/>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-41</w:t>
            </w:r>
          </w:p>
        </w:tc>
      </w:tr>
      <w:tr w:rsidR="007C3093" w:rsidRPr="007C3093" w:rsidTr="007C3093">
        <w:trPr>
          <w:trHeight w:val="315"/>
        </w:trPr>
        <w:tc>
          <w:tcPr>
            <w:tcW w:w="2740" w:type="dxa"/>
            <w:tcBorders>
              <w:top w:val="nil"/>
              <w:left w:val="nil"/>
              <w:bottom w:val="single" w:sz="4" w:space="0" w:color="auto"/>
              <w:right w:val="nil"/>
            </w:tcBorders>
            <w:shd w:val="clear" w:color="auto" w:fill="auto"/>
            <w:noWrap/>
            <w:vAlign w:val="bottom"/>
            <w:hideMark/>
          </w:tcPr>
          <w:p w:rsidR="007C3093" w:rsidRPr="007C3093" w:rsidRDefault="007C3093" w:rsidP="007C3093">
            <w:pPr>
              <w:tabs>
                <w:tab w:val="clear" w:pos="567"/>
              </w:tabs>
              <w:spacing w:after="0" w:line="240" w:lineRule="auto"/>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Total change</w:t>
            </w:r>
          </w:p>
        </w:tc>
        <w:tc>
          <w:tcPr>
            <w:tcW w:w="880" w:type="dxa"/>
            <w:tcBorders>
              <w:top w:val="nil"/>
              <w:left w:val="nil"/>
              <w:bottom w:val="single" w:sz="4" w:space="0" w:color="auto"/>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927</w:t>
            </w:r>
          </w:p>
        </w:tc>
        <w:tc>
          <w:tcPr>
            <w:tcW w:w="880" w:type="dxa"/>
            <w:tcBorders>
              <w:top w:val="nil"/>
              <w:left w:val="nil"/>
              <w:bottom w:val="single" w:sz="4" w:space="0" w:color="auto"/>
              <w:right w:val="nil"/>
            </w:tcBorders>
            <w:shd w:val="clear" w:color="auto" w:fill="auto"/>
            <w:noWrap/>
            <w:vAlign w:val="bottom"/>
            <w:hideMark/>
          </w:tcPr>
          <w:p w:rsidR="007C3093" w:rsidRPr="007C3093"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7C3093">
              <w:rPr>
                <w:rFonts w:ascii="Calibri" w:eastAsia="Times New Roman" w:hAnsi="Calibri" w:cs="Times New Roman"/>
                <w:sz w:val="20"/>
                <w:szCs w:val="20"/>
                <w:lang w:eastAsia="en-AU"/>
              </w:rPr>
              <w:t>154</w:t>
            </w:r>
          </w:p>
        </w:tc>
      </w:tr>
    </w:tbl>
    <w:p w:rsidR="00A004DA" w:rsidRPr="00EC79CF" w:rsidRDefault="00A004DA" w:rsidP="00A004DA">
      <w:pPr>
        <w:pStyle w:val="NoSpacing"/>
      </w:pPr>
    </w:p>
    <w:p w:rsidR="00A004DA" w:rsidRPr="00EC79CF" w:rsidRDefault="00A004DA" w:rsidP="00A004DA">
      <w:pPr>
        <w:tabs>
          <w:tab w:val="clear" w:pos="567"/>
        </w:tabs>
        <w:spacing w:after="200" w:line="276" w:lineRule="auto"/>
        <w:rPr>
          <w:rFonts w:cs="Arial"/>
        </w:rPr>
        <w:sectPr w:rsidR="00A004DA" w:rsidRPr="00EC79CF" w:rsidSect="00C71EF0">
          <w:type w:val="continuous"/>
          <w:pgSz w:w="11899" w:h="16838" w:code="9"/>
          <w:pgMar w:top="1701" w:right="1474" w:bottom="1701" w:left="1474" w:header="709" w:footer="709" w:gutter="0"/>
          <w:cols w:num="2" w:space="293"/>
          <w:docGrid w:linePitch="299"/>
        </w:sectPr>
      </w:pPr>
    </w:p>
    <w:p w:rsidR="00A004DA" w:rsidRPr="00F567B9" w:rsidRDefault="00A004DA" w:rsidP="00A004DA">
      <w:pPr>
        <w:tabs>
          <w:tab w:val="clear" w:pos="567"/>
        </w:tabs>
        <w:spacing w:after="240" w:line="280" w:lineRule="atLeast"/>
      </w:pPr>
      <w:r w:rsidRPr="00EC79CF">
        <w:lastRenderedPageBreak/>
        <w:t>Compared with 2014-15, the State’s GST will rise by $</w:t>
      </w:r>
      <w:r w:rsidR="00807CAA">
        <w:t>927</w:t>
      </w:r>
      <w:r w:rsidRPr="00EC79CF">
        <w:t xml:space="preserve"> million or </w:t>
      </w:r>
      <w:r w:rsidR="00807CAA">
        <w:t>7.8</w:t>
      </w:r>
      <w:r w:rsidRPr="00EC79CF">
        <w:t xml:space="preserve">%. </w:t>
      </w:r>
      <w:r w:rsidR="00807CAA">
        <w:t>I</w:t>
      </w:r>
      <w:r w:rsidRPr="00EC79CF">
        <w:t xml:space="preserve">ts GST share will </w:t>
      </w:r>
      <w:r w:rsidR="00807CAA">
        <w:t>rise</w:t>
      </w:r>
      <w:r w:rsidRPr="00EC79CF">
        <w:t xml:space="preserve"> from 22.0% to 2</w:t>
      </w:r>
      <w:r w:rsidR="00807CAA">
        <w:t>2.3</w:t>
      </w:r>
      <w:r w:rsidRPr="00F567B9">
        <w:t>%, primarily due to a</w:t>
      </w:r>
      <w:r w:rsidR="00807CAA" w:rsidRPr="00F567B9">
        <w:t>n</w:t>
      </w:r>
      <w:r w:rsidRPr="00F567B9">
        <w:t xml:space="preserve"> </w:t>
      </w:r>
      <w:r w:rsidR="004E13C2" w:rsidRPr="00F567B9">
        <w:t xml:space="preserve">increase </w:t>
      </w:r>
      <w:r w:rsidRPr="00F567B9">
        <w:t xml:space="preserve">in its </w:t>
      </w:r>
      <w:r w:rsidR="00807CAA" w:rsidRPr="00F567B9">
        <w:t xml:space="preserve">need for </w:t>
      </w:r>
      <w:r w:rsidR="004E13C2" w:rsidRPr="00F567B9">
        <w:t xml:space="preserve">urban </w:t>
      </w:r>
      <w:r w:rsidR="00807CAA" w:rsidRPr="00F567B9">
        <w:t>transport infrastructure</w:t>
      </w:r>
      <w:r w:rsidR="004E13C2" w:rsidRPr="00F567B9">
        <w:t xml:space="preserve"> and below average growth in property turnover.</w:t>
      </w:r>
    </w:p>
    <w:p w:rsidR="00A004DA" w:rsidRPr="00F567B9" w:rsidRDefault="00A004DA" w:rsidP="00A004DA">
      <w:pPr>
        <w:pStyle w:val="CGCTableHeading"/>
      </w:pPr>
      <w:r w:rsidRPr="00F567B9">
        <w:rPr>
          <w:bCs/>
        </w:rPr>
        <w:t xml:space="preserve">Table </w:t>
      </w:r>
      <w:r w:rsidRPr="00F567B9">
        <w:rPr>
          <w:bCs/>
        </w:rPr>
        <w:fldChar w:fldCharType="begin"/>
      </w:r>
      <w:r w:rsidRPr="00F567B9">
        <w:rPr>
          <w:bCs/>
        </w:rPr>
        <w:instrText xml:space="preserve"> SEQ Table \* ARABIC </w:instrText>
      </w:r>
      <w:r w:rsidRPr="00F567B9">
        <w:rPr>
          <w:bCs/>
        </w:rPr>
        <w:fldChar w:fldCharType="separate"/>
      </w:r>
      <w:r w:rsidR="003A5DEE">
        <w:rPr>
          <w:bCs/>
          <w:noProof/>
        </w:rPr>
        <w:t>11</w:t>
      </w:r>
      <w:r w:rsidRPr="00F567B9">
        <w:rPr>
          <w:bCs/>
        </w:rPr>
        <w:fldChar w:fldCharType="end"/>
      </w:r>
      <w:r w:rsidRPr="00F567B9">
        <w:rPr>
          <w:bCs/>
        </w:rPr>
        <w:tab/>
      </w:r>
      <w:r w:rsidR="004538F1">
        <w:t>Five largest changes</w:t>
      </w:r>
      <w:r w:rsidR="00CD1096">
        <w:t xml:space="preserve"> for Victoria</w:t>
      </w:r>
    </w:p>
    <w:tbl>
      <w:tblPr>
        <w:tblW w:w="5000" w:type="pct"/>
        <w:tblLayout w:type="fixed"/>
        <w:tblCellMar>
          <w:left w:w="0" w:type="dxa"/>
          <w:right w:w="0" w:type="dxa"/>
        </w:tblCellMar>
        <w:tblLook w:val="0000" w:firstRow="0" w:lastRow="0" w:firstColumn="0" w:lastColumn="0" w:noHBand="0" w:noVBand="0"/>
      </w:tblPr>
      <w:tblGrid>
        <w:gridCol w:w="1207"/>
        <w:gridCol w:w="7744"/>
      </w:tblGrid>
      <w:tr w:rsidR="00A004DA" w:rsidRPr="00F567B9" w:rsidTr="00C71EF0">
        <w:tc>
          <w:tcPr>
            <w:tcW w:w="674" w:type="pct"/>
            <w:tcBorders>
              <w:top w:val="single" w:sz="6" w:space="0" w:color="auto"/>
              <w:bottom w:val="single" w:sz="6" w:space="0" w:color="auto"/>
            </w:tcBorders>
            <w:vAlign w:val="center"/>
          </w:tcPr>
          <w:p w:rsidR="00A004DA" w:rsidRPr="00F567B9" w:rsidRDefault="00A004DA" w:rsidP="00C71EF0">
            <w:pPr>
              <w:pStyle w:val="TableColHeadings"/>
              <w:ind w:left="193" w:hanging="142"/>
              <w:jc w:val="both"/>
              <w:rPr>
                <w:rFonts w:cstheme="minorHAnsi"/>
              </w:rPr>
            </w:pPr>
            <w:r w:rsidRPr="00F567B9">
              <w:rPr>
                <w:rFonts w:cstheme="minorHAnsi"/>
              </w:rPr>
              <w:t>Change ($m)</w:t>
            </w:r>
          </w:p>
        </w:tc>
        <w:tc>
          <w:tcPr>
            <w:tcW w:w="4326" w:type="pct"/>
            <w:tcBorders>
              <w:top w:val="single" w:sz="6" w:space="0" w:color="auto"/>
              <w:bottom w:val="single" w:sz="6" w:space="0" w:color="auto"/>
            </w:tcBorders>
            <w:vAlign w:val="center"/>
          </w:tcPr>
          <w:p w:rsidR="00A004DA" w:rsidRPr="00F567B9" w:rsidRDefault="00A004DA" w:rsidP="00C71EF0">
            <w:pPr>
              <w:pStyle w:val="TableColHeadings"/>
              <w:ind w:left="193" w:hanging="142"/>
              <w:jc w:val="left"/>
              <w:rPr>
                <w:rFonts w:cstheme="minorHAnsi"/>
              </w:rPr>
            </w:pPr>
            <w:r w:rsidRPr="00F567B9">
              <w:rPr>
                <w:rFonts w:cstheme="minorHAnsi"/>
              </w:rPr>
              <w:t>Reason for change</w:t>
            </w:r>
          </w:p>
        </w:tc>
      </w:tr>
      <w:tr w:rsidR="00A004DA" w:rsidRPr="00F567B9" w:rsidTr="00C71EF0">
        <w:tc>
          <w:tcPr>
            <w:tcW w:w="5000" w:type="pct"/>
            <w:gridSpan w:val="2"/>
          </w:tcPr>
          <w:p w:rsidR="00A004DA" w:rsidRPr="00F567B9" w:rsidRDefault="00A004DA" w:rsidP="00C71EF0">
            <w:pPr>
              <w:pStyle w:val="TableRowNormal"/>
              <w:ind w:left="193" w:hanging="142"/>
              <w:jc w:val="left"/>
              <w:rPr>
                <w:rFonts w:cstheme="minorHAnsi"/>
                <w:b/>
              </w:rPr>
            </w:pPr>
            <w:r w:rsidRPr="00F567B9">
              <w:rPr>
                <w:rFonts w:cs="Arial"/>
                <w:b/>
              </w:rPr>
              <w:t>Changes in methods</w:t>
            </w:r>
          </w:p>
        </w:tc>
      </w:tr>
      <w:tr w:rsidR="003C0A59" w:rsidRPr="00F567B9" w:rsidTr="007A30DC">
        <w:trPr>
          <w:trHeight w:val="387"/>
        </w:trPr>
        <w:tc>
          <w:tcPr>
            <w:tcW w:w="674" w:type="pct"/>
          </w:tcPr>
          <w:p w:rsidR="003C0A59" w:rsidRPr="00F567B9" w:rsidRDefault="003C0A59" w:rsidP="007A30DC">
            <w:pPr>
              <w:pStyle w:val="CGCTableStub"/>
              <w:tabs>
                <w:tab w:val="clear" w:pos="284"/>
                <w:tab w:val="left" w:pos="425"/>
                <w:tab w:val="left" w:pos="709"/>
                <w:tab w:val="left" w:pos="851"/>
              </w:tabs>
              <w:spacing w:before="0" w:after="0"/>
              <w:ind w:left="142"/>
              <w:rPr>
                <w:rFonts w:cs="Arial"/>
              </w:rPr>
            </w:pPr>
            <w:r w:rsidRPr="00F567B9">
              <w:rPr>
                <w:rFonts w:cs="Arial"/>
              </w:rPr>
              <w:t>255</w:t>
            </w:r>
          </w:p>
        </w:tc>
        <w:tc>
          <w:tcPr>
            <w:tcW w:w="4326" w:type="pct"/>
          </w:tcPr>
          <w:p w:rsidR="003C0A59" w:rsidRPr="00F567B9" w:rsidRDefault="00B861CC" w:rsidP="00B861CC">
            <w:pPr>
              <w:pStyle w:val="CGCTableStub"/>
              <w:tabs>
                <w:tab w:val="clear" w:pos="284"/>
                <w:tab w:val="left" w:pos="425"/>
                <w:tab w:val="left" w:pos="709"/>
                <w:tab w:val="left" w:pos="851"/>
              </w:tabs>
              <w:spacing w:before="0" w:after="0"/>
              <w:ind w:left="142"/>
              <w:rPr>
                <w:rFonts w:cs="Arial"/>
              </w:rPr>
            </w:pPr>
            <w:r w:rsidRPr="00F567B9">
              <w:rPr>
                <w:rFonts w:cs="Arial"/>
                <w:b/>
              </w:rPr>
              <w:t xml:space="preserve">Capital. </w:t>
            </w:r>
            <w:r w:rsidRPr="00F567B9">
              <w:rPr>
                <w:rFonts w:cs="Arial"/>
              </w:rPr>
              <w:t>Recognising the impact of city size and urban population growth on the need for urban transport infrastructure increased Victoria’s GST.</w:t>
            </w:r>
          </w:p>
        </w:tc>
      </w:tr>
      <w:tr w:rsidR="00A004DA" w:rsidRPr="00F567B9" w:rsidTr="00C71EF0">
        <w:trPr>
          <w:trHeight w:val="387"/>
        </w:trPr>
        <w:tc>
          <w:tcPr>
            <w:tcW w:w="674" w:type="pct"/>
          </w:tcPr>
          <w:p w:rsidR="00A004DA" w:rsidRPr="00F567B9" w:rsidRDefault="00A004DA" w:rsidP="003C0A59">
            <w:pPr>
              <w:pStyle w:val="CGCTableStub"/>
              <w:tabs>
                <w:tab w:val="clear" w:pos="284"/>
                <w:tab w:val="left" w:pos="425"/>
                <w:tab w:val="left" w:pos="709"/>
                <w:tab w:val="left" w:pos="851"/>
              </w:tabs>
              <w:spacing w:before="0" w:after="0"/>
              <w:ind w:left="142"/>
              <w:rPr>
                <w:rFonts w:cs="Arial"/>
              </w:rPr>
            </w:pPr>
            <w:r w:rsidRPr="00F567B9">
              <w:rPr>
                <w:rFonts w:cs="Arial"/>
              </w:rPr>
              <w:t>19</w:t>
            </w:r>
            <w:r w:rsidR="003C0A59" w:rsidRPr="00F567B9">
              <w:rPr>
                <w:rFonts w:cs="Arial"/>
              </w:rPr>
              <w:t>7</w:t>
            </w:r>
          </w:p>
        </w:tc>
        <w:tc>
          <w:tcPr>
            <w:tcW w:w="4326" w:type="pct"/>
          </w:tcPr>
          <w:p w:rsidR="00A004DA" w:rsidRPr="00F567B9" w:rsidRDefault="00A004DA" w:rsidP="00006A5C">
            <w:pPr>
              <w:pStyle w:val="CGCTableStub"/>
              <w:tabs>
                <w:tab w:val="clear" w:pos="284"/>
                <w:tab w:val="left" w:pos="425"/>
                <w:tab w:val="left" w:pos="709"/>
                <w:tab w:val="left" w:pos="851"/>
              </w:tabs>
              <w:spacing w:before="0" w:after="0"/>
              <w:ind w:left="142"/>
              <w:rPr>
                <w:rFonts w:cs="Arial"/>
              </w:rPr>
            </w:pPr>
            <w:r w:rsidRPr="00F567B9">
              <w:rPr>
                <w:rFonts w:cs="Arial"/>
                <w:b/>
              </w:rPr>
              <w:t xml:space="preserve">NPPs. </w:t>
            </w:r>
            <w:r w:rsidRPr="00F567B9">
              <w:rPr>
                <w:rFonts w:cs="Arial"/>
              </w:rPr>
              <w:t xml:space="preserve">Half the payments from the Commonwealth for </w:t>
            </w:r>
            <w:r w:rsidR="00B54009">
              <w:rPr>
                <w:rFonts w:cs="Arial"/>
              </w:rPr>
              <w:t xml:space="preserve">its </w:t>
            </w:r>
            <w:r w:rsidRPr="00F567B9">
              <w:rPr>
                <w:rFonts w:cs="Arial"/>
              </w:rPr>
              <w:t>national rail network projects no longer affect the GST.</w:t>
            </w:r>
            <w:r w:rsidR="00006A5C">
              <w:rPr>
                <w:rFonts w:cs="Arial"/>
              </w:rPr>
              <w:t xml:space="preserve"> Since the State has a relatively high percentage of such payments, this increased its GST revenue.</w:t>
            </w:r>
          </w:p>
        </w:tc>
      </w:tr>
      <w:tr w:rsidR="00A004DA" w:rsidRPr="00F567B9" w:rsidTr="00C71EF0">
        <w:tc>
          <w:tcPr>
            <w:tcW w:w="5000" w:type="pct"/>
            <w:gridSpan w:val="2"/>
          </w:tcPr>
          <w:p w:rsidR="00A004DA" w:rsidRPr="00F567B9" w:rsidRDefault="00A004DA" w:rsidP="00C71EF0">
            <w:pPr>
              <w:pStyle w:val="TableRowNormal"/>
              <w:ind w:left="193" w:hanging="142"/>
              <w:jc w:val="left"/>
              <w:rPr>
                <w:rFonts w:cstheme="minorHAnsi"/>
              </w:rPr>
            </w:pPr>
            <w:r w:rsidRPr="00F567B9">
              <w:rPr>
                <w:rFonts w:cs="Arial"/>
                <w:b/>
              </w:rPr>
              <w:t>Changes in circumstances</w:t>
            </w:r>
          </w:p>
        </w:tc>
      </w:tr>
      <w:tr w:rsidR="00A004DA" w:rsidRPr="00F567B9" w:rsidTr="00C71EF0">
        <w:tc>
          <w:tcPr>
            <w:tcW w:w="674" w:type="pct"/>
          </w:tcPr>
          <w:p w:rsidR="00A004DA" w:rsidRPr="00F567B9" w:rsidRDefault="00A004DA" w:rsidP="00C71EF0">
            <w:pPr>
              <w:pStyle w:val="CGCTableStub"/>
              <w:tabs>
                <w:tab w:val="clear" w:pos="284"/>
                <w:tab w:val="left" w:pos="425"/>
                <w:tab w:val="left" w:pos="709"/>
                <w:tab w:val="left" w:pos="851"/>
              </w:tabs>
              <w:spacing w:before="0" w:after="0"/>
              <w:ind w:left="142"/>
              <w:rPr>
                <w:rFonts w:cs="Arial"/>
              </w:rPr>
            </w:pPr>
            <w:r w:rsidRPr="00F567B9">
              <w:rPr>
                <w:rFonts w:cs="Arial"/>
              </w:rPr>
              <w:t>-219</w:t>
            </w:r>
          </w:p>
        </w:tc>
        <w:tc>
          <w:tcPr>
            <w:tcW w:w="4326" w:type="pct"/>
            <w:vAlign w:val="bottom"/>
          </w:tcPr>
          <w:p w:rsidR="00A004DA" w:rsidRPr="00F567B9" w:rsidRDefault="00A004DA" w:rsidP="00006A5C">
            <w:pPr>
              <w:pStyle w:val="CGCTableStub"/>
              <w:tabs>
                <w:tab w:val="clear" w:pos="284"/>
                <w:tab w:val="left" w:pos="425"/>
                <w:tab w:val="left" w:pos="709"/>
                <w:tab w:val="left" w:pos="851"/>
              </w:tabs>
              <w:spacing w:before="0" w:after="0"/>
              <w:ind w:left="142"/>
              <w:rPr>
                <w:rFonts w:cs="Arial"/>
              </w:rPr>
            </w:pPr>
            <w:r w:rsidRPr="00F567B9">
              <w:rPr>
                <w:rFonts w:cs="Arial"/>
                <w:b/>
              </w:rPr>
              <w:t>Other expenses.</w:t>
            </w:r>
            <w:r w:rsidRPr="00F567B9">
              <w:rPr>
                <w:rFonts w:cs="Arial"/>
              </w:rPr>
              <w:t xml:space="preserve"> A large increase in net natural disaster relief expenses in Queensland, coupled with a large fall in net expenses in Victoria in 2013-14</w:t>
            </w:r>
            <w:r w:rsidR="00006A5C">
              <w:rPr>
                <w:rFonts w:cs="Arial"/>
              </w:rPr>
              <w:t xml:space="preserve"> reduced its GST revenue</w:t>
            </w:r>
            <w:r w:rsidRPr="00F567B9">
              <w:rPr>
                <w:rFonts w:cs="Arial"/>
              </w:rPr>
              <w:t>.</w:t>
            </w:r>
          </w:p>
        </w:tc>
      </w:tr>
      <w:tr w:rsidR="00A004DA" w:rsidRPr="00F567B9" w:rsidTr="00C71EF0">
        <w:trPr>
          <w:trHeight w:val="397"/>
        </w:trPr>
        <w:tc>
          <w:tcPr>
            <w:tcW w:w="674" w:type="pct"/>
          </w:tcPr>
          <w:p w:rsidR="00A004DA" w:rsidRPr="00F567B9" w:rsidRDefault="00A004DA" w:rsidP="003C0A59">
            <w:pPr>
              <w:pStyle w:val="CGCTableStub"/>
              <w:tabs>
                <w:tab w:val="clear" w:pos="284"/>
                <w:tab w:val="left" w:pos="425"/>
                <w:tab w:val="left" w:pos="709"/>
                <w:tab w:val="left" w:pos="851"/>
              </w:tabs>
              <w:spacing w:before="0" w:after="0"/>
              <w:ind w:left="142"/>
              <w:rPr>
                <w:rFonts w:cs="Arial"/>
              </w:rPr>
            </w:pPr>
            <w:r w:rsidRPr="00F567B9">
              <w:rPr>
                <w:rFonts w:cs="Arial"/>
              </w:rPr>
              <w:t>20</w:t>
            </w:r>
            <w:r w:rsidR="003C0A59" w:rsidRPr="00F567B9">
              <w:rPr>
                <w:rFonts w:cs="Arial"/>
              </w:rPr>
              <w:t>4</w:t>
            </w:r>
          </w:p>
        </w:tc>
        <w:tc>
          <w:tcPr>
            <w:tcW w:w="4326" w:type="pct"/>
            <w:vAlign w:val="bottom"/>
          </w:tcPr>
          <w:p w:rsidR="00A004DA" w:rsidRPr="00F567B9" w:rsidRDefault="00A004DA" w:rsidP="00006A5C">
            <w:pPr>
              <w:pStyle w:val="CGCTableStub"/>
              <w:tabs>
                <w:tab w:val="clear" w:pos="284"/>
                <w:tab w:val="left" w:pos="425"/>
                <w:tab w:val="left" w:pos="709"/>
                <w:tab w:val="left" w:pos="851"/>
              </w:tabs>
              <w:spacing w:before="0" w:after="0"/>
              <w:ind w:left="142"/>
              <w:rPr>
                <w:rFonts w:cs="Arial"/>
              </w:rPr>
            </w:pPr>
            <w:r w:rsidRPr="00F567B9">
              <w:rPr>
                <w:rFonts w:cs="Arial"/>
                <w:b/>
              </w:rPr>
              <w:t>Stamp duty.</w:t>
            </w:r>
            <w:r w:rsidRPr="00F567B9">
              <w:rPr>
                <w:rFonts w:cs="Arial"/>
              </w:rPr>
              <w:t xml:space="preserve"> Victoria experienced below average growth in property turnover, leading to a below average share of property transactions in 2013-14</w:t>
            </w:r>
            <w:r w:rsidR="00006A5C">
              <w:rPr>
                <w:rFonts w:cs="Arial"/>
              </w:rPr>
              <w:t xml:space="preserve"> increasing its GST revenue</w:t>
            </w:r>
            <w:r w:rsidRPr="00F567B9">
              <w:rPr>
                <w:rFonts w:cs="Arial"/>
              </w:rPr>
              <w:t>.</w:t>
            </w:r>
          </w:p>
        </w:tc>
      </w:tr>
      <w:tr w:rsidR="00A004DA" w:rsidRPr="00F567B9" w:rsidTr="00C71EF0">
        <w:tc>
          <w:tcPr>
            <w:tcW w:w="674" w:type="pct"/>
            <w:tcBorders>
              <w:bottom w:val="single" w:sz="6" w:space="0" w:color="auto"/>
            </w:tcBorders>
          </w:tcPr>
          <w:p w:rsidR="00A004DA" w:rsidRPr="00F567B9" w:rsidRDefault="00A004DA" w:rsidP="003C0A59">
            <w:pPr>
              <w:pStyle w:val="CGCTableStub"/>
              <w:tabs>
                <w:tab w:val="clear" w:pos="284"/>
                <w:tab w:val="left" w:pos="425"/>
                <w:tab w:val="left" w:pos="709"/>
                <w:tab w:val="left" w:pos="851"/>
              </w:tabs>
              <w:spacing w:before="0" w:after="0"/>
              <w:ind w:left="142"/>
              <w:rPr>
                <w:rFonts w:cs="Arial"/>
              </w:rPr>
            </w:pPr>
            <w:r w:rsidRPr="00F567B9">
              <w:rPr>
                <w:rFonts w:cs="Arial"/>
              </w:rPr>
              <w:t>-1</w:t>
            </w:r>
            <w:r w:rsidR="003C0A59" w:rsidRPr="00F567B9">
              <w:rPr>
                <w:rFonts w:cs="Arial"/>
              </w:rPr>
              <w:t>70</w:t>
            </w:r>
          </w:p>
        </w:tc>
        <w:tc>
          <w:tcPr>
            <w:tcW w:w="4326" w:type="pct"/>
            <w:tcBorders>
              <w:bottom w:val="single" w:sz="6" w:space="0" w:color="auto"/>
            </w:tcBorders>
          </w:tcPr>
          <w:p w:rsidR="00A004DA" w:rsidRPr="00F567B9" w:rsidRDefault="00A004DA" w:rsidP="00006A5C">
            <w:pPr>
              <w:pStyle w:val="CGCTableStub"/>
              <w:tabs>
                <w:tab w:val="clear" w:pos="284"/>
                <w:tab w:val="left" w:pos="425"/>
                <w:tab w:val="left" w:pos="709"/>
                <w:tab w:val="left" w:pos="851"/>
              </w:tabs>
              <w:spacing w:before="0" w:after="0"/>
              <w:ind w:left="142"/>
              <w:rPr>
                <w:rFonts w:cs="Arial"/>
              </w:rPr>
            </w:pPr>
            <w:r w:rsidRPr="00F567B9">
              <w:rPr>
                <w:rFonts w:cs="Arial"/>
                <w:b/>
              </w:rPr>
              <w:t>NPPs.</w:t>
            </w:r>
            <w:r w:rsidRPr="00F567B9">
              <w:rPr>
                <w:rFonts w:cs="Arial"/>
              </w:rPr>
              <w:t xml:space="preserve"> Victoria experienced above average growth in Commonwealth revenue for road construction</w:t>
            </w:r>
            <w:r w:rsidR="00006A5C">
              <w:rPr>
                <w:rFonts w:cs="Arial"/>
              </w:rPr>
              <w:t>, thus reducing its GST revenue</w:t>
            </w:r>
            <w:r w:rsidRPr="00F567B9">
              <w:rPr>
                <w:rFonts w:cs="Arial"/>
              </w:rPr>
              <w:t>.</w:t>
            </w:r>
          </w:p>
        </w:tc>
      </w:tr>
    </w:tbl>
    <w:p w:rsidR="00A004DA" w:rsidRPr="00F567B9" w:rsidRDefault="00A004DA" w:rsidP="00A004DA">
      <w:pPr>
        <w:tabs>
          <w:tab w:val="clear" w:pos="567"/>
        </w:tabs>
        <w:spacing w:after="40" w:line="240" w:lineRule="auto"/>
        <w:rPr>
          <w:rFonts w:cs="Arial"/>
          <w:b/>
          <w:color w:val="0000FF"/>
        </w:rPr>
        <w:sectPr w:rsidR="00A004DA" w:rsidRPr="00F567B9" w:rsidSect="00C71EF0">
          <w:type w:val="continuous"/>
          <w:pgSz w:w="11899" w:h="16838" w:code="9"/>
          <w:pgMar w:top="1701" w:right="1474" w:bottom="1701" w:left="1474" w:header="709" w:footer="709" w:gutter="0"/>
          <w:cols w:space="708"/>
          <w:docGrid w:linePitch="299"/>
        </w:sectPr>
      </w:pPr>
    </w:p>
    <w:p w:rsidR="00A004DA" w:rsidRPr="00F567B9" w:rsidRDefault="00A004DA" w:rsidP="00A004DA">
      <w:pPr>
        <w:pStyle w:val="Heading6"/>
        <w:rPr>
          <w:i w:val="0"/>
        </w:rPr>
      </w:pPr>
      <w:r w:rsidRPr="00F567B9">
        <w:rPr>
          <w:i w:val="0"/>
        </w:rPr>
        <w:lastRenderedPageBreak/>
        <w:t>QUEENSLAND</w:t>
      </w:r>
    </w:p>
    <w:p w:rsidR="00A004DA" w:rsidRPr="00F567B9" w:rsidRDefault="00A004DA" w:rsidP="00A004DA">
      <w:pPr>
        <w:tabs>
          <w:tab w:val="clear" w:pos="567"/>
        </w:tabs>
        <w:spacing w:after="40" w:line="240" w:lineRule="auto"/>
        <w:rPr>
          <w:rFonts w:cs="Arial"/>
          <w:b/>
          <w:color w:val="0000FF"/>
        </w:rPr>
        <w:sectPr w:rsidR="00A004DA" w:rsidRPr="00F567B9" w:rsidSect="00C71EF0">
          <w:footerReference w:type="default" r:id="rId46"/>
          <w:footerReference w:type="first" r:id="rId47"/>
          <w:pgSz w:w="11899" w:h="16838" w:code="9"/>
          <w:pgMar w:top="1701" w:right="1474" w:bottom="1701" w:left="1474" w:header="709" w:footer="709" w:gutter="0"/>
          <w:cols w:space="708"/>
          <w:titlePg/>
          <w:docGrid w:linePitch="299"/>
        </w:sectPr>
      </w:pPr>
    </w:p>
    <w:p w:rsidR="00A004DA" w:rsidRPr="00F567B9" w:rsidRDefault="00A004DA" w:rsidP="00A004DA">
      <w:pPr>
        <w:rPr>
          <w:noProof/>
          <w:lang w:eastAsia="en-AU"/>
        </w:rPr>
      </w:pPr>
      <w:r w:rsidRPr="00F567B9">
        <w:lastRenderedPageBreak/>
        <w:t>Queensland now has the fourth lowest assessed fiscal capacity, with a below average fiscal capacity due to above average assessed expenses. Queensland’s revenue raising capacity is now slightly below average which reflects a below average payroll tax base and below average stamp duty, although this is almost offset by its above average mining production.</w:t>
      </w:r>
      <w:r w:rsidRPr="00F567B9">
        <w:rPr>
          <w:noProof/>
          <w:lang w:eastAsia="en-AU"/>
        </w:rPr>
        <w:t xml:space="preserve"> It also receives an above average share of Commonwealth payments.</w:t>
      </w:r>
    </w:p>
    <w:p w:rsidR="00A004DA" w:rsidRPr="00F567B9" w:rsidRDefault="00A004DA" w:rsidP="00A004DA">
      <w:r w:rsidRPr="00F567B9">
        <w:t>Its high expense requirements are due to above average shares of government school enrolments, Indigenous people and people living in remote areas. In addition, Queensland’s share of natural disaster relief net expenses is well above average. Those effects are partly offset by its below average wages.</w:t>
      </w:r>
    </w:p>
    <w:p w:rsidR="00A004DA" w:rsidRPr="00F567B9" w:rsidRDefault="00A004DA" w:rsidP="00A004DA"/>
    <w:p w:rsidR="00A004DA" w:rsidRPr="00F567B9" w:rsidRDefault="00A004DA" w:rsidP="00A004DA">
      <w:pPr>
        <w:pStyle w:val="CGCTableHeading"/>
        <w:spacing w:before="0" w:after="0"/>
      </w:pPr>
      <w:r w:rsidRPr="00F567B9">
        <w:lastRenderedPageBreak/>
        <w:t xml:space="preserve">Table </w:t>
      </w:r>
      <w:fldSimple w:instr=" SEQ Table \* ARABIC ">
        <w:r w:rsidR="003A5DEE">
          <w:rPr>
            <w:noProof/>
          </w:rPr>
          <w:t>12</w:t>
        </w:r>
      </w:fldSimple>
      <w:r w:rsidRPr="00F567B9">
        <w:tab/>
        <w:t>Assessed GST, 2015-16</w:t>
      </w:r>
    </w:p>
    <w:tbl>
      <w:tblPr>
        <w:tblW w:w="4500" w:type="dxa"/>
        <w:tblInd w:w="93" w:type="dxa"/>
        <w:tblLook w:val="04A0" w:firstRow="1" w:lastRow="0" w:firstColumn="1" w:lastColumn="0" w:noHBand="0" w:noVBand="1"/>
      </w:tblPr>
      <w:tblGrid>
        <w:gridCol w:w="2740"/>
        <w:gridCol w:w="880"/>
        <w:gridCol w:w="880"/>
      </w:tblGrid>
      <w:tr w:rsidR="007C3093" w:rsidRPr="00F567B9" w:rsidTr="007C3093">
        <w:trPr>
          <w:trHeight w:val="315"/>
        </w:trPr>
        <w:tc>
          <w:tcPr>
            <w:tcW w:w="2740" w:type="dxa"/>
            <w:tcBorders>
              <w:top w:val="single" w:sz="4" w:space="0" w:color="auto"/>
              <w:left w:val="nil"/>
              <w:bottom w:val="single" w:sz="4" w:space="0" w:color="auto"/>
              <w:right w:val="nil"/>
            </w:tcBorders>
            <w:shd w:val="clear" w:color="auto" w:fill="auto"/>
            <w:noWrap/>
            <w:vAlign w:val="center"/>
            <w:hideMark/>
          </w:tcPr>
          <w:p w:rsidR="007C3093" w:rsidRPr="00F567B9"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 </w:t>
            </w:r>
          </w:p>
        </w:tc>
        <w:tc>
          <w:tcPr>
            <w:tcW w:w="880" w:type="dxa"/>
            <w:tcBorders>
              <w:top w:val="single" w:sz="4" w:space="0" w:color="auto"/>
              <w:left w:val="nil"/>
              <w:bottom w:val="single" w:sz="4" w:space="0" w:color="auto"/>
              <w:right w:val="nil"/>
            </w:tcBorders>
            <w:shd w:val="clear" w:color="auto" w:fill="auto"/>
            <w:noWrap/>
            <w:vAlign w:val="center"/>
            <w:hideMark/>
          </w:tcPr>
          <w:p w:rsidR="007C3093" w:rsidRPr="00F567B9"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$m</w:t>
            </w:r>
          </w:p>
        </w:tc>
        <w:tc>
          <w:tcPr>
            <w:tcW w:w="880" w:type="dxa"/>
            <w:tcBorders>
              <w:top w:val="single" w:sz="4" w:space="0" w:color="auto"/>
              <w:left w:val="nil"/>
              <w:bottom w:val="single" w:sz="4" w:space="0" w:color="auto"/>
              <w:right w:val="nil"/>
            </w:tcBorders>
            <w:shd w:val="clear" w:color="auto" w:fill="auto"/>
            <w:noWrap/>
            <w:vAlign w:val="center"/>
            <w:hideMark/>
          </w:tcPr>
          <w:p w:rsidR="007C3093" w:rsidRPr="00F567B9"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$pc</w:t>
            </w:r>
          </w:p>
        </w:tc>
      </w:tr>
      <w:tr w:rsidR="007C3093" w:rsidRPr="00F567B9" w:rsidTr="007C3093">
        <w:trPr>
          <w:trHeight w:val="315"/>
        </w:trPr>
        <w:tc>
          <w:tcPr>
            <w:tcW w:w="2740" w:type="dxa"/>
            <w:tcBorders>
              <w:top w:val="nil"/>
              <w:left w:val="nil"/>
              <w:bottom w:val="nil"/>
              <w:right w:val="nil"/>
            </w:tcBorders>
            <w:shd w:val="clear" w:color="auto" w:fill="auto"/>
            <w:noWrap/>
            <w:vAlign w:val="bottom"/>
            <w:hideMark/>
          </w:tcPr>
          <w:p w:rsidR="007C3093" w:rsidRPr="00F567B9" w:rsidRDefault="007C3093" w:rsidP="007C3093">
            <w:pPr>
              <w:tabs>
                <w:tab w:val="clear" w:pos="567"/>
              </w:tabs>
              <w:spacing w:after="0" w:line="240" w:lineRule="auto"/>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Equal per capita share</w:t>
            </w:r>
          </w:p>
        </w:tc>
        <w:tc>
          <w:tcPr>
            <w:tcW w:w="880" w:type="dxa"/>
            <w:tcBorders>
              <w:top w:val="nil"/>
              <w:left w:val="nil"/>
              <w:bottom w:val="nil"/>
              <w:right w:val="nil"/>
            </w:tcBorders>
            <w:shd w:val="clear" w:color="auto" w:fill="auto"/>
            <w:noWrap/>
            <w:vAlign w:val="bottom"/>
            <w:hideMark/>
          </w:tcPr>
          <w:p w:rsidR="007C3093" w:rsidRPr="00F567B9"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11 525</w:t>
            </w:r>
          </w:p>
        </w:tc>
        <w:tc>
          <w:tcPr>
            <w:tcW w:w="880" w:type="dxa"/>
            <w:tcBorders>
              <w:top w:val="nil"/>
              <w:left w:val="nil"/>
              <w:bottom w:val="nil"/>
              <w:right w:val="nil"/>
            </w:tcBorders>
            <w:shd w:val="clear" w:color="auto" w:fill="auto"/>
            <w:noWrap/>
            <w:vAlign w:val="bottom"/>
            <w:hideMark/>
          </w:tcPr>
          <w:p w:rsidR="007C3093" w:rsidRPr="00F567B9"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2 370</w:t>
            </w:r>
          </w:p>
        </w:tc>
      </w:tr>
      <w:tr w:rsidR="007C3093" w:rsidRPr="00F567B9" w:rsidTr="007C3093">
        <w:trPr>
          <w:trHeight w:val="315"/>
        </w:trPr>
        <w:tc>
          <w:tcPr>
            <w:tcW w:w="2740" w:type="dxa"/>
            <w:tcBorders>
              <w:top w:val="nil"/>
              <w:left w:val="nil"/>
              <w:bottom w:val="nil"/>
              <w:right w:val="nil"/>
            </w:tcBorders>
            <w:shd w:val="clear" w:color="auto" w:fill="auto"/>
            <w:noWrap/>
            <w:vAlign w:val="bottom"/>
            <w:hideMark/>
          </w:tcPr>
          <w:p w:rsidR="007C3093" w:rsidRPr="00F567B9" w:rsidRDefault="007C3093" w:rsidP="007C3093">
            <w:pPr>
              <w:tabs>
                <w:tab w:val="clear" w:pos="567"/>
              </w:tabs>
              <w:spacing w:after="0" w:line="240" w:lineRule="auto"/>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Effect of assessed:</w:t>
            </w:r>
          </w:p>
        </w:tc>
        <w:tc>
          <w:tcPr>
            <w:tcW w:w="880" w:type="dxa"/>
            <w:tcBorders>
              <w:top w:val="nil"/>
              <w:left w:val="nil"/>
              <w:bottom w:val="nil"/>
              <w:right w:val="nil"/>
            </w:tcBorders>
            <w:shd w:val="clear" w:color="auto" w:fill="auto"/>
            <w:noWrap/>
            <w:vAlign w:val="bottom"/>
            <w:hideMark/>
          </w:tcPr>
          <w:p w:rsidR="007C3093" w:rsidRPr="00F567B9" w:rsidRDefault="007C3093" w:rsidP="007C3093">
            <w:pPr>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7C3093" w:rsidRPr="00F567B9" w:rsidRDefault="007C3093" w:rsidP="007C3093">
            <w:pPr>
              <w:tabs>
                <w:tab w:val="clear" w:pos="567"/>
              </w:tabs>
              <w:spacing w:after="0" w:line="240" w:lineRule="auto"/>
              <w:jc w:val="right"/>
              <w:rPr>
                <w:rFonts w:ascii="Calibri" w:eastAsia="Times New Roman" w:hAnsi="Calibri" w:cs="Times New Roman"/>
                <w:sz w:val="20"/>
                <w:szCs w:val="20"/>
                <w:lang w:eastAsia="en-AU"/>
              </w:rPr>
            </w:pPr>
          </w:p>
        </w:tc>
      </w:tr>
      <w:tr w:rsidR="007C3093" w:rsidRPr="00F567B9" w:rsidTr="007C3093">
        <w:trPr>
          <w:trHeight w:val="315"/>
        </w:trPr>
        <w:tc>
          <w:tcPr>
            <w:tcW w:w="2740" w:type="dxa"/>
            <w:tcBorders>
              <w:top w:val="nil"/>
              <w:left w:val="nil"/>
              <w:bottom w:val="nil"/>
              <w:right w:val="nil"/>
            </w:tcBorders>
            <w:shd w:val="clear" w:color="auto" w:fill="auto"/>
            <w:noWrap/>
            <w:vAlign w:val="bottom"/>
            <w:hideMark/>
          </w:tcPr>
          <w:p w:rsidR="007C3093" w:rsidRPr="00F567B9" w:rsidRDefault="007C3093"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Expenses</w:t>
            </w:r>
          </w:p>
        </w:tc>
        <w:tc>
          <w:tcPr>
            <w:tcW w:w="880" w:type="dxa"/>
            <w:tcBorders>
              <w:top w:val="nil"/>
              <w:left w:val="nil"/>
              <w:bottom w:val="nil"/>
              <w:right w:val="nil"/>
            </w:tcBorders>
            <w:shd w:val="clear" w:color="auto" w:fill="auto"/>
            <w:noWrap/>
            <w:vAlign w:val="bottom"/>
            <w:hideMark/>
          </w:tcPr>
          <w:p w:rsidR="007C3093" w:rsidRPr="00F567B9"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1 599</w:t>
            </w:r>
          </w:p>
        </w:tc>
        <w:tc>
          <w:tcPr>
            <w:tcW w:w="880" w:type="dxa"/>
            <w:tcBorders>
              <w:top w:val="nil"/>
              <w:left w:val="nil"/>
              <w:bottom w:val="nil"/>
              <w:right w:val="nil"/>
            </w:tcBorders>
            <w:shd w:val="clear" w:color="auto" w:fill="auto"/>
            <w:noWrap/>
            <w:vAlign w:val="bottom"/>
            <w:hideMark/>
          </w:tcPr>
          <w:p w:rsidR="007C3093" w:rsidRPr="00F567B9"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329</w:t>
            </w:r>
          </w:p>
        </w:tc>
      </w:tr>
      <w:tr w:rsidR="007C3093" w:rsidRPr="00F567B9" w:rsidTr="007C3093">
        <w:trPr>
          <w:trHeight w:val="315"/>
        </w:trPr>
        <w:tc>
          <w:tcPr>
            <w:tcW w:w="2740" w:type="dxa"/>
            <w:tcBorders>
              <w:top w:val="nil"/>
              <w:left w:val="nil"/>
              <w:bottom w:val="nil"/>
              <w:right w:val="nil"/>
            </w:tcBorders>
            <w:shd w:val="clear" w:color="auto" w:fill="auto"/>
            <w:noWrap/>
            <w:vAlign w:val="bottom"/>
            <w:hideMark/>
          </w:tcPr>
          <w:p w:rsidR="007C3093" w:rsidRPr="00F567B9" w:rsidRDefault="007C3093"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Investment</w:t>
            </w:r>
          </w:p>
        </w:tc>
        <w:tc>
          <w:tcPr>
            <w:tcW w:w="880" w:type="dxa"/>
            <w:tcBorders>
              <w:top w:val="nil"/>
              <w:left w:val="nil"/>
              <w:bottom w:val="nil"/>
              <w:right w:val="nil"/>
            </w:tcBorders>
            <w:shd w:val="clear" w:color="auto" w:fill="auto"/>
            <w:noWrap/>
            <w:vAlign w:val="bottom"/>
            <w:hideMark/>
          </w:tcPr>
          <w:p w:rsidR="007C3093" w:rsidRPr="00F567B9"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-25</w:t>
            </w:r>
          </w:p>
        </w:tc>
        <w:tc>
          <w:tcPr>
            <w:tcW w:w="880" w:type="dxa"/>
            <w:tcBorders>
              <w:top w:val="nil"/>
              <w:left w:val="nil"/>
              <w:bottom w:val="nil"/>
              <w:right w:val="nil"/>
            </w:tcBorders>
            <w:shd w:val="clear" w:color="auto" w:fill="auto"/>
            <w:noWrap/>
            <w:vAlign w:val="bottom"/>
            <w:hideMark/>
          </w:tcPr>
          <w:p w:rsidR="007C3093" w:rsidRPr="00F567B9"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-5</w:t>
            </w:r>
          </w:p>
        </w:tc>
      </w:tr>
      <w:tr w:rsidR="007C3093" w:rsidRPr="00F567B9" w:rsidTr="007C3093">
        <w:trPr>
          <w:trHeight w:val="315"/>
        </w:trPr>
        <w:tc>
          <w:tcPr>
            <w:tcW w:w="2740" w:type="dxa"/>
            <w:tcBorders>
              <w:top w:val="nil"/>
              <w:left w:val="nil"/>
              <w:bottom w:val="nil"/>
              <w:right w:val="nil"/>
            </w:tcBorders>
            <w:shd w:val="clear" w:color="auto" w:fill="auto"/>
            <w:noWrap/>
            <w:vAlign w:val="bottom"/>
            <w:hideMark/>
          </w:tcPr>
          <w:p w:rsidR="007C3093" w:rsidRPr="00F567B9" w:rsidRDefault="007C3093"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Net borrowing</w:t>
            </w:r>
          </w:p>
        </w:tc>
        <w:tc>
          <w:tcPr>
            <w:tcW w:w="880" w:type="dxa"/>
            <w:tcBorders>
              <w:top w:val="nil"/>
              <w:left w:val="nil"/>
              <w:bottom w:val="nil"/>
              <w:right w:val="nil"/>
            </w:tcBorders>
            <w:shd w:val="clear" w:color="auto" w:fill="auto"/>
            <w:noWrap/>
            <w:vAlign w:val="bottom"/>
            <w:hideMark/>
          </w:tcPr>
          <w:p w:rsidR="007C3093" w:rsidRPr="00F567B9"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-21</w:t>
            </w:r>
          </w:p>
        </w:tc>
        <w:tc>
          <w:tcPr>
            <w:tcW w:w="880" w:type="dxa"/>
            <w:tcBorders>
              <w:top w:val="nil"/>
              <w:left w:val="nil"/>
              <w:bottom w:val="nil"/>
              <w:right w:val="nil"/>
            </w:tcBorders>
            <w:shd w:val="clear" w:color="auto" w:fill="auto"/>
            <w:noWrap/>
            <w:vAlign w:val="bottom"/>
            <w:hideMark/>
          </w:tcPr>
          <w:p w:rsidR="007C3093" w:rsidRPr="00F567B9"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-4</w:t>
            </w:r>
          </w:p>
        </w:tc>
      </w:tr>
      <w:tr w:rsidR="007C3093" w:rsidRPr="00F567B9" w:rsidTr="007C3093">
        <w:trPr>
          <w:trHeight w:val="315"/>
        </w:trPr>
        <w:tc>
          <w:tcPr>
            <w:tcW w:w="2740" w:type="dxa"/>
            <w:tcBorders>
              <w:top w:val="nil"/>
              <w:left w:val="nil"/>
              <w:bottom w:val="nil"/>
              <w:right w:val="nil"/>
            </w:tcBorders>
            <w:shd w:val="clear" w:color="auto" w:fill="auto"/>
            <w:noWrap/>
            <w:vAlign w:val="bottom"/>
            <w:hideMark/>
          </w:tcPr>
          <w:p w:rsidR="007C3093" w:rsidRPr="00F567B9" w:rsidRDefault="007C3093"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Revenue</w:t>
            </w:r>
          </w:p>
        </w:tc>
        <w:tc>
          <w:tcPr>
            <w:tcW w:w="880" w:type="dxa"/>
            <w:tcBorders>
              <w:top w:val="nil"/>
              <w:left w:val="nil"/>
              <w:bottom w:val="nil"/>
              <w:right w:val="nil"/>
            </w:tcBorders>
            <w:shd w:val="clear" w:color="auto" w:fill="auto"/>
            <w:noWrap/>
            <w:vAlign w:val="bottom"/>
            <w:hideMark/>
          </w:tcPr>
          <w:p w:rsidR="007C3093" w:rsidRPr="00F567B9"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 xml:space="preserve"> 43</w:t>
            </w:r>
          </w:p>
        </w:tc>
        <w:tc>
          <w:tcPr>
            <w:tcW w:w="880" w:type="dxa"/>
            <w:tcBorders>
              <w:top w:val="nil"/>
              <w:left w:val="nil"/>
              <w:bottom w:val="nil"/>
              <w:right w:val="nil"/>
            </w:tcBorders>
            <w:shd w:val="clear" w:color="auto" w:fill="auto"/>
            <w:noWrap/>
            <w:vAlign w:val="bottom"/>
            <w:hideMark/>
          </w:tcPr>
          <w:p w:rsidR="007C3093" w:rsidRPr="00F567B9"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9</w:t>
            </w:r>
          </w:p>
        </w:tc>
      </w:tr>
      <w:tr w:rsidR="007C3093" w:rsidRPr="00F567B9" w:rsidTr="007C3093">
        <w:trPr>
          <w:trHeight w:val="315"/>
        </w:trPr>
        <w:tc>
          <w:tcPr>
            <w:tcW w:w="2740" w:type="dxa"/>
            <w:tcBorders>
              <w:top w:val="nil"/>
              <w:left w:val="nil"/>
              <w:bottom w:val="nil"/>
              <w:right w:val="nil"/>
            </w:tcBorders>
            <w:shd w:val="clear" w:color="auto" w:fill="auto"/>
            <w:noWrap/>
            <w:vAlign w:val="bottom"/>
            <w:hideMark/>
          </w:tcPr>
          <w:p w:rsidR="007C3093" w:rsidRPr="00F567B9" w:rsidRDefault="007C3093" w:rsidP="007C3093">
            <w:pPr>
              <w:tabs>
                <w:tab w:val="clear" w:pos="567"/>
              </w:tabs>
              <w:spacing w:after="0" w:line="240" w:lineRule="auto"/>
              <w:ind w:firstLineChars="100" w:firstLine="200"/>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Commonwealth payments</w:t>
            </w:r>
          </w:p>
        </w:tc>
        <w:tc>
          <w:tcPr>
            <w:tcW w:w="880" w:type="dxa"/>
            <w:tcBorders>
              <w:top w:val="nil"/>
              <w:left w:val="nil"/>
              <w:bottom w:val="single" w:sz="4" w:space="0" w:color="auto"/>
              <w:right w:val="nil"/>
            </w:tcBorders>
            <w:shd w:val="clear" w:color="auto" w:fill="auto"/>
            <w:noWrap/>
            <w:vAlign w:val="bottom"/>
            <w:hideMark/>
          </w:tcPr>
          <w:p w:rsidR="007C3093" w:rsidRPr="00F567B9"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-74</w:t>
            </w:r>
          </w:p>
        </w:tc>
        <w:tc>
          <w:tcPr>
            <w:tcW w:w="880" w:type="dxa"/>
            <w:tcBorders>
              <w:top w:val="nil"/>
              <w:left w:val="nil"/>
              <w:bottom w:val="single" w:sz="4" w:space="0" w:color="auto"/>
              <w:right w:val="nil"/>
            </w:tcBorders>
            <w:shd w:val="clear" w:color="auto" w:fill="auto"/>
            <w:noWrap/>
            <w:vAlign w:val="bottom"/>
            <w:hideMark/>
          </w:tcPr>
          <w:p w:rsidR="007C3093" w:rsidRPr="00F567B9"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-15</w:t>
            </w:r>
          </w:p>
        </w:tc>
      </w:tr>
      <w:tr w:rsidR="007C3093" w:rsidRPr="00F567B9" w:rsidTr="007C3093">
        <w:trPr>
          <w:trHeight w:val="315"/>
        </w:trPr>
        <w:tc>
          <w:tcPr>
            <w:tcW w:w="2740" w:type="dxa"/>
            <w:tcBorders>
              <w:top w:val="nil"/>
              <w:left w:val="nil"/>
              <w:bottom w:val="single" w:sz="4" w:space="0" w:color="auto"/>
              <w:right w:val="nil"/>
            </w:tcBorders>
            <w:shd w:val="clear" w:color="auto" w:fill="auto"/>
            <w:noWrap/>
            <w:vAlign w:val="bottom"/>
            <w:hideMark/>
          </w:tcPr>
          <w:p w:rsidR="007C3093" w:rsidRPr="00F567B9" w:rsidRDefault="007C3093" w:rsidP="007C3093">
            <w:pPr>
              <w:tabs>
                <w:tab w:val="clear" w:pos="567"/>
              </w:tabs>
              <w:spacing w:after="0" w:line="240" w:lineRule="auto"/>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Assessed GST</w:t>
            </w:r>
          </w:p>
        </w:tc>
        <w:tc>
          <w:tcPr>
            <w:tcW w:w="880" w:type="dxa"/>
            <w:tcBorders>
              <w:top w:val="nil"/>
              <w:left w:val="nil"/>
              <w:bottom w:val="single" w:sz="4" w:space="0" w:color="auto"/>
              <w:right w:val="nil"/>
            </w:tcBorders>
            <w:shd w:val="clear" w:color="auto" w:fill="auto"/>
            <w:noWrap/>
            <w:vAlign w:val="bottom"/>
            <w:hideMark/>
          </w:tcPr>
          <w:p w:rsidR="007C3093" w:rsidRPr="00F567B9"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13 046</w:t>
            </w:r>
          </w:p>
        </w:tc>
        <w:tc>
          <w:tcPr>
            <w:tcW w:w="880" w:type="dxa"/>
            <w:tcBorders>
              <w:top w:val="nil"/>
              <w:left w:val="nil"/>
              <w:bottom w:val="single" w:sz="4" w:space="0" w:color="auto"/>
              <w:right w:val="nil"/>
            </w:tcBorders>
            <w:shd w:val="clear" w:color="auto" w:fill="auto"/>
            <w:noWrap/>
            <w:vAlign w:val="bottom"/>
            <w:hideMark/>
          </w:tcPr>
          <w:p w:rsidR="007C3093" w:rsidRPr="00F567B9" w:rsidRDefault="007C3093" w:rsidP="007C3093">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2 682</w:t>
            </w:r>
          </w:p>
        </w:tc>
      </w:tr>
    </w:tbl>
    <w:p w:rsidR="00A004DA" w:rsidRPr="00F567B9" w:rsidRDefault="00A004DA" w:rsidP="00A004DA">
      <w:pPr>
        <w:pStyle w:val="CGCTableStub"/>
      </w:pPr>
      <w:r w:rsidRPr="00F567B9">
        <w:t>Note: The table may not add due to rounding.</w:t>
      </w:r>
    </w:p>
    <w:p w:rsidR="00A004DA" w:rsidRPr="00F567B9" w:rsidRDefault="00A004DA" w:rsidP="00A004DA">
      <w:pPr>
        <w:pStyle w:val="CGCTableHeading"/>
        <w:spacing w:before="0" w:after="0"/>
      </w:pPr>
      <w:r w:rsidRPr="00F567B9">
        <w:t xml:space="preserve">Table </w:t>
      </w:r>
      <w:fldSimple w:instr=" SEQ Table \* ARABIC ">
        <w:r w:rsidR="003A5DEE">
          <w:rPr>
            <w:noProof/>
          </w:rPr>
          <w:t>13</w:t>
        </w:r>
      </w:fldSimple>
      <w:r w:rsidRPr="00F567B9">
        <w:tab/>
        <w:t>Changes in GST</w:t>
      </w:r>
    </w:p>
    <w:tbl>
      <w:tblPr>
        <w:tblW w:w="4500" w:type="dxa"/>
        <w:tblInd w:w="93" w:type="dxa"/>
        <w:tblLook w:val="04A0" w:firstRow="1" w:lastRow="0" w:firstColumn="1" w:lastColumn="0" w:noHBand="0" w:noVBand="1"/>
      </w:tblPr>
      <w:tblGrid>
        <w:gridCol w:w="2740"/>
        <w:gridCol w:w="880"/>
        <w:gridCol w:w="880"/>
      </w:tblGrid>
      <w:tr w:rsidR="00807CAA" w:rsidRPr="00F567B9" w:rsidTr="00807CAA">
        <w:trPr>
          <w:trHeight w:val="315"/>
        </w:trPr>
        <w:tc>
          <w:tcPr>
            <w:tcW w:w="2740" w:type="dxa"/>
            <w:tcBorders>
              <w:top w:val="single" w:sz="4" w:space="0" w:color="auto"/>
              <w:left w:val="nil"/>
              <w:bottom w:val="single" w:sz="4" w:space="0" w:color="auto"/>
              <w:right w:val="nil"/>
            </w:tcBorders>
            <w:shd w:val="clear" w:color="auto" w:fill="auto"/>
            <w:noWrap/>
            <w:vAlign w:val="center"/>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 </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$m</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$pc</w:t>
            </w:r>
          </w:p>
        </w:tc>
      </w:tr>
      <w:tr w:rsidR="00807CAA" w:rsidRPr="00F567B9" w:rsidTr="00807CAA">
        <w:trPr>
          <w:trHeight w:val="315"/>
        </w:trPr>
        <w:tc>
          <w:tcPr>
            <w:tcW w:w="274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Change due to</w:t>
            </w:r>
            <w:r w:rsidR="00F02ECB" w:rsidRPr="00F567B9">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rPr>
                <w:rFonts w:ascii="Calibri" w:eastAsia="Times New Roman" w:hAnsi="Calibri" w:cs="Times New Roman"/>
                <w:sz w:val="20"/>
                <w:szCs w:val="20"/>
                <w:lang w:eastAsia="en-AU"/>
              </w:rPr>
            </w:pPr>
          </w:p>
        </w:tc>
      </w:tr>
      <w:tr w:rsidR="00807CAA" w:rsidRPr="00F567B9" w:rsidTr="00807CAA">
        <w:trPr>
          <w:trHeight w:val="315"/>
        </w:trPr>
        <w:tc>
          <w:tcPr>
            <w:tcW w:w="274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New population</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24</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5</w:t>
            </w:r>
          </w:p>
        </w:tc>
      </w:tr>
      <w:tr w:rsidR="00807CAA" w:rsidRPr="00F567B9" w:rsidTr="00807CAA">
        <w:trPr>
          <w:trHeight w:val="315"/>
        </w:trPr>
        <w:tc>
          <w:tcPr>
            <w:tcW w:w="274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Growth in GST available</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 xml:space="preserve"> 762</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157</w:t>
            </w:r>
          </w:p>
        </w:tc>
      </w:tr>
      <w:tr w:rsidR="00807CAA" w:rsidRPr="00F567B9" w:rsidTr="00807CAA">
        <w:trPr>
          <w:trHeight w:val="315"/>
        </w:trPr>
        <w:tc>
          <w:tcPr>
            <w:tcW w:w="274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New relativities</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556</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114</w:t>
            </w:r>
          </w:p>
        </w:tc>
      </w:tr>
      <w:tr w:rsidR="008030E8" w:rsidRPr="00F567B9" w:rsidTr="00807CAA">
        <w:trPr>
          <w:trHeight w:val="315"/>
        </w:trPr>
        <w:tc>
          <w:tcPr>
            <w:tcW w:w="2740" w:type="dxa"/>
            <w:tcBorders>
              <w:top w:val="nil"/>
              <w:left w:val="nil"/>
              <w:bottom w:val="nil"/>
              <w:right w:val="nil"/>
            </w:tcBorders>
            <w:shd w:val="clear" w:color="auto" w:fill="auto"/>
            <w:noWrap/>
            <w:vAlign w:val="bottom"/>
            <w:hideMark/>
          </w:tcPr>
          <w:p w:rsidR="008030E8" w:rsidRPr="00F567B9" w:rsidRDefault="008030E8"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Revised data</w:t>
            </w:r>
          </w:p>
        </w:tc>
        <w:tc>
          <w:tcPr>
            <w:tcW w:w="880" w:type="dxa"/>
            <w:tcBorders>
              <w:top w:val="nil"/>
              <w:left w:val="nil"/>
              <w:bottom w:val="nil"/>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-45</w:t>
            </w:r>
          </w:p>
        </w:tc>
        <w:tc>
          <w:tcPr>
            <w:tcW w:w="880" w:type="dxa"/>
            <w:tcBorders>
              <w:top w:val="nil"/>
              <w:left w:val="nil"/>
              <w:bottom w:val="nil"/>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-9</w:t>
            </w:r>
          </w:p>
        </w:tc>
      </w:tr>
      <w:tr w:rsidR="008030E8" w:rsidRPr="00F567B9" w:rsidTr="00807CAA">
        <w:trPr>
          <w:trHeight w:val="315"/>
        </w:trPr>
        <w:tc>
          <w:tcPr>
            <w:tcW w:w="2740" w:type="dxa"/>
            <w:tcBorders>
              <w:top w:val="nil"/>
              <w:left w:val="nil"/>
              <w:bottom w:val="nil"/>
              <w:right w:val="nil"/>
            </w:tcBorders>
            <w:shd w:val="clear" w:color="auto" w:fill="auto"/>
            <w:noWrap/>
            <w:vAlign w:val="bottom"/>
            <w:hideMark/>
          </w:tcPr>
          <w:p w:rsidR="008030E8" w:rsidRPr="00F567B9" w:rsidRDefault="008030E8"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Method changes</w:t>
            </w:r>
          </w:p>
        </w:tc>
        <w:tc>
          <w:tcPr>
            <w:tcW w:w="880" w:type="dxa"/>
            <w:tcBorders>
              <w:top w:val="nil"/>
              <w:left w:val="nil"/>
              <w:bottom w:val="nil"/>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-186</w:t>
            </w:r>
          </w:p>
        </w:tc>
        <w:tc>
          <w:tcPr>
            <w:tcW w:w="880" w:type="dxa"/>
            <w:tcBorders>
              <w:top w:val="nil"/>
              <w:left w:val="nil"/>
              <w:bottom w:val="nil"/>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-38</w:t>
            </w:r>
          </w:p>
        </w:tc>
      </w:tr>
      <w:tr w:rsidR="008030E8" w:rsidRPr="00F567B9" w:rsidTr="00807CAA">
        <w:trPr>
          <w:trHeight w:val="315"/>
        </w:trPr>
        <w:tc>
          <w:tcPr>
            <w:tcW w:w="2740" w:type="dxa"/>
            <w:tcBorders>
              <w:top w:val="nil"/>
              <w:left w:val="nil"/>
              <w:bottom w:val="nil"/>
              <w:right w:val="nil"/>
            </w:tcBorders>
            <w:shd w:val="clear" w:color="auto" w:fill="auto"/>
            <w:noWrap/>
            <w:vAlign w:val="bottom"/>
            <w:hideMark/>
          </w:tcPr>
          <w:p w:rsidR="008030E8" w:rsidRPr="00F567B9" w:rsidRDefault="008030E8"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New circumstances</w:t>
            </w:r>
          </w:p>
        </w:tc>
        <w:tc>
          <w:tcPr>
            <w:tcW w:w="880" w:type="dxa"/>
            <w:tcBorders>
              <w:top w:val="nil"/>
              <w:left w:val="nil"/>
              <w:bottom w:val="single" w:sz="4" w:space="0" w:color="auto"/>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787</w:t>
            </w:r>
          </w:p>
        </w:tc>
        <w:tc>
          <w:tcPr>
            <w:tcW w:w="880" w:type="dxa"/>
            <w:tcBorders>
              <w:top w:val="nil"/>
              <w:left w:val="nil"/>
              <w:bottom w:val="single" w:sz="4" w:space="0" w:color="auto"/>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162</w:t>
            </w:r>
          </w:p>
        </w:tc>
      </w:tr>
      <w:tr w:rsidR="00807CAA" w:rsidRPr="00F567B9" w:rsidTr="00807CAA">
        <w:trPr>
          <w:trHeight w:val="315"/>
        </w:trPr>
        <w:tc>
          <w:tcPr>
            <w:tcW w:w="2740" w:type="dxa"/>
            <w:tcBorders>
              <w:top w:val="nil"/>
              <w:left w:val="nil"/>
              <w:bottom w:val="single" w:sz="4" w:space="0" w:color="auto"/>
              <w:right w:val="nil"/>
            </w:tcBorders>
            <w:shd w:val="clear" w:color="auto" w:fill="auto"/>
            <w:noWrap/>
            <w:vAlign w:val="bottom"/>
            <w:hideMark/>
          </w:tcPr>
          <w:p w:rsidR="00807CAA" w:rsidRPr="00F567B9" w:rsidRDefault="00807CAA" w:rsidP="00807CAA">
            <w:pPr>
              <w:tabs>
                <w:tab w:val="clear" w:pos="567"/>
              </w:tabs>
              <w:spacing w:after="0" w:line="240" w:lineRule="auto"/>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Total change</w:t>
            </w:r>
          </w:p>
        </w:tc>
        <w:tc>
          <w:tcPr>
            <w:tcW w:w="880" w:type="dxa"/>
            <w:tcBorders>
              <w:top w:val="nil"/>
              <w:left w:val="nil"/>
              <w:bottom w:val="single" w:sz="4" w:space="0" w:color="auto"/>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1 342</w:t>
            </w:r>
          </w:p>
        </w:tc>
        <w:tc>
          <w:tcPr>
            <w:tcW w:w="880" w:type="dxa"/>
            <w:tcBorders>
              <w:top w:val="nil"/>
              <w:left w:val="nil"/>
              <w:bottom w:val="single" w:sz="4" w:space="0" w:color="auto"/>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276</w:t>
            </w:r>
          </w:p>
        </w:tc>
      </w:tr>
    </w:tbl>
    <w:p w:rsidR="00A004DA" w:rsidRPr="00F567B9" w:rsidRDefault="00A004DA" w:rsidP="00A004DA">
      <w:pPr>
        <w:pStyle w:val="NoSpacing"/>
      </w:pPr>
    </w:p>
    <w:p w:rsidR="00A004DA" w:rsidRPr="00F567B9" w:rsidRDefault="00A004DA" w:rsidP="00A004DA">
      <w:pPr>
        <w:tabs>
          <w:tab w:val="clear" w:pos="567"/>
        </w:tabs>
        <w:spacing w:after="200" w:line="276" w:lineRule="auto"/>
        <w:rPr>
          <w:rFonts w:cs="Arial"/>
        </w:rPr>
        <w:sectPr w:rsidR="00A004DA" w:rsidRPr="00F567B9" w:rsidSect="00C71EF0">
          <w:type w:val="continuous"/>
          <w:pgSz w:w="11899" w:h="16838" w:code="9"/>
          <w:pgMar w:top="1701" w:right="1474" w:bottom="1701" w:left="1474" w:header="709" w:footer="709" w:gutter="0"/>
          <w:cols w:num="2" w:space="293"/>
          <w:docGrid w:linePitch="299"/>
        </w:sectPr>
      </w:pPr>
    </w:p>
    <w:p w:rsidR="00A004DA" w:rsidRPr="00F567B9" w:rsidRDefault="00A004DA" w:rsidP="00A004DA">
      <w:pPr>
        <w:tabs>
          <w:tab w:val="clear" w:pos="567"/>
        </w:tabs>
        <w:spacing w:after="240" w:line="280" w:lineRule="atLeast"/>
        <w:rPr>
          <w:rFonts w:cs="Arial"/>
          <w:sz w:val="21"/>
          <w:szCs w:val="21"/>
        </w:rPr>
      </w:pPr>
      <w:r w:rsidRPr="00F567B9">
        <w:lastRenderedPageBreak/>
        <w:t xml:space="preserve">Compared with 2014-15, the State’s GST will rise by $1 </w:t>
      </w:r>
      <w:r w:rsidR="004E13C2" w:rsidRPr="00F567B9">
        <w:t>342</w:t>
      </w:r>
      <w:r w:rsidRPr="00F567B9">
        <w:t xml:space="preserve"> million or 1</w:t>
      </w:r>
      <w:r w:rsidR="004E13C2" w:rsidRPr="00F567B9">
        <w:t>1</w:t>
      </w:r>
      <w:r w:rsidRPr="00F567B9">
        <w:t>.5%. Its GST share will rise from 21.8% to 2</w:t>
      </w:r>
      <w:r w:rsidR="00807CAA" w:rsidRPr="00F567B9">
        <w:t>2.8</w:t>
      </w:r>
      <w:r w:rsidRPr="00F567B9">
        <w:t xml:space="preserve">%, primarily due to a fall in its mining </w:t>
      </w:r>
      <w:r w:rsidR="00532472" w:rsidRPr="00F567B9">
        <w:t xml:space="preserve">revenues </w:t>
      </w:r>
      <w:r w:rsidRPr="00F567B9">
        <w:t>and a substantial increase in its share of natural disaster relief net expenses.</w:t>
      </w:r>
    </w:p>
    <w:p w:rsidR="00A004DA" w:rsidRPr="00F567B9" w:rsidRDefault="00A004DA" w:rsidP="00A004DA">
      <w:pPr>
        <w:pStyle w:val="CGCTableHeading"/>
      </w:pPr>
      <w:r w:rsidRPr="00F567B9">
        <w:rPr>
          <w:bCs/>
        </w:rPr>
        <w:t xml:space="preserve">Table </w:t>
      </w:r>
      <w:r w:rsidRPr="00F567B9">
        <w:rPr>
          <w:bCs/>
        </w:rPr>
        <w:fldChar w:fldCharType="begin"/>
      </w:r>
      <w:r w:rsidRPr="00F567B9">
        <w:rPr>
          <w:bCs/>
        </w:rPr>
        <w:instrText xml:space="preserve"> SEQ Table \* ARABIC </w:instrText>
      </w:r>
      <w:r w:rsidRPr="00F567B9">
        <w:rPr>
          <w:bCs/>
        </w:rPr>
        <w:fldChar w:fldCharType="separate"/>
      </w:r>
      <w:r w:rsidR="003A5DEE">
        <w:rPr>
          <w:bCs/>
          <w:noProof/>
        </w:rPr>
        <w:t>14</w:t>
      </w:r>
      <w:r w:rsidRPr="00F567B9">
        <w:rPr>
          <w:bCs/>
        </w:rPr>
        <w:fldChar w:fldCharType="end"/>
      </w:r>
      <w:r w:rsidRPr="00F567B9">
        <w:rPr>
          <w:bCs/>
        </w:rPr>
        <w:tab/>
      </w:r>
      <w:r w:rsidR="004538F1">
        <w:t>Five largest changes</w:t>
      </w:r>
      <w:r w:rsidR="00CD1096">
        <w:t xml:space="preserve"> for Queensland</w:t>
      </w:r>
    </w:p>
    <w:tbl>
      <w:tblPr>
        <w:tblW w:w="5000" w:type="pct"/>
        <w:tblLayout w:type="fixed"/>
        <w:tblCellMar>
          <w:left w:w="0" w:type="dxa"/>
          <w:right w:w="0" w:type="dxa"/>
        </w:tblCellMar>
        <w:tblLook w:val="0000" w:firstRow="0" w:lastRow="0" w:firstColumn="0" w:lastColumn="0" w:noHBand="0" w:noVBand="0"/>
      </w:tblPr>
      <w:tblGrid>
        <w:gridCol w:w="1207"/>
        <w:gridCol w:w="7744"/>
      </w:tblGrid>
      <w:tr w:rsidR="00A004DA" w:rsidRPr="00F567B9" w:rsidTr="00C71EF0">
        <w:tc>
          <w:tcPr>
            <w:tcW w:w="674" w:type="pct"/>
            <w:tcBorders>
              <w:top w:val="single" w:sz="6" w:space="0" w:color="auto"/>
              <w:bottom w:val="single" w:sz="6" w:space="0" w:color="auto"/>
            </w:tcBorders>
          </w:tcPr>
          <w:p w:rsidR="00A004DA" w:rsidRPr="00F567B9" w:rsidRDefault="00A004DA" w:rsidP="00C71EF0">
            <w:pPr>
              <w:pStyle w:val="TableColHeadings"/>
              <w:ind w:left="193" w:hanging="142"/>
              <w:jc w:val="left"/>
              <w:rPr>
                <w:rFonts w:cstheme="minorHAnsi"/>
              </w:rPr>
            </w:pPr>
            <w:r w:rsidRPr="00F567B9">
              <w:rPr>
                <w:rFonts w:cstheme="minorHAnsi"/>
              </w:rPr>
              <w:t>Change ($m)</w:t>
            </w:r>
          </w:p>
        </w:tc>
        <w:tc>
          <w:tcPr>
            <w:tcW w:w="4326" w:type="pct"/>
            <w:tcBorders>
              <w:top w:val="single" w:sz="6" w:space="0" w:color="auto"/>
              <w:bottom w:val="single" w:sz="6" w:space="0" w:color="auto"/>
            </w:tcBorders>
            <w:vAlign w:val="center"/>
          </w:tcPr>
          <w:p w:rsidR="00A004DA" w:rsidRPr="00F567B9" w:rsidRDefault="00A004DA" w:rsidP="00C71EF0">
            <w:pPr>
              <w:pStyle w:val="TableColHeadings"/>
              <w:ind w:left="193" w:hanging="142"/>
              <w:jc w:val="left"/>
              <w:rPr>
                <w:rFonts w:cstheme="minorHAnsi"/>
              </w:rPr>
            </w:pPr>
            <w:r w:rsidRPr="00F567B9">
              <w:rPr>
                <w:rFonts w:cstheme="minorHAnsi"/>
              </w:rPr>
              <w:t>Reason for change</w:t>
            </w:r>
          </w:p>
        </w:tc>
      </w:tr>
      <w:tr w:rsidR="00A004DA" w:rsidRPr="00F567B9" w:rsidTr="00C71EF0">
        <w:tc>
          <w:tcPr>
            <w:tcW w:w="5000" w:type="pct"/>
            <w:gridSpan w:val="2"/>
          </w:tcPr>
          <w:p w:rsidR="00A004DA" w:rsidRPr="00F567B9" w:rsidRDefault="00A004DA" w:rsidP="00C71EF0">
            <w:pPr>
              <w:pStyle w:val="TableRowNormal"/>
              <w:ind w:left="193" w:hanging="142"/>
              <w:jc w:val="left"/>
              <w:rPr>
                <w:rFonts w:cstheme="minorHAnsi"/>
                <w:b/>
              </w:rPr>
            </w:pPr>
            <w:r w:rsidRPr="00F567B9">
              <w:rPr>
                <w:rFonts w:cs="Arial"/>
                <w:b/>
              </w:rPr>
              <w:t>Changes in methods</w:t>
            </w:r>
          </w:p>
        </w:tc>
      </w:tr>
      <w:tr w:rsidR="00A004DA" w:rsidRPr="00F567B9" w:rsidTr="00C71EF0">
        <w:trPr>
          <w:trHeight w:val="286"/>
        </w:trPr>
        <w:tc>
          <w:tcPr>
            <w:tcW w:w="674" w:type="pct"/>
          </w:tcPr>
          <w:p w:rsidR="00A004DA" w:rsidRPr="00F567B9" w:rsidRDefault="00A004DA" w:rsidP="00B861CC">
            <w:pPr>
              <w:pStyle w:val="CGCTableStub"/>
              <w:tabs>
                <w:tab w:val="clear" w:pos="284"/>
                <w:tab w:val="left" w:pos="425"/>
                <w:tab w:val="left" w:pos="709"/>
                <w:tab w:val="left" w:pos="851"/>
              </w:tabs>
              <w:spacing w:before="0" w:after="0"/>
              <w:ind w:left="142"/>
              <w:rPr>
                <w:rFonts w:cs="Arial"/>
              </w:rPr>
            </w:pPr>
            <w:r w:rsidRPr="00F567B9">
              <w:rPr>
                <w:rFonts w:cs="Arial"/>
              </w:rPr>
              <w:t>-</w:t>
            </w:r>
            <w:r w:rsidR="00B861CC" w:rsidRPr="00F567B9">
              <w:rPr>
                <w:rFonts w:cs="Arial"/>
              </w:rPr>
              <w:t>388</w:t>
            </w:r>
          </w:p>
        </w:tc>
        <w:tc>
          <w:tcPr>
            <w:tcW w:w="4326" w:type="pct"/>
          </w:tcPr>
          <w:p w:rsidR="00A004DA" w:rsidRPr="00F567B9" w:rsidRDefault="00DC452F" w:rsidP="00C71EF0">
            <w:pPr>
              <w:pStyle w:val="CGCTableStub"/>
              <w:tabs>
                <w:tab w:val="clear" w:pos="284"/>
                <w:tab w:val="left" w:pos="425"/>
                <w:tab w:val="left" w:pos="709"/>
                <w:tab w:val="left" w:pos="851"/>
              </w:tabs>
              <w:spacing w:before="0" w:after="0"/>
              <w:ind w:left="142"/>
              <w:rPr>
                <w:rFonts w:cs="Arial"/>
              </w:rPr>
            </w:pPr>
            <w:r w:rsidRPr="00F567B9">
              <w:rPr>
                <w:rFonts w:cs="Arial"/>
                <w:b/>
              </w:rPr>
              <w:t>Capital</w:t>
            </w:r>
            <w:r w:rsidR="00A004DA" w:rsidRPr="00F567B9">
              <w:rPr>
                <w:rFonts w:cs="Arial"/>
                <w:b/>
              </w:rPr>
              <w:t>.</w:t>
            </w:r>
            <w:r w:rsidR="00A004DA" w:rsidRPr="00F567B9">
              <w:rPr>
                <w:rFonts w:cs="Arial"/>
              </w:rPr>
              <w:t xml:space="preserve"> Recognising the impact of city size and urban population growth on the need for urban transport infrastructure reduced Queensland’s GST</w:t>
            </w:r>
            <w:r w:rsidR="00006A5C">
              <w:rPr>
                <w:rFonts w:cs="Arial"/>
              </w:rPr>
              <w:t xml:space="preserve"> revenue</w:t>
            </w:r>
            <w:r w:rsidR="00A004DA" w:rsidRPr="00F567B9">
              <w:rPr>
                <w:rFonts w:cs="Arial"/>
              </w:rPr>
              <w:t>.</w:t>
            </w:r>
          </w:p>
        </w:tc>
      </w:tr>
      <w:tr w:rsidR="00A004DA" w:rsidRPr="00F567B9" w:rsidTr="00C71EF0">
        <w:tc>
          <w:tcPr>
            <w:tcW w:w="674" w:type="pct"/>
          </w:tcPr>
          <w:p w:rsidR="00A004DA" w:rsidRPr="00F567B9" w:rsidRDefault="00A004DA" w:rsidP="00B861CC">
            <w:pPr>
              <w:pStyle w:val="CGCTableStub"/>
              <w:tabs>
                <w:tab w:val="clear" w:pos="284"/>
                <w:tab w:val="left" w:pos="425"/>
                <w:tab w:val="left" w:pos="709"/>
                <w:tab w:val="left" w:pos="851"/>
              </w:tabs>
              <w:spacing w:before="0" w:after="0"/>
              <w:ind w:left="142"/>
              <w:rPr>
                <w:rFonts w:cs="Arial"/>
              </w:rPr>
            </w:pPr>
            <w:r w:rsidRPr="00F567B9">
              <w:rPr>
                <w:rFonts w:cs="Arial"/>
              </w:rPr>
              <w:t>15</w:t>
            </w:r>
            <w:r w:rsidR="00B861CC" w:rsidRPr="00F567B9">
              <w:rPr>
                <w:rFonts w:cs="Arial"/>
              </w:rPr>
              <w:t>4</w:t>
            </w:r>
          </w:p>
        </w:tc>
        <w:tc>
          <w:tcPr>
            <w:tcW w:w="4326" w:type="pct"/>
          </w:tcPr>
          <w:p w:rsidR="00A004DA" w:rsidRPr="00F567B9" w:rsidRDefault="00A004DA" w:rsidP="00C93A21">
            <w:pPr>
              <w:pStyle w:val="CGCTableStub"/>
              <w:tabs>
                <w:tab w:val="clear" w:pos="284"/>
                <w:tab w:val="left" w:pos="425"/>
                <w:tab w:val="left" w:pos="709"/>
                <w:tab w:val="left" w:pos="851"/>
              </w:tabs>
              <w:spacing w:before="0" w:after="0"/>
              <w:ind w:left="142"/>
              <w:rPr>
                <w:rFonts w:cs="Arial"/>
              </w:rPr>
            </w:pPr>
            <w:r w:rsidRPr="00F567B9">
              <w:rPr>
                <w:rFonts w:cs="Arial"/>
                <w:b/>
              </w:rPr>
              <w:t>Mining.</w:t>
            </w:r>
            <w:r w:rsidRPr="00F567B9">
              <w:rPr>
                <w:rFonts w:cs="Arial"/>
              </w:rPr>
              <w:t xml:space="preserve"> </w:t>
            </w:r>
            <w:r w:rsidR="0014434E" w:rsidRPr="00F567B9">
              <w:rPr>
                <w:rFonts w:cs="Arial"/>
              </w:rPr>
              <w:t xml:space="preserve">The </w:t>
            </w:r>
            <w:r w:rsidR="0014434E">
              <w:rPr>
                <w:rFonts w:cs="Arial"/>
              </w:rPr>
              <w:t>removal of the p</w:t>
            </w:r>
            <w:r w:rsidR="00592B19" w:rsidRPr="00F567B9">
              <w:rPr>
                <w:rFonts w:cs="Arial"/>
              </w:rPr>
              <w:t>revious restrictions in terms of reference on the assessment of iron ore fines</w:t>
            </w:r>
            <w:r w:rsidR="0014434E">
              <w:rPr>
                <w:rFonts w:cs="Arial"/>
              </w:rPr>
              <w:t xml:space="preserve"> lowers its relative capacity and increases it</w:t>
            </w:r>
            <w:r w:rsidR="00006A5C">
              <w:rPr>
                <w:rFonts w:cs="Arial"/>
              </w:rPr>
              <w:t>s GST revenue</w:t>
            </w:r>
            <w:r w:rsidR="00592B19" w:rsidRPr="00F567B9">
              <w:rPr>
                <w:rFonts w:cs="Arial"/>
              </w:rPr>
              <w:t>.</w:t>
            </w:r>
          </w:p>
        </w:tc>
      </w:tr>
      <w:tr w:rsidR="00A004DA" w:rsidRPr="00F567B9" w:rsidTr="00C71EF0">
        <w:tc>
          <w:tcPr>
            <w:tcW w:w="674" w:type="pct"/>
          </w:tcPr>
          <w:p w:rsidR="00A004DA" w:rsidRPr="00F567B9" w:rsidRDefault="00A004DA" w:rsidP="00C71EF0">
            <w:pPr>
              <w:pStyle w:val="CGCTableStub"/>
              <w:tabs>
                <w:tab w:val="clear" w:pos="284"/>
                <w:tab w:val="left" w:pos="425"/>
                <w:tab w:val="left" w:pos="709"/>
                <w:tab w:val="left" w:pos="851"/>
              </w:tabs>
              <w:spacing w:before="0" w:after="0"/>
              <w:ind w:left="142"/>
              <w:rPr>
                <w:rFonts w:cs="Arial"/>
              </w:rPr>
            </w:pPr>
            <w:r w:rsidRPr="00F567B9">
              <w:rPr>
                <w:rFonts w:cs="Arial"/>
              </w:rPr>
              <w:t>-114</w:t>
            </w:r>
          </w:p>
        </w:tc>
        <w:tc>
          <w:tcPr>
            <w:tcW w:w="4326" w:type="pct"/>
          </w:tcPr>
          <w:p w:rsidR="00A004DA" w:rsidRPr="00F567B9" w:rsidRDefault="00A004DA" w:rsidP="004322AC">
            <w:pPr>
              <w:pStyle w:val="CGCTableStub"/>
              <w:tabs>
                <w:tab w:val="clear" w:pos="284"/>
                <w:tab w:val="left" w:pos="425"/>
                <w:tab w:val="left" w:pos="709"/>
                <w:tab w:val="left" w:pos="851"/>
              </w:tabs>
              <w:spacing w:before="0" w:after="0"/>
              <w:ind w:left="142"/>
              <w:rPr>
                <w:rFonts w:cs="Arial"/>
              </w:rPr>
            </w:pPr>
            <w:r w:rsidRPr="00F567B9">
              <w:rPr>
                <w:rFonts w:cs="Arial"/>
                <w:b/>
              </w:rPr>
              <w:t>Transport.</w:t>
            </w:r>
            <w:r w:rsidRPr="00F567B9">
              <w:rPr>
                <w:rFonts w:cs="Arial"/>
              </w:rPr>
              <w:t xml:space="preserve"> Queensland has below average needs for transport spending. The move</w:t>
            </w:r>
            <w:r w:rsidR="007A30DC" w:rsidRPr="00F567B9">
              <w:rPr>
                <w:rFonts w:cs="Arial"/>
              </w:rPr>
              <w:t xml:space="preserve"> to a more comprehensive assessment of transport expenses </w:t>
            </w:r>
            <w:r w:rsidR="004322AC" w:rsidRPr="00F567B9">
              <w:rPr>
                <w:rFonts w:cs="Arial"/>
              </w:rPr>
              <w:t>reduced</w:t>
            </w:r>
            <w:r w:rsidRPr="00F567B9">
              <w:rPr>
                <w:rFonts w:cs="Arial"/>
              </w:rPr>
              <w:t xml:space="preserve"> Queensland’s GST revenue.</w:t>
            </w:r>
          </w:p>
        </w:tc>
      </w:tr>
      <w:tr w:rsidR="00A004DA" w:rsidRPr="00F567B9" w:rsidTr="00C71EF0">
        <w:tc>
          <w:tcPr>
            <w:tcW w:w="5000" w:type="pct"/>
            <w:gridSpan w:val="2"/>
          </w:tcPr>
          <w:p w:rsidR="00A004DA" w:rsidRPr="00F567B9" w:rsidRDefault="00A004DA" w:rsidP="00C71EF0">
            <w:pPr>
              <w:pStyle w:val="TableRowNormal"/>
              <w:ind w:left="193" w:hanging="142"/>
              <w:jc w:val="left"/>
              <w:rPr>
                <w:rFonts w:cstheme="minorHAnsi"/>
              </w:rPr>
            </w:pPr>
            <w:r w:rsidRPr="00F567B9">
              <w:rPr>
                <w:rFonts w:cs="Arial"/>
                <w:b/>
              </w:rPr>
              <w:t>Changes in circumstances</w:t>
            </w:r>
          </w:p>
        </w:tc>
      </w:tr>
      <w:tr w:rsidR="00A004DA" w:rsidRPr="00F567B9" w:rsidTr="00C71EF0">
        <w:tc>
          <w:tcPr>
            <w:tcW w:w="674" w:type="pct"/>
          </w:tcPr>
          <w:p w:rsidR="00A004DA" w:rsidRPr="00F567B9" w:rsidRDefault="00A004DA" w:rsidP="00B861CC">
            <w:pPr>
              <w:pStyle w:val="CGCTableStub"/>
              <w:tabs>
                <w:tab w:val="clear" w:pos="284"/>
                <w:tab w:val="left" w:pos="425"/>
                <w:tab w:val="left" w:pos="709"/>
                <w:tab w:val="left" w:pos="851"/>
              </w:tabs>
              <w:spacing w:before="0" w:after="0"/>
              <w:ind w:left="142"/>
              <w:rPr>
                <w:rFonts w:cs="Arial"/>
              </w:rPr>
            </w:pPr>
            <w:r w:rsidRPr="00F567B9">
              <w:rPr>
                <w:rFonts w:cs="Arial"/>
              </w:rPr>
              <w:t>42</w:t>
            </w:r>
            <w:r w:rsidR="00B861CC" w:rsidRPr="00F567B9">
              <w:rPr>
                <w:rFonts w:cs="Arial"/>
              </w:rPr>
              <w:t>4</w:t>
            </w:r>
          </w:p>
        </w:tc>
        <w:tc>
          <w:tcPr>
            <w:tcW w:w="4326" w:type="pct"/>
            <w:vAlign w:val="bottom"/>
          </w:tcPr>
          <w:p w:rsidR="00A004DA" w:rsidRPr="00F567B9" w:rsidRDefault="00A004DA" w:rsidP="00C71EF0">
            <w:pPr>
              <w:pStyle w:val="CGCTableStub"/>
              <w:tabs>
                <w:tab w:val="clear" w:pos="284"/>
                <w:tab w:val="left" w:pos="425"/>
                <w:tab w:val="left" w:pos="709"/>
                <w:tab w:val="left" w:pos="851"/>
              </w:tabs>
              <w:spacing w:before="0" w:after="0"/>
              <w:ind w:left="142"/>
              <w:rPr>
                <w:rFonts w:cs="Arial"/>
              </w:rPr>
            </w:pPr>
            <w:r w:rsidRPr="00F567B9">
              <w:rPr>
                <w:rFonts w:cs="Arial"/>
                <w:b/>
              </w:rPr>
              <w:t>Other expenses.</w:t>
            </w:r>
            <w:r w:rsidRPr="00F567B9">
              <w:rPr>
                <w:rFonts w:cs="Arial"/>
              </w:rPr>
              <w:t xml:space="preserve"> Queensland experienced a large increase in net natural disaster relief expenses in 2013-14</w:t>
            </w:r>
            <w:r w:rsidR="00006A5C">
              <w:rPr>
                <w:rFonts w:cs="Arial"/>
              </w:rPr>
              <w:t>, thus increasing its GST revenue</w:t>
            </w:r>
            <w:r w:rsidRPr="00F567B9">
              <w:rPr>
                <w:rFonts w:cs="Arial"/>
              </w:rPr>
              <w:t>.</w:t>
            </w:r>
          </w:p>
        </w:tc>
      </w:tr>
      <w:tr w:rsidR="00A004DA" w:rsidRPr="00EC79CF" w:rsidTr="00C71EF0">
        <w:trPr>
          <w:trHeight w:val="397"/>
        </w:trPr>
        <w:tc>
          <w:tcPr>
            <w:tcW w:w="674" w:type="pct"/>
            <w:tcBorders>
              <w:bottom w:val="single" w:sz="4" w:space="0" w:color="auto"/>
            </w:tcBorders>
          </w:tcPr>
          <w:p w:rsidR="00A004DA" w:rsidRPr="00F567B9" w:rsidRDefault="00A004DA" w:rsidP="00B861CC">
            <w:pPr>
              <w:pStyle w:val="CGCTableStub"/>
              <w:tabs>
                <w:tab w:val="clear" w:pos="284"/>
                <w:tab w:val="left" w:pos="425"/>
                <w:tab w:val="left" w:pos="709"/>
                <w:tab w:val="left" w:pos="851"/>
              </w:tabs>
              <w:spacing w:before="0" w:after="0"/>
              <w:ind w:left="142"/>
              <w:rPr>
                <w:rFonts w:cs="Arial"/>
              </w:rPr>
            </w:pPr>
            <w:r w:rsidRPr="00F567B9">
              <w:rPr>
                <w:rFonts w:cs="Arial"/>
              </w:rPr>
              <w:t>28</w:t>
            </w:r>
            <w:r w:rsidR="00B861CC" w:rsidRPr="00F567B9">
              <w:rPr>
                <w:rFonts w:cs="Arial"/>
              </w:rPr>
              <w:t>2</w:t>
            </w:r>
          </w:p>
        </w:tc>
        <w:tc>
          <w:tcPr>
            <w:tcW w:w="4326" w:type="pct"/>
            <w:tcBorders>
              <w:bottom w:val="single" w:sz="4" w:space="0" w:color="auto"/>
            </w:tcBorders>
            <w:vAlign w:val="bottom"/>
          </w:tcPr>
          <w:p w:rsidR="00A004DA" w:rsidRPr="00EC79CF" w:rsidRDefault="00A004DA" w:rsidP="004C254D">
            <w:pPr>
              <w:pStyle w:val="CGCTableStub"/>
              <w:tabs>
                <w:tab w:val="clear" w:pos="284"/>
                <w:tab w:val="left" w:pos="425"/>
                <w:tab w:val="left" w:pos="709"/>
                <w:tab w:val="left" w:pos="851"/>
              </w:tabs>
              <w:spacing w:before="0" w:after="0"/>
              <w:ind w:left="142"/>
              <w:rPr>
                <w:rFonts w:cs="Arial"/>
              </w:rPr>
            </w:pPr>
            <w:r w:rsidRPr="00F567B9">
              <w:rPr>
                <w:rFonts w:cs="Arial"/>
                <w:b/>
              </w:rPr>
              <w:t>Mining.</w:t>
            </w:r>
            <w:r w:rsidRPr="00F567B9">
              <w:rPr>
                <w:rFonts w:cs="Arial"/>
              </w:rPr>
              <w:t xml:space="preserve"> Iron ore production in Western Australia has grown even further, reducing</w:t>
            </w:r>
            <w:r w:rsidR="007A30DC" w:rsidRPr="00F567B9">
              <w:rPr>
                <w:rFonts w:cs="Arial"/>
              </w:rPr>
              <w:t xml:space="preserve"> </w:t>
            </w:r>
            <w:r w:rsidRPr="00F567B9">
              <w:rPr>
                <w:rFonts w:cs="Arial"/>
              </w:rPr>
              <w:t xml:space="preserve">Queensland’s </w:t>
            </w:r>
            <w:r w:rsidR="007A30DC" w:rsidRPr="00F567B9">
              <w:rPr>
                <w:rFonts w:cs="Arial"/>
              </w:rPr>
              <w:t xml:space="preserve">assessed </w:t>
            </w:r>
            <w:r w:rsidRPr="00F567B9">
              <w:rPr>
                <w:rFonts w:cs="Arial"/>
              </w:rPr>
              <w:t>capacity</w:t>
            </w:r>
            <w:r w:rsidR="004C254D" w:rsidRPr="00F567B9">
              <w:rPr>
                <w:rFonts w:cs="Arial"/>
              </w:rPr>
              <w:t>, in relative terms</w:t>
            </w:r>
            <w:r w:rsidRPr="00F567B9">
              <w:rPr>
                <w:rFonts w:cs="Arial"/>
              </w:rPr>
              <w:t>.</w:t>
            </w:r>
            <w:r w:rsidR="00006A5C">
              <w:rPr>
                <w:rFonts w:cs="Arial"/>
              </w:rPr>
              <w:t xml:space="preserve"> This has increased its GST revenue.</w:t>
            </w:r>
          </w:p>
        </w:tc>
      </w:tr>
    </w:tbl>
    <w:p w:rsidR="00A004DA" w:rsidRPr="00EC79CF" w:rsidRDefault="00A004DA" w:rsidP="00A004DA"/>
    <w:p w:rsidR="00A004DA" w:rsidRPr="00EC79CF" w:rsidRDefault="00A004DA" w:rsidP="00A004DA">
      <w:pPr>
        <w:tabs>
          <w:tab w:val="clear" w:pos="567"/>
        </w:tabs>
        <w:spacing w:after="40" w:line="240" w:lineRule="auto"/>
        <w:rPr>
          <w:rFonts w:cs="Arial"/>
          <w:b/>
          <w:color w:val="0000FF"/>
        </w:rPr>
        <w:sectPr w:rsidR="00A004DA" w:rsidRPr="00EC79CF" w:rsidSect="00C71EF0">
          <w:type w:val="continuous"/>
          <w:pgSz w:w="11899" w:h="16838" w:code="9"/>
          <w:pgMar w:top="1701" w:right="1474" w:bottom="1701" w:left="1474" w:header="709" w:footer="709" w:gutter="0"/>
          <w:cols w:space="708"/>
          <w:docGrid w:linePitch="299"/>
        </w:sectPr>
      </w:pPr>
    </w:p>
    <w:p w:rsidR="00A004DA" w:rsidRPr="00EC79CF" w:rsidRDefault="00A004DA" w:rsidP="00A004DA">
      <w:pPr>
        <w:pStyle w:val="Heading6"/>
        <w:rPr>
          <w:i w:val="0"/>
        </w:rPr>
      </w:pPr>
      <w:r w:rsidRPr="00EC79CF">
        <w:rPr>
          <w:i w:val="0"/>
        </w:rPr>
        <w:lastRenderedPageBreak/>
        <w:t>WESTERN AUSTRALIA</w:t>
      </w:r>
    </w:p>
    <w:p w:rsidR="00A004DA" w:rsidRPr="00EC79CF" w:rsidRDefault="00A004DA" w:rsidP="00A004DA">
      <w:pPr>
        <w:tabs>
          <w:tab w:val="clear" w:pos="567"/>
        </w:tabs>
        <w:spacing w:after="40" w:line="240" w:lineRule="auto"/>
        <w:rPr>
          <w:rFonts w:cs="Arial"/>
          <w:b/>
          <w:color w:val="0000FF"/>
        </w:rPr>
        <w:sectPr w:rsidR="00A004DA" w:rsidRPr="00EC79CF" w:rsidSect="00C71EF0">
          <w:footerReference w:type="default" r:id="rId48"/>
          <w:footerReference w:type="first" r:id="rId49"/>
          <w:pgSz w:w="11899" w:h="16838" w:code="9"/>
          <w:pgMar w:top="1701" w:right="1474" w:bottom="1701" w:left="1474" w:header="709" w:footer="709" w:gutter="0"/>
          <w:cols w:space="708"/>
          <w:titlePg/>
          <w:docGrid w:linePitch="299"/>
        </w:sectPr>
      </w:pPr>
    </w:p>
    <w:p w:rsidR="00A004DA" w:rsidRPr="00EC79CF" w:rsidRDefault="00A004DA" w:rsidP="00A004DA">
      <w:r w:rsidRPr="00EC79CF">
        <w:lastRenderedPageBreak/>
        <w:t xml:space="preserve">Western Australia has the highest assessed fiscal capacity due to its high revenue raising capacity. </w:t>
      </w:r>
    </w:p>
    <w:p w:rsidR="00A004DA" w:rsidRPr="00EC79CF" w:rsidRDefault="00A004DA" w:rsidP="00A004DA">
      <w:r w:rsidRPr="00EC79CF">
        <w:t xml:space="preserve">The high capacity is due to above average capacity in all revenue streams except insurance taxes, but especially high capacity in mining production, and </w:t>
      </w:r>
      <w:proofErr w:type="gramStart"/>
      <w:r w:rsidRPr="00EC79CF">
        <w:t>to a lesser extent payrolls</w:t>
      </w:r>
      <w:proofErr w:type="gramEnd"/>
      <w:r w:rsidRPr="00EC79CF">
        <w:t xml:space="preserve">. Those effects on its fiscal capacity are partly offset by having the third highest assessed expenses and second highest infrastructure requirements per capita. </w:t>
      </w:r>
    </w:p>
    <w:p w:rsidR="00A004DA" w:rsidRPr="00EC79CF" w:rsidRDefault="00A004DA" w:rsidP="00A004DA">
      <w:r w:rsidRPr="00EC79CF">
        <w:t>Its high expense requirements are due to above average shares of Indigenous people and people in remote areas, and above average population growth. Above average wage levels and below average non-State provision of health services also contributed significantly.</w:t>
      </w:r>
    </w:p>
    <w:p w:rsidR="00A004DA" w:rsidRPr="00EC79CF" w:rsidRDefault="00A004DA" w:rsidP="00A004DA"/>
    <w:p w:rsidR="00A004DA" w:rsidRPr="00EC79CF" w:rsidRDefault="00A004DA" w:rsidP="00A004DA"/>
    <w:p w:rsidR="00A004DA" w:rsidRDefault="00A004DA" w:rsidP="00A004DA">
      <w:pPr>
        <w:pStyle w:val="CGCTableHeading"/>
        <w:spacing w:before="0" w:after="0"/>
      </w:pPr>
      <w:r w:rsidRPr="00EC79CF">
        <w:lastRenderedPageBreak/>
        <w:t xml:space="preserve">Table </w:t>
      </w:r>
      <w:fldSimple w:instr=" SEQ Table \* ARABIC ">
        <w:r w:rsidR="003A5DEE">
          <w:rPr>
            <w:noProof/>
          </w:rPr>
          <w:t>15</w:t>
        </w:r>
      </w:fldSimple>
      <w:r w:rsidRPr="00EC79CF">
        <w:tab/>
        <w:t>Assessed GST, 2015-16</w:t>
      </w:r>
    </w:p>
    <w:tbl>
      <w:tblPr>
        <w:tblW w:w="4500" w:type="dxa"/>
        <w:tblInd w:w="93" w:type="dxa"/>
        <w:tblLook w:val="04A0" w:firstRow="1" w:lastRow="0" w:firstColumn="1" w:lastColumn="0" w:noHBand="0" w:noVBand="1"/>
      </w:tblPr>
      <w:tblGrid>
        <w:gridCol w:w="2740"/>
        <w:gridCol w:w="880"/>
        <w:gridCol w:w="880"/>
      </w:tblGrid>
      <w:tr w:rsidR="00807CAA" w:rsidRPr="00807CAA" w:rsidTr="00807CAA">
        <w:trPr>
          <w:trHeight w:val="315"/>
        </w:trPr>
        <w:tc>
          <w:tcPr>
            <w:tcW w:w="274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 </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$m</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$pc</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Equal per capita share</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6 425</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2 370</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Effect of assessed:</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Expenses</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2 320</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856</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Investment</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1042</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384</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Net borrowing</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-115</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-42</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Revenue</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-7 714</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-2 845</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Commonwealth payments</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-22</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-8</w:t>
            </w:r>
          </w:p>
        </w:tc>
      </w:tr>
      <w:tr w:rsidR="00807CAA" w:rsidRPr="00807CAA" w:rsidTr="00807CAA">
        <w:trPr>
          <w:trHeight w:val="315"/>
        </w:trPr>
        <w:tc>
          <w:tcPr>
            <w:tcW w:w="274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Assessed GST</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1 935</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 xml:space="preserve"> 714</w:t>
            </w:r>
          </w:p>
        </w:tc>
      </w:tr>
    </w:tbl>
    <w:p w:rsidR="00A004DA" w:rsidRPr="00EC79CF" w:rsidRDefault="00A004DA" w:rsidP="00A004DA">
      <w:pPr>
        <w:pStyle w:val="CGCTableStub"/>
      </w:pPr>
      <w:r w:rsidRPr="00EC79CF">
        <w:t>Note: The table may not add due to rounding.</w:t>
      </w:r>
    </w:p>
    <w:p w:rsidR="00A004DA" w:rsidRDefault="00A004DA" w:rsidP="00A004DA">
      <w:pPr>
        <w:pStyle w:val="CGCTableHeading"/>
        <w:spacing w:before="0" w:after="0"/>
      </w:pPr>
      <w:r w:rsidRPr="00EC79CF">
        <w:t xml:space="preserve">Table </w:t>
      </w:r>
      <w:fldSimple w:instr=" SEQ Table \* ARABIC ">
        <w:r w:rsidR="003A5DEE">
          <w:rPr>
            <w:noProof/>
          </w:rPr>
          <w:t>16</w:t>
        </w:r>
      </w:fldSimple>
      <w:r w:rsidRPr="00EC79CF">
        <w:tab/>
        <w:t>Changes in GST</w:t>
      </w:r>
    </w:p>
    <w:tbl>
      <w:tblPr>
        <w:tblW w:w="4500" w:type="dxa"/>
        <w:tblInd w:w="93" w:type="dxa"/>
        <w:tblLook w:val="04A0" w:firstRow="1" w:lastRow="0" w:firstColumn="1" w:lastColumn="0" w:noHBand="0" w:noVBand="1"/>
      </w:tblPr>
      <w:tblGrid>
        <w:gridCol w:w="2740"/>
        <w:gridCol w:w="880"/>
        <w:gridCol w:w="880"/>
      </w:tblGrid>
      <w:tr w:rsidR="00807CAA" w:rsidRPr="00807CAA" w:rsidTr="00807CAA">
        <w:trPr>
          <w:trHeight w:val="315"/>
        </w:trPr>
        <w:tc>
          <w:tcPr>
            <w:tcW w:w="274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 </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$m</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$pc</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Change due to</w:t>
            </w:r>
            <w:r w:rsidR="00F02ECB">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New population</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32</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12</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Growth in GST available</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 xml:space="preserve"> 148</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55</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New relativities</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-494</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-182</w:t>
            </w:r>
          </w:p>
        </w:tc>
      </w:tr>
      <w:tr w:rsidR="008030E8" w:rsidRPr="00807CAA" w:rsidTr="00807CAA">
        <w:trPr>
          <w:trHeight w:val="315"/>
        </w:trPr>
        <w:tc>
          <w:tcPr>
            <w:tcW w:w="2740" w:type="dxa"/>
            <w:tcBorders>
              <w:top w:val="nil"/>
              <w:left w:val="nil"/>
              <w:bottom w:val="nil"/>
              <w:right w:val="nil"/>
            </w:tcBorders>
            <w:shd w:val="clear" w:color="auto" w:fill="auto"/>
            <w:noWrap/>
            <w:vAlign w:val="bottom"/>
            <w:hideMark/>
          </w:tcPr>
          <w:p w:rsidR="008030E8" w:rsidRPr="00807CAA" w:rsidRDefault="008030E8"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Revised data</w:t>
            </w:r>
          </w:p>
        </w:tc>
        <w:tc>
          <w:tcPr>
            <w:tcW w:w="880" w:type="dxa"/>
            <w:tcBorders>
              <w:top w:val="nil"/>
              <w:left w:val="nil"/>
              <w:bottom w:val="nil"/>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202</w:t>
            </w:r>
          </w:p>
        </w:tc>
        <w:tc>
          <w:tcPr>
            <w:tcW w:w="880" w:type="dxa"/>
            <w:tcBorders>
              <w:top w:val="nil"/>
              <w:left w:val="nil"/>
              <w:bottom w:val="nil"/>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75</w:t>
            </w:r>
          </w:p>
        </w:tc>
      </w:tr>
      <w:tr w:rsidR="008030E8" w:rsidRPr="00807CAA" w:rsidTr="00807CAA">
        <w:trPr>
          <w:trHeight w:val="315"/>
        </w:trPr>
        <w:tc>
          <w:tcPr>
            <w:tcW w:w="2740" w:type="dxa"/>
            <w:tcBorders>
              <w:top w:val="nil"/>
              <w:left w:val="nil"/>
              <w:bottom w:val="nil"/>
              <w:right w:val="nil"/>
            </w:tcBorders>
            <w:shd w:val="clear" w:color="auto" w:fill="auto"/>
            <w:noWrap/>
            <w:vAlign w:val="bottom"/>
            <w:hideMark/>
          </w:tcPr>
          <w:p w:rsidR="008030E8" w:rsidRPr="00807CAA" w:rsidRDefault="008030E8"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Method changes</w:t>
            </w:r>
          </w:p>
        </w:tc>
        <w:tc>
          <w:tcPr>
            <w:tcW w:w="880" w:type="dxa"/>
            <w:tcBorders>
              <w:top w:val="nil"/>
              <w:left w:val="nil"/>
              <w:bottom w:val="nil"/>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-255</w:t>
            </w:r>
          </w:p>
        </w:tc>
        <w:tc>
          <w:tcPr>
            <w:tcW w:w="880" w:type="dxa"/>
            <w:tcBorders>
              <w:top w:val="nil"/>
              <w:left w:val="nil"/>
              <w:bottom w:val="nil"/>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-94</w:t>
            </w:r>
          </w:p>
        </w:tc>
      </w:tr>
      <w:tr w:rsidR="008030E8" w:rsidRPr="00807CAA" w:rsidTr="00807CAA">
        <w:trPr>
          <w:trHeight w:val="315"/>
        </w:trPr>
        <w:tc>
          <w:tcPr>
            <w:tcW w:w="2740" w:type="dxa"/>
            <w:tcBorders>
              <w:top w:val="nil"/>
              <w:left w:val="nil"/>
              <w:bottom w:val="nil"/>
              <w:right w:val="nil"/>
            </w:tcBorders>
            <w:shd w:val="clear" w:color="auto" w:fill="auto"/>
            <w:noWrap/>
            <w:vAlign w:val="bottom"/>
            <w:hideMark/>
          </w:tcPr>
          <w:p w:rsidR="008030E8" w:rsidRPr="00807CAA" w:rsidRDefault="008030E8"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New circumstances</w:t>
            </w:r>
          </w:p>
        </w:tc>
        <w:tc>
          <w:tcPr>
            <w:tcW w:w="880" w:type="dxa"/>
            <w:tcBorders>
              <w:top w:val="nil"/>
              <w:left w:val="nil"/>
              <w:bottom w:val="single" w:sz="4" w:space="0" w:color="auto"/>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-441</w:t>
            </w:r>
          </w:p>
        </w:tc>
        <w:tc>
          <w:tcPr>
            <w:tcW w:w="880" w:type="dxa"/>
            <w:tcBorders>
              <w:top w:val="nil"/>
              <w:left w:val="nil"/>
              <w:bottom w:val="single" w:sz="4" w:space="0" w:color="auto"/>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-162</w:t>
            </w:r>
          </w:p>
        </w:tc>
      </w:tr>
      <w:tr w:rsidR="00807CAA" w:rsidRPr="00807CAA" w:rsidTr="00807CAA">
        <w:trPr>
          <w:trHeight w:val="315"/>
        </w:trPr>
        <w:tc>
          <w:tcPr>
            <w:tcW w:w="274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Total change</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-313</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-116</w:t>
            </w:r>
          </w:p>
        </w:tc>
      </w:tr>
    </w:tbl>
    <w:p w:rsidR="00A004DA" w:rsidRPr="00EC79CF" w:rsidRDefault="00A004DA" w:rsidP="00A004DA">
      <w:pPr>
        <w:pStyle w:val="NoSpacing"/>
      </w:pPr>
    </w:p>
    <w:p w:rsidR="00A004DA" w:rsidRPr="00EC79CF" w:rsidRDefault="00A004DA" w:rsidP="00A004DA">
      <w:pPr>
        <w:tabs>
          <w:tab w:val="clear" w:pos="567"/>
        </w:tabs>
        <w:spacing w:after="200" w:line="276" w:lineRule="auto"/>
        <w:rPr>
          <w:rFonts w:cs="Arial"/>
        </w:rPr>
        <w:sectPr w:rsidR="00A004DA" w:rsidRPr="00EC79CF" w:rsidSect="00C71EF0">
          <w:type w:val="continuous"/>
          <w:pgSz w:w="11899" w:h="16838" w:code="9"/>
          <w:pgMar w:top="1701" w:right="1474" w:bottom="1701" w:left="1474" w:header="709" w:footer="709" w:gutter="0"/>
          <w:cols w:num="2" w:space="293"/>
          <w:docGrid w:linePitch="299"/>
        </w:sectPr>
      </w:pPr>
    </w:p>
    <w:p w:rsidR="00A004DA" w:rsidRPr="00EC79CF" w:rsidRDefault="00A004DA" w:rsidP="00A004DA">
      <w:pPr>
        <w:tabs>
          <w:tab w:val="clear" w:pos="567"/>
        </w:tabs>
        <w:spacing w:after="240" w:line="280" w:lineRule="atLeast"/>
        <w:rPr>
          <w:rFonts w:cs="Arial"/>
          <w:sz w:val="21"/>
          <w:szCs w:val="21"/>
        </w:rPr>
      </w:pPr>
      <w:r w:rsidRPr="00EC79CF">
        <w:lastRenderedPageBreak/>
        <w:t>Compared with 2014-15, the State’s GST will fall by $3</w:t>
      </w:r>
      <w:r w:rsidR="004E13C2">
        <w:t>13</w:t>
      </w:r>
      <w:r w:rsidRPr="00EC79CF">
        <w:t xml:space="preserve"> million or 13.</w:t>
      </w:r>
      <w:r w:rsidR="004E13C2">
        <w:t>9</w:t>
      </w:r>
      <w:r w:rsidRPr="00EC79CF">
        <w:t>%. It is one of two States to receive less GST in 2015</w:t>
      </w:r>
      <w:r w:rsidRPr="00EC79CF">
        <w:noBreakHyphen/>
        <w:t>16 than in 2014-15. Its GST share will fall from 4.2% to 3.4%, primarily due to a</w:t>
      </w:r>
      <w:r w:rsidR="00DB0588">
        <w:t>n</w:t>
      </w:r>
      <w:r w:rsidRPr="00EC79CF">
        <w:t xml:space="preserve"> increase in its </w:t>
      </w:r>
      <w:r w:rsidR="00CA1402">
        <w:t xml:space="preserve">assessed </w:t>
      </w:r>
      <w:r w:rsidRPr="00EC79CF">
        <w:t xml:space="preserve">mining </w:t>
      </w:r>
      <w:r w:rsidR="0072685E">
        <w:t>revenue</w:t>
      </w:r>
      <w:r w:rsidR="0072685E" w:rsidRPr="00EC79CF">
        <w:t xml:space="preserve"> </w:t>
      </w:r>
      <w:r w:rsidRPr="00EC79CF">
        <w:t>and taxable payrolls.</w:t>
      </w:r>
    </w:p>
    <w:p w:rsidR="00A004DA" w:rsidRPr="00EC79CF" w:rsidRDefault="00A004DA" w:rsidP="00A004DA">
      <w:pPr>
        <w:pStyle w:val="CGCTableHeading"/>
      </w:pPr>
      <w:r w:rsidRPr="00EC79CF">
        <w:rPr>
          <w:bCs/>
        </w:rPr>
        <w:t xml:space="preserve">Table </w:t>
      </w:r>
      <w:r w:rsidRPr="00EC79CF">
        <w:rPr>
          <w:bCs/>
        </w:rPr>
        <w:fldChar w:fldCharType="begin"/>
      </w:r>
      <w:r w:rsidRPr="00EC79CF">
        <w:rPr>
          <w:bCs/>
        </w:rPr>
        <w:instrText xml:space="preserve"> SEQ Table \* ARABIC </w:instrText>
      </w:r>
      <w:r w:rsidRPr="00EC79CF">
        <w:rPr>
          <w:bCs/>
        </w:rPr>
        <w:fldChar w:fldCharType="separate"/>
      </w:r>
      <w:r w:rsidR="003A5DEE">
        <w:rPr>
          <w:bCs/>
          <w:noProof/>
        </w:rPr>
        <w:t>17</w:t>
      </w:r>
      <w:r w:rsidRPr="00EC79CF">
        <w:rPr>
          <w:bCs/>
        </w:rPr>
        <w:fldChar w:fldCharType="end"/>
      </w:r>
      <w:r w:rsidRPr="00EC79CF">
        <w:rPr>
          <w:bCs/>
        </w:rPr>
        <w:tab/>
      </w:r>
      <w:r w:rsidR="004538F1">
        <w:t>Five largest changes</w:t>
      </w:r>
      <w:r w:rsidR="00CD1096">
        <w:t xml:space="preserve"> for Western Australia</w:t>
      </w:r>
    </w:p>
    <w:tbl>
      <w:tblPr>
        <w:tblW w:w="5000" w:type="pct"/>
        <w:tblLayout w:type="fixed"/>
        <w:tblCellMar>
          <w:left w:w="0" w:type="dxa"/>
          <w:right w:w="0" w:type="dxa"/>
        </w:tblCellMar>
        <w:tblLook w:val="0000" w:firstRow="0" w:lastRow="0" w:firstColumn="0" w:lastColumn="0" w:noHBand="0" w:noVBand="0"/>
      </w:tblPr>
      <w:tblGrid>
        <w:gridCol w:w="1207"/>
        <w:gridCol w:w="7744"/>
      </w:tblGrid>
      <w:tr w:rsidR="00A004DA" w:rsidRPr="00EC79CF" w:rsidTr="00C71EF0">
        <w:tc>
          <w:tcPr>
            <w:tcW w:w="674" w:type="pct"/>
            <w:tcBorders>
              <w:top w:val="single" w:sz="6" w:space="0" w:color="auto"/>
              <w:bottom w:val="single" w:sz="6" w:space="0" w:color="auto"/>
            </w:tcBorders>
          </w:tcPr>
          <w:p w:rsidR="00A004DA" w:rsidRPr="00EC79CF" w:rsidRDefault="00A004DA" w:rsidP="00C71EF0">
            <w:pPr>
              <w:pStyle w:val="TableColHeadings"/>
              <w:ind w:left="193" w:hanging="142"/>
              <w:jc w:val="left"/>
              <w:rPr>
                <w:rFonts w:cstheme="minorHAnsi"/>
              </w:rPr>
            </w:pPr>
            <w:r w:rsidRPr="00EC79CF">
              <w:rPr>
                <w:rFonts w:cstheme="minorHAnsi"/>
              </w:rPr>
              <w:t>Change ($m)</w:t>
            </w:r>
          </w:p>
        </w:tc>
        <w:tc>
          <w:tcPr>
            <w:tcW w:w="4326" w:type="pct"/>
            <w:tcBorders>
              <w:top w:val="single" w:sz="6" w:space="0" w:color="auto"/>
              <w:bottom w:val="single" w:sz="6" w:space="0" w:color="auto"/>
            </w:tcBorders>
            <w:vAlign w:val="center"/>
          </w:tcPr>
          <w:p w:rsidR="00A004DA" w:rsidRPr="00EC79CF" w:rsidRDefault="00A004DA" w:rsidP="00C71EF0">
            <w:pPr>
              <w:pStyle w:val="TableColHeadings"/>
              <w:ind w:left="193" w:hanging="142"/>
              <w:jc w:val="left"/>
              <w:rPr>
                <w:rFonts w:cstheme="minorHAnsi"/>
              </w:rPr>
            </w:pPr>
            <w:r w:rsidRPr="00EC79CF">
              <w:rPr>
                <w:rFonts w:cstheme="minorHAnsi"/>
              </w:rPr>
              <w:t>Reason for change</w:t>
            </w:r>
          </w:p>
        </w:tc>
      </w:tr>
      <w:tr w:rsidR="00A004DA" w:rsidRPr="00EC79CF" w:rsidTr="00C71EF0">
        <w:tc>
          <w:tcPr>
            <w:tcW w:w="5000" w:type="pct"/>
            <w:gridSpan w:val="2"/>
          </w:tcPr>
          <w:p w:rsidR="00A004DA" w:rsidRPr="00EC79CF" w:rsidRDefault="00A004DA" w:rsidP="00C71EF0">
            <w:pPr>
              <w:pStyle w:val="TableRowNormal"/>
              <w:ind w:left="193" w:hanging="142"/>
              <w:jc w:val="left"/>
              <w:rPr>
                <w:rFonts w:cstheme="minorHAnsi"/>
                <w:b/>
              </w:rPr>
            </w:pPr>
            <w:r w:rsidRPr="00EC79CF">
              <w:rPr>
                <w:rFonts w:cs="Arial"/>
                <w:b/>
              </w:rPr>
              <w:t>Changes in data</w:t>
            </w:r>
          </w:p>
        </w:tc>
      </w:tr>
      <w:tr w:rsidR="00A004DA" w:rsidRPr="00EC79CF" w:rsidTr="00C71EF0">
        <w:trPr>
          <w:trHeight w:val="286"/>
        </w:trPr>
        <w:tc>
          <w:tcPr>
            <w:tcW w:w="674" w:type="pct"/>
          </w:tcPr>
          <w:p w:rsidR="00A004DA" w:rsidRPr="00EC79CF" w:rsidRDefault="00A004DA" w:rsidP="00B861CC">
            <w:pPr>
              <w:pStyle w:val="CGCTableStub"/>
              <w:tabs>
                <w:tab w:val="clear" w:pos="284"/>
                <w:tab w:val="left" w:pos="425"/>
                <w:tab w:val="left" w:pos="709"/>
                <w:tab w:val="left" w:pos="851"/>
              </w:tabs>
              <w:spacing w:before="0" w:after="0"/>
              <w:ind w:left="142"/>
              <w:rPr>
                <w:rFonts w:cs="Arial"/>
              </w:rPr>
            </w:pPr>
            <w:r w:rsidRPr="00EC79CF">
              <w:rPr>
                <w:rFonts w:cs="Arial"/>
              </w:rPr>
              <w:t>2</w:t>
            </w:r>
            <w:r w:rsidR="00B861CC">
              <w:rPr>
                <w:rFonts w:cs="Arial"/>
              </w:rPr>
              <w:t>25</w:t>
            </w:r>
          </w:p>
        </w:tc>
        <w:tc>
          <w:tcPr>
            <w:tcW w:w="4326" w:type="pct"/>
          </w:tcPr>
          <w:p w:rsidR="00B861CC" w:rsidRPr="00EC79CF" w:rsidRDefault="00B861CC" w:rsidP="0014434E">
            <w:pPr>
              <w:pStyle w:val="CGCTableStub"/>
              <w:tabs>
                <w:tab w:val="clear" w:pos="284"/>
                <w:tab w:val="left" w:pos="425"/>
                <w:tab w:val="left" w:pos="709"/>
                <w:tab w:val="left" w:pos="851"/>
              </w:tabs>
              <w:spacing w:before="0" w:after="0"/>
              <w:ind w:left="142"/>
              <w:rPr>
                <w:rFonts w:cs="Arial"/>
              </w:rPr>
            </w:pPr>
            <w:r>
              <w:rPr>
                <w:rFonts w:cs="Arial"/>
                <w:b/>
              </w:rPr>
              <w:t>Capital</w:t>
            </w:r>
            <w:r w:rsidR="00A004DA" w:rsidRPr="00EC79CF">
              <w:rPr>
                <w:rFonts w:cs="Arial"/>
                <w:b/>
              </w:rPr>
              <w:t>.</w:t>
            </w:r>
            <w:r w:rsidR="00A004DA" w:rsidRPr="00EC79CF">
              <w:rPr>
                <w:rFonts w:cs="Arial"/>
              </w:rPr>
              <w:t xml:space="preserve"> </w:t>
            </w:r>
            <w:r w:rsidRPr="00EC79CF">
              <w:rPr>
                <w:rFonts w:cs="Arial"/>
              </w:rPr>
              <w:t xml:space="preserve">Improved investment data increased the importance of roads, especially rural roads, which </w:t>
            </w:r>
            <w:r>
              <w:rPr>
                <w:rFonts w:cs="Arial"/>
              </w:rPr>
              <w:t>increased assessed</w:t>
            </w:r>
            <w:r w:rsidRPr="00EC79CF">
              <w:rPr>
                <w:rFonts w:cs="Arial"/>
              </w:rPr>
              <w:t xml:space="preserve"> investment </w:t>
            </w:r>
            <w:r w:rsidR="0014434E">
              <w:rPr>
                <w:rFonts w:cs="Arial"/>
              </w:rPr>
              <w:t>and</w:t>
            </w:r>
            <w:r w:rsidR="00006A5C">
              <w:rPr>
                <w:rFonts w:cs="Arial"/>
              </w:rPr>
              <w:t xml:space="preserve"> its GST revenue.</w:t>
            </w:r>
          </w:p>
        </w:tc>
      </w:tr>
      <w:tr w:rsidR="00A004DA" w:rsidRPr="00EC79CF" w:rsidTr="00C71EF0">
        <w:tc>
          <w:tcPr>
            <w:tcW w:w="5000" w:type="pct"/>
            <w:gridSpan w:val="2"/>
          </w:tcPr>
          <w:p w:rsidR="00A004DA" w:rsidRPr="00EC79CF" w:rsidRDefault="00A004DA" w:rsidP="00C71EF0">
            <w:pPr>
              <w:pStyle w:val="TableRowNormal"/>
              <w:ind w:left="193" w:hanging="142"/>
              <w:jc w:val="left"/>
              <w:rPr>
                <w:rFonts w:cstheme="minorHAnsi"/>
                <w:b/>
              </w:rPr>
            </w:pPr>
            <w:r w:rsidRPr="00EC79CF">
              <w:rPr>
                <w:rFonts w:cs="Arial"/>
                <w:b/>
              </w:rPr>
              <w:t>Changes in methods</w:t>
            </w:r>
          </w:p>
        </w:tc>
      </w:tr>
      <w:tr w:rsidR="00B861CC" w:rsidRPr="00EC79CF" w:rsidTr="007A30DC">
        <w:tc>
          <w:tcPr>
            <w:tcW w:w="674" w:type="pct"/>
          </w:tcPr>
          <w:p w:rsidR="00B861CC" w:rsidRPr="00EC79CF" w:rsidRDefault="00B861CC" w:rsidP="00B861CC">
            <w:pPr>
              <w:pStyle w:val="CGCTableStub"/>
              <w:tabs>
                <w:tab w:val="clear" w:pos="284"/>
                <w:tab w:val="left" w:pos="425"/>
                <w:tab w:val="left" w:pos="709"/>
                <w:tab w:val="left" w:pos="851"/>
              </w:tabs>
              <w:spacing w:before="0" w:after="0"/>
              <w:ind w:left="142"/>
              <w:rPr>
                <w:rFonts w:cs="Arial"/>
              </w:rPr>
            </w:pPr>
            <w:r w:rsidRPr="00EC79CF">
              <w:rPr>
                <w:rFonts w:cs="Arial"/>
              </w:rPr>
              <w:t>-2</w:t>
            </w:r>
            <w:r>
              <w:rPr>
                <w:rFonts w:cs="Arial"/>
              </w:rPr>
              <w:t>30</w:t>
            </w:r>
          </w:p>
        </w:tc>
        <w:tc>
          <w:tcPr>
            <w:tcW w:w="4326" w:type="pct"/>
          </w:tcPr>
          <w:p w:rsidR="00B861CC" w:rsidRPr="00F567B9" w:rsidRDefault="00B861CC" w:rsidP="0014434E">
            <w:pPr>
              <w:pStyle w:val="CGCTableStub"/>
              <w:tabs>
                <w:tab w:val="clear" w:pos="284"/>
                <w:tab w:val="left" w:pos="425"/>
                <w:tab w:val="left" w:pos="709"/>
                <w:tab w:val="left" w:pos="851"/>
              </w:tabs>
              <w:spacing w:before="0" w:after="0"/>
              <w:ind w:left="142"/>
              <w:rPr>
                <w:rFonts w:cs="Arial"/>
              </w:rPr>
            </w:pPr>
            <w:r w:rsidRPr="00F567B9">
              <w:rPr>
                <w:rFonts w:cs="Arial"/>
                <w:b/>
              </w:rPr>
              <w:t>Mining.</w:t>
            </w:r>
            <w:r w:rsidRPr="00F567B9">
              <w:rPr>
                <w:rFonts w:cs="Arial"/>
              </w:rPr>
              <w:t xml:space="preserve"> </w:t>
            </w:r>
            <w:r w:rsidR="0014434E" w:rsidRPr="00F567B9">
              <w:rPr>
                <w:rFonts w:cs="Arial"/>
              </w:rPr>
              <w:t>The use of mineral specific royalty rates in place of the former grouped mineral rates</w:t>
            </w:r>
            <w:r w:rsidR="0014434E">
              <w:rPr>
                <w:rFonts w:cs="Arial"/>
              </w:rPr>
              <w:t xml:space="preserve"> and the removal of the p</w:t>
            </w:r>
            <w:r w:rsidR="0014434E" w:rsidRPr="00F567B9">
              <w:rPr>
                <w:rFonts w:cs="Arial"/>
              </w:rPr>
              <w:t>revious restrictions in terms of reference on the assessment of iron ore fines</w:t>
            </w:r>
            <w:r w:rsidR="0014434E">
              <w:rPr>
                <w:rFonts w:cs="Arial"/>
              </w:rPr>
              <w:t xml:space="preserve"> increases its relative capacity and decreases its GST revenue</w:t>
            </w:r>
            <w:r w:rsidR="0014434E" w:rsidRPr="00F567B9">
              <w:rPr>
                <w:rFonts w:cs="Arial"/>
              </w:rPr>
              <w:t>.</w:t>
            </w:r>
          </w:p>
        </w:tc>
      </w:tr>
      <w:tr w:rsidR="00A004DA" w:rsidRPr="00EC79CF" w:rsidTr="00C71EF0">
        <w:trPr>
          <w:trHeight w:val="286"/>
        </w:trPr>
        <w:tc>
          <w:tcPr>
            <w:tcW w:w="674" w:type="pct"/>
          </w:tcPr>
          <w:p w:rsidR="00A004DA" w:rsidRPr="00EC79CF" w:rsidRDefault="00A004DA" w:rsidP="00B861CC">
            <w:pPr>
              <w:pStyle w:val="CGCTableStub"/>
              <w:tabs>
                <w:tab w:val="clear" w:pos="284"/>
                <w:tab w:val="left" w:pos="425"/>
                <w:tab w:val="left" w:pos="709"/>
                <w:tab w:val="left" w:pos="851"/>
              </w:tabs>
              <w:spacing w:before="0" w:after="0"/>
              <w:ind w:left="142"/>
              <w:rPr>
                <w:rFonts w:cs="Arial"/>
              </w:rPr>
            </w:pPr>
            <w:r w:rsidRPr="00EC79CF">
              <w:rPr>
                <w:rFonts w:cs="Arial"/>
              </w:rPr>
              <w:t>-2</w:t>
            </w:r>
            <w:r w:rsidR="00B861CC">
              <w:rPr>
                <w:rFonts w:cs="Arial"/>
              </w:rPr>
              <w:t>2</w:t>
            </w:r>
            <w:r w:rsidRPr="00EC79CF">
              <w:rPr>
                <w:rFonts w:cs="Arial"/>
              </w:rPr>
              <w:t>5</w:t>
            </w:r>
          </w:p>
        </w:tc>
        <w:tc>
          <w:tcPr>
            <w:tcW w:w="4326" w:type="pct"/>
          </w:tcPr>
          <w:p w:rsidR="00A004DA" w:rsidRPr="00F567B9" w:rsidRDefault="00A004DA" w:rsidP="00DB0588">
            <w:pPr>
              <w:pStyle w:val="CGCTableStub"/>
              <w:tabs>
                <w:tab w:val="clear" w:pos="284"/>
                <w:tab w:val="left" w:pos="425"/>
                <w:tab w:val="left" w:pos="709"/>
                <w:tab w:val="left" w:pos="851"/>
              </w:tabs>
              <w:spacing w:before="0" w:after="0"/>
              <w:ind w:left="142"/>
              <w:rPr>
                <w:rFonts w:cs="Arial"/>
              </w:rPr>
            </w:pPr>
            <w:r w:rsidRPr="00F567B9">
              <w:rPr>
                <w:rFonts w:cs="Arial"/>
                <w:b/>
              </w:rPr>
              <w:t>Health.</w:t>
            </w:r>
            <w:r w:rsidRPr="00F567B9">
              <w:rPr>
                <w:rFonts w:cs="Arial"/>
              </w:rPr>
              <w:t xml:space="preserve"> We are now assessing a smaller impact of the effects on State expenses of below average provision of private services</w:t>
            </w:r>
            <w:r w:rsidR="00E913C4" w:rsidRPr="00F567B9">
              <w:rPr>
                <w:rFonts w:cs="Arial"/>
              </w:rPr>
              <w:t xml:space="preserve"> in Western Australia</w:t>
            </w:r>
            <w:r w:rsidRPr="00F567B9">
              <w:rPr>
                <w:rFonts w:cs="Arial"/>
              </w:rPr>
              <w:t>.</w:t>
            </w:r>
            <w:r w:rsidR="00724311">
              <w:rPr>
                <w:rFonts w:cs="Arial"/>
              </w:rPr>
              <w:t xml:space="preserve"> This reduces its GST</w:t>
            </w:r>
            <w:r w:rsidR="00DB0588">
              <w:rPr>
                <w:rFonts w:cs="Arial"/>
              </w:rPr>
              <w:t xml:space="preserve"> revenue</w:t>
            </w:r>
            <w:r w:rsidR="00724311">
              <w:rPr>
                <w:rFonts w:cs="Arial"/>
              </w:rPr>
              <w:t>.</w:t>
            </w:r>
          </w:p>
        </w:tc>
      </w:tr>
      <w:tr w:rsidR="00A004DA" w:rsidRPr="00EC79CF" w:rsidTr="009B5054">
        <w:tc>
          <w:tcPr>
            <w:tcW w:w="5000" w:type="pct"/>
            <w:gridSpan w:val="2"/>
          </w:tcPr>
          <w:p w:rsidR="00A004DA" w:rsidRPr="00F567B9" w:rsidRDefault="00A004DA" w:rsidP="00C71EF0">
            <w:pPr>
              <w:pStyle w:val="TableRowNormal"/>
              <w:ind w:left="193" w:hanging="142"/>
              <w:jc w:val="left"/>
              <w:rPr>
                <w:rFonts w:cstheme="minorHAnsi"/>
              </w:rPr>
            </w:pPr>
            <w:r w:rsidRPr="00F567B9">
              <w:rPr>
                <w:rFonts w:cs="Arial"/>
                <w:b/>
              </w:rPr>
              <w:t>Changes in circumstances</w:t>
            </w:r>
          </w:p>
        </w:tc>
      </w:tr>
      <w:tr w:rsidR="009B5054" w:rsidRPr="00EC79CF" w:rsidTr="009B5054">
        <w:trPr>
          <w:trHeight w:val="397"/>
        </w:trPr>
        <w:tc>
          <w:tcPr>
            <w:tcW w:w="674" w:type="pct"/>
          </w:tcPr>
          <w:p w:rsidR="009B5054" w:rsidRPr="00EC79CF" w:rsidRDefault="009B5054" w:rsidP="004322AC">
            <w:pPr>
              <w:pStyle w:val="CGCTableStub"/>
              <w:tabs>
                <w:tab w:val="clear" w:pos="284"/>
                <w:tab w:val="left" w:pos="425"/>
                <w:tab w:val="left" w:pos="709"/>
                <w:tab w:val="left" w:pos="851"/>
              </w:tabs>
              <w:spacing w:before="0" w:after="0"/>
              <w:ind w:left="142"/>
              <w:rPr>
                <w:rFonts w:cs="Arial"/>
              </w:rPr>
            </w:pPr>
            <w:r w:rsidRPr="00EC79CF">
              <w:rPr>
                <w:rFonts w:cs="Arial"/>
              </w:rPr>
              <w:t>-41</w:t>
            </w:r>
            <w:r w:rsidR="004322AC">
              <w:rPr>
                <w:rFonts w:cs="Arial"/>
              </w:rPr>
              <w:t>0</w:t>
            </w:r>
          </w:p>
        </w:tc>
        <w:tc>
          <w:tcPr>
            <w:tcW w:w="4326" w:type="pct"/>
          </w:tcPr>
          <w:p w:rsidR="009B5054" w:rsidRPr="00F567B9" w:rsidRDefault="009B5054" w:rsidP="00724311">
            <w:pPr>
              <w:pStyle w:val="CGCTableStub"/>
              <w:tabs>
                <w:tab w:val="clear" w:pos="284"/>
                <w:tab w:val="left" w:pos="425"/>
                <w:tab w:val="left" w:pos="709"/>
                <w:tab w:val="left" w:pos="851"/>
              </w:tabs>
              <w:spacing w:before="0" w:after="0"/>
              <w:ind w:left="142"/>
              <w:rPr>
                <w:rFonts w:cs="Arial"/>
              </w:rPr>
            </w:pPr>
            <w:r w:rsidRPr="00F567B9">
              <w:rPr>
                <w:rFonts w:cs="Arial"/>
                <w:b/>
              </w:rPr>
              <w:t>Mining.</w:t>
            </w:r>
            <w:r w:rsidRPr="00F567B9">
              <w:rPr>
                <w:rFonts w:cs="Arial"/>
              </w:rPr>
              <w:t xml:space="preserve"> Western Australia’s value of iron ore production grew by 28% between 2010-11 and 2013-14</w:t>
            </w:r>
            <w:r w:rsidR="00724311">
              <w:rPr>
                <w:rFonts w:cs="Arial"/>
              </w:rPr>
              <w:t>, thus reducing its GST revenue.</w:t>
            </w:r>
          </w:p>
        </w:tc>
      </w:tr>
      <w:tr w:rsidR="00A004DA" w:rsidRPr="00EC79CF" w:rsidTr="009B5054">
        <w:trPr>
          <w:trHeight w:val="397"/>
        </w:trPr>
        <w:tc>
          <w:tcPr>
            <w:tcW w:w="674" w:type="pct"/>
            <w:tcBorders>
              <w:bottom w:val="single" w:sz="4" w:space="0" w:color="auto"/>
            </w:tcBorders>
          </w:tcPr>
          <w:p w:rsidR="00A004DA" w:rsidRPr="00EC79CF" w:rsidRDefault="00A004DA" w:rsidP="009B5054">
            <w:pPr>
              <w:pStyle w:val="CGCTableStub"/>
              <w:tabs>
                <w:tab w:val="clear" w:pos="284"/>
                <w:tab w:val="left" w:pos="425"/>
                <w:tab w:val="left" w:pos="709"/>
                <w:tab w:val="left" w:pos="851"/>
              </w:tabs>
              <w:spacing w:before="0" w:after="0"/>
              <w:ind w:left="142"/>
              <w:rPr>
                <w:rFonts w:cs="Arial"/>
              </w:rPr>
            </w:pPr>
            <w:r w:rsidRPr="00EC79CF">
              <w:rPr>
                <w:rFonts w:cs="Arial"/>
              </w:rPr>
              <w:t>-</w:t>
            </w:r>
            <w:r w:rsidR="009B5054">
              <w:rPr>
                <w:rFonts w:cs="Arial"/>
              </w:rPr>
              <w:t>155</w:t>
            </w:r>
          </w:p>
        </w:tc>
        <w:tc>
          <w:tcPr>
            <w:tcW w:w="4326" w:type="pct"/>
            <w:tcBorders>
              <w:bottom w:val="single" w:sz="4" w:space="0" w:color="auto"/>
            </w:tcBorders>
          </w:tcPr>
          <w:p w:rsidR="00A004DA" w:rsidRPr="00F567B9" w:rsidRDefault="009B5054" w:rsidP="002C4E50">
            <w:pPr>
              <w:pStyle w:val="CGCTableStub"/>
              <w:tabs>
                <w:tab w:val="clear" w:pos="284"/>
                <w:tab w:val="left" w:pos="425"/>
                <w:tab w:val="left" w:pos="709"/>
                <w:tab w:val="left" w:pos="851"/>
              </w:tabs>
              <w:spacing w:before="0" w:after="0"/>
              <w:ind w:left="142"/>
              <w:rPr>
                <w:rFonts w:cs="Arial"/>
              </w:rPr>
            </w:pPr>
            <w:r w:rsidRPr="00F567B9">
              <w:rPr>
                <w:rFonts w:cs="Arial"/>
                <w:b/>
              </w:rPr>
              <w:t xml:space="preserve">Payroll tax. </w:t>
            </w:r>
            <w:r w:rsidR="00525780" w:rsidRPr="00F567B9">
              <w:rPr>
                <w:rFonts w:cs="Arial"/>
              </w:rPr>
              <w:t xml:space="preserve">Above average growth in taxable </w:t>
            </w:r>
            <w:r w:rsidR="00C17E33" w:rsidRPr="00F567B9">
              <w:rPr>
                <w:rFonts w:cs="Arial"/>
              </w:rPr>
              <w:t>compensation of employees</w:t>
            </w:r>
            <w:r w:rsidR="00525780" w:rsidRPr="00F567B9">
              <w:rPr>
                <w:rFonts w:cs="Arial"/>
              </w:rPr>
              <w:t xml:space="preserve"> increased its share of the payroll tax base from 13</w:t>
            </w:r>
            <w:r w:rsidR="002C4E50" w:rsidRPr="00F567B9">
              <w:rPr>
                <w:rFonts w:cs="Arial"/>
              </w:rPr>
              <w:t>% in 2010-11 to 16% in 2013-14</w:t>
            </w:r>
            <w:r w:rsidR="00724311">
              <w:rPr>
                <w:rFonts w:cs="Arial"/>
              </w:rPr>
              <w:t>, reducing its GST revenue</w:t>
            </w:r>
            <w:r w:rsidR="002C4E50" w:rsidRPr="00F567B9">
              <w:rPr>
                <w:rFonts w:cs="Arial"/>
              </w:rPr>
              <w:t>.</w:t>
            </w:r>
          </w:p>
        </w:tc>
      </w:tr>
    </w:tbl>
    <w:p w:rsidR="00A004DA" w:rsidRPr="00EC79CF" w:rsidRDefault="00A004DA" w:rsidP="00A004DA">
      <w:pPr>
        <w:pStyle w:val="NoSpacing"/>
        <w:rPr>
          <w:sz w:val="16"/>
          <w:szCs w:val="16"/>
        </w:rPr>
        <w:sectPr w:rsidR="00A004DA" w:rsidRPr="00EC79CF" w:rsidSect="00C71EF0">
          <w:type w:val="continuous"/>
          <w:pgSz w:w="11899" w:h="16838" w:code="9"/>
          <w:pgMar w:top="1701" w:right="1474" w:bottom="1701" w:left="1474" w:header="709" w:footer="709" w:gutter="0"/>
          <w:cols w:space="708"/>
          <w:docGrid w:linePitch="299"/>
        </w:sectPr>
      </w:pPr>
    </w:p>
    <w:p w:rsidR="00A004DA" w:rsidRPr="00EC79CF" w:rsidRDefault="00A004DA" w:rsidP="00A004DA">
      <w:pPr>
        <w:tabs>
          <w:tab w:val="clear" w:pos="567"/>
        </w:tabs>
        <w:spacing w:after="40" w:line="240" w:lineRule="auto"/>
        <w:rPr>
          <w:rFonts w:cs="Arial"/>
          <w:b/>
          <w:color w:val="0000FF"/>
        </w:rPr>
        <w:sectPr w:rsidR="00A004DA" w:rsidRPr="00EC79CF" w:rsidSect="00C71EF0">
          <w:type w:val="continuous"/>
          <w:pgSz w:w="11899" w:h="16838" w:code="9"/>
          <w:pgMar w:top="1701" w:right="1474" w:bottom="1701" w:left="1474" w:header="709" w:footer="709" w:gutter="0"/>
          <w:cols w:space="708"/>
          <w:docGrid w:linePitch="299"/>
        </w:sectPr>
      </w:pPr>
    </w:p>
    <w:p w:rsidR="00A004DA" w:rsidRPr="00EC79CF" w:rsidRDefault="00A004DA" w:rsidP="00A004DA">
      <w:pPr>
        <w:pStyle w:val="Heading6"/>
        <w:rPr>
          <w:i w:val="0"/>
        </w:rPr>
      </w:pPr>
      <w:r w:rsidRPr="00EC79CF">
        <w:rPr>
          <w:i w:val="0"/>
        </w:rPr>
        <w:lastRenderedPageBreak/>
        <w:t>SOUTH AUSTRALIA</w:t>
      </w:r>
    </w:p>
    <w:p w:rsidR="00A004DA" w:rsidRPr="00EC79CF" w:rsidRDefault="00A004DA" w:rsidP="00A004DA">
      <w:pPr>
        <w:tabs>
          <w:tab w:val="clear" w:pos="567"/>
        </w:tabs>
        <w:spacing w:after="40" w:line="240" w:lineRule="auto"/>
        <w:rPr>
          <w:rFonts w:cs="Arial"/>
          <w:b/>
          <w:color w:val="0000FF"/>
        </w:rPr>
        <w:sectPr w:rsidR="00A004DA" w:rsidRPr="00EC79CF" w:rsidSect="00C71EF0">
          <w:footerReference w:type="default" r:id="rId50"/>
          <w:footerReference w:type="first" r:id="rId51"/>
          <w:pgSz w:w="11899" w:h="16838" w:code="9"/>
          <w:pgMar w:top="1701" w:right="1474" w:bottom="1701" w:left="1474" w:header="709" w:footer="709" w:gutter="0"/>
          <w:cols w:space="708"/>
          <w:titlePg/>
          <w:docGrid w:linePitch="299"/>
        </w:sectPr>
      </w:pPr>
    </w:p>
    <w:p w:rsidR="00A004DA" w:rsidRPr="00EC79CF" w:rsidRDefault="00A004DA" w:rsidP="00A004DA">
      <w:r w:rsidRPr="00EC79CF">
        <w:lastRenderedPageBreak/>
        <w:t>South Australia has the third lowest assessed fiscal capacity, mainly because of its below average revenue raising capacity in mining revenue, payroll tax, stamp duty and land tax.</w:t>
      </w:r>
      <w:r w:rsidRPr="00EC79CF">
        <w:rPr>
          <w:noProof/>
          <w:lang w:eastAsia="en-AU"/>
        </w:rPr>
        <w:t xml:space="preserve"> </w:t>
      </w:r>
      <w:r w:rsidRPr="00EC79CF">
        <w:t>Those effects are reinforced by its above average assessed expenses, which reflect its above average shares of older</w:t>
      </w:r>
      <w:r w:rsidR="00F02ECB">
        <w:t xml:space="preserve"> people and people of low socio</w:t>
      </w:r>
      <w:r w:rsidR="00F02ECB">
        <w:noBreakHyphen/>
      </w:r>
      <w:r w:rsidRPr="00EC79CF">
        <w:t>economic status, offset partially by below average wage levels and assessed transport costs.</w:t>
      </w:r>
    </w:p>
    <w:p w:rsidR="00A004DA" w:rsidRPr="00EC79CF" w:rsidRDefault="00A004DA" w:rsidP="00A004DA">
      <w:r w:rsidRPr="00EC79CF">
        <w:t xml:space="preserve">Its above average requirement for GST is mitigated by its below average population growth, leading to below average </w:t>
      </w:r>
      <w:r w:rsidR="00B972E5">
        <w:t xml:space="preserve">assessed </w:t>
      </w:r>
      <w:r w:rsidRPr="00EC79CF">
        <w:t>investment, and by above average revenue from Commonwealth payments.</w:t>
      </w:r>
    </w:p>
    <w:p w:rsidR="00A004DA" w:rsidRPr="00EC79CF" w:rsidRDefault="00A004DA" w:rsidP="00A004DA"/>
    <w:p w:rsidR="00A004DA" w:rsidRPr="00EC79CF" w:rsidRDefault="00A004DA" w:rsidP="00A004DA"/>
    <w:p w:rsidR="00A004DA" w:rsidRPr="00EC79CF" w:rsidRDefault="00A004DA" w:rsidP="00A004DA"/>
    <w:p w:rsidR="00A004DA" w:rsidRDefault="00A004DA" w:rsidP="00A004DA">
      <w:pPr>
        <w:pStyle w:val="CGCTableHeading"/>
        <w:spacing w:before="0" w:after="0"/>
      </w:pPr>
      <w:r w:rsidRPr="00EC79CF">
        <w:lastRenderedPageBreak/>
        <w:t xml:space="preserve">Table </w:t>
      </w:r>
      <w:fldSimple w:instr=" SEQ Table \* ARABIC ">
        <w:r w:rsidR="003A5DEE">
          <w:rPr>
            <w:noProof/>
          </w:rPr>
          <w:t>18</w:t>
        </w:r>
      </w:fldSimple>
      <w:r w:rsidRPr="00EC79CF">
        <w:tab/>
        <w:t>Assessed GST, 2015-16</w:t>
      </w:r>
    </w:p>
    <w:tbl>
      <w:tblPr>
        <w:tblW w:w="4500" w:type="dxa"/>
        <w:tblInd w:w="93" w:type="dxa"/>
        <w:tblLook w:val="04A0" w:firstRow="1" w:lastRow="0" w:firstColumn="1" w:lastColumn="0" w:noHBand="0" w:noVBand="1"/>
      </w:tblPr>
      <w:tblGrid>
        <w:gridCol w:w="2740"/>
        <w:gridCol w:w="880"/>
        <w:gridCol w:w="880"/>
      </w:tblGrid>
      <w:tr w:rsidR="00807CAA" w:rsidRPr="00807CAA" w:rsidTr="00807CAA">
        <w:trPr>
          <w:trHeight w:val="315"/>
        </w:trPr>
        <w:tc>
          <w:tcPr>
            <w:tcW w:w="274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 </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$m</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$pc</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Equal per capita share</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4 050</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2 370</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Effect of assessed:</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Expenses</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 xml:space="preserve"> 307</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179</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Investment</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-337</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-197</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Net borrowing</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39</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23</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Revenue</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1 598</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935</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Commonwealth payments</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-132</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-77</w:t>
            </w:r>
          </w:p>
        </w:tc>
      </w:tr>
      <w:tr w:rsidR="00807CAA" w:rsidRPr="00807CAA" w:rsidTr="00807CAA">
        <w:trPr>
          <w:trHeight w:val="315"/>
        </w:trPr>
        <w:tc>
          <w:tcPr>
            <w:tcW w:w="274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Assessed GST</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5 525</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3 233</w:t>
            </w:r>
          </w:p>
        </w:tc>
      </w:tr>
    </w:tbl>
    <w:p w:rsidR="00A004DA" w:rsidRPr="00EC79CF" w:rsidRDefault="00A004DA" w:rsidP="00A004DA">
      <w:pPr>
        <w:pStyle w:val="CGCTableStub"/>
      </w:pPr>
      <w:r w:rsidRPr="00EC79CF">
        <w:t>Note: The table may not add due to rounding.</w:t>
      </w:r>
    </w:p>
    <w:p w:rsidR="00A004DA" w:rsidRDefault="00A004DA" w:rsidP="00A004DA">
      <w:pPr>
        <w:pStyle w:val="CGCTableHeading"/>
        <w:spacing w:before="0" w:after="0"/>
      </w:pPr>
      <w:r w:rsidRPr="00EC79CF">
        <w:t xml:space="preserve">Table </w:t>
      </w:r>
      <w:fldSimple w:instr=" SEQ Table \* ARABIC ">
        <w:r w:rsidR="003A5DEE">
          <w:rPr>
            <w:noProof/>
          </w:rPr>
          <w:t>19</w:t>
        </w:r>
      </w:fldSimple>
      <w:r w:rsidRPr="00EC79CF">
        <w:tab/>
        <w:t>Changes in GST</w:t>
      </w:r>
    </w:p>
    <w:tbl>
      <w:tblPr>
        <w:tblW w:w="4500" w:type="dxa"/>
        <w:tblInd w:w="93" w:type="dxa"/>
        <w:tblLook w:val="04A0" w:firstRow="1" w:lastRow="0" w:firstColumn="1" w:lastColumn="0" w:noHBand="0" w:noVBand="1"/>
      </w:tblPr>
      <w:tblGrid>
        <w:gridCol w:w="2740"/>
        <w:gridCol w:w="880"/>
        <w:gridCol w:w="880"/>
      </w:tblGrid>
      <w:tr w:rsidR="00807CAA" w:rsidRPr="00807CAA" w:rsidTr="00807CAA">
        <w:trPr>
          <w:trHeight w:val="315"/>
        </w:trPr>
        <w:tc>
          <w:tcPr>
            <w:tcW w:w="274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 </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$m</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$pc</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Change due to</w:t>
            </w:r>
            <w:r w:rsidR="00F02ECB">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New population</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-33</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-20</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Growth in GST available</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 xml:space="preserve"> 320</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187</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New relativities</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284</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166</w:t>
            </w:r>
          </w:p>
        </w:tc>
      </w:tr>
      <w:tr w:rsidR="008030E8" w:rsidRPr="00807CAA" w:rsidTr="00807CAA">
        <w:trPr>
          <w:trHeight w:val="315"/>
        </w:trPr>
        <w:tc>
          <w:tcPr>
            <w:tcW w:w="2740" w:type="dxa"/>
            <w:tcBorders>
              <w:top w:val="nil"/>
              <w:left w:val="nil"/>
              <w:bottom w:val="nil"/>
              <w:right w:val="nil"/>
            </w:tcBorders>
            <w:shd w:val="clear" w:color="auto" w:fill="auto"/>
            <w:noWrap/>
            <w:vAlign w:val="bottom"/>
            <w:hideMark/>
          </w:tcPr>
          <w:p w:rsidR="008030E8" w:rsidRPr="00807CAA" w:rsidRDefault="008030E8"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Revised data</w:t>
            </w:r>
          </w:p>
        </w:tc>
        <w:tc>
          <w:tcPr>
            <w:tcW w:w="880" w:type="dxa"/>
            <w:tcBorders>
              <w:top w:val="nil"/>
              <w:left w:val="nil"/>
              <w:bottom w:val="nil"/>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58</w:t>
            </w:r>
          </w:p>
        </w:tc>
        <w:tc>
          <w:tcPr>
            <w:tcW w:w="880" w:type="dxa"/>
            <w:tcBorders>
              <w:top w:val="nil"/>
              <w:left w:val="nil"/>
              <w:bottom w:val="nil"/>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34</w:t>
            </w:r>
          </w:p>
        </w:tc>
      </w:tr>
      <w:tr w:rsidR="008030E8" w:rsidRPr="00807CAA" w:rsidTr="00807CAA">
        <w:trPr>
          <w:trHeight w:val="315"/>
        </w:trPr>
        <w:tc>
          <w:tcPr>
            <w:tcW w:w="2740" w:type="dxa"/>
            <w:tcBorders>
              <w:top w:val="nil"/>
              <w:left w:val="nil"/>
              <w:bottom w:val="nil"/>
              <w:right w:val="nil"/>
            </w:tcBorders>
            <w:shd w:val="clear" w:color="auto" w:fill="auto"/>
            <w:noWrap/>
            <w:vAlign w:val="bottom"/>
            <w:hideMark/>
          </w:tcPr>
          <w:p w:rsidR="008030E8" w:rsidRPr="00807CAA" w:rsidRDefault="008030E8"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Method changes</w:t>
            </w:r>
          </w:p>
        </w:tc>
        <w:tc>
          <w:tcPr>
            <w:tcW w:w="880" w:type="dxa"/>
            <w:tcBorders>
              <w:top w:val="nil"/>
              <w:left w:val="nil"/>
              <w:bottom w:val="nil"/>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74</w:t>
            </w:r>
          </w:p>
        </w:tc>
        <w:tc>
          <w:tcPr>
            <w:tcW w:w="880" w:type="dxa"/>
            <w:tcBorders>
              <w:top w:val="nil"/>
              <w:left w:val="nil"/>
              <w:bottom w:val="nil"/>
              <w:right w:val="nil"/>
            </w:tcBorders>
            <w:shd w:val="clear" w:color="auto" w:fill="auto"/>
            <w:noWrap/>
            <w:vAlign w:val="bottom"/>
            <w:hideMark/>
          </w:tcPr>
          <w:p w:rsidR="008030E8" w:rsidRPr="00D66C16" w:rsidRDefault="008030E8"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44</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New circumstances</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152</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89</w:t>
            </w:r>
          </w:p>
        </w:tc>
      </w:tr>
      <w:tr w:rsidR="00807CAA" w:rsidRPr="00807CAA" w:rsidTr="00807CAA">
        <w:trPr>
          <w:trHeight w:val="315"/>
        </w:trPr>
        <w:tc>
          <w:tcPr>
            <w:tcW w:w="274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Total change</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571</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334</w:t>
            </w:r>
          </w:p>
        </w:tc>
      </w:tr>
    </w:tbl>
    <w:p w:rsidR="00A004DA" w:rsidRPr="00EC79CF" w:rsidRDefault="00A004DA" w:rsidP="00A004DA">
      <w:pPr>
        <w:pStyle w:val="NoSpacing"/>
      </w:pPr>
    </w:p>
    <w:p w:rsidR="00A004DA" w:rsidRPr="00EC79CF" w:rsidRDefault="00A004DA" w:rsidP="00A004DA">
      <w:pPr>
        <w:tabs>
          <w:tab w:val="clear" w:pos="567"/>
        </w:tabs>
        <w:spacing w:after="200" w:line="276" w:lineRule="auto"/>
        <w:rPr>
          <w:rFonts w:cs="Arial"/>
        </w:rPr>
        <w:sectPr w:rsidR="00A004DA" w:rsidRPr="00EC79CF" w:rsidSect="00C71EF0">
          <w:type w:val="continuous"/>
          <w:pgSz w:w="11899" w:h="16838" w:code="9"/>
          <w:pgMar w:top="1701" w:right="1474" w:bottom="1701" w:left="1474" w:header="709" w:footer="709" w:gutter="0"/>
          <w:cols w:num="2" w:space="293"/>
          <w:docGrid w:linePitch="299"/>
        </w:sectPr>
      </w:pPr>
    </w:p>
    <w:p w:rsidR="00A004DA" w:rsidRPr="00EC79CF" w:rsidRDefault="00A004DA" w:rsidP="00A004DA">
      <w:pPr>
        <w:tabs>
          <w:tab w:val="clear" w:pos="567"/>
        </w:tabs>
        <w:spacing w:after="240" w:line="280" w:lineRule="atLeast"/>
        <w:rPr>
          <w:rFonts w:cs="Arial"/>
          <w:sz w:val="21"/>
          <w:szCs w:val="21"/>
        </w:rPr>
      </w:pPr>
      <w:r w:rsidRPr="00EC79CF">
        <w:lastRenderedPageBreak/>
        <w:t>Compared with 2014-15, the State’s GST will rise by $</w:t>
      </w:r>
      <w:r w:rsidR="004E13C2">
        <w:t>571</w:t>
      </w:r>
      <w:r w:rsidRPr="00EC79CF">
        <w:t xml:space="preserve"> million or 1</w:t>
      </w:r>
      <w:r w:rsidR="004E13C2">
        <w:t>1.5</w:t>
      </w:r>
      <w:r w:rsidRPr="00EC79CF">
        <w:t xml:space="preserve">%. Its GST share will </w:t>
      </w:r>
      <w:proofErr w:type="gramStart"/>
      <w:r w:rsidRPr="00EC79CF">
        <w:t>rise</w:t>
      </w:r>
      <w:proofErr w:type="gramEnd"/>
      <w:r w:rsidRPr="00EC79CF">
        <w:t xml:space="preserve"> from 9.2% to 9.</w:t>
      </w:r>
      <w:r w:rsidR="004E13C2">
        <w:t>7</w:t>
      </w:r>
      <w:r w:rsidRPr="00EC79CF">
        <w:t>%, primarily due to a fall in its revenue raising capacity, an increase in its overall expense requirements and a fall in its share of Commonwealth payments.</w:t>
      </w:r>
    </w:p>
    <w:p w:rsidR="00A004DA" w:rsidRPr="00EC79CF" w:rsidRDefault="00A004DA" w:rsidP="00A004DA">
      <w:pPr>
        <w:pStyle w:val="CGCTableHeading"/>
      </w:pPr>
      <w:r w:rsidRPr="00EC79CF">
        <w:rPr>
          <w:bCs/>
        </w:rPr>
        <w:t xml:space="preserve">Table </w:t>
      </w:r>
      <w:r w:rsidRPr="00EC79CF">
        <w:rPr>
          <w:bCs/>
        </w:rPr>
        <w:fldChar w:fldCharType="begin"/>
      </w:r>
      <w:r w:rsidRPr="00EC79CF">
        <w:rPr>
          <w:bCs/>
        </w:rPr>
        <w:instrText xml:space="preserve"> SEQ Table \* ARABIC </w:instrText>
      </w:r>
      <w:r w:rsidRPr="00EC79CF">
        <w:rPr>
          <w:bCs/>
        </w:rPr>
        <w:fldChar w:fldCharType="separate"/>
      </w:r>
      <w:r w:rsidR="003A5DEE">
        <w:rPr>
          <w:bCs/>
          <w:noProof/>
        </w:rPr>
        <w:t>20</w:t>
      </w:r>
      <w:r w:rsidRPr="00EC79CF">
        <w:rPr>
          <w:bCs/>
        </w:rPr>
        <w:fldChar w:fldCharType="end"/>
      </w:r>
      <w:r w:rsidRPr="00EC79CF">
        <w:rPr>
          <w:bCs/>
        </w:rPr>
        <w:tab/>
      </w:r>
      <w:r w:rsidR="004538F1">
        <w:t>Five largest changes</w:t>
      </w:r>
      <w:r w:rsidR="00CD1096">
        <w:t xml:space="preserve"> for South Australia</w:t>
      </w:r>
    </w:p>
    <w:tbl>
      <w:tblPr>
        <w:tblW w:w="5000" w:type="pct"/>
        <w:tblLayout w:type="fixed"/>
        <w:tblCellMar>
          <w:left w:w="0" w:type="dxa"/>
          <w:right w:w="0" w:type="dxa"/>
        </w:tblCellMar>
        <w:tblLook w:val="0000" w:firstRow="0" w:lastRow="0" w:firstColumn="0" w:lastColumn="0" w:noHBand="0" w:noVBand="0"/>
      </w:tblPr>
      <w:tblGrid>
        <w:gridCol w:w="1207"/>
        <w:gridCol w:w="7744"/>
      </w:tblGrid>
      <w:tr w:rsidR="00A004DA" w:rsidRPr="00EC79CF" w:rsidTr="00C71EF0">
        <w:tc>
          <w:tcPr>
            <w:tcW w:w="674" w:type="pct"/>
            <w:tcBorders>
              <w:top w:val="single" w:sz="6" w:space="0" w:color="auto"/>
              <w:bottom w:val="single" w:sz="6" w:space="0" w:color="auto"/>
            </w:tcBorders>
          </w:tcPr>
          <w:p w:rsidR="00A004DA" w:rsidRPr="00EC79CF" w:rsidRDefault="00A004DA" w:rsidP="00C71EF0">
            <w:pPr>
              <w:pStyle w:val="TableColHeadings"/>
              <w:ind w:left="193" w:hanging="142"/>
              <w:jc w:val="left"/>
              <w:rPr>
                <w:rFonts w:cstheme="minorHAnsi"/>
              </w:rPr>
            </w:pPr>
            <w:r w:rsidRPr="00EC79CF">
              <w:rPr>
                <w:rFonts w:cstheme="minorHAnsi"/>
              </w:rPr>
              <w:t>Change ($m)</w:t>
            </w:r>
          </w:p>
        </w:tc>
        <w:tc>
          <w:tcPr>
            <w:tcW w:w="4326" w:type="pct"/>
            <w:tcBorders>
              <w:top w:val="single" w:sz="6" w:space="0" w:color="auto"/>
              <w:bottom w:val="single" w:sz="6" w:space="0" w:color="auto"/>
            </w:tcBorders>
            <w:vAlign w:val="center"/>
          </w:tcPr>
          <w:p w:rsidR="00A004DA" w:rsidRPr="00EC79CF" w:rsidRDefault="00A004DA" w:rsidP="00C71EF0">
            <w:pPr>
              <w:pStyle w:val="TableColHeadings"/>
              <w:ind w:left="193" w:hanging="142"/>
              <w:jc w:val="left"/>
              <w:rPr>
                <w:rFonts w:cstheme="minorHAnsi"/>
              </w:rPr>
            </w:pPr>
            <w:r w:rsidRPr="00EC79CF">
              <w:rPr>
                <w:rFonts w:cstheme="minorHAnsi"/>
              </w:rPr>
              <w:t>Reason for change</w:t>
            </w:r>
          </w:p>
        </w:tc>
      </w:tr>
      <w:tr w:rsidR="00A004DA" w:rsidRPr="00EC79CF" w:rsidTr="00C71EF0">
        <w:tc>
          <w:tcPr>
            <w:tcW w:w="5000" w:type="pct"/>
            <w:gridSpan w:val="2"/>
          </w:tcPr>
          <w:p w:rsidR="00A004DA" w:rsidRPr="00EC79CF" w:rsidRDefault="00A004DA" w:rsidP="00C71EF0">
            <w:pPr>
              <w:pStyle w:val="TableRowNormal"/>
              <w:ind w:left="193" w:hanging="142"/>
              <w:jc w:val="left"/>
              <w:rPr>
                <w:rFonts w:cstheme="minorHAnsi"/>
                <w:b/>
              </w:rPr>
            </w:pPr>
            <w:r w:rsidRPr="00EC79CF">
              <w:rPr>
                <w:rFonts w:cs="Arial"/>
                <w:b/>
              </w:rPr>
              <w:t>Changes in methods</w:t>
            </w:r>
          </w:p>
        </w:tc>
      </w:tr>
      <w:tr w:rsidR="00A004DA" w:rsidRPr="00EC79CF" w:rsidTr="00C71EF0">
        <w:trPr>
          <w:trHeight w:val="286"/>
        </w:trPr>
        <w:tc>
          <w:tcPr>
            <w:tcW w:w="674" w:type="pct"/>
          </w:tcPr>
          <w:p w:rsidR="00A004DA" w:rsidRPr="00EC79CF" w:rsidRDefault="00A004DA" w:rsidP="00C71EF0">
            <w:pPr>
              <w:pStyle w:val="CGCTableStub"/>
              <w:tabs>
                <w:tab w:val="clear" w:pos="284"/>
                <w:tab w:val="left" w:pos="425"/>
                <w:tab w:val="left" w:pos="709"/>
                <w:tab w:val="left" w:pos="851"/>
              </w:tabs>
              <w:spacing w:before="0" w:after="0"/>
              <w:ind w:left="142"/>
              <w:rPr>
                <w:rFonts w:cs="Arial"/>
              </w:rPr>
            </w:pPr>
            <w:r w:rsidRPr="00EC79CF">
              <w:rPr>
                <w:rFonts w:cs="Arial"/>
              </w:rPr>
              <w:t>-163</w:t>
            </w:r>
          </w:p>
        </w:tc>
        <w:tc>
          <w:tcPr>
            <w:tcW w:w="4326" w:type="pct"/>
          </w:tcPr>
          <w:p w:rsidR="00A004DA" w:rsidRPr="00EC79CF" w:rsidRDefault="00A004DA" w:rsidP="004C254D">
            <w:pPr>
              <w:pStyle w:val="CGCTableStub"/>
              <w:tabs>
                <w:tab w:val="clear" w:pos="284"/>
                <w:tab w:val="left" w:pos="425"/>
                <w:tab w:val="left" w:pos="709"/>
                <w:tab w:val="left" w:pos="851"/>
              </w:tabs>
              <w:spacing w:before="0" w:after="0"/>
              <w:ind w:left="142"/>
              <w:rPr>
                <w:rFonts w:cs="Arial"/>
              </w:rPr>
            </w:pPr>
            <w:r w:rsidRPr="00EC79CF">
              <w:rPr>
                <w:rFonts w:cs="Arial"/>
                <w:b/>
              </w:rPr>
              <w:t>Welfare.</w:t>
            </w:r>
            <w:r w:rsidRPr="00EC79CF">
              <w:rPr>
                <w:rFonts w:cs="Arial"/>
              </w:rPr>
              <w:t xml:space="preserve"> Changes in Commonwealth-State responsibilities for aged care </w:t>
            </w:r>
            <w:r w:rsidR="004C254D">
              <w:rPr>
                <w:rFonts w:cs="Arial"/>
              </w:rPr>
              <w:t xml:space="preserve">services </w:t>
            </w:r>
            <w:r w:rsidRPr="00EC79CF">
              <w:rPr>
                <w:rFonts w:cs="Arial"/>
              </w:rPr>
              <w:t xml:space="preserve">and </w:t>
            </w:r>
            <w:r w:rsidR="004C254D">
              <w:rPr>
                <w:rFonts w:cs="Arial"/>
              </w:rPr>
              <w:t>better recognition of the effects of its above average need for</w:t>
            </w:r>
            <w:r w:rsidR="004C254D" w:rsidRPr="00EC79CF">
              <w:rPr>
                <w:rFonts w:cs="Arial"/>
              </w:rPr>
              <w:t xml:space="preserve"> </w:t>
            </w:r>
            <w:r w:rsidRPr="00EC79CF">
              <w:rPr>
                <w:rFonts w:cs="Arial"/>
              </w:rPr>
              <w:t>disability services</w:t>
            </w:r>
            <w:r w:rsidR="00724311">
              <w:rPr>
                <w:rFonts w:cs="Arial"/>
              </w:rPr>
              <w:t xml:space="preserve"> decreased </w:t>
            </w:r>
            <w:r w:rsidR="00724311" w:rsidRPr="00724311">
              <w:rPr>
                <w:rFonts w:cs="Arial"/>
              </w:rPr>
              <w:t>South Australia</w:t>
            </w:r>
            <w:r w:rsidR="00724311">
              <w:rPr>
                <w:rFonts w:cs="Arial"/>
              </w:rPr>
              <w:t>’s GST revenue</w:t>
            </w:r>
            <w:r w:rsidRPr="00EC79CF">
              <w:rPr>
                <w:rFonts w:cs="Arial"/>
              </w:rPr>
              <w:t>.</w:t>
            </w:r>
          </w:p>
        </w:tc>
      </w:tr>
      <w:tr w:rsidR="00A004DA" w:rsidRPr="00EC79CF" w:rsidTr="00C71EF0">
        <w:tc>
          <w:tcPr>
            <w:tcW w:w="674" w:type="pct"/>
          </w:tcPr>
          <w:p w:rsidR="00A004DA" w:rsidRPr="00EC79CF" w:rsidRDefault="00A004DA" w:rsidP="00E913C4">
            <w:pPr>
              <w:pStyle w:val="CGCTableStub"/>
              <w:tabs>
                <w:tab w:val="clear" w:pos="284"/>
                <w:tab w:val="left" w:pos="425"/>
                <w:tab w:val="left" w:pos="709"/>
                <w:tab w:val="left" w:pos="851"/>
              </w:tabs>
              <w:spacing w:before="0" w:after="0"/>
              <w:ind w:left="142"/>
              <w:rPr>
                <w:rFonts w:cs="Arial"/>
              </w:rPr>
            </w:pPr>
            <w:r w:rsidRPr="00EC79CF">
              <w:rPr>
                <w:rFonts w:cs="Arial"/>
              </w:rPr>
              <w:t>9</w:t>
            </w:r>
            <w:r w:rsidR="00E913C4">
              <w:rPr>
                <w:rFonts w:cs="Arial"/>
              </w:rPr>
              <w:t>6</w:t>
            </w:r>
          </w:p>
        </w:tc>
        <w:tc>
          <w:tcPr>
            <w:tcW w:w="4326" w:type="pct"/>
          </w:tcPr>
          <w:p w:rsidR="00A004DA" w:rsidRPr="00EC79CF" w:rsidRDefault="00A004DA" w:rsidP="00C71EF0">
            <w:pPr>
              <w:pStyle w:val="CGCTableStub"/>
              <w:tabs>
                <w:tab w:val="clear" w:pos="284"/>
                <w:tab w:val="left" w:pos="425"/>
                <w:tab w:val="left" w:pos="709"/>
                <w:tab w:val="left" w:pos="851"/>
              </w:tabs>
              <w:spacing w:before="0" w:after="0"/>
              <w:ind w:left="142"/>
              <w:rPr>
                <w:rFonts w:cs="Arial"/>
              </w:rPr>
            </w:pPr>
            <w:r w:rsidRPr="00EC79CF">
              <w:rPr>
                <w:rFonts w:cs="Arial"/>
                <w:b/>
              </w:rPr>
              <w:t>Schools education.</w:t>
            </w:r>
            <w:r w:rsidRPr="00EC79CF">
              <w:rPr>
                <w:rFonts w:cs="Arial"/>
              </w:rPr>
              <w:t xml:space="preserve"> Move to actual enrolments for pre- and post-compulsory students as a broad measure of use</w:t>
            </w:r>
            <w:r w:rsidR="00724311">
              <w:rPr>
                <w:rFonts w:cs="Arial"/>
              </w:rPr>
              <w:t xml:space="preserve"> increased the State’s GST revenue</w:t>
            </w:r>
            <w:r w:rsidRPr="00EC79CF">
              <w:rPr>
                <w:rFonts w:cs="Arial"/>
              </w:rPr>
              <w:t>.</w:t>
            </w:r>
          </w:p>
        </w:tc>
      </w:tr>
      <w:tr w:rsidR="00A004DA" w:rsidRPr="00EC79CF" w:rsidTr="00C71EF0">
        <w:tc>
          <w:tcPr>
            <w:tcW w:w="674" w:type="pct"/>
          </w:tcPr>
          <w:p w:rsidR="00A004DA" w:rsidRPr="00EC79CF" w:rsidRDefault="00E913C4" w:rsidP="00C71EF0">
            <w:pPr>
              <w:pStyle w:val="CGCTableStub"/>
              <w:tabs>
                <w:tab w:val="clear" w:pos="284"/>
                <w:tab w:val="left" w:pos="425"/>
                <w:tab w:val="left" w:pos="709"/>
                <w:tab w:val="left" w:pos="851"/>
              </w:tabs>
              <w:spacing w:before="0" w:after="0"/>
              <w:ind w:left="142"/>
              <w:rPr>
                <w:rFonts w:cs="Arial"/>
              </w:rPr>
            </w:pPr>
            <w:r>
              <w:rPr>
                <w:rFonts w:cs="Arial"/>
              </w:rPr>
              <w:t>57</w:t>
            </w:r>
          </w:p>
        </w:tc>
        <w:tc>
          <w:tcPr>
            <w:tcW w:w="4326" w:type="pct"/>
          </w:tcPr>
          <w:p w:rsidR="00A004DA" w:rsidRPr="00EC79CF" w:rsidRDefault="00A004DA" w:rsidP="00C71EF0">
            <w:pPr>
              <w:pStyle w:val="CGCTableStub"/>
              <w:tabs>
                <w:tab w:val="clear" w:pos="284"/>
                <w:tab w:val="left" w:pos="425"/>
                <w:tab w:val="left" w:pos="709"/>
                <w:tab w:val="left" w:pos="851"/>
              </w:tabs>
              <w:spacing w:before="0" w:after="0"/>
              <w:ind w:left="142"/>
              <w:rPr>
                <w:rFonts w:cs="Arial"/>
              </w:rPr>
            </w:pPr>
            <w:r w:rsidRPr="00EC79CF">
              <w:rPr>
                <w:rFonts w:cs="Arial"/>
                <w:b/>
              </w:rPr>
              <w:t>Health.</w:t>
            </w:r>
            <w:r w:rsidRPr="00EC79CF">
              <w:rPr>
                <w:rFonts w:cs="Arial"/>
              </w:rPr>
              <w:t xml:space="preserve"> Better recognition of the effects of the State’s above average share of low SES people</w:t>
            </w:r>
            <w:r w:rsidR="00724311">
              <w:rPr>
                <w:rFonts w:cs="Arial"/>
              </w:rPr>
              <w:t xml:space="preserve"> increased the State’s GST revenue</w:t>
            </w:r>
            <w:r w:rsidRPr="00EC79CF">
              <w:rPr>
                <w:rFonts w:cs="Arial"/>
              </w:rPr>
              <w:t>.</w:t>
            </w:r>
          </w:p>
        </w:tc>
      </w:tr>
      <w:tr w:rsidR="00A004DA" w:rsidRPr="00EC79CF" w:rsidTr="00C71EF0">
        <w:tc>
          <w:tcPr>
            <w:tcW w:w="5000" w:type="pct"/>
            <w:gridSpan w:val="2"/>
          </w:tcPr>
          <w:p w:rsidR="00A004DA" w:rsidRPr="00EC79CF" w:rsidRDefault="00A004DA" w:rsidP="00C71EF0">
            <w:pPr>
              <w:pStyle w:val="TableRowNormal"/>
              <w:ind w:left="193" w:hanging="142"/>
              <w:jc w:val="left"/>
              <w:rPr>
                <w:rFonts w:cstheme="minorHAnsi"/>
              </w:rPr>
            </w:pPr>
            <w:r w:rsidRPr="00EC79CF">
              <w:rPr>
                <w:rFonts w:cs="Arial"/>
                <w:b/>
              </w:rPr>
              <w:t>Changes in circumstances</w:t>
            </w:r>
          </w:p>
        </w:tc>
      </w:tr>
      <w:tr w:rsidR="00A004DA" w:rsidRPr="00EC79CF" w:rsidTr="00C71EF0">
        <w:tc>
          <w:tcPr>
            <w:tcW w:w="674" w:type="pct"/>
          </w:tcPr>
          <w:p w:rsidR="00A004DA" w:rsidRPr="00EC79CF" w:rsidRDefault="00A004DA" w:rsidP="00C71EF0">
            <w:pPr>
              <w:pStyle w:val="CGCTableStub"/>
              <w:tabs>
                <w:tab w:val="clear" w:pos="284"/>
                <w:tab w:val="left" w:pos="425"/>
                <w:tab w:val="left" w:pos="709"/>
                <w:tab w:val="left" w:pos="851"/>
              </w:tabs>
              <w:spacing w:before="0" w:after="0"/>
              <w:ind w:left="142"/>
              <w:rPr>
                <w:rFonts w:cs="Arial"/>
              </w:rPr>
            </w:pPr>
            <w:r w:rsidRPr="00EC79CF">
              <w:rPr>
                <w:rFonts w:cs="Arial"/>
              </w:rPr>
              <w:t>78</w:t>
            </w:r>
          </w:p>
        </w:tc>
        <w:tc>
          <w:tcPr>
            <w:tcW w:w="4326" w:type="pct"/>
            <w:vAlign w:val="bottom"/>
          </w:tcPr>
          <w:p w:rsidR="00A004DA" w:rsidRPr="00EC79CF" w:rsidRDefault="00A004DA" w:rsidP="00724311">
            <w:pPr>
              <w:pStyle w:val="CGCTableStub"/>
              <w:tabs>
                <w:tab w:val="clear" w:pos="284"/>
                <w:tab w:val="left" w:pos="425"/>
                <w:tab w:val="left" w:pos="709"/>
                <w:tab w:val="left" w:pos="851"/>
              </w:tabs>
              <w:spacing w:before="0" w:after="0"/>
              <w:ind w:left="142"/>
              <w:rPr>
                <w:rFonts w:cs="Arial"/>
              </w:rPr>
            </w:pPr>
            <w:r w:rsidRPr="00EC79CF">
              <w:rPr>
                <w:rFonts w:cs="Arial"/>
                <w:b/>
              </w:rPr>
              <w:t>Stamp duty.</w:t>
            </w:r>
            <w:r w:rsidRPr="00EC79CF">
              <w:rPr>
                <w:rFonts w:cs="Arial"/>
              </w:rPr>
              <w:t xml:space="preserve"> A 3% decline in the property tax base between 2010-11 and 2013-14</w:t>
            </w:r>
            <w:r w:rsidR="00724311">
              <w:rPr>
                <w:rFonts w:cs="Arial"/>
              </w:rPr>
              <w:t xml:space="preserve"> increased </w:t>
            </w:r>
            <w:r w:rsidR="00724311" w:rsidRPr="00724311">
              <w:rPr>
                <w:rFonts w:cs="Arial"/>
              </w:rPr>
              <w:t>South Australia</w:t>
            </w:r>
            <w:r w:rsidR="00724311">
              <w:rPr>
                <w:rFonts w:cs="Arial"/>
              </w:rPr>
              <w:t>’s GST revenue</w:t>
            </w:r>
            <w:r w:rsidRPr="00EC79CF">
              <w:rPr>
                <w:rFonts w:cs="Arial"/>
              </w:rPr>
              <w:t>.</w:t>
            </w:r>
          </w:p>
        </w:tc>
      </w:tr>
      <w:tr w:rsidR="00A004DA" w:rsidRPr="00EC79CF" w:rsidTr="00C71EF0">
        <w:trPr>
          <w:trHeight w:val="397"/>
        </w:trPr>
        <w:tc>
          <w:tcPr>
            <w:tcW w:w="674" w:type="pct"/>
            <w:tcBorders>
              <w:bottom w:val="single" w:sz="4" w:space="0" w:color="auto"/>
            </w:tcBorders>
          </w:tcPr>
          <w:p w:rsidR="00A004DA" w:rsidRPr="00EC79CF" w:rsidRDefault="00A004DA" w:rsidP="00C71EF0">
            <w:pPr>
              <w:pStyle w:val="CGCTableStub"/>
              <w:tabs>
                <w:tab w:val="clear" w:pos="284"/>
                <w:tab w:val="left" w:pos="425"/>
                <w:tab w:val="left" w:pos="709"/>
                <w:tab w:val="left" w:pos="851"/>
              </w:tabs>
              <w:spacing w:before="0" w:after="0"/>
              <w:ind w:left="142"/>
              <w:rPr>
                <w:rFonts w:cs="Arial"/>
              </w:rPr>
            </w:pPr>
            <w:r w:rsidRPr="00EC79CF">
              <w:rPr>
                <w:rFonts w:cs="Arial"/>
              </w:rPr>
              <w:t>72</w:t>
            </w:r>
          </w:p>
        </w:tc>
        <w:tc>
          <w:tcPr>
            <w:tcW w:w="4326" w:type="pct"/>
            <w:tcBorders>
              <w:bottom w:val="single" w:sz="4" w:space="0" w:color="auto"/>
            </w:tcBorders>
          </w:tcPr>
          <w:p w:rsidR="00A004DA" w:rsidRPr="00EC79CF" w:rsidRDefault="00A004DA" w:rsidP="00724311">
            <w:pPr>
              <w:pStyle w:val="CGCTableStub"/>
              <w:tabs>
                <w:tab w:val="clear" w:pos="284"/>
                <w:tab w:val="left" w:pos="425"/>
                <w:tab w:val="left" w:pos="709"/>
                <w:tab w:val="left" w:pos="851"/>
              </w:tabs>
              <w:spacing w:before="0" w:after="0"/>
              <w:ind w:left="142"/>
              <w:rPr>
                <w:rFonts w:cs="Arial"/>
              </w:rPr>
            </w:pPr>
            <w:r w:rsidRPr="00EC79CF">
              <w:rPr>
                <w:rFonts w:cs="Arial"/>
                <w:b/>
              </w:rPr>
              <w:t>NPPs.</w:t>
            </w:r>
            <w:r w:rsidRPr="00EC79CF">
              <w:rPr>
                <w:rFonts w:cs="Arial"/>
              </w:rPr>
              <w:t xml:space="preserve"> </w:t>
            </w:r>
            <w:r w:rsidR="00E913C4" w:rsidRPr="00E913C4">
              <w:rPr>
                <w:rFonts w:cs="Arial"/>
              </w:rPr>
              <w:t>South Australia</w:t>
            </w:r>
            <w:r w:rsidR="00E913C4">
              <w:rPr>
                <w:rFonts w:cs="Arial"/>
              </w:rPr>
              <w:t xml:space="preserve"> experienced b</w:t>
            </w:r>
            <w:r w:rsidRPr="00EC79CF">
              <w:rPr>
                <w:rFonts w:cs="Arial"/>
              </w:rPr>
              <w:t>elow average growth in Commonwealth revenue for rail projects</w:t>
            </w:r>
            <w:r w:rsidR="00724311">
              <w:rPr>
                <w:rFonts w:cs="Arial"/>
              </w:rPr>
              <w:t>, thus increasing its GST revenue</w:t>
            </w:r>
            <w:r w:rsidRPr="00EC79CF">
              <w:rPr>
                <w:rFonts w:cs="Arial"/>
              </w:rPr>
              <w:t>.</w:t>
            </w:r>
          </w:p>
        </w:tc>
      </w:tr>
    </w:tbl>
    <w:p w:rsidR="00A004DA" w:rsidRPr="00EC79CF" w:rsidRDefault="00A004DA" w:rsidP="00A004DA">
      <w:pPr>
        <w:pStyle w:val="NoSpacing"/>
        <w:rPr>
          <w:sz w:val="16"/>
          <w:szCs w:val="16"/>
        </w:rPr>
        <w:sectPr w:rsidR="00A004DA" w:rsidRPr="00EC79CF" w:rsidSect="00C71EF0">
          <w:type w:val="continuous"/>
          <w:pgSz w:w="11899" w:h="16838" w:code="9"/>
          <w:pgMar w:top="1701" w:right="1474" w:bottom="1701" w:left="1474" w:header="709" w:footer="709" w:gutter="0"/>
          <w:cols w:space="708"/>
          <w:docGrid w:linePitch="299"/>
        </w:sectPr>
      </w:pPr>
    </w:p>
    <w:p w:rsidR="00A004DA" w:rsidRPr="00EC79CF" w:rsidRDefault="00A004DA" w:rsidP="00A004DA">
      <w:pPr>
        <w:tabs>
          <w:tab w:val="clear" w:pos="567"/>
        </w:tabs>
        <w:spacing w:after="40" w:line="240" w:lineRule="auto"/>
        <w:rPr>
          <w:rFonts w:cs="Arial"/>
          <w:b/>
          <w:color w:val="0000FF"/>
        </w:rPr>
        <w:sectPr w:rsidR="00A004DA" w:rsidRPr="00EC79CF" w:rsidSect="00C71EF0">
          <w:type w:val="continuous"/>
          <w:pgSz w:w="11899" w:h="16838" w:code="9"/>
          <w:pgMar w:top="1701" w:right="1474" w:bottom="1701" w:left="1474" w:header="709" w:footer="709" w:gutter="0"/>
          <w:cols w:space="708"/>
          <w:docGrid w:linePitch="299"/>
        </w:sectPr>
      </w:pPr>
    </w:p>
    <w:p w:rsidR="00A004DA" w:rsidRPr="00EC79CF" w:rsidRDefault="00A004DA" w:rsidP="00A004DA">
      <w:pPr>
        <w:pStyle w:val="Heading6"/>
        <w:rPr>
          <w:i w:val="0"/>
        </w:rPr>
      </w:pPr>
      <w:r w:rsidRPr="00EC79CF">
        <w:rPr>
          <w:i w:val="0"/>
        </w:rPr>
        <w:lastRenderedPageBreak/>
        <w:t>TASMANIA</w:t>
      </w:r>
    </w:p>
    <w:p w:rsidR="00A004DA" w:rsidRPr="00EC79CF" w:rsidRDefault="00A004DA" w:rsidP="00A004DA">
      <w:pPr>
        <w:tabs>
          <w:tab w:val="clear" w:pos="567"/>
        </w:tabs>
        <w:spacing w:after="40" w:line="240" w:lineRule="auto"/>
        <w:rPr>
          <w:rFonts w:cs="Arial"/>
          <w:b/>
          <w:color w:val="0000FF"/>
        </w:rPr>
        <w:sectPr w:rsidR="00A004DA" w:rsidRPr="00EC79CF" w:rsidSect="00C71EF0">
          <w:footerReference w:type="default" r:id="rId52"/>
          <w:footerReference w:type="first" r:id="rId53"/>
          <w:pgSz w:w="11899" w:h="16838" w:code="9"/>
          <w:pgMar w:top="1701" w:right="1474" w:bottom="1701" w:left="1474" w:header="709" w:footer="709" w:gutter="0"/>
          <w:cols w:space="708"/>
          <w:titlePg/>
          <w:docGrid w:linePitch="299"/>
        </w:sectPr>
      </w:pPr>
    </w:p>
    <w:p w:rsidR="00A004DA" w:rsidRPr="00EC79CF" w:rsidRDefault="00A004DA" w:rsidP="00A004DA">
      <w:r w:rsidRPr="00EC79CF">
        <w:lastRenderedPageBreak/>
        <w:t xml:space="preserve">Tasmania has the second lowest assessed fiscal capacity. It has the weakest revenue capacity in most tax bases, along with well below average capacity for mining revenue. In addition to this, it has the highest per capita assessed expenses other than the Northern Territory for </w:t>
      </w:r>
      <w:r w:rsidR="00F02ECB">
        <w:t>s</w:t>
      </w:r>
      <w:r w:rsidRPr="00EC79CF">
        <w:t>chool</w:t>
      </w:r>
      <w:r w:rsidR="00F02ECB">
        <w:t>s</w:t>
      </w:r>
      <w:r w:rsidRPr="00EC79CF">
        <w:t xml:space="preserve"> education, </w:t>
      </w:r>
      <w:r w:rsidR="00F02ECB">
        <w:t>h</w:t>
      </w:r>
      <w:r w:rsidRPr="00EC79CF">
        <w:t xml:space="preserve">ealth, </w:t>
      </w:r>
      <w:r w:rsidR="00F02ECB">
        <w:t>w</w:t>
      </w:r>
      <w:r w:rsidRPr="00EC79CF">
        <w:t xml:space="preserve">elfare and </w:t>
      </w:r>
      <w:r w:rsidR="00F02ECB">
        <w:t>h</w:t>
      </w:r>
      <w:r w:rsidRPr="00EC79CF">
        <w:t xml:space="preserve">ousing. </w:t>
      </w:r>
    </w:p>
    <w:p w:rsidR="00A004DA" w:rsidRPr="00EC79CF" w:rsidRDefault="00A004DA" w:rsidP="00A004DA">
      <w:r w:rsidRPr="00EC79CF">
        <w:t>The high service delivery costs reflect the State’s above average shares of people of low socio-economic status, older people and government school students, compounded by diseconomies of small scale in administration.</w:t>
      </w:r>
    </w:p>
    <w:p w:rsidR="00A004DA" w:rsidRPr="00EC79CF" w:rsidRDefault="00A004DA" w:rsidP="00A004DA">
      <w:r w:rsidRPr="00EC79CF">
        <w:t xml:space="preserve">This is </w:t>
      </w:r>
      <w:r w:rsidR="00724311">
        <w:t xml:space="preserve">partly </w:t>
      </w:r>
      <w:r w:rsidRPr="00EC79CF">
        <w:t xml:space="preserve">offset by </w:t>
      </w:r>
      <w:r w:rsidR="004C254D">
        <w:t xml:space="preserve">its below average population growth, leading to below average investment needs, and by </w:t>
      </w:r>
      <w:r w:rsidRPr="00EC79CF">
        <w:t>above average revenue from Commonwealth payments.</w:t>
      </w:r>
    </w:p>
    <w:p w:rsidR="00A004DA" w:rsidRPr="00EC79CF" w:rsidRDefault="00A004DA" w:rsidP="00A004DA"/>
    <w:p w:rsidR="00A004DA" w:rsidRPr="00EC79CF" w:rsidRDefault="00A004DA" w:rsidP="00A004DA"/>
    <w:p w:rsidR="00A004DA" w:rsidRDefault="00A004DA" w:rsidP="00A004DA">
      <w:pPr>
        <w:pStyle w:val="CGCTableHeading"/>
        <w:spacing w:before="0" w:after="0"/>
      </w:pPr>
      <w:r w:rsidRPr="00EC79CF">
        <w:lastRenderedPageBreak/>
        <w:t xml:space="preserve">Table </w:t>
      </w:r>
      <w:fldSimple w:instr=" SEQ Table \* ARABIC ">
        <w:r w:rsidR="003A5DEE">
          <w:rPr>
            <w:noProof/>
          </w:rPr>
          <w:t>21</w:t>
        </w:r>
      </w:fldSimple>
      <w:r w:rsidRPr="00EC79CF">
        <w:tab/>
        <w:t>Assessed GST, 2015-16</w:t>
      </w:r>
    </w:p>
    <w:tbl>
      <w:tblPr>
        <w:tblW w:w="4500" w:type="dxa"/>
        <w:tblInd w:w="93" w:type="dxa"/>
        <w:tblLook w:val="04A0" w:firstRow="1" w:lastRow="0" w:firstColumn="1" w:lastColumn="0" w:noHBand="0" w:noVBand="1"/>
      </w:tblPr>
      <w:tblGrid>
        <w:gridCol w:w="2740"/>
        <w:gridCol w:w="880"/>
        <w:gridCol w:w="880"/>
      </w:tblGrid>
      <w:tr w:rsidR="00807CAA" w:rsidRPr="00807CAA" w:rsidTr="00807CAA">
        <w:trPr>
          <w:trHeight w:val="315"/>
        </w:trPr>
        <w:tc>
          <w:tcPr>
            <w:tcW w:w="274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 </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$m</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$pc</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Equal per capita share</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1 224</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2 370</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Effect of assessed:</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Expenses</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 xml:space="preserve"> 525</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1 016</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Investment</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-191</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-370</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Net borrowing</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22</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42</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Revenue</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 xml:space="preserve"> 694</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1 342</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Commonwealth payments</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-38</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-73</w:t>
            </w:r>
          </w:p>
        </w:tc>
      </w:tr>
      <w:tr w:rsidR="00807CAA" w:rsidRPr="00807CAA" w:rsidTr="00807CAA">
        <w:trPr>
          <w:trHeight w:val="315"/>
        </w:trPr>
        <w:tc>
          <w:tcPr>
            <w:tcW w:w="274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Assessed GST</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2 236</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4 328</w:t>
            </w:r>
          </w:p>
        </w:tc>
      </w:tr>
    </w:tbl>
    <w:p w:rsidR="00A004DA" w:rsidRPr="00EC79CF" w:rsidRDefault="00A004DA" w:rsidP="00A004DA">
      <w:pPr>
        <w:pStyle w:val="CGCTableStub"/>
      </w:pPr>
      <w:r w:rsidRPr="00EC79CF">
        <w:t>Note: The table may not add due to rounding.</w:t>
      </w:r>
    </w:p>
    <w:p w:rsidR="00A004DA" w:rsidRDefault="00A004DA" w:rsidP="00A004DA">
      <w:pPr>
        <w:pStyle w:val="CGCTableHeading"/>
        <w:spacing w:before="0" w:after="0"/>
      </w:pPr>
      <w:r w:rsidRPr="00EC79CF">
        <w:t xml:space="preserve">Table </w:t>
      </w:r>
      <w:fldSimple w:instr=" SEQ Table \* ARABIC ">
        <w:r w:rsidR="003A5DEE">
          <w:rPr>
            <w:noProof/>
          </w:rPr>
          <w:t>22</w:t>
        </w:r>
      </w:fldSimple>
      <w:r w:rsidRPr="00EC79CF">
        <w:tab/>
        <w:t>Changes in GST</w:t>
      </w:r>
    </w:p>
    <w:tbl>
      <w:tblPr>
        <w:tblW w:w="4500" w:type="dxa"/>
        <w:tblInd w:w="93" w:type="dxa"/>
        <w:tblLook w:val="04A0" w:firstRow="1" w:lastRow="0" w:firstColumn="1" w:lastColumn="0" w:noHBand="0" w:noVBand="1"/>
      </w:tblPr>
      <w:tblGrid>
        <w:gridCol w:w="2740"/>
        <w:gridCol w:w="880"/>
        <w:gridCol w:w="880"/>
      </w:tblGrid>
      <w:tr w:rsidR="00807CAA" w:rsidRPr="00807CAA" w:rsidTr="00807CAA">
        <w:trPr>
          <w:trHeight w:val="315"/>
        </w:trPr>
        <w:tc>
          <w:tcPr>
            <w:tcW w:w="274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 </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$m</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$pc</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Change due to</w:t>
            </w:r>
            <w:r w:rsidR="00F02ECB">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New population</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-26</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-50</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Growth in GST available</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 xml:space="preserve"> 123</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237</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New relativities</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225</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436</w:t>
            </w:r>
          </w:p>
        </w:tc>
      </w:tr>
      <w:tr w:rsidR="008C67F5" w:rsidRPr="00807CAA" w:rsidTr="00807CAA">
        <w:trPr>
          <w:trHeight w:val="315"/>
        </w:trPr>
        <w:tc>
          <w:tcPr>
            <w:tcW w:w="2740" w:type="dxa"/>
            <w:tcBorders>
              <w:top w:val="nil"/>
              <w:left w:val="nil"/>
              <w:bottom w:val="nil"/>
              <w:right w:val="nil"/>
            </w:tcBorders>
            <w:shd w:val="clear" w:color="auto" w:fill="auto"/>
            <w:noWrap/>
            <w:vAlign w:val="bottom"/>
            <w:hideMark/>
          </w:tcPr>
          <w:p w:rsidR="008C67F5" w:rsidRPr="00807CAA" w:rsidRDefault="008C67F5"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Revised data</w:t>
            </w:r>
          </w:p>
        </w:tc>
        <w:tc>
          <w:tcPr>
            <w:tcW w:w="880" w:type="dxa"/>
            <w:tcBorders>
              <w:top w:val="nil"/>
              <w:left w:val="nil"/>
              <w:bottom w:val="nil"/>
              <w:right w:val="nil"/>
            </w:tcBorders>
            <w:shd w:val="clear" w:color="auto" w:fill="auto"/>
            <w:noWrap/>
            <w:vAlign w:val="bottom"/>
            <w:hideMark/>
          </w:tcPr>
          <w:p w:rsidR="008C67F5" w:rsidRPr="00D66C16"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-7</w:t>
            </w:r>
          </w:p>
        </w:tc>
        <w:tc>
          <w:tcPr>
            <w:tcW w:w="880" w:type="dxa"/>
            <w:tcBorders>
              <w:top w:val="nil"/>
              <w:left w:val="nil"/>
              <w:bottom w:val="nil"/>
              <w:right w:val="nil"/>
            </w:tcBorders>
            <w:shd w:val="clear" w:color="auto" w:fill="auto"/>
            <w:noWrap/>
            <w:vAlign w:val="bottom"/>
            <w:hideMark/>
          </w:tcPr>
          <w:p w:rsidR="008C67F5" w:rsidRPr="00D66C16"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-14</w:t>
            </w:r>
          </w:p>
        </w:tc>
      </w:tr>
      <w:tr w:rsidR="008C67F5" w:rsidRPr="00807CAA" w:rsidTr="00807CAA">
        <w:trPr>
          <w:trHeight w:val="315"/>
        </w:trPr>
        <w:tc>
          <w:tcPr>
            <w:tcW w:w="2740" w:type="dxa"/>
            <w:tcBorders>
              <w:top w:val="nil"/>
              <w:left w:val="nil"/>
              <w:bottom w:val="nil"/>
              <w:right w:val="nil"/>
            </w:tcBorders>
            <w:shd w:val="clear" w:color="auto" w:fill="auto"/>
            <w:noWrap/>
            <w:vAlign w:val="bottom"/>
            <w:hideMark/>
          </w:tcPr>
          <w:p w:rsidR="008C67F5" w:rsidRPr="00807CAA" w:rsidRDefault="008C67F5"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Method changes</w:t>
            </w:r>
          </w:p>
        </w:tc>
        <w:tc>
          <w:tcPr>
            <w:tcW w:w="880" w:type="dxa"/>
            <w:tcBorders>
              <w:top w:val="nil"/>
              <w:left w:val="nil"/>
              <w:bottom w:val="nil"/>
              <w:right w:val="nil"/>
            </w:tcBorders>
            <w:shd w:val="clear" w:color="auto" w:fill="auto"/>
            <w:noWrap/>
            <w:vAlign w:val="bottom"/>
            <w:hideMark/>
          </w:tcPr>
          <w:p w:rsidR="008C67F5" w:rsidRPr="00D66C16"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89</w:t>
            </w:r>
          </w:p>
        </w:tc>
        <w:tc>
          <w:tcPr>
            <w:tcW w:w="880" w:type="dxa"/>
            <w:tcBorders>
              <w:top w:val="nil"/>
              <w:left w:val="nil"/>
              <w:bottom w:val="nil"/>
              <w:right w:val="nil"/>
            </w:tcBorders>
            <w:shd w:val="clear" w:color="auto" w:fill="auto"/>
            <w:noWrap/>
            <w:vAlign w:val="bottom"/>
            <w:hideMark/>
          </w:tcPr>
          <w:p w:rsidR="008C67F5" w:rsidRPr="00D66C16"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171</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New circumstances</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144</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278</w:t>
            </w:r>
          </w:p>
        </w:tc>
      </w:tr>
      <w:tr w:rsidR="00807CAA" w:rsidRPr="00807CAA" w:rsidTr="00807CAA">
        <w:trPr>
          <w:trHeight w:val="315"/>
        </w:trPr>
        <w:tc>
          <w:tcPr>
            <w:tcW w:w="274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Total change</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322</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623</w:t>
            </w:r>
          </w:p>
        </w:tc>
      </w:tr>
    </w:tbl>
    <w:p w:rsidR="00A004DA" w:rsidRPr="00EC79CF" w:rsidRDefault="00A004DA" w:rsidP="00A004DA">
      <w:pPr>
        <w:pStyle w:val="NoSpacing"/>
      </w:pPr>
    </w:p>
    <w:p w:rsidR="00A004DA" w:rsidRPr="00EC79CF" w:rsidRDefault="00A004DA" w:rsidP="00A004DA">
      <w:pPr>
        <w:tabs>
          <w:tab w:val="clear" w:pos="567"/>
        </w:tabs>
        <w:spacing w:after="200" w:line="276" w:lineRule="auto"/>
        <w:rPr>
          <w:rFonts w:cs="Arial"/>
        </w:rPr>
        <w:sectPr w:rsidR="00A004DA" w:rsidRPr="00EC79CF" w:rsidSect="00C71EF0">
          <w:type w:val="continuous"/>
          <w:pgSz w:w="11899" w:h="16838" w:code="9"/>
          <w:pgMar w:top="1701" w:right="1474" w:bottom="1701" w:left="1474" w:header="709" w:footer="709" w:gutter="0"/>
          <w:cols w:num="2" w:space="293"/>
          <w:docGrid w:linePitch="299"/>
        </w:sectPr>
      </w:pPr>
    </w:p>
    <w:p w:rsidR="00A004DA" w:rsidRPr="00EC79CF" w:rsidRDefault="00A004DA" w:rsidP="00A004DA">
      <w:pPr>
        <w:tabs>
          <w:tab w:val="clear" w:pos="567"/>
        </w:tabs>
        <w:spacing w:after="240" w:line="280" w:lineRule="atLeast"/>
        <w:rPr>
          <w:rFonts w:cs="Arial"/>
          <w:sz w:val="21"/>
          <w:szCs w:val="21"/>
        </w:rPr>
      </w:pPr>
      <w:r w:rsidRPr="00EC79CF">
        <w:lastRenderedPageBreak/>
        <w:t>Compared with 2014-15, the State’s GST will rise by $3</w:t>
      </w:r>
      <w:r w:rsidR="004E13C2">
        <w:t>2</w:t>
      </w:r>
      <w:r w:rsidRPr="00EC79CF">
        <w:t>2 million or 1</w:t>
      </w:r>
      <w:r w:rsidR="004E13C2">
        <w:t>6</w:t>
      </w:r>
      <w:r w:rsidRPr="00EC79CF">
        <w:t>.</w:t>
      </w:r>
      <w:r w:rsidR="004E13C2">
        <w:t>8</w:t>
      </w:r>
      <w:r w:rsidRPr="00EC79CF">
        <w:t xml:space="preserve">%. Its GST share will </w:t>
      </w:r>
      <w:proofErr w:type="gramStart"/>
      <w:r w:rsidRPr="00EC79CF">
        <w:t>rise</w:t>
      </w:r>
      <w:proofErr w:type="gramEnd"/>
      <w:r w:rsidRPr="00EC79CF">
        <w:t xml:space="preserve"> from 3.6% to </w:t>
      </w:r>
      <w:r w:rsidR="004E13C2">
        <w:t>3.9</w:t>
      </w:r>
      <w:r w:rsidRPr="00EC79CF">
        <w:t>%, primarily due to a fall in its revenue raising capacity, an increase in its overall expense requirements and a fall in its share of Commonwealth payments.</w:t>
      </w:r>
    </w:p>
    <w:p w:rsidR="00A004DA" w:rsidRPr="00EC79CF" w:rsidRDefault="00A004DA" w:rsidP="00A004DA">
      <w:pPr>
        <w:pStyle w:val="CGCTableHeading"/>
      </w:pPr>
      <w:r w:rsidRPr="00EC79CF">
        <w:rPr>
          <w:bCs/>
        </w:rPr>
        <w:t xml:space="preserve">Table </w:t>
      </w:r>
      <w:r w:rsidRPr="00EC79CF">
        <w:rPr>
          <w:bCs/>
        </w:rPr>
        <w:fldChar w:fldCharType="begin"/>
      </w:r>
      <w:r w:rsidRPr="00EC79CF">
        <w:rPr>
          <w:bCs/>
        </w:rPr>
        <w:instrText xml:space="preserve"> SEQ Table \* ARABIC </w:instrText>
      </w:r>
      <w:r w:rsidRPr="00EC79CF">
        <w:rPr>
          <w:bCs/>
        </w:rPr>
        <w:fldChar w:fldCharType="separate"/>
      </w:r>
      <w:r w:rsidR="003A5DEE">
        <w:rPr>
          <w:bCs/>
          <w:noProof/>
        </w:rPr>
        <w:t>23</w:t>
      </w:r>
      <w:r w:rsidRPr="00EC79CF">
        <w:rPr>
          <w:bCs/>
        </w:rPr>
        <w:fldChar w:fldCharType="end"/>
      </w:r>
      <w:r w:rsidRPr="00EC79CF">
        <w:rPr>
          <w:bCs/>
        </w:rPr>
        <w:tab/>
      </w:r>
      <w:r w:rsidR="004538F1">
        <w:t>Five largest changes</w:t>
      </w:r>
      <w:r w:rsidR="00CD1096">
        <w:t xml:space="preserve"> for Tasmania</w:t>
      </w:r>
    </w:p>
    <w:tbl>
      <w:tblPr>
        <w:tblW w:w="5000" w:type="pct"/>
        <w:tblLayout w:type="fixed"/>
        <w:tblCellMar>
          <w:left w:w="0" w:type="dxa"/>
          <w:right w:w="0" w:type="dxa"/>
        </w:tblCellMar>
        <w:tblLook w:val="0000" w:firstRow="0" w:lastRow="0" w:firstColumn="0" w:lastColumn="0" w:noHBand="0" w:noVBand="0"/>
      </w:tblPr>
      <w:tblGrid>
        <w:gridCol w:w="1207"/>
        <w:gridCol w:w="7744"/>
      </w:tblGrid>
      <w:tr w:rsidR="00A004DA" w:rsidRPr="00EC79CF" w:rsidTr="00C71EF0">
        <w:tc>
          <w:tcPr>
            <w:tcW w:w="674" w:type="pct"/>
            <w:tcBorders>
              <w:top w:val="single" w:sz="6" w:space="0" w:color="auto"/>
              <w:bottom w:val="single" w:sz="6" w:space="0" w:color="auto"/>
            </w:tcBorders>
          </w:tcPr>
          <w:p w:rsidR="00A004DA" w:rsidRPr="00EC79CF" w:rsidRDefault="00A004DA" w:rsidP="00C71EF0">
            <w:pPr>
              <w:pStyle w:val="TableColHeadings"/>
              <w:ind w:left="193" w:hanging="142"/>
              <w:jc w:val="left"/>
              <w:rPr>
                <w:rFonts w:cstheme="minorHAnsi"/>
              </w:rPr>
            </w:pPr>
            <w:r w:rsidRPr="00EC79CF">
              <w:rPr>
                <w:rFonts w:cstheme="minorHAnsi"/>
              </w:rPr>
              <w:t>Change ($m)</w:t>
            </w:r>
          </w:p>
        </w:tc>
        <w:tc>
          <w:tcPr>
            <w:tcW w:w="4326" w:type="pct"/>
            <w:tcBorders>
              <w:top w:val="single" w:sz="6" w:space="0" w:color="auto"/>
              <w:bottom w:val="single" w:sz="6" w:space="0" w:color="auto"/>
            </w:tcBorders>
            <w:vAlign w:val="center"/>
          </w:tcPr>
          <w:p w:rsidR="00A004DA" w:rsidRPr="00EC79CF" w:rsidRDefault="00A004DA" w:rsidP="00C71EF0">
            <w:pPr>
              <w:pStyle w:val="TableColHeadings"/>
              <w:ind w:left="193" w:hanging="142"/>
              <w:jc w:val="left"/>
              <w:rPr>
                <w:rFonts w:cstheme="minorHAnsi"/>
              </w:rPr>
            </w:pPr>
            <w:r w:rsidRPr="00EC79CF">
              <w:rPr>
                <w:rFonts w:cstheme="minorHAnsi"/>
              </w:rPr>
              <w:t>Reason for change</w:t>
            </w:r>
          </w:p>
        </w:tc>
      </w:tr>
      <w:tr w:rsidR="00A004DA" w:rsidRPr="00EC79CF" w:rsidTr="00C71EF0">
        <w:tc>
          <w:tcPr>
            <w:tcW w:w="5000" w:type="pct"/>
            <w:gridSpan w:val="2"/>
          </w:tcPr>
          <w:p w:rsidR="00A004DA" w:rsidRPr="00EC79CF" w:rsidRDefault="00A004DA" w:rsidP="00C71EF0">
            <w:pPr>
              <w:pStyle w:val="TableRowNormal"/>
              <w:ind w:left="193" w:hanging="142"/>
              <w:jc w:val="left"/>
              <w:rPr>
                <w:rFonts w:cstheme="minorHAnsi"/>
                <w:b/>
              </w:rPr>
            </w:pPr>
            <w:r w:rsidRPr="00EC79CF">
              <w:rPr>
                <w:rFonts w:cs="Arial"/>
                <w:b/>
              </w:rPr>
              <w:t>Changes in methods</w:t>
            </w:r>
          </w:p>
        </w:tc>
      </w:tr>
      <w:tr w:rsidR="00A004DA" w:rsidRPr="00EC79CF" w:rsidTr="00C71EF0">
        <w:tc>
          <w:tcPr>
            <w:tcW w:w="674" w:type="pct"/>
          </w:tcPr>
          <w:p w:rsidR="00A004DA" w:rsidRPr="00EC79CF" w:rsidRDefault="00E913C4" w:rsidP="00C71EF0">
            <w:pPr>
              <w:pStyle w:val="CGCTableStub"/>
              <w:tabs>
                <w:tab w:val="clear" w:pos="284"/>
                <w:tab w:val="left" w:pos="425"/>
                <w:tab w:val="left" w:pos="709"/>
                <w:tab w:val="left" w:pos="851"/>
              </w:tabs>
              <w:spacing w:before="0" w:after="0"/>
              <w:ind w:left="142"/>
              <w:rPr>
                <w:rFonts w:cs="Arial"/>
              </w:rPr>
            </w:pPr>
            <w:r>
              <w:rPr>
                <w:rFonts w:cs="Arial"/>
              </w:rPr>
              <w:t>92</w:t>
            </w:r>
          </w:p>
        </w:tc>
        <w:tc>
          <w:tcPr>
            <w:tcW w:w="4326" w:type="pct"/>
          </w:tcPr>
          <w:p w:rsidR="00A004DA" w:rsidRPr="00EC79CF" w:rsidRDefault="00A004DA" w:rsidP="00DB0588">
            <w:pPr>
              <w:pStyle w:val="CGCTableStub"/>
              <w:tabs>
                <w:tab w:val="clear" w:pos="284"/>
                <w:tab w:val="left" w:pos="425"/>
                <w:tab w:val="left" w:pos="709"/>
                <w:tab w:val="left" w:pos="851"/>
              </w:tabs>
              <w:spacing w:before="0" w:after="0"/>
              <w:ind w:left="142"/>
              <w:rPr>
                <w:rFonts w:cs="Arial"/>
              </w:rPr>
            </w:pPr>
            <w:r w:rsidRPr="00EC79CF">
              <w:rPr>
                <w:rFonts w:cs="Arial"/>
                <w:b/>
              </w:rPr>
              <w:t>Health.</w:t>
            </w:r>
            <w:r w:rsidRPr="00EC79CF">
              <w:rPr>
                <w:rFonts w:cs="Arial"/>
              </w:rPr>
              <w:t xml:space="preserve"> Better recognition of the effects of the State’s above average share of low SES people</w:t>
            </w:r>
            <w:r w:rsidR="00724311">
              <w:rPr>
                <w:rFonts w:cs="Arial"/>
              </w:rPr>
              <w:t xml:space="preserve"> increased the State’s GST revenue</w:t>
            </w:r>
            <w:r w:rsidR="00DB0588">
              <w:rPr>
                <w:rFonts w:cs="Arial"/>
              </w:rPr>
              <w:t>.</w:t>
            </w:r>
          </w:p>
        </w:tc>
      </w:tr>
      <w:tr w:rsidR="00E913C4" w:rsidRPr="00F567B9" w:rsidTr="007C3093">
        <w:tc>
          <w:tcPr>
            <w:tcW w:w="674" w:type="pct"/>
          </w:tcPr>
          <w:p w:rsidR="00E913C4" w:rsidRPr="00F567B9" w:rsidRDefault="00E913C4" w:rsidP="007C3093">
            <w:pPr>
              <w:pStyle w:val="CGCTableStub"/>
              <w:tabs>
                <w:tab w:val="clear" w:pos="284"/>
                <w:tab w:val="left" w:pos="425"/>
                <w:tab w:val="left" w:pos="709"/>
                <w:tab w:val="left" w:pos="851"/>
              </w:tabs>
              <w:spacing w:before="0" w:after="0"/>
              <w:ind w:left="142"/>
              <w:rPr>
                <w:rFonts w:cs="Arial"/>
              </w:rPr>
            </w:pPr>
            <w:r w:rsidRPr="00F567B9">
              <w:rPr>
                <w:rFonts w:cs="Arial"/>
              </w:rPr>
              <w:t>61</w:t>
            </w:r>
          </w:p>
        </w:tc>
        <w:tc>
          <w:tcPr>
            <w:tcW w:w="4326" w:type="pct"/>
          </w:tcPr>
          <w:p w:rsidR="00E913C4" w:rsidRPr="00F567B9" w:rsidRDefault="00E913C4" w:rsidP="00DB0588">
            <w:pPr>
              <w:pStyle w:val="CGCTableStub"/>
              <w:tabs>
                <w:tab w:val="clear" w:pos="284"/>
                <w:tab w:val="left" w:pos="425"/>
                <w:tab w:val="left" w:pos="709"/>
                <w:tab w:val="left" w:pos="851"/>
              </w:tabs>
              <w:spacing w:before="0" w:after="0"/>
              <w:ind w:left="142"/>
              <w:rPr>
                <w:rFonts w:cs="Arial"/>
              </w:rPr>
            </w:pPr>
            <w:r w:rsidRPr="00F567B9">
              <w:rPr>
                <w:rFonts w:cs="Arial"/>
                <w:b/>
              </w:rPr>
              <w:t>Service to communities.</w:t>
            </w:r>
            <w:r w:rsidRPr="00F567B9">
              <w:rPr>
                <w:rFonts w:cs="Arial"/>
              </w:rPr>
              <w:t xml:space="preserve"> </w:t>
            </w:r>
            <w:r w:rsidR="00FC43E7" w:rsidRPr="00F567B9">
              <w:rPr>
                <w:rFonts w:cs="Arial"/>
              </w:rPr>
              <w:t>The removal of the assessment of water quality and availability and changes in the remoteness classification which now classifies urban centres on the west coast of Tasmania as remote</w:t>
            </w:r>
            <w:r w:rsidR="00DB0588">
              <w:rPr>
                <w:rFonts w:cs="Arial"/>
              </w:rPr>
              <w:t>, increased its GST revenue</w:t>
            </w:r>
            <w:r w:rsidR="00FC43E7" w:rsidRPr="00F567B9">
              <w:rPr>
                <w:rFonts w:cs="Arial"/>
              </w:rPr>
              <w:t>.</w:t>
            </w:r>
          </w:p>
        </w:tc>
      </w:tr>
      <w:tr w:rsidR="00A004DA" w:rsidRPr="00F567B9" w:rsidTr="00C71EF0">
        <w:trPr>
          <w:trHeight w:val="286"/>
        </w:trPr>
        <w:tc>
          <w:tcPr>
            <w:tcW w:w="674" w:type="pct"/>
          </w:tcPr>
          <w:p w:rsidR="00A004DA" w:rsidRPr="00F567B9" w:rsidRDefault="00A004DA" w:rsidP="00E913C4">
            <w:pPr>
              <w:pStyle w:val="CGCTableStub"/>
              <w:tabs>
                <w:tab w:val="clear" w:pos="284"/>
                <w:tab w:val="left" w:pos="425"/>
                <w:tab w:val="left" w:pos="709"/>
                <w:tab w:val="left" w:pos="851"/>
              </w:tabs>
              <w:spacing w:before="0" w:after="0"/>
              <w:ind w:left="142"/>
              <w:rPr>
                <w:rFonts w:cs="Arial"/>
              </w:rPr>
            </w:pPr>
            <w:r w:rsidRPr="00F567B9">
              <w:rPr>
                <w:rFonts w:cs="Arial"/>
              </w:rPr>
              <w:t>-6</w:t>
            </w:r>
            <w:r w:rsidR="00E913C4" w:rsidRPr="00F567B9">
              <w:rPr>
                <w:rFonts w:cs="Arial"/>
              </w:rPr>
              <w:t>1</w:t>
            </w:r>
          </w:p>
        </w:tc>
        <w:tc>
          <w:tcPr>
            <w:tcW w:w="4326" w:type="pct"/>
          </w:tcPr>
          <w:p w:rsidR="00A004DA" w:rsidRPr="00F567B9" w:rsidRDefault="00A004DA" w:rsidP="004322AC">
            <w:pPr>
              <w:pStyle w:val="CGCTableStub"/>
              <w:tabs>
                <w:tab w:val="clear" w:pos="284"/>
                <w:tab w:val="left" w:pos="425"/>
                <w:tab w:val="left" w:pos="709"/>
                <w:tab w:val="left" w:pos="851"/>
              </w:tabs>
              <w:spacing w:before="0" w:after="0"/>
              <w:ind w:left="142"/>
              <w:rPr>
                <w:rFonts w:cs="Arial"/>
              </w:rPr>
            </w:pPr>
            <w:r w:rsidRPr="00F567B9">
              <w:rPr>
                <w:rFonts w:cs="Arial"/>
                <w:b/>
              </w:rPr>
              <w:t>Transport.</w:t>
            </w:r>
            <w:r w:rsidRPr="00F567B9">
              <w:rPr>
                <w:rFonts w:cs="Arial"/>
              </w:rPr>
              <w:t xml:space="preserve"> Tasmania has below average needs for transport spending. </w:t>
            </w:r>
            <w:r w:rsidR="00525780" w:rsidRPr="00F567B9">
              <w:rPr>
                <w:rFonts w:cs="Arial"/>
              </w:rPr>
              <w:t xml:space="preserve">The move to a more comprehensive assessment of transport expenses </w:t>
            </w:r>
            <w:r w:rsidR="004322AC" w:rsidRPr="00F567B9">
              <w:rPr>
                <w:rFonts w:cs="Arial"/>
              </w:rPr>
              <w:t>reduced</w:t>
            </w:r>
            <w:r w:rsidR="00525780" w:rsidRPr="00F567B9">
              <w:rPr>
                <w:rFonts w:cs="Arial"/>
              </w:rPr>
              <w:t xml:space="preserve"> Tasmania’s GST revenue.</w:t>
            </w:r>
          </w:p>
        </w:tc>
      </w:tr>
      <w:tr w:rsidR="00A004DA" w:rsidRPr="00F567B9" w:rsidTr="00C71EF0">
        <w:tc>
          <w:tcPr>
            <w:tcW w:w="674" w:type="pct"/>
          </w:tcPr>
          <w:p w:rsidR="00A004DA" w:rsidRPr="00F567B9" w:rsidRDefault="00A004DA" w:rsidP="00C71EF0">
            <w:pPr>
              <w:pStyle w:val="CGCTableStub"/>
              <w:tabs>
                <w:tab w:val="clear" w:pos="284"/>
                <w:tab w:val="left" w:pos="425"/>
                <w:tab w:val="left" w:pos="709"/>
                <w:tab w:val="left" w:pos="851"/>
              </w:tabs>
              <w:spacing w:before="0" w:after="0"/>
              <w:ind w:left="142"/>
              <w:rPr>
                <w:rFonts w:cs="Arial"/>
              </w:rPr>
            </w:pPr>
            <w:r w:rsidRPr="00F567B9">
              <w:rPr>
                <w:rFonts w:cs="Arial"/>
              </w:rPr>
              <w:t>-46</w:t>
            </w:r>
          </w:p>
        </w:tc>
        <w:tc>
          <w:tcPr>
            <w:tcW w:w="4326" w:type="pct"/>
          </w:tcPr>
          <w:p w:rsidR="00A004DA" w:rsidRPr="00F567B9" w:rsidRDefault="00A004DA" w:rsidP="00DB0588">
            <w:pPr>
              <w:pStyle w:val="CGCTableStub"/>
              <w:tabs>
                <w:tab w:val="clear" w:pos="284"/>
                <w:tab w:val="left" w:pos="425"/>
                <w:tab w:val="left" w:pos="709"/>
                <w:tab w:val="left" w:pos="851"/>
              </w:tabs>
              <w:spacing w:before="0" w:after="0"/>
              <w:ind w:left="142"/>
              <w:rPr>
                <w:rFonts w:cs="Arial"/>
              </w:rPr>
            </w:pPr>
            <w:r w:rsidRPr="00F567B9">
              <w:rPr>
                <w:rFonts w:cs="Arial"/>
                <w:b/>
              </w:rPr>
              <w:t xml:space="preserve">Welfare. </w:t>
            </w:r>
            <w:r w:rsidRPr="00F567B9">
              <w:rPr>
                <w:rFonts w:cs="Arial"/>
              </w:rPr>
              <w:t xml:space="preserve">Changes in Commonwealth-State responsibilities for aged care </w:t>
            </w:r>
            <w:r w:rsidR="004C254D" w:rsidRPr="00F567B9">
              <w:rPr>
                <w:rFonts w:cs="Arial"/>
              </w:rPr>
              <w:t xml:space="preserve">services </w:t>
            </w:r>
            <w:r w:rsidRPr="00F567B9">
              <w:rPr>
                <w:rFonts w:cs="Arial"/>
              </w:rPr>
              <w:t xml:space="preserve">and </w:t>
            </w:r>
            <w:r w:rsidR="004C254D" w:rsidRPr="00F567B9">
              <w:rPr>
                <w:rFonts w:cs="Arial"/>
              </w:rPr>
              <w:t xml:space="preserve">better recognition of the effects of its above average need for </w:t>
            </w:r>
            <w:r w:rsidRPr="00F567B9">
              <w:rPr>
                <w:rFonts w:cs="Arial"/>
              </w:rPr>
              <w:t>disability services</w:t>
            </w:r>
            <w:r w:rsidR="00DB0588">
              <w:rPr>
                <w:rFonts w:cs="Arial"/>
              </w:rPr>
              <w:t xml:space="preserve"> reduced its GST revenue</w:t>
            </w:r>
            <w:r w:rsidRPr="00F567B9">
              <w:rPr>
                <w:rFonts w:cs="Arial"/>
              </w:rPr>
              <w:t>.</w:t>
            </w:r>
          </w:p>
        </w:tc>
      </w:tr>
      <w:tr w:rsidR="00A004DA" w:rsidRPr="00F567B9" w:rsidTr="00C71EF0">
        <w:tc>
          <w:tcPr>
            <w:tcW w:w="5000" w:type="pct"/>
            <w:gridSpan w:val="2"/>
          </w:tcPr>
          <w:p w:rsidR="00A004DA" w:rsidRPr="00F567B9" w:rsidRDefault="00A004DA" w:rsidP="00C71EF0">
            <w:pPr>
              <w:pStyle w:val="TableRowNormal"/>
              <w:ind w:left="193" w:hanging="142"/>
              <w:jc w:val="left"/>
              <w:rPr>
                <w:rFonts w:cstheme="minorHAnsi"/>
              </w:rPr>
            </w:pPr>
            <w:r w:rsidRPr="00F567B9">
              <w:rPr>
                <w:rFonts w:cs="Arial"/>
                <w:b/>
              </w:rPr>
              <w:t>Changes in circumstances</w:t>
            </w:r>
          </w:p>
        </w:tc>
      </w:tr>
      <w:tr w:rsidR="00A004DA" w:rsidRPr="00F567B9" w:rsidTr="00C71EF0">
        <w:tc>
          <w:tcPr>
            <w:tcW w:w="674" w:type="pct"/>
            <w:tcBorders>
              <w:bottom w:val="single" w:sz="4" w:space="0" w:color="auto"/>
            </w:tcBorders>
          </w:tcPr>
          <w:p w:rsidR="00A004DA" w:rsidRPr="00F567B9" w:rsidRDefault="00A004DA" w:rsidP="00E913C4">
            <w:pPr>
              <w:pStyle w:val="CGCTableStub"/>
              <w:tabs>
                <w:tab w:val="clear" w:pos="284"/>
                <w:tab w:val="left" w:pos="425"/>
                <w:tab w:val="left" w:pos="709"/>
                <w:tab w:val="left" w:pos="851"/>
              </w:tabs>
              <w:spacing w:before="0" w:after="0"/>
              <w:ind w:left="142"/>
              <w:rPr>
                <w:rFonts w:cs="Arial"/>
              </w:rPr>
            </w:pPr>
            <w:r w:rsidRPr="00F567B9">
              <w:rPr>
                <w:rFonts w:cs="Arial"/>
              </w:rPr>
              <w:t>1</w:t>
            </w:r>
            <w:r w:rsidR="00E913C4" w:rsidRPr="00F567B9">
              <w:rPr>
                <w:rFonts w:cs="Arial"/>
              </w:rPr>
              <w:t>10</w:t>
            </w:r>
          </w:p>
        </w:tc>
        <w:tc>
          <w:tcPr>
            <w:tcW w:w="4326" w:type="pct"/>
            <w:tcBorders>
              <w:bottom w:val="single" w:sz="4" w:space="0" w:color="auto"/>
            </w:tcBorders>
          </w:tcPr>
          <w:p w:rsidR="00A004DA" w:rsidRPr="00F567B9" w:rsidRDefault="00A004DA" w:rsidP="00DB0588">
            <w:pPr>
              <w:pStyle w:val="CGCTableStub"/>
              <w:tabs>
                <w:tab w:val="clear" w:pos="284"/>
                <w:tab w:val="left" w:pos="425"/>
                <w:tab w:val="left" w:pos="709"/>
                <w:tab w:val="left" w:pos="851"/>
              </w:tabs>
              <w:spacing w:before="0" w:after="0"/>
              <w:ind w:left="142"/>
              <w:rPr>
                <w:rFonts w:cs="Arial"/>
              </w:rPr>
            </w:pPr>
            <w:r w:rsidRPr="00F567B9">
              <w:rPr>
                <w:rFonts w:cs="Arial"/>
                <w:b/>
              </w:rPr>
              <w:t>NPPs.</w:t>
            </w:r>
            <w:r w:rsidRPr="00F567B9">
              <w:rPr>
                <w:rFonts w:cs="Arial"/>
              </w:rPr>
              <w:t xml:space="preserve"> </w:t>
            </w:r>
            <w:r w:rsidR="00525780" w:rsidRPr="00F567B9">
              <w:rPr>
                <w:rFonts w:cs="Arial"/>
              </w:rPr>
              <w:t xml:space="preserve">Tasmania experienced a </w:t>
            </w:r>
            <w:r w:rsidRPr="00F567B9">
              <w:rPr>
                <w:rFonts w:cs="Arial"/>
              </w:rPr>
              <w:t>fall in its share of Commonwealth health infrastructure funding between 2010-11 and 2013-14</w:t>
            </w:r>
            <w:r w:rsidR="00DB0588">
              <w:rPr>
                <w:rFonts w:cs="Arial"/>
              </w:rPr>
              <w:t>, thus increasing its GST revenue</w:t>
            </w:r>
            <w:r w:rsidRPr="00F567B9">
              <w:rPr>
                <w:rFonts w:cs="Arial"/>
              </w:rPr>
              <w:t>.</w:t>
            </w:r>
          </w:p>
        </w:tc>
      </w:tr>
    </w:tbl>
    <w:p w:rsidR="00A004DA" w:rsidRPr="00F567B9" w:rsidRDefault="00A004DA" w:rsidP="00A004DA">
      <w:pPr>
        <w:pStyle w:val="NoSpacing"/>
        <w:rPr>
          <w:sz w:val="16"/>
          <w:szCs w:val="16"/>
        </w:rPr>
        <w:sectPr w:rsidR="00A004DA" w:rsidRPr="00F567B9" w:rsidSect="00C71EF0">
          <w:type w:val="continuous"/>
          <w:pgSz w:w="11899" w:h="16838" w:code="9"/>
          <w:pgMar w:top="1701" w:right="1474" w:bottom="1701" w:left="1474" w:header="709" w:footer="709" w:gutter="0"/>
          <w:cols w:space="708"/>
          <w:docGrid w:linePitch="299"/>
        </w:sectPr>
      </w:pPr>
    </w:p>
    <w:p w:rsidR="00A004DA" w:rsidRPr="00F567B9" w:rsidRDefault="00A004DA" w:rsidP="00A004DA">
      <w:pPr>
        <w:tabs>
          <w:tab w:val="clear" w:pos="567"/>
        </w:tabs>
        <w:spacing w:after="40" w:line="240" w:lineRule="auto"/>
        <w:rPr>
          <w:rFonts w:cs="Arial"/>
          <w:b/>
          <w:color w:val="0000FF"/>
        </w:rPr>
        <w:sectPr w:rsidR="00A004DA" w:rsidRPr="00F567B9" w:rsidSect="00C71EF0">
          <w:type w:val="continuous"/>
          <w:pgSz w:w="11899" w:h="16838" w:code="9"/>
          <w:pgMar w:top="1701" w:right="1474" w:bottom="1701" w:left="1474" w:header="709" w:footer="709" w:gutter="0"/>
          <w:cols w:space="708"/>
          <w:docGrid w:linePitch="299"/>
        </w:sectPr>
      </w:pPr>
    </w:p>
    <w:p w:rsidR="00A004DA" w:rsidRPr="00F567B9" w:rsidRDefault="00A004DA" w:rsidP="00A004DA">
      <w:pPr>
        <w:pStyle w:val="Heading6"/>
        <w:rPr>
          <w:i w:val="0"/>
        </w:rPr>
      </w:pPr>
      <w:bookmarkStart w:id="362" w:name="_Toc380590469"/>
      <w:bookmarkStart w:id="363" w:name="_Toc380590587"/>
      <w:r w:rsidRPr="00F567B9">
        <w:rPr>
          <w:i w:val="0"/>
        </w:rPr>
        <w:lastRenderedPageBreak/>
        <w:t>AUSTRALIAN CAPITAL TERRITORY</w:t>
      </w:r>
      <w:bookmarkEnd w:id="362"/>
      <w:bookmarkEnd w:id="363"/>
    </w:p>
    <w:p w:rsidR="00A004DA" w:rsidRPr="00F567B9" w:rsidRDefault="00A004DA" w:rsidP="00A004DA">
      <w:pPr>
        <w:tabs>
          <w:tab w:val="clear" w:pos="567"/>
        </w:tabs>
        <w:spacing w:after="40" w:line="240" w:lineRule="auto"/>
        <w:rPr>
          <w:rFonts w:cs="Arial"/>
          <w:b/>
          <w:color w:val="0000FF"/>
        </w:rPr>
        <w:sectPr w:rsidR="00A004DA" w:rsidRPr="00F567B9" w:rsidSect="00C71EF0">
          <w:footerReference w:type="default" r:id="rId54"/>
          <w:footerReference w:type="first" r:id="rId55"/>
          <w:pgSz w:w="11899" w:h="16838" w:code="9"/>
          <w:pgMar w:top="1701" w:right="1474" w:bottom="1701" w:left="1474" w:header="709" w:footer="709" w:gutter="0"/>
          <w:cols w:space="708"/>
          <w:titlePg/>
          <w:docGrid w:linePitch="299"/>
        </w:sectPr>
      </w:pPr>
    </w:p>
    <w:p w:rsidR="00A004DA" w:rsidRPr="00F567B9" w:rsidRDefault="00A004DA" w:rsidP="00A004DA">
      <w:r w:rsidRPr="00F567B9">
        <w:lastRenderedPageBreak/>
        <w:t xml:space="preserve">The ACT now has the fourth highest assessed fiscal capacity. This is largely due to its below average assessed cost of providing services and infrastructure. </w:t>
      </w:r>
    </w:p>
    <w:p w:rsidR="00A004DA" w:rsidRPr="00F567B9" w:rsidRDefault="00A004DA" w:rsidP="00A004DA">
      <w:r w:rsidRPr="00F567B9">
        <w:t>The low cost of its relatively young, urbanised, higher socio-economic status population more than offsets the impact of diseconomies of scale in administration and above average wage levels.</w:t>
      </w:r>
    </w:p>
    <w:p w:rsidR="00A004DA" w:rsidRPr="00F567B9" w:rsidRDefault="00A004DA" w:rsidP="00A004DA">
      <w:r w:rsidRPr="00F567B9">
        <w:t xml:space="preserve">The ACT has below average capacity to raise revenue across most revenue streams. It has no mining industry and very low motor vehicle and land tax capacity. </w:t>
      </w:r>
    </w:p>
    <w:p w:rsidR="00A004DA" w:rsidRPr="00F567B9" w:rsidRDefault="00A004DA" w:rsidP="00A004DA">
      <w:r w:rsidRPr="00F567B9">
        <w:t xml:space="preserve">Despite not being able to levy payroll tax on Commonwealth employees, the ACT has above average payroll tax capacity. It also receives the lowest level of per capita Commonwealth payments. </w:t>
      </w:r>
    </w:p>
    <w:p w:rsidR="00A004DA" w:rsidRPr="00F567B9" w:rsidRDefault="00A004DA" w:rsidP="00A004DA"/>
    <w:p w:rsidR="00A004DA" w:rsidRPr="00F567B9" w:rsidRDefault="00A004DA" w:rsidP="00A004DA"/>
    <w:p w:rsidR="00A004DA" w:rsidRPr="00F567B9" w:rsidRDefault="00A004DA" w:rsidP="00A004DA">
      <w:pPr>
        <w:pStyle w:val="CGCTableHeading"/>
        <w:spacing w:before="0" w:after="0"/>
      </w:pPr>
      <w:r w:rsidRPr="00F567B9">
        <w:lastRenderedPageBreak/>
        <w:t xml:space="preserve">Table </w:t>
      </w:r>
      <w:fldSimple w:instr=" SEQ Table \* ARABIC ">
        <w:r w:rsidR="003A5DEE">
          <w:rPr>
            <w:noProof/>
          </w:rPr>
          <w:t>24</w:t>
        </w:r>
      </w:fldSimple>
      <w:r w:rsidRPr="00F567B9">
        <w:tab/>
        <w:t>Assessed GST, 2015-16</w:t>
      </w:r>
    </w:p>
    <w:tbl>
      <w:tblPr>
        <w:tblW w:w="4500" w:type="dxa"/>
        <w:tblInd w:w="93" w:type="dxa"/>
        <w:tblLook w:val="04A0" w:firstRow="1" w:lastRow="0" w:firstColumn="1" w:lastColumn="0" w:noHBand="0" w:noVBand="1"/>
      </w:tblPr>
      <w:tblGrid>
        <w:gridCol w:w="2740"/>
        <w:gridCol w:w="880"/>
        <w:gridCol w:w="880"/>
      </w:tblGrid>
      <w:tr w:rsidR="00807CAA" w:rsidRPr="00F567B9" w:rsidTr="00807CAA">
        <w:trPr>
          <w:trHeight w:val="315"/>
        </w:trPr>
        <w:tc>
          <w:tcPr>
            <w:tcW w:w="2740" w:type="dxa"/>
            <w:tcBorders>
              <w:top w:val="single" w:sz="4" w:space="0" w:color="auto"/>
              <w:left w:val="nil"/>
              <w:bottom w:val="single" w:sz="4" w:space="0" w:color="auto"/>
              <w:right w:val="nil"/>
            </w:tcBorders>
            <w:shd w:val="clear" w:color="auto" w:fill="auto"/>
            <w:noWrap/>
            <w:vAlign w:val="center"/>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 </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$m</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$pc</w:t>
            </w:r>
          </w:p>
        </w:tc>
      </w:tr>
      <w:tr w:rsidR="00807CAA" w:rsidRPr="00F567B9" w:rsidTr="00807CAA">
        <w:trPr>
          <w:trHeight w:val="315"/>
        </w:trPr>
        <w:tc>
          <w:tcPr>
            <w:tcW w:w="274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Equal per capita share</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 xml:space="preserve"> 942</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2 370</w:t>
            </w:r>
          </w:p>
        </w:tc>
      </w:tr>
      <w:tr w:rsidR="00807CAA" w:rsidRPr="00F567B9" w:rsidTr="00807CAA">
        <w:trPr>
          <w:trHeight w:val="315"/>
        </w:trPr>
        <w:tc>
          <w:tcPr>
            <w:tcW w:w="274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Effect of assessed:</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p>
        </w:tc>
      </w:tr>
      <w:tr w:rsidR="00807CAA" w:rsidRPr="00F567B9" w:rsidTr="00807CAA">
        <w:trPr>
          <w:trHeight w:val="315"/>
        </w:trPr>
        <w:tc>
          <w:tcPr>
            <w:tcW w:w="274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Expenses</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- 192</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-482</w:t>
            </w:r>
          </w:p>
        </w:tc>
      </w:tr>
      <w:tr w:rsidR="00807CAA" w:rsidRPr="00F567B9" w:rsidTr="00807CAA">
        <w:trPr>
          <w:trHeight w:val="315"/>
        </w:trPr>
        <w:tc>
          <w:tcPr>
            <w:tcW w:w="274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Investment</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-51</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-128</w:t>
            </w:r>
          </w:p>
        </w:tc>
      </w:tr>
      <w:tr w:rsidR="00807CAA" w:rsidRPr="00F567B9" w:rsidTr="00807CAA">
        <w:trPr>
          <w:trHeight w:val="315"/>
        </w:trPr>
        <w:tc>
          <w:tcPr>
            <w:tcW w:w="274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Net borrowing</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0</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-1</w:t>
            </w:r>
          </w:p>
        </w:tc>
      </w:tr>
      <w:tr w:rsidR="00807CAA" w:rsidRPr="00F567B9" w:rsidTr="00807CAA">
        <w:trPr>
          <w:trHeight w:val="315"/>
        </w:trPr>
        <w:tc>
          <w:tcPr>
            <w:tcW w:w="274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Revenue</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 xml:space="preserve"> 291</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731</w:t>
            </w:r>
          </w:p>
        </w:tc>
      </w:tr>
      <w:tr w:rsidR="00807CAA" w:rsidRPr="00F567B9" w:rsidTr="00807CAA">
        <w:trPr>
          <w:trHeight w:val="315"/>
        </w:trPr>
        <w:tc>
          <w:tcPr>
            <w:tcW w:w="274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Commonwealth payments</w:t>
            </w:r>
          </w:p>
        </w:tc>
        <w:tc>
          <w:tcPr>
            <w:tcW w:w="880" w:type="dxa"/>
            <w:tcBorders>
              <w:top w:val="nil"/>
              <w:left w:val="nil"/>
              <w:bottom w:val="single" w:sz="4" w:space="0" w:color="auto"/>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51</w:t>
            </w:r>
          </w:p>
        </w:tc>
        <w:tc>
          <w:tcPr>
            <w:tcW w:w="880" w:type="dxa"/>
            <w:tcBorders>
              <w:top w:val="nil"/>
              <w:left w:val="nil"/>
              <w:bottom w:val="single" w:sz="4" w:space="0" w:color="auto"/>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127</w:t>
            </w:r>
          </w:p>
        </w:tc>
      </w:tr>
      <w:tr w:rsidR="00807CAA" w:rsidRPr="00F567B9" w:rsidTr="00807CAA">
        <w:trPr>
          <w:trHeight w:val="315"/>
        </w:trPr>
        <w:tc>
          <w:tcPr>
            <w:tcW w:w="2740" w:type="dxa"/>
            <w:tcBorders>
              <w:top w:val="nil"/>
              <w:left w:val="nil"/>
              <w:bottom w:val="single" w:sz="4" w:space="0" w:color="auto"/>
              <w:right w:val="nil"/>
            </w:tcBorders>
            <w:shd w:val="clear" w:color="auto" w:fill="auto"/>
            <w:noWrap/>
            <w:vAlign w:val="bottom"/>
            <w:hideMark/>
          </w:tcPr>
          <w:p w:rsidR="00807CAA" w:rsidRPr="00F567B9" w:rsidRDefault="00807CAA" w:rsidP="00807CAA">
            <w:pPr>
              <w:tabs>
                <w:tab w:val="clear" w:pos="567"/>
              </w:tabs>
              <w:spacing w:after="0" w:line="240" w:lineRule="auto"/>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Assessed GST</w:t>
            </w:r>
          </w:p>
        </w:tc>
        <w:tc>
          <w:tcPr>
            <w:tcW w:w="880" w:type="dxa"/>
            <w:tcBorders>
              <w:top w:val="nil"/>
              <w:left w:val="nil"/>
              <w:bottom w:val="single" w:sz="4" w:space="0" w:color="auto"/>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1 040</w:t>
            </w:r>
          </w:p>
        </w:tc>
        <w:tc>
          <w:tcPr>
            <w:tcW w:w="880" w:type="dxa"/>
            <w:tcBorders>
              <w:top w:val="nil"/>
              <w:left w:val="nil"/>
              <w:bottom w:val="single" w:sz="4" w:space="0" w:color="auto"/>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2 617</w:t>
            </w:r>
          </w:p>
        </w:tc>
      </w:tr>
    </w:tbl>
    <w:p w:rsidR="00A004DA" w:rsidRPr="00F567B9" w:rsidRDefault="00A004DA" w:rsidP="00A004DA">
      <w:pPr>
        <w:pStyle w:val="CGCTableStub"/>
      </w:pPr>
      <w:r w:rsidRPr="00F567B9">
        <w:t>Note: The table may not add due to rounding.</w:t>
      </w:r>
    </w:p>
    <w:p w:rsidR="00A004DA" w:rsidRPr="00F567B9" w:rsidRDefault="00A004DA" w:rsidP="00A004DA">
      <w:pPr>
        <w:pStyle w:val="CGCTableHeading"/>
        <w:spacing w:before="0" w:after="0"/>
      </w:pPr>
      <w:r w:rsidRPr="00F567B9">
        <w:t xml:space="preserve">Table </w:t>
      </w:r>
      <w:fldSimple w:instr=" SEQ Table \* ARABIC ">
        <w:r w:rsidR="003A5DEE">
          <w:rPr>
            <w:noProof/>
          </w:rPr>
          <w:t>25</w:t>
        </w:r>
      </w:fldSimple>
      <w:r w:rsidRPr="00F567B9">
        <w:tab/>
        <w:t>Changes in GST</w:t>
      </w:r>
    </w:p>
    <w:tbl>
      <w:tblPr>
        <w:tblW w:w="4500" w:type="dxa"/>
        <w:tblInd w:w="93" w:type="dxa"/>
        <w:tblLook w:val="04A0" w:firstRow="1" w:lastRow="0" w:firstColumn="1" w:lastColumn="0" w:noHBand="0" w:noVBand="1"/>
      </w:tblPr>
      <w:tblGrid>
        <w:gridCol w:w="2740"/>
        <w:gridCol w:w="880"/>
        <w:gridCol w:w="880"/>
      </w:tblGrid>
      <w:tr w:rsidR="00807CAA" w:rsidRPr="00F567B9" w:rsidTr="00807CAA">
        <w:trPr>
          <w:trHeight w:val="315"/>
        </w:trPr>
        <w:tc>
          <w:tcPr>
            <w:tcW w:w="2740" w:type="dxa"/>
            <w:tcBorders>
              <w:top w:val="single" w:sz="4" w:space="0" w:color="auto"/>
              <w:left w:val="nil"/>
              <w:bottom w:val="single" w:sz="4" w:space="0" w:color="auto"/>
              <w:right w:val="nil"/>
            </w:tcBorders>
            <w:shd w:val="clear" w:color="auto" w:fill="auto"/>
            <w:noWrap/>
            <w:vAlign w:val="center"/>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 </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$m</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$pc</w:t>
            </w:r>
          </w:p>
        </w:tc>
      </w:tr>
      <w:tr w:rsidR="00807CAA" w:rsidRPr="00F567B9" w:rsidTr="00807CAA">
        <w:trPr>
          <w:trHeight w:val="315"/>
        </w:trPr>
        <w:tc>
          <w:tcPr>
            <w:tcW w:w="274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Change due to</w:t>
            </w:r>
            <w:r w:rsidR="00F02ECB" w:rsidRPr="00F567B9">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rPr>
                <w:rFonts w:ascii="Calibri" w:eastAsia="Times New Roman" w:hAnsi="Calibri" w:cs="Times New Roman"/>
                <w:sz w:val="20"/>
                <w:szCs w:val="20"/>
                <w:lang w:eastAsia="en-AU"/>
              </w:rPr>
            </w:pPr>
          </w:p>
        </w:tc>
      </w:tr>
      <w:tr w:rsidR="00807CAA" w:rsidRPr="00F567B9" w:rsidTr="00807CAA">
        <w:trPr>
          <w:trHeight w:val="315"/>
        </w:trPr>
        <w:tc>
          <w:tcPr>
            <w:tcW w:w="274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New population</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1</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3</w:t>
            </w:r>
          </w:p>
        </w:tc>
      </w:tr>
      <w:tr w:rsidR="00807CAA" w:rsidRPr="00F567B9" w:rsidTr="00807CAA">
        <w:trPr>
          <w:trHeight w:val="315"/>
        </w:trPr>
        <w:tc>
          <w:tcPr>
            <w:tcW w:w="274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Growth in GST available</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 xml:space="preserve"> 71</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180</w:t>
            </w:r>
          </w:p>
        </w:tc>
      </w:tr>
      <w:tr w:rsidR="00807CAA" w:rsidRPr="00F567B9" w:rsidTr="00807CAA">
        <w:trPr>
          <w:trHeight w:val="315"/>
        </w:trPr>
        <w:tc>
          <w:tcPr>
            <w:tcW w:w="274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New relativities</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-129</w:t>
            </w:r>
          </w:p>
        </w:tc>
        <w:tc>
          <w:tcPr>
            <w:tcW w:w="88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-325</w:t>
            </w:r>
          </w:p>
        </w:tc>
      </w:tr>
      <w:tr w:rsidR="008C67F5" w:rsidRPr="00F567B9" w:rsidTr="00807CAA">
        <w:trPr>
          <w:trHeight w:val="315"/>
        </w:trPr>
        <w:tc>
          <w:tcPr>
            <w:tcW w:w="2740" w:type="dxa"/>
            <w:tcBorders>
              <w:top w:val="nil"/>
              <w:left w:val="nil"/>
              <w:bottom w:val="nil"/>
              <w:right w:val="nil"/>
            </w:tcBorders>
            <w:shd w:val="clear" w:color="auto" w:fill="auto"/>
            <w:noWrap/>
            <w:vAlign w:val="bottom"/>
            <w:hideMark/>
          </w:tcPr>
          <w:p w:rsidR="008C67F5" w:rsidRPr="00F567B9" w:rsidRDefault="008C67F5"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Revised data</w:t>
            </w:r>
          </w:p>
        </w:tc>
        <w:tc>
          <w:tcPr>
            <w:tcW w:w="880" w:type="dxa"/>
            <w:tcBorders>
              <w:top w:val="nil"/>
              <w:left w:val="nil"/>
              <w:bottom w:val="nil"/>
              <w:right w:val="nil"/>
            </w:tcBorders>
            <w:shd w:val="clear" w:color="auto" w:fill="auto"/>
            <w:noWrap/>
            <w:vAlign w:val="bottom"/>
            <w:hideMark/>
          </w:tcPr>
          <w:p w:rsidR="008C67F5" w:rsidRPr="00D66C16"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-47</w:t>
            </w:r>
          </w:p>
        </w:tc>
        <w:tc>
          <w:tcPr>
            <w:tcW w:w="880" w:type="dxa"/>
            <w:tcBorders>
              <w:top w:val="nil"/>
              <w:left w:val="nil"/>
              <w:bottom w:val="nil"/>
              <w:right w:val="nil"/>
            </w:tcBorders>
            <w:shd w:val="clear" w:color="auto" w:fill="auto"/>
            <w:noWrap/>
            <w:vAlign w:val="bottom"/>
            <w:hideMark/>
          </w:tcPr>
          <w:p w:rsidR="008C67F5" w:rsidRPr="00D66C16"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-117</w:t>
            </w:r>
          </w:p>
        </w:tc>
      </w:tr>
      <w:tr w:rsidR="008C67F5" w:rsidRPr="00F567B9" w:rsidTr="00807CAA">
        <w:trPr>
          <w:trHeight w:val="315"/>
        </w:trPr>
        <w:tc>
          <w:tcPr>
            <w:tcW w:w="2740" w:type="dxa"/>
            <w:tcBorders>
              <w:top w:val="nil"/>
              <w:left w:val="nil"/>
              <w:bottom w:val="nil"/>
              <w:right w:val="nil"/>
            </w:tcBorders>
            <w:shd w:val="clear" w:color="auto" w:fill="auto"/>
            <w:noWrap/>
            <w:vAlign w:val="bottom"/>
            <w:hideMark/>
          </w:tcPr>
          <w:p w:rsidR="008C67F5" w:rsidRPr="00F567B9" w:rsidRDefault="008C67F5"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Method changes</w:t>
            </w:r>
          </w:p>
        </w:tc>
        <w:tc>
          <w:tcPr>
            <w:tcW w:w="880" w:type="dxa"/>
            <w:tcBorders>
              <w:top w:val="nil"/>
              <w:left w:val="nil"/>
              <w:bottom w:val="nil"/>
              <w:right w:val="nil"/>
            </w:tcBorders>
            <w:shd w:val="clear" w:color="auto" w:fill="auto"/>
            <w:noWrap/>
            <w:vAlign w:val="bottom"/>
            <w:hideMark/>
          </w:tcPr>
          <w:p w:rsidR="008C67F5" w:rsidRPr="00D66C16"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-93</w:t>
            </w:r>
          </w:p>
        </w:tc>
        <w:tc>
          <w:tcPr>
            <w:tcW w:w="880" w:type="dxa"/>
            <w:tcBorders>
              <w:top w:val="nil"/>
              <w:left w:val="nil"/>
              <w:bottom w:val="nil"/>
              <w:right w:val="nil"/>
            </w:tcBorders>
            <w:shd w:val="clear" w:color="auto" w:fill="auto"/>
            <w:noWrap/>
            <w:vAlign w:val="bottom"/>
            <w:hideMark/>
          </w:tcPr>
          <w:p w:rsidR="008C67F5" w:rsidRPr="00D66C16"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-234</w:t>
            </w:r>
          </w:p>
        </w:tc>
      </w:tr>
      <w:tr w:rsidR="00807CAA" w:rsidRPr="00F567B9" w:rsidTr="00807CAA">
        <w:trPr>
          <w:trHeight w:val="315"/>
        </w:trPr>
        <w:tc>
          <w:tcPr>
            <w:tcW w:w="2740" w:type="dxa"/>
            <w:tcBorders>
              <w:top w:val="nil"/>
              <w:left w:val="nil"/>
              <w:bottom w:val="nil"/>
              <w:right w:val="nil"/>
            </w:tcBorders>
            <w:shd w:val="clear" w:color="auto" w:fill="auto"/>
            <w:noWrap/>
            <w:vAlign w:val="bottom"/>
            <w:hideMark/>
          </w:tcPr>
          <w:p w:rsidR="00807CAA" w:rsidRPr="00F567B9"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New circumstances</w:t>
            </w:r>
          </w:p>
        </w:tc>
        <w:tc>
          <w:tcPr>
            <w:tcW w:w="880" w:type="dxa"/>
            <w:tcBorders>
              <w:top w:val="nil"/>
              <w:left w:val="nil"/>
              <w:bottom w:val="single" w:sz="4" w:space="0" w:color="auto"/>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10</w:t>
            </w:r>
          </w:p>
        </w:tc>
        <w:tc>
          <w:tcPr>
            <w:tcW w:w="880" w:type="dxa"/>
            <w:tcBorders>
              <w:top w:val="nil"/>
              <w:left w:val="nil"/>
              <w:bottom w:val="single" w:sz="4" w:space="0" w:color="auto"/>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26</w:t>
            </w:r>
          </w:p>
        </w:tc>
      </w:tr>
      <w:tr w:rsidR="00807CAA" w:rsidRPr="00F567B9" w:rsidTr="00807CAA">
        <w:trPr>
          <w:trHeight w:val="315"/>
        </w:trPr>
        <w:tc>
          <w:tcPr>
            <w:tcW w:w="2740" w:type="dxa"/>
            <w:tcBorders>
              <w:top w:val="nil"/>
              <w:left w:val="nil"/>
              <w:bottom w:val="single" w:sz="4" w:space="0" w:color="auto"/>
              <w:right w:val="nil"/>
            </w:tcBorders>
            <w:shd w:val="clear" w:color="auto" w:fill="auto"/>
            <w:noWrap/>
            <w:vAlign w:val="bottom"/>
            <w:hideMark/>
          </w:tcPr>
          <w:p w:rsidR="00807CAA" w:rsidRPr="00F567B9" w:rsidRDefault="00807CAA" w:rsidP="00807CAA">
            <w:pPr>
              <w:tabs>
                <w:tab w:val="clear" w:pos="567"/>
              </w:tabs>
              <w:spacing w:after="0" w:line="240" w:lineRule="auto"/>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Total change</w:t>
            </w:r>
          </w:p>
        </w:tc>
        <w:tc>
          <w:tcPr>
            <w:tcW w:w="880" w:type="dxa"/>
            <w:tcBorders>
              <w:top w:val="nil"/>
              <w:left w:val="nil"/>
              <w:bottom w:val="single" w:sz="4" w:space="0" w:color="auto"/>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-57</w:t>
            </w:r>
          </w:p>
        </w:tc>
        <w:tc>
          <w:tcPr>
            <w:tcW w:w="880" w:type="dxa"/>
            <w:tcBorders>
              <w:top w:val="nil"/>
              <w:left w:val="nil"/>
              <w:bottom w:val="single" w:sz="4" w:space="0" w:color="auto"/>
              <w:right w:val="nil"/>
            </w:tcBorders>
            <w:shd w:val="clear" w:color="auto" w:fill="auto"/>
            <w:noWrap/>
            <w:vAlign w:val="bottom"/>
            <w:hideMark/>
          </w:tcPr>
          <w:p w:rsidR="00807CAA" w:rsidRPr="00F567B9"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F567B9">
              <w:rPr>
                <w:rFonts w:ascii="Calibri" w:eastAsia="Times New Roman" w:hAnsi="Calibri" w:cs="Times New Roman"/>
                <w:sz w:val="20"/>
                <w:szCs w:val="20"/>
                <w:lang w:eastAsia="en-AU"/>
              </w:rPr>
              <w:t>-143</w:t>
            </w:r>
          </w:p>
        </w:tc>
      </w:tr>
    </w:tbl>
    <w:p w:rsidR="00A004DA" w:rsidRPr="00F567B9" w:rsidRDefault="00A004DA" w:rsidP="00A004DA">
      <w:pPr>
        <w:pStyle w:val="NoSpacing"/>
      </w:pPr>
    </w:p>
    <w:p w:rsidR="00A004DA" w:rsidRPr="00F567B9" w:rsidRDefault="00A004DA" w:rsidP="00A004DA">
      <w:pPr>
        <w:tabs>
          <w:tab w:val="clear" w:pos="567"/>
        </w:tabs>
        <w:spacing w:after="200" w:line="276" w:lineRule="auto"/>
        <w:rPr>
          <w:rFonts w:cs="Arial"/>
        </w:rPr>
        <w:sectPr w:rsidR="00A004DA" w:rsidRPr="00F567B9" w:rsidSect="00C71EF0">
          <w:type w:val="continuous"/>
          <w:pgSz w:w="11899" w:h="16838" w:code="9"/>
          <w:pgMar w:top="1701" w:right="1474" w:bottom="1701" w:left="1474" w:header="709" w:footer="709" w:gutter="0"/>
          <w:cols w:num="2" w:space="293"/>
          <w:docGrid w:linePitch="299"/>
        </w:sectPr>
      </w:pPr>
    </w:p>
    <w:p w:rsidR="00A004DA" w:rsidRPr="00F567B9" w:rsidRDefault="00A004DA" w:rsidP="00A004DA">
      <w:pPr>
        <w:tabs>
          <w:tab w:val="clear" w:pos="567"/>
        </w:tabs>
        <w:spacing w:after="240" w:line="280" w:lineRule="atLeast"/>
        <w:rPr>
          <w:rFonts w:cs="Arial"/>
          <w:sz w:val="21"/>
          <w:szCs w:val="21"/>
        </w:rPr>
      </w:pPr>
      <w:r w:rsidRPr="00F567B9">
        <w:lastRenderedPageBreak/>
        <w:t>Compared with 2014-15, the State’s GST will fall by $</w:t>
      </w:r>
      <w:r w:rsidR="004E13C2" w:rsidRPr="00F567B9">
        <w:t>57</w:t>
      </w:r>
      <w:r w:rsidRPr="00F567B9">
        <w:t xml:space="preserve"> million or </w:t>
      </w:r>
      <w:r w:rsidR="004E13C2" w:rsidRPr="00F567B9">
        <w:t>5.2</w:t>
      </w:r>
      <w:r w:rsidRPr="00F567B9">
        <w:t>%. Along with Western Australia, it will receive less GST in 2015</w:t>
      </w:r>
      <w:r w:rsidRPr="00F567B9">
        <w:noBreakHyphen/>
        <w:t>16 than in 2014-15. Its GST share will fall from 2.0% to 1.8%, primarily due to a fall in its overall expense and capital requirements.</w:t>
      </w:r>
    </w:p>
    <w:p w:rsidR="00A004DA" w:rsidRPr="00F567B9" w:rsidRDefault="00A004DA" w:rsidP="00A004DA">
      <w:pPr>
        <w:pStyle w:val="CGCTableHeading"/>
      </w:pPr>
      <w:r w:rsidRPr="00F567B9">
        <w:rPr>
          <w:bCs/>
        </w:rPr>
        <w:t xml:space="preserve">Table </w:t>
      </w:r>
      <w:r w:rsidRPr="00F567B9">
        <w:rPr>
          <w:bCs/>
        </w:rPr>
        <w:fldChar w:fldCharType="begin"/>
      </w:r>
      <w:r w:rsidRPr="00F567B9">
        <w:rPr>
          <w:bCs/>
        </w:rPr>
        <w:instrText xml:space="preserve"> SEQ Table \* ARABIC </w:instrText>
      </w:r>
      <w:r w:rsidRPr="00F567B9">
        <w:rPr>
          <w:bCs/>
        </w:rPr>
        <w:fldChar w:fldCharType="separate"/>
      </w:r>
      <w:r w:rsidR="003A5DEE">
        <w:rPr>
          <w:bCs/>
          <w:noProof/>
        </w:rPr>
        <w:t>26</w:t>
      </w:r>
      <w:r w:rsidRPr="00F567B9">
        <w:rPr>
          <w:bCs/>
        </w:rPr>
        <w:fldChar w:fldCharType="end"/>
      </w:r>
      <w:r w:rsidRPr="00F567B9">
        <w:rPr>
          <w:bCs/>
        </w:rPr>
        <w:tab/>
      </w:r>
      <w:r w:rsidR="004538F1">
        <w:t>Five largest changes</w:t>
      </w:r>
      <w:r w:rsidR="00CD1096">
        <w:t xml:space="preserve"> for the ACT</w:t>
      </w:r>
    </w:p>
    <w:tbl>
      <w:tblPr>
        <w:tblW w:w="5000" w:type="pct"/>
        <w:tblLayout w:type="fixed"/>
        <w:tblCellMar>
          <w:left w:w="0" w:type="dxa"/>
          <w:right w:w="0" w:type="dxa"/>
        </w:tblCellMar>
        <w:tblLook w:val="0000" w:firstRow="0" w:lastRow="0" w:firstColumn="0" w:lastColumn="0" w:noHBand="0" w:noVBand="0"/>
      </w:tblPr>
      <w:tblGrid>
        <w:gridCol w:w="1207"/>
        <w:gridCol w:w="7744"/>
      </w:tblGrid>
      <w:tr w:rsidR="00A004DA" w:rsidRPr="00F567B9" w:rsidTr="00C71EF0">
        <w:tc>
          <w:tcPr>
            <w:tcW w:w="674" w:type="pct"/>
            <w:tcBorders>
              <w:top w:val="single" w:sz="6" w:space="0" w:color="auto"/>
              <w:bottom w:val="single" w:sz="6" w:space="0" w:color="auto"/>
            </w:tcBorders>
          </w:tcPr>
          <w:p w:rsidR="00A004DA" w:rsidRPr="00F567B9" w:rsidRDefault="00A004DA" w:rsidP="00C71EF0">
            <w:pPr>
              <w:pStyle w:val="TableColHeadings"/>
              <w:ind w:left="193" w:hanging="142"/>
              <w:jc w:val="left"/>
              <w:rPr>
                <w:rFonts w:cstheme="minorHAnsi"/>
              </w:rPr>
            </w:pPr>
            <w:r w:rsidRPr="00F567B9">
              <w:rPr>
                <w:rFonts w:cstheme="minorHAnsi"/>
              </w:rPr>
              <w:t>Change ($m)</w:t>
            </w:r>
          </w:p>
        </w:tc>
        <w:tc>
          <w:tcPr>
            <w:tcW w:w="4326" w:type="pct"/>
            <w:tcBorders>
              <w:top w:val="single" w:sz="6" w:space="0" w:color="auto"/>
              <w:bottom w:val="single" w:sz="6" w:space="0" w:color="auto"/>
            </w:tcBorders>
            <w:vAlign w:val="center"/>
          </w:tcPr>
          <w:p w:rsidR="00A004DA" w:rsidRPr="00F567B9" w:rsidRDefault="00A004DA" w:rsidP="00C71EF0">
            <w:pPr>
              <w:pStyle w:val="TableColHeadings"/>
              <w:ind w:left="193" w:hanging="142"/>
              <w:jc w:val="left"/>
              <w:rPr>
                <w:rFonts w:cstheme="minorHAnsi"/>
              </w:rPr>
            </w:pPr>
            <w:r w:rsidRPr="00F567B9">
              <w:rPr>
                <w:rFonts w:cstheme="minorHAnsi"/>
              </w:rPr>
              <w:t>Reason for change</w:t>
            </w:r>
          </w:p>
        </w:tc>
      </w:tr>
      <w:tr w:rsidR="00A004DA" w:rsidRPr="00F567B9" w:rsidTr="00C71EF0">
        <w:tc>
          <w:tcPr>
            <w:tcW w:w="5000" w:type="pct"/>
            <w:gridSpan w:val="2"/>
          </w:tcPr>
          <w:p w:rsidR="00A004DA" w:rsidRPr="00F567B9" w:rsidRDefault="00A004DA" w:rsidP="00C71EF0">
            <w:pPr>
              <w:pStyle w:val="TableRowNormal"/>
              <w:ind w:left="193" w:hanging="142"/>
              <w:jc w:val="left"/>
              <w:rPr>
                <w:rFonts w:cstheme="minorHAnsi"/>
                <w:b/>
              </w:rPr>
            </w:pPr>
            <w:r w:rsidRPr="00F567B9">
              <w:rPr>
                <w:rFonts w:cs="Arial"/>
                <w:b/>
              </w:rPr>
              <w:t>Changes in data</w:t>
            </w:r>
          </w:p>
        </w:tc>
      </w:tr>
      <w:tr w:rsidR="00A004DA" w:rsidRPr="00F567B9" w:rsidTr="00C71EF0">
        <w:trPr>
          <w:trHeight w:val="286"/>
        </w:trPr>
        <w:tc>
          <w:tcPr>
            <w:tcW w:w="674" w:type="pct"/>
          </w:tcPr>
          <w:p w:rsidR="00A004DA" w:rsidRPr="00F567B9" w:rsidRDefault="00A004DA" w:rsidP="00C71EF0">
            <w:pPr>
              <w:pStyle w:val="CGCTableStub"/>
              <w:tabs>
                <w:tab w:val="clear" w:pos="284"/>
                <w:tab w:val="left" w:pos="425"/>
                <w:tab w:val="left" w:pos="709"/>
                <w:tab w:val="left" w:pos="851"/>
              </w:tabs>
              <w:spacing w:before="0" w:after="0"/>
              <w:ind w:left="142"/>
              <w:rPr>
                <w:rFonts w:cs="Arial"/>
              </w:rPr>
            </w:pPr>
            <w:r w:rsidRPr="00F567B9">
              <w:rPr>
                <w:rFonts w:cs="Arial"/>
              </w:rPr>
              <w:t>-35</w:t>
            </w:r>
          </w:p>
        </w:tc>
        <w:tc>
          <w:tcPr>
            <w:tcW w:w="4326" w:type="pct"/>
          </w:tcPr>
          <w:p w:rsidR="00A004DA" w:rsidRPr="00F567B9" w:rsidRDefault="00A004DA" w:rsidP="0014434E">
            <w:pPr>
              <w:pStyle w:val="CGCTableStub"/>
              <w:tabs>
                <w:tab w:val="clear" w:pos="284"/>
                <w:tab w:val="left" w:pos="425"/>
                <w:tab w:val="left" w:pos="709"/>
                <w:tab w:val="left" w:pos="851"/>
              </w:tabs>
              <w:spacing w:before="0" w:after="0"/>
              <w:ind w:left="142"/>
              <w:rPr>
                <w:rFonts w:cs="Arial"/>
              </w:rPr>
            </w:pPr>
            <w:r w:rsidRPr="00F567B9">
              <w:rPr>
                <w:rFonts w:cs="Arial"/>
                <w:b/>
              </w:rPr>
              <w:t>Payroll tax.</w:t>
            </w:r>
            <w:r w:rsidRPr="00F567B9">
              <w:rPr>
                <w:rFonts w:cs="Arial"/>
              </w:rPr>
              <w:t xml:space="preserve"> Upward revisions to ABS </w:t>
            </w:r>
            <w:r w:rsidR="0014434E">
              <w:rPr>
                <w:rFonts w:cs="Arial"/>
              </w:rPr>
              <w:t>C</w:t>
            </w:r>
            <w:r w:rsidRPr="00F567B9">
              <w:rPr>
                <w:rFonts w:cs="Arial"/>
              </w:rPr>
              <w:t xml:space="preserve">ompensation of </w:t>
            </w:r>
            <w:proofErr w:type="gramStart"/>
            <w:r w:rsidRPr="00F567B9">
              <w:rPr>
                <w:rFonts w:cs="Arial"/>
              </w:rPr>
              <w:t>employees</w:t>
            </w:r>
            <w:proofErr w:type="gramEnd"/>
            <w:r w:rsidRPr="00F567B9">
              <w:rPr>
                <w:rFonts w:cs="Arial"/>
              </w:rPr>
              <w:t xml:space="preserve"> data</w:t>
            </w:r>
            <w:r w:rsidR="00DB0588">
              <w:rPr>
                <w:rFonts w:cs="Arial"/>
              </w:rPr>
              <w:t xml:space="preserve"> reduced the ACT’s GST revenue</w:t>
            </w:r>
            <w:r w:rsidRPr="00F567B9">
              <w:rPr>
                <w:rFonts w:cs="Arial"/>
              </w:rPr>
              <w:t>.</w:t>
            </w:r>
          </w:p>
        </w:tc>
      </w:tr>
      <w:tr w:rsidR="00A004DA" w:rsidRPr="00F567B9" w:rsidTr="00C71EF0">
        <w:tc>
          <w:tcPr>
            <w:tcW w:w="5000" w:type="pct"/>
            <w:gridSpan w:val="2"/>
          </w:tcPr>
          <w:p w:rsidR="00A004DA" w:rsidRPr="00F567B9" w:rsidRDefault="00A004DA" w:rsidP="00C71EF0">
            <w:pPr>
              <w:pStyle w:val="TableRowNormal"/>
              <w:ind w:left="193" w:hanging="142"/>
              <w:jc w:val="left"/>
              <w:rPr>
                <w:rFonts w:cstheme="minorHAnsi"/>
                <w:b/>
              </w:rPr>
            </w:pPr>
            <w:r w:rsidRPr="00F567B9">
              <w:rPr>
                <w:rFonts w:cs="Arial"/>
                <w:b/>
              </w:rPr>
              <w:t>Changes in methods</w:t>
            </w:r>
          </w:p>
        </w:tc>
      </w:tr>
      <w:tr w:rsidR="00A004DA" w:rsidRPr="00F567B9" w:rsidTr="00C71EF0">
        <w:tc>
          <w:tcPr>
            <w:tcW w:w="674" w:type="pct"/>
          </w:tcPr>
          <w:p w:rsidR="00A004DA" w:rsidRPr="00F567B9" w:rsidRDefault="00A004DA" w:rsidP="00C71EF0">
            <w:pPr>
              <w:pStyle w:val="CGCTableStub"/>
              <w:tabs>
                <w:tab w:val="clear" w:pos="284"/>
                <w:tab w:val="left" w:pos="425"/>
                <w:tab w:val="left" w:pos="709"/>
                <w:tab w:val="left" w:pos="851"/>
              </w:tabs>
              <w:spacing w:before="0" w:after="0"/>
              <w:ind w:left="142"/>
              <w:rPr>
                <w:rFonts w:cs="Arial"/>
              </w:rPr>
            </w:pPr>
            <w:r w:rsidRPr="00F567B9">
              <w:rPr>
                <w:rFonts w:cs="Arial"/>
              </w:rPr>
              <w:t>-33</w:t>
            </w:r>
          </w:p>
        </w:tc>
        <w:tc>
          <w:tcPr>
            <w:tcW w:w="4326" w:type="pct"/>
          </w:tcPr>
          <w:p w:rsidR="00A004DA" w:rsidRPr="00F567B9" w:rsidRDefault="00A004DA" w:rsidP="004322AC">
            <w:pPr>
              <w:pStyle w:val="CGCTableStub"/>
              <w:tabs>
                <w:tab w:val="clear" w:pos="284"/>
                <w:tab w:val="left" w:pos="425"/>
                <w:tab w:val="left" w:pos="709"/>
                <w:tab w:val="left" w:pos="851"/>
              </w:tabs>
              <w:spacing w:before="0" w:after="0"/>
              <w:ind w:left="142"/>
              <w:rPr>
                <w:rFonts w:cs="Arial"/>
              </w:rPr>
            </w:pPr>
            <w:r w:rsidRPr="00F567B9">
              <w:rPr>
                <w:rFonts w:cs="Arial"/>
                <w:b/>
              </w:rPr>
              <w:t>Transport.</w:t>
            </w:r>
            <w:r w:rsidRPr="00F567B9">
              <w:rPr>
                <w:rFonts w:cs="Arial"/>
              </w:rPr>
              <w:t xml:space="preserve"> The ACT has below average needs for transport spending. </w:t>
            </w:r>
            <w:r w:rsidR="00525780" w:rsidRPr="00F567B9">
              <w:rPr>
                <w:rFonts w:cs="Arial"/>
              </w:rPr>
              <w:t xml:space="preserve">The move to a more comprehensive assessment of transport expenses </w:t>
            </w:r>
            <w:r w:rsidR="004322AC" w:rsidRPr="00F567B9">
              <w:rPr>
                <w:rFonts w:cs="Arial"/>
              </w:rPr>
              <w:t>reduced</w:t>
            </w:r>
            <w:r w:rsidR="00525780" w:rsidRPr="00F567B9">
              <w:rPr>
                <w:rFonts w:cs="Arial"/>
              </w:rPr>
              <w:t xml:space="preserve"> </w:t>
            </w:r>
            <w:r w:rsidR="000C3A64" w:rsidRPr="00F567B9">
              <w:rPr>
                <w:rFonts w:cs="Arial"/>
              </w:rPr>
              <w:t xml:space="preserve">the </w:t>
            </w:r>
            <w:r w:rsidR="00525780" w:rsidRPr="00F567B9">
              <w:rPr>
                <w:rFonts w:cs="Arial"/>
              </w:rPr>
              <w:t>ACT’s GST revenue.</w:t>
            </w:r>
          </w:p>
        </w:tc>
      </w:tr>
      <w:tr w:rsidR="00525780" w:rsidRPr="00F567B9" w:rsidTr="007C3093">
        <w:trPr>
          <w:trHeight w:val="286"/>
        </w:trPr>
        <w:tc>
          <w:tcPr>
            <w:tcW w:w="674" w:type="pct"/>
          </w:tcPr>
          <w:p w:rsidR="00525780" w:rsidRPr="00F567B9" w:rsidRDefault="00525780" w:rsidP="00525780">
            <w:pPr>
              <w:pStyle w:val="CGCTableStub"/>
              <w:tabs>
                <w:tab w:val="clear" w:pos="284"/>
                <w:tab w:val="left" w:pos="425"/>
                <w:tab w:val="left" w:pos="709"/>
                <w:tab w:val="left" w:pos="851"/>
              </w:tabs>
              <w:spacing w:before="0" w:after="0"/>
              <w:ind w:left="142"/>
              <w:rPr>
                <w:rFonts w:cs="Arial"/>
              </w:rPr>
            </w:pPr>
            <w:r w:rsidRPr="00F567B9">
              <w:rPr>
                <w:rFonts w:cs="Arial"/>
              </w:rPr>
              <w:t>-31</w:t>
            </w:r>
          </w:p>
        </w:tc>
        <w:tc>
          <w:tcPr>
            <w:tcW w:w="4326" w:type="pct"/>
          </w:tcPr>
          <w:p w:rsidR="00525780" w:rsidRPr="00F567B9" w:rsidRDefault="00525780" w:rsidP="00DB0588">
            <w:pPr>
              <w:pStyle w:val="CGCTableStub"/>
              <w:tabs>
                <w:tab w:val="clear" w:pos="284"/>
                <w:tab w:val="left" w:pos="425"/>
                <w:tab w:val="left" w:pos="709"/>
                <w:tab w:val="left" w:pos="851"/>
              </w:tabs>
              <w:spacing w:before="0" w:after="0"/>
              <w:ind w:left="142"/>
              <w:rPr>
                <w:rFonts w:cs="Arial"/>
              </w:rPr>
            </w:pPr>
            <w:r w:rsidRPr="00F567B9">
              <w:rPr>
                <w:rFonts w:cs="Arial"/>
                <w:b/>
              </w:rPr>
              <w:t>Health.</w:t>
            </w:r>
            <w:r w:rsidRPr="00F567B9">
              <w:rPr>
                <w:rFonts w:cs="Arial"/>
              </w:rPr>
              <w:t xml:space="preserve"> We are now assessing a smaller impact of the effects on State expenses of below average provision of private sector services</w:t>
            </w:r>
            <w:r w:rsidR="00C17E33" w:rsidRPr="00F567B9">
              <w:rPr>
                <w:rFonts w:cs="Arial"/>
              </w:rPr>
              <w:t xml:space="preserve"> in the ACT</w:t>
            </w:r>
            <w:r w:rsidR="00DB0588">
              <w:rPr>
                <w:rFonts w:cs="Arial"/>
              </w:rPr>
              <w:t>, thus reducing its GST revenue</w:t>
            </w:r>
            <w:r w:rsidRPr="00F567B9">
              <w:rPr>
                <w:rFonts w:cs="Arial"/>
              </w:rPr>
              <w:t>.</w:t>
            </w:r>
          </w:p>
        </w:tc>
      </w:tr>
      <w:tr w:rsidR="00A004DA" w:rsidRPr="00EC79CF" w:rsidTr="00C71EF0">
        <w:tc>
          <w:tcPr>
            <w:tcW w:w="674" w:type="pct"/>
          </w:tcPr>
          <w:p w:rsidR="00A004DA" w:rsidRPr="00F567B9" w:rsidRDefault="00525780" w:rsidP="00C71EF0">
            <w:pPr>
              <w:pStyle w:val="CGCTableStub"/>
              <w:tabs>
                <w:tab w:val="clear" w:pos="284"/>
                <w:tab w:val="left" w:pos="425"/>
                <w:tab w:val="left" w:pos="709"/>
                <w:tab w:val="left" w:pos="851"/>
              </w:tabs>
              <w:spacing w:before="0" w:after="0"/>
              <w:ind w:left="142"/>
              <w:rPr>
                <w:rFonts w:cs="Arial"/>
              </w:rPr>
            </w:pPr>
            <w:r w:rsidRPr="00F567B9">
              <w:rPr>
                <w:rFonts w:cs="Arial"/>
              </w:rPr>
              <w:t>-27</w:t>
            </w:r>
          </w:p>
        </w:tc>
        <w:tc>
          <w:tcPr>
            <w:tcW w:w="4326" w:type="pct"/>
          </w:tcPr>
          <w:p w:rsidR="000C3A64" w:rsidRPr="00EC79CF" w:rsidRDefault="00525780" w:rsidP="009D1836">
            <w:pPr>
              <w:pStyle w:val="CGCTableStub"/>
              <w:tabs>
                <w:tab w:val="clear" w:pos="284"/>
                <w:tab w:val="left" w:pos="425"/>
                <w:tab w:val="left" w:pos="709"/>
                <w:tab w:val="left" w:pos="851"/>
              </w:tabs>
              <w:spacing w:before="0" w:after="0"/>
              <w:ind w:left="142"/>
              <w:rPr>
                <w:rFonts w:cs="Arial"/>
              </w:rPr>
            </w:pPr>
            <w:r w:rsidRPr="00F567B9">
              <w:rPr>
                <w:rFonts w:cs="Arial"/>
                <w:b/>
              </w:rPr>
              <w:t xml:space="preserve">Capital. </w:t>
            </w:r>
            <w:r w:rsidR="009D1836" w:rsidRPr="00F567B9">
              <w:rPr>
                <w:rFonts w:cs="Arial"/>
              </w:rPr>
              <w:t>Recognising the impact of city size and urban population growth on the need for urban transport infrastructure reduced</w:t>
            </w:r>
            <w:r w:rsidRPr="00F567B9">
              <w:rPr>
                <w:rFonts w:cs="Arial"/>
              </w:rPr>
              <w:t xml:space="preserve"> the ACT’s GST</w:t>
            </w:r>
            <w:r w:rsidR="000C3A64" w:rsidRPr="00F567B9">
              <w:rPr>
                <w:rFonts w:cs="Arial"/>
              </w:rPr>
              <w:t xml:space="preserve"> revenue</w:t>
            </w:r>
            <w:r w:rsidRPr="00F567B9">
              <w:rPr>
                <w:rFonts w:cs="Arial"/>
              </w:rPr>
              <w:t>.</w:t>
            </w:r>
          </w:p>
        </w:tc>
      </w:tr>
      <w:tr w:rsidR="00A004DA" w:rsidRPr="00EC79CF" w:rsidTr="00C71EF0">
        <w:tc>
          <w:tcPr>
            <w:tcW w:w="5000" w:type="pct"/>
            <w:gridSpan w:val="2"/>
          </w:tcPr>
          <w:p w:rsidR="00A004DA" w:rsidRPr="00EC79CF" w:rsidRDefault="00A004DA" w:rsidP="00C71EF0">
            <w:pPr>
              <w:pStyle w:val="TableRowNormal"/>
              <w:ind w:left="193" w:hanging="142"/>
              <w:jc w:val="left"/>
              <w:rPr>
                <w:rFonts w:cstheme="minorHAnsi"/>
              </w:rPr>
            </w:pPr>
            <w:r w:rsidRPr="00EC79CF">
              <w:rPr>
                <w:rFonts w:cs="Arial"/>
                <w:b/>
              </w:rPr>
              <w:t>Changes in circumstances</w:t>
            </w:r>
          </w:p>
        </w:tc>
      </w:tr>
      <w:tr w:rsidR="00A004DA" w:rsidRPr="00EC79CF" w:rsidTr="00C71EF0">
        <w:trPr>
          <w:trHeight w:val="397"/>
        </w:trPr>
        <w:tc>
          <w:tcPr>
            <w:tcW w:w="674" w:type="pct"/>
            <w:tcBorders>
              <w:bottom w:val="single" w:sz="4" w:space="0" w:color="auto"/>
            </w:tcBorders>
          </w:tcPr>
          <w:p w:rsidR="00A004DA" w:rsidRPr="00EC79CF" w:rsidRDefault="00A004DA" w:rsidP="00C71EF0">
            <w:pPr>
              <w:pStyle w:val="CGCTableStub"/>
              <w:tabs>
                <w:tab w:val="clear" w:pos="284"/>
                <w:tab w:val="left" w:pos="425"/>
                <w:tab w:val="left" w:pos="709"/>
                <w:tab w:val="left" w:pos="851"/>
              </w:tabs>
              <w:spacing w:before="0" w:after="0"/>
              <w:ind w:left="142"/>
              <w:rPr>
                <w:rFonts w:cs="Arial"/>
              </w:rPr>
            </w:pPr>
            <w:r w:rsidRPr="00EC79CF">
              <w:rPr>
                <w:rFonts w:cs="Arial"/>
              </w:rPr>
              <w:t>25</w:t>
            </w:r>
          </w:p>
        </w:tc>
        <w:tc>
          <w:tcPr>
            <w:tcW w:w="4326" w:type="pct"/>
            <w:tcBorders>
              <w:bottom w:val="single" w:sz="4" w:space="0" w:color="auto"/>
            </w:tcBorders>
          </w:tcPr>
          <w:p w:rsidR="00A004DA" w:rsidRPr="00EC79CF" w:rsidRDefault="00A004DA" w:rsidP="00BC1396">
            <w:pPr>
              <w:pStyle w:val="CGCTableStub"/>
              <w:tabs>
                <w:tab w:val="clear" w:pos="284"/>
                <w:tab w:val="left" w:pos="425"/>
                <w:tab w:val="left" w:pos="709"/>
                <w:tab w:val="left" w:pos="851"/>
              </w:tabs>
              <w:spacing w:before="0" w:after="0"/>
              <w:ind w:left="142"/>
              <w:rPr>
                <w:rFonts w:cs="Arial"/>
              </w:rPr>
            </w:pPr>
            <w:r w:rsidRPr="00EC79CF">
              <w:rPr>
                <w:rFonts w:cs="Arial"/>
                <w:b/>
              </w:rPr>
              <w:t>Stamp duty.</w:t>
            </w:r>
            <w:r w:rsidRPr="00EC79CF">
              <w:rPr>
                <w:rFonts w:cs="Arial"/>
              </w:rPr>
              <w:t xml:space="preserve"> A 3% decline in the property tax base between 2010-11 and 2013-14</w:t>
            </w:r>
            <w:r w:rsidR="00BC1396">
              <w:rPr>
                <w:rFonts w:cs="Arial"/>
              </w:rPr>
              <w:t xml:space="preserve"> increased the ACT’s GST revenue</w:t>
            </w:r>
            <w:r w:rsidRPr="00EC79CF">
              <w:rPr>
                <w:rFonts w:cs="Arial"/>
              </w:rPr>
              <w:t>.</w:t>
            </w:r>
          </w:p>
        </w:tc>
      </w:tr>
    </w:tbl>
    <w:p w:rsidR="00A004DA" w:rsidRPr="00EC79CF" w:rsidRDefault="00A004DA" w:rsidP="00A004DA">
      <w:pPr>
        <w:pStyle w:val="NoSpacing"/>
        <w:rPr>
          <w:sz w:val="16"/>
          <w:szCs w:val="16"/>
        </w:rPr>
        <w:sectPr w:rsidR="00A004DA" w:rsidRPr="00EC79CF" w:rsidSect="00C71EF0">
          <w:type w:val="continuous"/>
          <w:pgSz w:w="11899" w:h="16838" w:code="9"/>
          <w:pgMar w:top="1701" w:right="1474" w:bottom="1985" w:left="1474" w:header="709" w:footer="709" w:gutter="0"/>
          <w:cols w:space="708"/>
          <w:docGrid w:linePitch="299"/>
        </w:sectPr>
      </w:pPr>
    </w:p>
    <w:p w:rsidR="00A004DA" w:rsidRPr="00EC79CF" w:rsidRDefault="00A004DA" w:rsidP="00A004DA">
      <w:pPr>
        <w:tabs>
          <w:tab w:val="clear" w:pos="567"/>
        </w:tabs>
        <w:spacing w:after="40" w:line="240" w:lineRule="auto"/>
        <w:rPr>
          <w:rFonts w:cs="Arial"/>
          <w:b/>
          <w:color w:val="0000FF"/>
        </w:rPr>
        <w:sectPr w:rsidR="00A004DA" w:rsidRPr="00EC79CF" w:rsidSect="00C71EF0">
          <w:type w:val="continuous"/>
          <w:pgSz w:w="11899" w:h="16838" w:code="9"/>
          <w:pgMar w:top="1701" w:right="1474" w:bottom="1701" w:left="1474" w:header="709" w:footer="709" w:gutter="0"/>
          <w:cols w:space="708"/>
          <w:docGrid w:linePitch="299"/>
        </w:sectPr>
      </w:pPr>
    </w:p>
    <w:p w:rsidR="00A004DA" w:rsidRPr="00EC79CF" w:rsidRDefault="00A004DA" w:rsidP="00A004DA">
      <w:pPr>
        <w:pStyle w:val="Heading6"/>
        <w:rPr>
          <w:i w:val="0"/>
        </w:rPr>
      </w:pPr>
      <w:r w:rsidRPr="00EC79CF">
        <w:rPr>
          <w:i w:val="0"/>
        </w:rPr>
        <w:lastRenderedPageBreak/>
        <w:t>NORTHERN TERRITORY</w:t>
      </w:r>
    </w:p>
    <w:p w:rsidR="00A004DA" w:rsidRPr="00EC79CF" w:rsidRDefault="00A004DA" w:rsidP="00A004DA">
      <w:pPr>
        <w:tabs>
          <w:tab w:val="clear" w:pos="567"/>
        </w:tabs>
        <w:spacing w:after="40" w:line="240" w:lineRule="auto"/>
        <w:rPr>
          <w:rFonts w:cs="Arial"/>
          <w:b/>
          <w:color w:val="0000FF"/>
        </w:rPr>
        <w:sectPr w:rsidR="00A004DA" w:rsidRPr="00EC79CF" w:rsidSect="00C71EF0">
          <w:footerReference w:type="default" r:id="rId56"/>
          <w:footerReference w:type="first" r:id="rId57"/>
          <w:pgSz w:w="11899" w:h="16838" w:code="9"/>
          <w:pgMar w:top="1701" w:right="1474" w:bottom="1701" w:left="1474" w:header="709" w:footer="709" w:gutter="0"/>
          <w:cols w:space="708"/>
          <w:titlePg/>
          <w:docGrid w:linePitch="299"/>
        </w:sectPr>
      </w:pPr>
    </w:p>
    <w:p w:rsidR="00A004DA" w:rsidRPr="00EC79CF" w:rsidRDefault="00A004DA" w:rsidP="00A004DA">
      <w:r w:rsidRPr="00EC79CF">
        <w:lastRenderedPageBreak/>
        <w:t>The Northern Territory has the lowest assessed fiscal capacity primarily due to its above average assessed expenses and infrastructure requirements. This is exacerbated by below average revenue raising capacity.</w:t>
      </w:r>
      <w:r w:rsidRPr="00EC79CF">
        <w:rPr>
          <w:noProof/>
          <w:lang w:eastAsia="en-AU"/>
        </w:rPr>
        <w:t xml:space="preserve"> </w:t>
      </w:r>
      <w:r w:rsidRPr="00EC79CF">
        <w:t xml:space="preserve">Its high expense requirements are due to above average shares of a range of population groups, but in particular it has exceptionally high proportions of Indigenous people and people in remote areas. This is compounded by the greatest diseconomies of small scale in administration </w:t>
      </w:r>
      <w:r w:rsidR="004C254D">
        <w:t>of</w:t>
      </w:r>
      <w:r w:rsidR="004C254D" w:rsidRPr="00EC79CF">
        <w:t xml:space="preserve"> </w:t>
      </w:r>
      <w:r w:rsidRPr="00EC79CF">
        <w:t>all States.</w:t>
      </w:r>
    </w:p>
    <w:p w:rsidR="00A004DA" w:rsidRPr="00EC79CF" w:rsidRDefault="00A004DA" w:rsidP="00A004DA">
      <w:r w:rsidRPr="00EC79CF">
        <w:t>The Northern Territory has below average revenue raising capacity for all revenue streams except mining, resulting in a below average overall revenue raising capacity. Its considerably above average need for assistance is partially met through well above average Commonwealth payments.</w:t>
      </w:r>
    </w:p>
    <w:p w:rsidR="00A004DA" w:rsidRPr="00EC79CF" w:rsidRDefault="00A004DA" w:rsidP="00A004DA"/>
    <w:p w:rsidR="00A004DA" w:rsidRDefault="00A004DA" w:rsidP="00A004DA">
      <w:pPr>
        <w:pStyle w:val="CGCTableHeading"/>
        <w:spacing w:before="0" w:after="0"/>
      </w:pPr>
      <w:r w:rsidRPr="00EC79CF">
        <w:lastRenderedPageBreak/>
        <w:t xml:space="preserve">Table </w:t>
      </w:r>
      <w:fldSimple w:instr=" SEQ Table \* ARABIC ">
        <w:r w:rsidR="003A5DEE">
          <w:rPr>
            <w:noProof/>
          </w:rPr>
          <w:t>27</w:t>
        </w:r>
      </w:fldSimple>
      <w:r w:rsidRPr="00EC79CF">
        <w:tab/>
        <w:t>Assessed GST, 2015-16</w:t>
      </w:r>
    </w:p>
    <w:tbl>
      <w:tblPr>
        <w:tblW w:w="4500" w:type="dxa"/>
        <w:tblInd w:w="93" w:type="dxa"/>
        <w:tblLook w:val="04A0" w:firstRow="1" w:lastRow="0" w:firstColumn="1" w:lastColumn="0" w:noHBand="0" w:noVBand="1"/>
      </w:tblPr>
      <w:tblGrid>
        <w:gridCol w:w="2740"/>
        <w:gridCol w:w="880"/>
        <w:gridCol w:w="880"/>
      </w:tblGrid>
      <w:tr w:rsidR="00807CAA" w:rsidRPr="00807CAA" w:rsidTr="00807CAA">
        <w:trPr>
          <w:trHeight w:val="315"/>
        </w:trPr>
        <w:tc>
          <w:tcPr>
            <w:tcW w:w="274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 </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$m</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$pc</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Equal per capita share</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 xml:space="preserve"> 599</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2 370</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Effect of assessed:</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Expenses</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2 776</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10 978</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Investment</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174</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686</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Net borrowing</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-3</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Revenue</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 xml:space="preserve"> 85</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337</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Commonwealth payments</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-282</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-1 115</w:t>
            </w:r>
          </w:p>
        </w:tc>
      </w:tr>
      <w:tr w:rsidR="00807CAA" w:rsidRPr="00807CAA" w:rsidTr="00807CAA">
        <w:trPr>
          <w:trHeight w:val="315"/>
        </w:trPr>
        <w:tc>
          <w:tcPr>
            <w:tcW w:w="274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Assessed GST</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3 351</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13 252</w:t>
            </w:r>
          </w:p>
        </w:tc>
      </w:tr>
    </w:tbl>
    <w:p w:rsidR="00A004DA" w:rsidRPr="00EC79CF" w:rsidRDefault="00A004DA" w:rsidP="00A004DA">
      <w:pPr>
        <w:pStyle w:val="CGCTableStub"/>
      </w:pPr>
      <w:r w:rsidRPr="00EC79CF">
        <w:t>Note: The table may not add due to rounding.</w:t>
      </w:r>
    </w:p>
    <w:p w:rsidR="00A004DA" w:rsidRDefault="00A004DA" w:rsidP="00A004DA">
      <w:pPr>
        <w:pStyle w:val="CGCTableHeading"/>
        <w:spacing w:before="0" w:after="0"/>
      </w:pPr>
      <w:r w:rsidRPr="00EC79CF">
        <w:t xml:space="preserve">Table </w:t>
      </w:r>
      <w:fldSimple w:instr=" SEQ Table \* ARABIC ">
        <w:r w:rsidR="003A5DEE">
          <w:rPr>
            <w:noProof/>
          </w:rPr>
          <w:t>28</w:t>
        </w:r>
      </w:fldSimple>
      <w:r w:rsidRPr="00EC79CF">
        <w:tab/>
        <w:t>Changes in GST</w:t>
      </w:r>
    </w:p>
    <w:tbl>
      <w:tblPr>
        <w:tblW w:w="4500" w:type="dxa"/>
        <w:tblInd w:w="93" w:type="dxa"/>
        <w:tblLook w:val="04A0" w:firstRow="1" w:lastRow="0" w:firstColumn="1" w:lastColumn="0" w:noHBand="0" w:noVBand="1"/>
      </w:tblPr>
      <w:tblGrid>
        <w:gridCol w:w="2740"/>
        <w:gridCol w:w="880"/>
        <w:gridCol w:w="880"/>
      </w:tblGrid>
      <w:tr w:rsidR="00807CAA" w:rsidRPr="00807CAA" w:rsidTr="00807CAA">
        <w:trPr>
          <w:trHeight w:val="315"/>
        </w:trPr>
        <w:tc>
          <w:tcPr>
            <w:tcW w:w="274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 </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$m</w:t>
            </w:r>
          </w:p>
        </w:tc>
        <w:tc>
          <w:tcPr>
            <w:tcW w:w="880" w:type="dxa"/>
            <w:tcBorders>
              <w:top w:val="single" w:sz="4" w:space="0" w:color="auto"/>
              <w:left w:val="nil"/>
              <w:bottom w:val="single" w:sz="4" w:space="0" w:color="auto"/>
              <w:right w:val="nil"/>
            </w:tcBorders>
            <w:shd w:val="clear" w:color="auto" w:fill="auto"/>
            <w:noWrap/>
            <w:vAlign w:val="center"/>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$pc</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Change due to</w:t>
            </w:r>
            <w:r w:rsidR="00F02ECB">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New population</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10</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39</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Growth in GST available</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 xml:space="preserve"> 208</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822</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New relativities</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-56</w:t>
            </w:r>
          </w:p>
        </w:tc>
        <w:tc>
          <w:tcPr>
            <w:tcW w:w="88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-223</w:t>
            </w:r>
          </w:p>
        </w:tc>
      </w:tr>
      <w:tr w:rsidR="008C67F5" w:rsidRPr="00807CAA" w:rsidTr="00807CAA">
        <w:trPr>
          <w:trHeight w:val="315"/>
        </w:trPr>
        <w:tc>
          <w:tcPr>
            <w:tcW w:w="2740" w:type="dxa"/>
            <w:tcBorders>
              <w:top w:val="nil"/>
              <w:left w:val="nil"/>
              <w:bottom w:val="nil"/>
              <w:right w:val="nil"/>
            </w:tcBorders>
            <w:shd w:val="clear" w:color="auto" w:fill="auto"/>
            <w:noWrap/>
            <w:vAlign w:val="bottom"/>
            <w:hideMark/>
          </w:tcPr>
          <w:p w:rsidR="008C67F5" w:rsidRPr="00807CAA" w:rsidRDefault="008C67F5"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Revised data</w:t>
            </w:r>
          </w:p>
        </w:tc>
        <w:tc>
          <w:tcPr>
            <w:tcW w:w="880" w:type="dxa"/>
            <w:tcBorders>
              <w:top w:val="nil"/>
              <w:left w:val="nil"/>
              <w:bottom w:val="nil"/>
              <w:right w:val="nil"/>
            </w:tcBorders>
            <w:shd w:val="clear" w:color="auto" w:fill="auto"/>
            <w:noWrap/>
            <w:vAlign w:val="bottom"/>
            <w:hideMark/>
          </w:tcPr>
          <w:p w:rsidR="008C67F5" w:rsidRPr="00D66C16"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40</w:t>
            </w:r>
          </w:p>
        </w:tc>
        <w:tc>
          <w:tcPr>
            <w:tcW w:w="880" w:type="dxa"/>
            <w:tcBorders>
              <w:top w:val="nil"/>
              <w:left w:val="nil"/>
              <w:bottom w:val="nil"/>
              <w:right w:val="nil"/>
            </w:tcBorders>
            <w:shd w:val="clear" w:color="auto" w:fill="auto"/>
            <w:noWrap/>
            <w:vAlign w:val="bottom"/>
            <w:hideMark/>
          </w:tcPr>
          <w:p w:rsidR="008C67F5" w:rsidRPr="00D66C16"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159</w:t>
            </w:r>
          </w:p>
        </w:tc>
      </w:tr>
      <w:tr w:rsidR="008C67F5" w:rsidRPr="00807CAA" w:rsidTr="00807CAA">
        <w:trPr>
          <w:trHeight w:val="315"/>
        </w:trPr>
        <w:tc>
          <w:tcPr>
            <w:tcW w:w="2740" w:type="dxa"/>
            <w:tcBorders>
              <w:top w:val="nil"/>
              <w:left w:val="nil"/>
              <w:bottom w:val="nil"/>
              <w:right w:val="nil"/>
            </w:tcBorders>
            <w:shd w:val="clear" w:color="auto" w:fill="auto"/>
            <w:noWrap/>
            <w:vAlign w:val="bottom"/>
            <w:hideMark/>
          </w:tcPr>
          <w:p w:rsidR="008C67F5" w:rsidRPr="00807CAA" w:rsidRDefault="008C67F5"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Method changes</w:t>
            </w:r>
          </w:p>
        </w:tc>
        <w:tc>
          <w:tcPr>
            <w:tcW w:w="880" w:type="dxa"/>
            <w:tcBorders>
              <w:top w:val="nil"/>
              <w:left w:val="nil"/>
              <w:bottom w:val="nil"/>
              <w:right w:val="nil"/>
            </w:tcBorders>
            <w:shd w:val="clear" w:color="auto" w:fill="auto"/>
            <w:noWrap/>
            <w:vAlign w:val="bottom"/>
            <w:hideMark/>
          </w:tcPr>
          <w:p w:rsidR="008C67F5" w:rsidRPr="00D66C16"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53</w:t>
            </w:r>
          </w:p>
        </w:tc>
        <w:tc>
          <w:tcPr>
            <w:tcW w:w="880" w:type="dxa"/>
            <w:tcBorders>
              <w:top w:val="nil"/>
              <w:left w:val="nil"/>
              <w:bottom w:val="nil"/>
              <w:right w:val="nil"/>
            </w:tcBorders>
            <w:shd w:val="clear" w:color="auto" w:fill="auto"/>
            <w:noWrap/>
            <w:vAlign w:val="bottom"/>
            <w:hideMark/>
          </w:tcPr>
          <w:p w:rsidR="008C67F5" w:rsidRPr="00D66C16"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D66C16">
              <w:rPr>
                <w:rFonts w:ascii="Calibri" w:eastAsia="Times New Roman" w:hAnsi="Calibri" w:cs="Times New Roman"/>
                <w:sz w:val="20"/>
                <w:szCs w:val="20"/>
                <w:lang w:eastAsia="en-AU"/>
              </w:rPr>
              <w:t>209</w:t>
            </w:r>
          </w:p>
        </w:tc>
      </w:tr>
      <w:tr w:rsidR="00807CAA" w:rsidRPr="00807CAA" w:rsidTr="00807CAA">
        <w:trPr>
          <w:trHeight w:val="315"/>
        </w:trPr>
        <w:tc>
          <w:tcPr>
            <w:tcW w:w="2740" w:type="dxa"/>
            <w:tcBorders>
              <w:top w:val="nil"/>
              <w:left w:val="nil"/>
              <w:bottom w:val="nil"/>
              <w:right w:val="nil"/>
            </w:tcBorders>
            <w:shd w:val="clear" w:color="auto" w:fill="auto"/>
            <w:noWrap/>
            <w:vAlign w:val="bottom"/>
            <w:hideMark/>
          </w:tcPr>
          <w:p w:rsidR="00807CAA" w:rsidRPr="00807CAA" w:rsidRDefault="00807CAA" w:rsidP="00807CAA">
            <w:pPr>
              <w:tabs>
                <w:tab w:val="clear" w:pos="567"/>
              </w:tabs>
              <w:spacing w:after="0" w:line="240" w:lineRule="auto"/>
              <w:ind w:firstLineChars="100" w:firstLine="200"/>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New circumstances</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-149</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-591</w:t>
            </w:r>
          </w:p>
        </w:tc>
      </w:tr>
      <w:tr w:rsidR="00807CAA" w:rsidRPr="00807CAA" w:rsidTr="00807CAA">
        <w:trPr>
          <w:trHeight w:val="315"/>
        </w:trPr>
        <w:tc>
          <w:tcPr>
            <w:tcW w:w="274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Total change</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161</w:t>
            </w:r>
          </w:p>
        </w:tc>
        <w:tc>
          <w:tcPr>
            <w:tcW w:w="880" w:type="dxa"/>
            <w:tcBorders>
              <w:top w:val="nil"/>
              <w:left w:val="nil"/>
              <w:bottom w:val="single" w:sz="4" w:space="0" w:color="auto"/>
              <w:right w:val="nil"/>
            </w:tcBorders>
            <w:shd w:val="clear" w:color="auto" w:fill="auto"/>
            <w:noWrap/>
            <w:vAlign w:val="bottom"/>
            <w:hideMark/>
          </w:tcPr>
          <w:p w:rsidR="00807CAA" w:rsidRPr="00807CAA" w:rsidRDefault="00807CAA" w:rsidP="00807CAA">
            <w:pPr>
              <w:tabs>
                <w:tab w:val="clear" w:pos="567"/>
              </w:tabs>
              <w:spacing w:after="0" w:line="240" w:lineRule="auto"/>
              <w:jc w:val="right"/>
              <w:rPr>
                <w:rFonts w:ascii="Calibri" w:eastAsia="Times New Roman" w:hAnsi="Calibri" w:cs="Times New Roman"/>
                <w:sz w:val="20"/>
                <w:szCs w:val="20"/>
                <w:lang w:eastAsia="en-AU"/>
              </w:rPr>
            </w:pPr>
            <w:r w:rsidRPr="00807CAA">
              <w:rPr>
                <w:rFonts w:ascii="Calibri" w:eastAsia="Times New Roman" w:hAnsi="Calibri" w:cs="Times New Roman"/>
                <w:sz w:val="20"/>
                <w:szCs w:val="20"/>
                <w:lang w:eastAsia="en-AU"/>
              </w:rPr>
              <w:t>638</w:t>
            </w:r>
          </w:p>
        </w:tc>
      </w:tr>
    </w:tbl>
    <w:p w:rsidR="00A004DA" w:rsidRPr="00EC79CF" w:rsidRDefault="00A004DA" w:rsidP="00A004DA">
      <w:pPr>
        <w:pStyle w:val="NoSpacing"/>
      </w:pPr>
    </w:p>
    <w:p w:rsidR="00A004DA" w:rsidRPr="00EC79CF" w:rsidRDefault="00A004DA" w:rsidP="00A004DA">
      <w:pPr>
        <w:tabs>
          <w:tab w:val="clear" w:pos="567"/>
        </w:tabs>
        <w:spacing w:after="200" w:line="276" w:lineRule="auto"/>
        <w:rPr>
          <w:rFonts w:cs="Arial"/>
        </w:rPr>
        <w:sectPr w:rsidR="00A004DA" w:rsidRPr="00EC79CF" w:rsidSect="00C71EF0">
          <w:type w:val="continuous"/>
          <w:pgSz w:w="11899" w:h="16838" w:code="9"/>
          <w:pgMar w:top="1701" w:right="1474" w:bottom="1701" w:left="1474" w:header="709" w:footer="709" w:gutter="0"/>
          <w:cols w:num="2" w:space="293"/>
          <w:docGrid w:linePitch="299"/>
        </w:sectPr>
      </w:pPr>
    </w:p>
    <w:p w:rsidR="00A004DA" w:rsidRPr="00EC79CF" w:rsidRDefault="00A004DA" w:rsidP="00A004DA">
      <w:pPr>
        <w:tabs>
          <w:tab w:val="clear" w:pos="567"/>
        </w:tabs>
        <w:spacing w:after="240" w:line="280" w:lineRule="atLeast"/>
        <w:rPr>
          <w:rFonts w:cs="Arial"/>
          <w:sz w:val="21"/>
          <w:szCs w:val="21"/>
        </w:rPr>
      </w:pPr>
      <w:r w:rsidRPr="00EC79CF">
        <w:lastRenderedPageBreak/>
        <w:t>Compared with 2014-15, the State’s GST will rise by $</w:t>
      </w:r>
      <w:r w:rsidR="004E13C2">
        <w:t>161</w:t>
      </w:r>
      <w:r w:rsidRPr="00EC79CF">
        <w:t xml:space="preserve"> million or </w:t>
      </w:r>
      <w:r w:rsidR="004E13C2">
        <w:t>5.1</w:t>
      </w:r>
      <w:r w:rsidRPr="00EC79CF">
        <w:t>%. Its GST share will remain at 5.9%.</w:t>
      </w:r>
    </w:p>
    <w:p w:rsidR="00A004DA" w:rsidRPr="00EC79CF" w:rsidRDefault="00A004DA" w:rsidP="00A004DA">
      <w:pPr>
        <w:tabs>
          <w:tab w:val="clear" w:pos="567"/>
        </w:tabs>
        <w:spacing w:after="40" w:line="240" w:lineRule="auto"/>
        <w:rPr>
          <w:rFonts w:cs="Arial"/>
          <w:b/>
        </w:rPr>
      </w:pPr>
      <w:r w:rsidRPr="00EC79CF">
        <w:rPr>
          <w:rFonts w:cs="Arial"/>
          <w:b/>
          <w:bCs/>
        </w:rPr>
        <w:t xml:space="preserve">Table </w:t>
      </w:r>
      <w:r w:rsidRPr="00EC79CF">
        <w:rPr>
          <w:rFonts w:cs="Arial"/>
          <w:b/>
          <w:bCs/>
        </w:rPr>
        <w:fldChar w:fldCharType="begin"/>
      </w:r>
      <w:r w:rsidRPr="00EC79CF">
        <w:rPr>
          <w:rFonts w:cs="Arial"/>
          <w:b/>
          <w:bCs/>
        </w:rPr>
        <w:instrText xml:space="preserve"> SEQ Table \* ARABIC </w:instrText>
      </w:r>
      <w:r w:rsidRPr="00EC79CF">
        <w:rPr>
          <w:rFonts w:cs="Arial"/>
          <w:b/>
          <w:bCs/>
        </w:rPr>
        <w:fldChar w:fldCharType="separate"/>
      </w:r>
      <w:r w:rsidR="003A5DEE">
        <w:rPr>
          <w:rFonts w:cs="Arial"/>
          <w:b/>
          <w:bCs/>
          <w:noProof/>
        </w:rPr>
        <w:t>29</w:t>
      </w:r>
      <w:r w:rsidRPr="00EC79CF">
        <w:rPr>
          <w:rFonts w:cs="Arial"/>
          <w:b/>
          <w:bCs/>
        </w:rPr>
        <w:fldChar w:fldCharType="end"/>
      </w:r>
      <w:r w:rsidRPr="00EC79CF">
        <w:rPr>
          <w:rFonts w:cs="Arial"/>
          <w:b/>
          <w:bCs/>
        </w:rPr>
        <w:tab/>
      </w:r>
      <w:r w:rsidR="00B54009" w:rsidRPr="00B54009">
        <w:rPr>
          <w:rStyle w:val="CaptionChar"/>
        </w:rPr>
        <w:t>Five largest changes</w:t>
      </w:r>
      <w:r w:rsidRPr="00EC79CF">
        <w:rPr>
          <w:rFonts w:cs="Arial"/>
          <w:b/>
        </w:rPr>
        <w:t xml:space="preserve"> </w:t>
      </w:r>
      <w:r w:rsidR="00CD1096">
        <w:rPr>
          <w:rFonts w:cs="Arial"/>
          <w:b/>
        </w:rPr>
        <w:t xml:space="preserve">for the </w:t>
      </w:r>
      <w:r w:rsidR="00CD1096" w:rsidRPr="00CD1096">
        <w:rPr>
          <w:rFonts w:cs="Arial"/>
          <w:b/>
        </w:rPr>
        <w:t>Northern Territory</w:t>
      </w:r>
    </w:p>
    <w:tbl>
      <w:tblPr>
        <w:tblW w:w="5000" w:type="pct"/>
        <w:tblLayout w:type="fixed"/>
        <w:tblCellMar>
          <w:left w:w="0" w:type="dxa"/>
          <w:right w:w="0" w:type="dxa"/>
        </w:tblCellMar>
        <w:tblLook w:val="0000" w:firstRow="0" w:lastRow="0" w:firstColumn="0" w:lastColumn="0" w:noHBand="0" w:noVBand="0"/>
      </w:tblPr>
      <w:tblGrid>
        <w:gridCol w:w="1207"/>
        <w:gridCol w:w="7744"/>
      </w:tblGrid>
      <w:tr w:rsidR="00A004DA" w:rsidRPr="00EC79CF" w:rsidTr="00C71EF0">
        <w:tc>
          <w:tcPr>
            <w:tcW w:w="674" w:type="pct"/>
            <w:tcBorders>
              <w:top w:val="single" w:sz="6" w:space="0" w:color="auto"/>
              <w:bottom w:val="single" w:sz="6" w:space="0" w:color="auto"/>
            </w:tcBorders>
          </w:tcPr>
          <w:p w:rsidR="00A004DA" w:rsidRPr="00EC79CF" w:rsidRDefault="00A004DA" w:rsidP="00C71EF0">
            <w:pPr>
              <w:pStyle w:val="TableColHeadings"/>
              <w:ind w:left="193" w:hanging="142"/>
              <w:jc w:val="left"/>
              <w:rPr>
                <w:rFonts w:cstheme="minorHAnsi"/>
              </w:rPr>
            </w:pPr>
            <w:r w:rsidRPr="00EC79CF">
              <w:rPr>
                <w:rFonts w:cstheme="minorHAnsi"/>
              </w:rPr>
              <w:t>Change ($m)</w:t>
            </w:r>
          </w:p>
        </w:tc>
        <w:tc>
          <w:tcPr>
            <w:tcW w:w="4326" w:type="pct"/>
            <w:tcBorders>
              <w:top w:val="single" w:sz="6" w:space="0" w:color="auto"/>
              <w:bottom w:val="single" w:sz="6" w:space="0" w:color="auto"/>
            </w:tcBorders>
            <w:vAlign w:val="center"/>
          </w:tcPr>
          <w:p w:rsidR="00A004DA" w:rsidRPr="00EC79CF" w:rsidRDefault="00A004DA" w:rsidP="00C71EF0">
            <w:pPr>
              <w:pStyle w:val="TableColHeadings"/>
              <w:ind w:left="193" w:hanging="142"/>
              <w:jc w:val="left"/>
              <w:rPr>
                <w:rFonts w:cstheme="minorHAnsi"/>
              </w:rPr>
            </w:pPr>
            <w:r w:rsidRPr="00EC79CF">
              <w:rPr>
                <w:rFonts w:cstheme="minorHAnsi"/>
              </w:rPr>
              <w:t>Reason for change</w:t>
            </w:r>
          </w:p>
        </w:tc>
      </w:tr>
      <w:tr w:rsidR="00A004DA" w:rsidRPr="00EC79CF" w:rsidTr="00C71EF0">
        <w:tc>
          <w:tcPr>
            <w:tcW w:w="5000" w:type="pct"/>
            <w:gridSpan w:val="2"/>
          </w:tcPr>
          <w:p w:rsidR="00A004DA" w:rsidRPr="00EC79CF" w:rsidRDefault="00A004DA" w:rsidP="00C71EF0">
            <w:pPr>
              <w:pStyle w:val="TableRowNormal"/>
              <w:ind w:left="193" w:hanging="142"/>
              <w:jc w:val="left"/>
              <w:rPr>
                <w:rFonts w:cstheme="minorHAnsi"/>
                <w:b/>
              </w:rPr>
            </w:pPr>
            <w:r w:rsidRPr="00EC79CF">
              <w:rPr>
                <w:rFonts w:cs="Arial"/>
                <w:b/>
              </w:rPr>
              <w:t>Changes in data</w:t>
            </w:r>
          </w:p>
        </w:tc>
      </w:tr>
      <w:tr w:rsidR="00A004DA" w:rsidRPr="00EC79CF" w:rsidTr="00C71EF0">
        <w:trPr>
          <w:trHeight w:val="286"/>
        </w:trPr>
        <w:tc>
          <w:tcPr>
            <w:tcW w:w="674" w:type="pct"/>
          </w:tcPr>
          <w:p w:rsidR="00A004DA" w:rsidRPr="00EC79CF" w:rsidRDefault="00A004DA" w:rsidP="00525780">
            <w:pPr>
              <w:pStyle w:val="CGCTableStub"/>
              <w:tabs>
                <w:tab w:val="clear" w:pos="284"/>
                <w:tab w:val="left" w:pos="425"/>
                <w:tab w:val="left" w:pos="709"/>
                <w:tab w:val="left" w:pos="851"/>
              </w:tabs>
              <w:spacing w:before="0" w:after="0"/>
              <w:rPr>
                <w:rFonts w:cs="Arial"/>
              </w:rPr>
            </w:pPr>
            <w:r w:rsidRPr="00EC79CF">
              <w:rPr>
                <w:rFonts w:cs="Arial"/>
              </w:rPr>
              <w:t>7</w:t>
            </w:r>
            <w:r w:rsidR="00525780">
              <w:rPr>
                <w:rFonts w:cs="Arial"/>
              </w:rPr>
              <w:t>5</w:t>
            </w:r>
          </w:p>
        </w:tc>
        <w:tc>
          <w:tcPr>
            <w:tcW w:w="4326" w:type="pct"/>
          </w:tcPr>
          <w:p w:rsidR="00A004DA" w:rsidRPr="00EC79CF" w:rsidRDefault="00525780" w:rsidP="0014434E">
            <w:pPr>
              <w:pStyle w:val="CGCTableStub"/>
              <w:tabs>
                <w:tab w:val="clear" w:pos="284"/>
                <w:tab w:val="left" w:pos="425"/>
                <w:tab w:val="left" w:pos="709"/>
                <w:tab w:val="left" w:pos="851"/>
              </w:tabs>
              <w:spacing w:before="0" w:after="0"/>
              <w:rPr>
                <w:rFonts w:cs="Arial"/>
              </w:rPr>
            </w:pPr>
            <w:r>
              <w:rPr>
                <w:rFonts w:cs="Arial"/>
                <w:b/>
              </w:rPr>
              <w:t>Capital</w:t>
            </w:r>
            <w:r w:rsidR="00A004DA" w:rsidRPr="00EC79CF">
              <w:rPr>
                <w:rFonts w:cs="Arial"/>
                <w:b/>
              </w:rPr>
              <w:t>.</w:t>
            </w:r>
            <w:r w:rsidR="00A004DA" w:rsidRPr="00EC79CF">
              <w:rPr>
                <w:rFonts w:cs="Arial"/>
              </w:rPr>
              <w:t xml:space="preserve"> Improved investment data increased the importance of roads, especially rural roads, which increased </w:t>
            </w:r>
            <w:r>
              <w:rPr>
                <w:rFonts w:cs="Arial"/>
              </w:rPr>
              <w:t xml:space="preserve">assessed </w:t>
            </w:r>
            <w:r w:rsidR="00A004DA" w:rsidRPr="00EC79CF">
              <w:rPr>
                <w:rFonts w:cs="Arial"/>
              </w:rPr>
              <w:t>investment</w:t>
            </w:r>
            <w:r>
              <w:rPr>
                <w:rFonts w:cs="Arial"/>
              </w:rPr>
              <w:t xml:space="preserve"> </w:t>
            </w:r>
            <w:r w:rsidR="0014434E">
              <w:rPr>
                <w:rFonts w:cs="Arial"/>
              </w:rPr>
              <w:t>and</w:t>
            </w:r>
            <w:r w:rsidR="00BC1396">
              <w:rPr>
                <w:rFonts w:cs="Arial"/>
              </w:rPr>
              <w:t xml:space="preserve"> its GST revenue.</w:t>
            </w:r>
          </w:p>
        </w:tc>
      </w:tr>
      <w:tr w:rsidR="00A004DA" w:rsidRPr="00EC79CF" w:rsidTr="00C71EF0">
        <w:tc>
          <w:tcPr>
            <w:tcW w:w="5000" w:type="pct"/>
            <w:gridSpan w:val="2"/>
          </w:tcPr>
          <w:p w:rsidR="00A004DA" w:rsidRPr="00EC79CF" w:rsidRDefault="00A004DA" w:rsidP="00C71EF0">
            <w:pPr>
              <w:pStyle w:val="TableRowNormal"/>
              <w:ind w:left="193" w:hanging="142"/>
              <w:jc w:val="left"/>
              <w:rPr>
                <w:rFonts w:cstheme="minorHAnsi"/>
                <w:b/>
              </w:rPr>
            </w:pPr>
            <w:r w:rsidRPr="00EC79CF">
              <w:rPr>
                <w:rFonts w:cs="Arial"/>
                <w:b/>
              </w:rPr>
              <w:t>Changes in methods</w:t>
            </w:r>
          </w:p>
        </w:tc>
      </w:tr>
      <w:tr w:rsidR="00A004DA" w:rsidRPr="00EC79CF" w:rsidTr="00C71EF0">
        <w:trPr>
          <w:trHeight w:val="286"/>
        </w:trPr>
        <w:tc>
          <w:tcPr>
            <w:tcW w:w="674" w:type="pct"/>
          </w:tcPr>
          <w:p w:rsidR="00A004DA" w:rsidRPr="00EC79CF" w:rsidRDefault="00A004DA" w:rsidP="00525780">
            <w:pPr>
              <w:pStyle w:val="CGCTableStub"/>
              <w:tabs>
                <w:tab w:val="clear" w:pos="284"/>
                <w:tab w:val="left" w:pos="425"/>
                <w:tab w:val="left" w:pos="709"/>
                <w:tab w:val="left" w:pos="851"/>
              </w:tabs>
              <w:spacing w:before="0" w:after="0"/>
              <w:rPr>
                <w:rFonts w:cs="Arial"/>
              </w:rPr>
            </w:pPr>
            <w:r w:rsidRPr="00EC79CF">
              <w:rPr>
                <w:rFonts w:cs="Arial"/>
              </w:rPr>
              <w:t>7</w:t>
            </w:r>
            <w:r w:rsidR="00525780">
              <w:rPr>
                <w:rFonts w:cs="Arial"/>
              </w:rPr>
              <w:t>5</w:t>
            </w:r>
          </w:p>
        </w:tc>
        <w:tc>
          <w:tcPr>
            <w:tcW w:w="4326" w:type="pct"/>
          </w:tcPr>
          <w:p w:rsidR="00A004DA" w:rsidRPr="00EC79CF" w:rsidRDefault="00A004DA" w:rsidP="00C71EF0">
            <w:pPr>
              <w:pStyle w:val="CGCTableStub"/>
              <w:tabs>
                <w:tab w:val="clear" w:pos="284"/>
                <w:tab w:val="left" w:pos="425"/>
                <w:tab w:val="left" w:pos="709"/>
                <w:tab w:val="left" w:pos="851"/>
              </w:tabs>
              <w:spacing w:before="0" w:after="0"/>
              <w:rPr>
                <w:rFonts w:cs="Arial"/>
              </w:rPr>
            </w:pPr>
            <w:r w:rsidRPr="00EC79CF">
              <w:rPr>
                <w:rFonts w:cs="Arial"/>
                <w:b/>
              </w:rPr>
              <w:t>Depreciation.</w:t>
            </w:r>
            <w:r w:rsidRPr="00EC79CF">
              <w:rPr>
                <w:rFonts w:cs="Arial"/>
              </w:rPr>
              <w:t xml:space="preserve"> </w:t>
            </w:r>
            <w:proofErr w:type="gramStart"/>
            <w:r w:rsidRPr="00EC79CF">
              <w:rPr>
                <w:rFonts w:cs="Arial"/>
              </w:rPr>
              <w:t>Its</w:t>
            </w:r>
            <w:proofErr w:type="gramEnd"/>
            <w:r w:rsidRPr="00EC79CF">
              <w:rPr>
                <w:rFonts w:cs="Arial"/>
              </w:rPr>
              <w:t xml:space="preserve"> assessed asset stocks and depreciation expenses were increased by the changes in the measures of service use</w:t>
            </w:r>
            <w:r w:rsidR="00BC1396">
              <w:rPr>
                <w:rFonts w:cs="Arial"/>
              </w:rPr>
              <w:t>, thus increasing its GST revenue</w:t>
            </w:r>
            <w:r w:rsidRPr="00EC79CF">
              <w:rPr>
                <w:rFonts w:cs="Arial"/>
              </w:rPr>
              <w:t>.</w:t>
            </w:r>
          </w:p>
        </w:tc>
      </w:tr>
      <w:tr w:rsidR="00525780" w:rsidRPr="00EC79CF" w:rsidTr="007C3093">
        <w:tc>
          <w:tcPr>
            <w:tcW w:w="674" w:type="pct"/>
          </w:tcPr>
          <w:p w:rsidR="00525780" w:rsidRPr="00EC79CF" w:rsidRDefault="00525780" w:rsidP="007C3093">
            <w:pPr>
              <w:pStyle w:val="CGCTableStub"/>
              <w:tabs>
                <w:tab w:val="clear" w:pos="284"/>
                <w:tab w:val="left" w:pos="425"/>
                <w:tab w:val="left" w:pos="709"/>
                <w:tab w:val="left" w:pos="851"/>
              </w:tabs>
              <w:spacing w:before="0" w:after="0"/>
              <w:rPr>
                <w:rFonts w:cs="Arial"/>
              </w:rPr>
            </w:pPr>
            <w:r w:rsidRPr="00EC79CF">
              <w:rPr>
                <w:rFonts w:cs="Arial"/>
              </w:rPr>
              <w:t>-49</w:t>
            </w:r>
          </w:p>
        </w:tc>
        <w:tc>
          <w:tcPr>
            <w:tcW w:w="4326" w:type="pct"/>
          </w:tcPr>
          <w:p w:rsidR="00525780" w:rsidRPr="00EC79CF" w:rsidRDefault="00525780" w:rsidP="007C3093">
            <w:pPr>
              <w:pStyle w:val="CGCTableStub"/>
              <w:tabs>
                <w:tab w:val="clear" w:pos="284"/>
                <w:tab w:val="left" w:pos="425"/>
                <w:tab w:val="left" w:pos="709"/>
                <w:tab w:val="left" w:pos="851"/>
              </w:tabs>
              <w:spacing w:before="0" w:after="0"/>
              <w:rPr>
                <w:rFonts w:cs="Arial"/>
              </w:rPr>
            </w:pPr>
            <w:r w:rsidRPr="00EC79CF">
              <w:rPr>
                <w:rFonts w:cs="Arial"/>
                <w:b/>
              </w:rPr>
              <w:t>Welfare.</w:t>
            </w:r>
            <w:r w:rsidRPr="00EC79CF">
              <w:rPr>
                <w:rFonts w:cs="Arial"/>
              </w:rPr>
              <w:t xml:space="preserve"> Improved measurement of use of family and child services by SDC groups, and changes to the assessment of other general welfare services</w:t>
            </w:r>
            <w:r w:rsidR="00BC1396">
              <w:rPr>
                <w:rFonts w:cs="Arial"/>
              </w:rPr>
              <w:t xml:space="preserve"> reduced its GST revenue</w:t>
            </w:r>
            <w:r w:rsidRPr="00EC79CF">
              <w:rPr>
                <w:rFonts w:cs="Arial"/>
              </w:rPr>
              <w:t>.</w:t>
            </w:r>
          </w:p>
        </w:tc>
      </w:tr>
      <w:tr w:rsidR="00A004DA" w:rsidRPr="00EC79CF" w:rsidTr="00C71EF0">
        <w:tc>
          <w:tcPr>
            <w:tcW w:w="674" w:type="pct"/>
          </w:tcPr>
          <w:p w:rsidR="00A004DA" w:rsidRPr="00EC79CF" w:rsidRDefault="00A004DA" w:rsidP="00525780">
            <w:pPr>
              <w:pStyle w:val="CGCTableStub"/>
              <w:tabs>
                <w:tab w:val="clear" w:pos="284"/>
                <w:tab w:val="left" w:pos="425"/>
                <w:tab w:val="left" w:pos="709"/>
                <w:tab w:val="left" w:pos="851"/>
              </w:tabs>
              <w:spacing w:before="0" w:after="0"/>
              <w:rPr>
                <w:rFonts w:cs="Arial"/>
              </w:rPr>
            </w:pPr>
            <w:r w:rsidRPr="00EC79CF">
              <w:rPr>
                <w:rFonts w:cs="Arial"/>
              </w:rPr>
              <w:t>4</w:t>
            </w:r>
            <w:r w:rsidR="00525780">
              <w:rPr>
                <w:rFonts w:cs="Arial"/>
              </w:rPr>
              <w:t>4</w:t>
            </w:r>
          </w:p>
        </w:tc>
        <w:tc>
          <w:tcPr>
            <w:tcW w:w="4326" w:type="pct"/>
          </w:tcPr>
          <w:p w:rsidR="00A004DA" w:rsidRPr="00EC79CF" w:rsidRDefault="00525780" w:rsidP="00BC1396">
            <w:pPr>
              <w:pStyle w:val="CGCTableStub"/>
              <w:tabs>
                <w:tab w:val="clear" w:pos="284"/>
                <w:tab w:val="left" w:pos="425"/>
                <w:tab w:val="left" w:pos="709"/>
                <w:tab w:val="left" w:pos="851"/>
              </w:tabs>
              <w:spacing w:before="0" w:after="0"/>
              <w:rPr>
                <w:rFonts w:cs="Arial"/>
              </w:rPr>
            </w:pPr>
            <w:r w:rsidRPr="00F567B9">
              <w:rPr>
                <w:rFonts w:cs="Arial"/>
                <w:b/>
              </w:rPr>
              <w:t>Schools education</w:t>
            </w:r>
            <w:r w:rsidR="00A004DA" w:rsidRPr="00F567B9">
              <w:rPr>
                <w:rFonts w:cs="Arial"/>
                <w:b/>
              </w:rPr>
              <w:t>.</w:t>
            </w:r>
            <w:r w:rsidRPr="00F567B9">
              <w:rPr>
                <w:rFonts w:cs="Arial"/>
              </w:rPr>
              <w:t xml:space="preserve"> New studen</w:t>
            </w:r>
            <w:r w:rsidR="00DC452F" w:rsidRPr="00F567B9">
              <w:rPr>
                <w:rFonts w:cs="Arial"/>
              </w:rPr>
              <w:t xml:space="preserve">t loadings based on ACARA data </w:t>
            </w:r>
            <w:r w:rsidRPr="00F567B9">
              <w:rPr>
                <w:rFonts w:cs="Arial"/>
              </w:rPr>
              <w:t>and a new assessment of NERA funding</w:t>
            </w:r>
            <w:r w:rsidR="00BC1396">
              <w:rPr>
                <w:rFonts w:cs="Arial"/>
              </w:rPr>
              <w:t xml:space="preserve"> increased the </w:t>
            </w:r>
            <w:r w:rsidR="00BC1396" w:rsidRPr="00BC1396">
              <w:rPr>
                <w:rFonts w:cs="Arial"/>
              </w:rPr>
              <w:t>Northern Territory</w:t>
            </w:r>
            <w:r w:rsidR="00BC1396">
              <w:rPr>
                <w:rFonts w:cs="Arial"/>
              </w:rPr>
              <w:t>’s GST revenue</w:t>
            </w:r>
            <w:r w:rsidRPr="00F567B9">
              <w:rPr>
                <w:rFonts w:cs="Arial"/>
              </w:rPr>
              <w:t>.</w:t>
            </w:r>
          </w:p>
        </w:tc>
      </w:tr>
      <w:tr w:rsidR="00A004DA" w:rsidRPr="00EC79CF" w:rsidTr="00C71EF0">
        <w:tc>
          <w:tcPr>
            <w:tcW w:w="5000" w:type="pct"/>
            <w:gridSpan w:val="2"/>
          </w:tcPr>
          <w:p w:rsidR="00A004DA" w:rsidRPr="00EC79CF" w:rsidRDefault="00A004DA" w:rsidP="00C71EF0">
            <w:pPr>
              <w:pStyle w:val="TableRowNormal"/>
              <w:ind w:left="193" w:hanging="142"/>
              <w:jc w:val="left"/>
              <w:rPr>
                <w:rFonts w:cstheme="minorHAnsi"/>
              </w:rPr>
            </w:pPr>
            <w:r w:rsidRPr="00EC79CF">
              <w:rPr>
                <w:rFonts w:cs="Arial"/>
                <w:b/>
              </w:rPr>
              <w:t>Changes in circumstances</w:t>
            </w:r>
          </w:p>
        </w:tc>
      </w:tr>
      <w:tr w:rsidR="00A004DA" w:rsidRPr="00EC79CF" w:rsidTr="00C71EF0">
        <w:trPr>
          <w:trHeight w:val="397"/>
        </w:trPr>
        <w:tc>
          <w:tcPr>
            <w:tcW w:w="674" w:type="pct"/>
            <w:tcBorders>
              <w:bottom w:val="single" w:sz="4" w:space="0" w:color="auto"/>
            </w:tcBorders>
          </w:tcPr>
          <w:p w:rsidR="00A004DA" w:rsidRPr="00EC79CF" w:rsidRDefault="00A004DA" w:rsidP="00525780">
            <w:pPr>
              <w:pStyle w:val="CGCTableStub"/>
              <w:tabs>
                <w:tab w:val="clear" w:pos="284"/>
                <w:tab w:val="left" w:pos="425"/>
                <w:tab w:val="left" w:pos="709"/>
                <w:tab w:val="left" w:pos="851"/>
              </w:tabs>
              <w:spacing w:before="0" w:after="0"/>
              <w:rPr>
                <w:rFonts w:cs="Arial"/>
              </w:rPr>
            </w:pPr>
            <w:r w:rsidRPr="00EC79CF">
              <w:rPr>
                <w:rFonts w:cs="Arial"/>
              </w:rPr>
              <w:t>-</w:t>
            </w:r>
            <w:r w:rsidR="00525780">
              <w:rPr>
                <w:rFonts w:cs="Arial"/>
              </w:rPr>
              <w:t>55</w:t>
            </w:r>
          </w:p>
        </w:tc>
        <w:tc>
          <w:tcPr>
            <w:tcW w:w="4326" w:type="pct"/>
            <w:tcBorders>
              <w:bottom w:val="single" w:sz="4" w:space="0" w:color="auto"/>
            </w:tcBorders>
          </w:tcPr>
          <w:p w:rsidR="00A004DA" w:rsidRPr="00EC79CF" w:rsidRDefault="00525780" w:rsidP="000C3A64">
            <w:pPr>
              <w:pStyle w:val="CGCTableStub"/>
              <w:tabs>
                <w:tab w:val="clear" w:pos="284"/>
                <w:tab w:val="left" w:pos="425"/>
                <w:tab w:val="left" w:pos="709"/>
                <w:tab w:val="left" w:pos="851"/>
              </w:tabs>
              <w:spacing w:before="0" w:after="0"/>
              <w:rPr>
                <w:rFonts w:cs="Arial"/>
              </w:rPr>
            </w:pPr>
            <w:r>
              <w:rPr>
                <w:rFonts w:cs="Arial"/>
                <w:b/>
              </w:rPr>
              <w:t>Capital</w:t>
            </w:r>
            <w:r w:rsidR="00A004DA" w:rsidRPr="00EC79CF">
              <w:rPr>
                <w:rFonts w:cs="Arial"/>
                <w:b/>
              </w:rPr>
              <w:t xml:space="preserve">. </w:t>
            </w:r>
            <w:r w:rsidR="00A004DA" w:rsidRPr="00EC79CF">
              <w:rPr>
                <w:rFonts w:cs="Arial"/>
              </w:rPr>
              <w:t xml:space="preserve">Declining investment on services other than roads and urban transport reduced its need to invest and </w:t>
            </w:r>
            <w:r w:rsidR="000C3A64">
              <w:rPr>
                <w:rFonts w:cs="Arial"/>
              </w:rPr>
              <w:t>its</w:t>
            </w:r>
            <w:r w:rsidR="00A004DA" w:rsidRPr="00EC79CF">
              <w:rPr>
                <w:rFonts w:cs="Arial"/>
              </w:rPr>
              <w:t xml:space="preserve"> GST </w:t>
            </w:r>
            <w:r w:rsidR="000C3A64">
              <w:rPr>
                <w:rFonts w:cs="Arial"/>
              </w:rPr>
              <w:t>revenue</w:t>
            </w:r>
            <w:r w:rsidR="00A004DA" w:rsidRPr="00EC79CF">
              <w:rPr>
                <w:rFonts w:cs="Arial"/>
              </w:rPr>
              <w:t>.</w:t>
            </w:r>
          </w:p>
        </w:tc>
      </w:tr>
    </w:tbl>
    <w:p w:rsidR="00A004DA" w:rsidRPr="00EC79CF" w:rsidRDefault="00A004DA" w:rsidP="00A004DA">
      <w:pPr>
        <w:tabs>
          <w:tab w:val="clear" w:pos="567"/>
        </w:tabs>
        <w:spacing w:after="40" w:line="240" w:lineRule="auto"/>
        <w:rPr>
          <w:rFonts w:cs="Arial"/>
          <w:b/>
        </w:rPr>
      </w:pPr>
    </w:p>
    <w:p w:rsidR="00A004DA" w:rsidRPr="00EC79CF" w:rsidRDefault="00A004DA" w:rsidP="00A004DA">
      <w:pPr>
        <w:tabs>
          <w:tab w:val="clear" w:pos="567"/>
        </w:tabs>
        <w:spacing w:after="40" w:line="240" w:lineRule="auto"/>
        <w:rPr>
          <w:rFonts w:cs="Arial"/>
          <w:b/>
          <w:color w:val="0000FF"/>
        </w:rPr>
        <w:sectPr w:rsidR="00A004DA" w:rsidRPr="00EC79CF" w:rsidSect="00C71EF0">
          <w:type w:val="continuous"/>
          <w:pgSz w:w="11899" w:h="16838" w:code="9"/>
          <w:pgMar w:top="1701" w:right="1474" w:bottom="1701" w:left="1474" w:header="709" w:footer="709" w:gutter="0"/>
          <w:cols w:space="708"/>
          <w:docGrid w:linePitch="299"/>
        </w:sectPr>
      </w:pPr>
    </w:p>
    <w:p w:rsidR="00A665A9" w:rsidRPr="00EC79CF" w:rsidRDefault="00A665A9" w:rsidP="00A665A9">
      <w:pPr>
        <w:pStyle w:val="Heading1"/>
      </w:pPr>
      <w:bookmarkStart w:id="364" w:name="_Toc411924586"/>
      <w:r w:rsidRPr="00EC79CF">
        <w:lastRenderedPageBreak/>
        <w:t>CHAPTER 1</w:t>
      </w:r>
      <w:bookmarkEnd w:id="364"/>
    </w:p>
    <w:p w:rsidR="00A665A9" w:rsidRPr="00EC79CF" w:rsidRDefault="00C4696B" w:rsidP="00A665A9">
      <w:pPr>
        <w:pStyle w:val="Heading2"/>
      </w:pPr>
      <w:bookmarkStart w:id="365" w:name="_Toc410741654"/>
      <w:bookmarkStart w:id="366" w:name="_Toc410744205"/>
      <w:bookmarkStart w:id="367" w:name="_Toc411924587"/>
      <w:r w:rsidRPr="00EC79CF">
        <w:rPr>
          <w:caps w:val="0"/>
        </w:rPr>
        <w:t>ACHIEVING HORIZONTAL FISCAL EQUALISATION</w:t>
      </w:r>
      <w:bookmarkEnd w:id="365"/>
      <w:bookmarkEnd w:id="366"/>
      <w:bookmarkEnd w:id="367"/>
    </w:p>
    <w:p w:rsidR="00A665A9" w:rsidRPr="00EC79CF" w:rsidRDefault="00A665A9" w:rsidP="00C20E52">
      <w:pPr>
        <w:pStyle w:val="CGCNumberedPara"/>
        <w:numPr>
          <w:ilvl w:val="1"/>
          <w:numId w:val="4"/>
        </w:numPr>
      </w:pPr>
      <w:r w:rsidRPr="00EC79CF">
        <w:t xml:space="preserve">On 21 June 2013, the Commission received terms of reference from the Treasurer, asking for a review of fiscal equalisation methodologies to apply to the GST distribution from 2015-16. On 19 December 2014, supplementary terms of reference were received. </w:t>
      </w:r>
      <w:r w:rsidR="00D47107" w:rsidRPr="00EC79CF">
        <w:t>Copies of those terms of reference are</w:t>
      </w:r>
      <w:r w:rsidRPr="00EC79CF">
        <w:t xml:space="preserve"> at the front of this report.</w:t>
      </w:r>
    </w:p>
    <w:p w:rsidR="00A665A9" w:rsidRPr="00EC79CF" w:rsidRDefault="00A665A9" w:rsidP="00C20E52">
      <w:pPr>
        <w:pStyle w:val="CGCNumberedPara"/>
        <w:numPr>
          <w:ilvl w:val="1"/>
          <w:numId w:val="2"/>
        </w:numPr>
      </w:pPr>
      <w:r w:rsidRPr="00EC79CF">
        <w:t>This chapter sets out the context of the review, what the Commission considers it is asked to do by the terms of reference, the approach taken and the principles it has used in developing its response. It also provides an overview of how the equalisation system works in Australia.</w:t>
      </w:r>
    </w:p>
    <w:p w:rsidR="00A665A9" w:rsidRPr="00C4696B" w:rsidRDefault="00C4696B" w:rsidP="00C4696B">
      <w:pPr>
        <w:pStyle w:val="Heading3"/>
      </w:pPr>
      <w:bookmarkStart w:id="368" w:name="_Toc410741655"/>
      <w:bookmarkStart w:id="369" w:name="_Toc410744206"/>
      <w:bookmarkStart w:id="370" w:name="_Toc411511195"/>
      <w:bookmarkStart w:id="371" w:name="_Toc411511648"/>
      <w:bookmarkStart w:id="372" w:name="_Toc411924588"/>
      <w:r w:rsidRPr="00C4696B">
        <w:t>Context of the review</w:t>
      </w:r>
      <w:bookmarkEnd w:id="368"/>
      <w:bookmarkEnd w:id="369"/>
      <w:bookmarkEnd w:id="370"/>
      <w:bookmarkEnd w:id="371"/>
      <w:bookmarkEnd w:id="372"/>
    </w:p>
    <w:p w:rsidR="00A665A9" w:rsidRPr="00EC79CF" w:rsidRDefault="00A665A9" w:rsidP="00C20E52">
      <w:pPr>
        <w:pStyle w:val="CGCNumberedPara"/>
        <w:numPr>
          <w:ilvl w:val="1"/>
          <w:numId w:val="2"/>
        </w:numPr>
      </w:pPr>
      <w:r w:rsidRPr="00EC79CF">
        <w:t>Since 1976, fiscal equalisation has been an agreed Commonwealth and State policy, with the Commission being tasked with advising governments on how that could be achieved through the distribution of general revenue assistance from the Commonwealth to the States.</w:t>
      </w:r>
    </w:p>
    <w:p w:rsidR="00A665A9" w:rsidRPr="00EC79CF" w:rsidRDefault="00A665A9" w:rsidP="00C20E52">
      <w:pPr>
        <w:pStyle w:val="CGCNumberedPara"/>
        <w:numPr>
          <w:ilvl w:val="1"/>
          <w:numId w:val="2"/>
        </w:numPr>
      </w:pPr>
      <w:r w:rsidRPr="00EC79CF">
        <w:t>Intergovernmental agreements in 1999 and 2008 and, most recently, the Intergovernmental Agreement on Federal Financial Relations 2011 (the IGA), signed by the Commonwealth and all State governments, provide for the revenue collected from the GST to be paid to the States for them to use for any purpose. The agreements also said the GST is to be distributed among the States in accordance with the principle of horizontal fiscal equalisation</w:t>
      </w:r>
      <w:r w:rsidR="00FC43E7">
        <w:t xml:space="preserve"> (HFE).</w:t>
      </w:r>
    </w:p>
    <w:p w:rsidR="00A665A9" w:rsidRPr="00EC79CF" w:rsidRDefault="00A665A9" w:rsidP="00C20E52">
      <w:pPr>
        <w:pStyle w:val="CGCNumberedPara"/>
        <w:numPr>
          <w:ilvl w:val="1"/>
          <w:numId w:val="2"/>
        </w:numPr>
      </w:pPr>
      <w:r w:rsidRPr="00EC79CF">
        <w:t>At its simplest, equalisation aims to put all States on a level fiscal playing field. It aims to ensure they all have the same fiscal capacity to provide services to their residents.</w:t>
      </w:r>
    </w:p>
    <w:p w:rsidR="00A665A9" w:rsidRPr="00EC79CF" w:rsidRDefault="00A665A9" w:rsidP="00C20E52">
      <w:pPr>
        <w:pStyle w:val="CGCNumberedPara"/>
        <w:numPr>
          <w:ilvl w:val="1"/>
          <w:numId w:val="2"/>
        </w:numPr>
      </w:pPr>
      <w:r w:rsidRPr="00EC79CF">
        <w:t xml:space="preserve">Determining a distribution of the GST that equalises State fiscal capacities involves a comprehensive examination of the impact of State social, physical, and economic circumstances on the costs of providing the full range of State general government services and acquiring the associated infrastructure, and the revenues they can raise. This approach ensures all fiscal advantages and disadvantages of the States are taken into account. To ensure the continuing relevance of the recommended distributions, the Commission has reviewed its methods at about </w:t>
      </w:r>
      <w:r w:rsidR="00E7423D">
        <w:t>five</w:t>
      </w:r>
      <w:r w:rsidR="00E7423D" w:rsidRPr="00EC79CF">
        <w:t xml:space="preserve"> </w:t>
      </w:r>
      <w:r w:rsidRPr="00EC79CF">
        <w:t>yearly intervals since 1981 and updated the distribution between reviews since 1989.</w:t>
      </w:r>
    </w:p>
    <w:p w:rsidR="00A665A9" w:rsidRPr="00EC79CF" w:rsidRDefault="00A665A9" w:rsidP="00C20E52">
      <w:pPr>
        <w:pStyle w:val="CGCNumberedPara"/>
        <w:numPr>
          <w:ilvl w:val="1"/>
          <w:numId w:val="2"/>
        </w:numPr>
      </w:pPr>
      <w:r w:rsidRPr="00EC79CF">
        <w:lastRenderedPageBreak/>
        <w:t xml:space="preserve">Following its consideration of the GST Distribution Review Final Report, 2012, the April 2013 meeting of the Standing Council on Federal Financial Relations agreed to ask the Commission to undertake a review of its methodology for distributing the GST among the States. </w:t>
      </w:r>
    </w:p>
    <w:p w:rsidR="00A665A9" w:rsidRPr="00C4696B" w:rsidRDefault="00C4696B" w:rsidP="00C4696B">
      <w:pPr>
        <w:pStyle w:val="Heading3"/>
      </w:pPr>
      <w:bookmarkStart w:id="373" w:name="_Toc410741656"/>
      <w:bookmarkStart w:id="374" w:name="_Toc410744207"/>
      <w:bookmarkStart w:id="375" w:name="_Toc411511196"/>
      <w:bookmarkStart w:id="376" w:name="_Toc411511649"/>
      <w:bookmarkStart w:id="377" w:name="_Toc411924589"/>
      <w:r w:rsidRPr="00C4696B">
        <w:t>Requirements of the terms of reference</w:t>
      </w:r>
      <w:bookmarkEnd w:id="373"/>
      <w:bookmarkEnd w:id="374"/>
      <w:bookmarkEnd w:id="375"/>
      <w:bookmarkEnd w:id="376"/>
      <w:bookmarkEnd w:id="377"/>
    </w:p>
    <w:p w:rsidR="00A665A9" w:rsidRPr="00EC79CF" w:rsidRDefault="00A665A9" w:rsidP="00C20E52">
      <w:pPr>
        <w:pStyle w:val="CGCNumberedPara"/>
        <w:numPr>
          <w:ilvl w:val="1"/>
          <w:numId w:val="2"/>
        </w:numPr>
      </w:pPr>
      <w:r w:rsidRPr="00EC79CF">
        <w:t>The terms of reference ask the Commission to inquire ‘into the methodological approach to determining the per capita relativities to be used to distribute the GST among the States from 2015-16’. They contain instructions and guidance on how we should approach the task but otherwise do not limit the changes we might make to methods, including the guidelines we use to develop assessments or the scope of the assessments. They ask us:</w:t>
      </w:r>
    </w:p>
    <w:p w:rsidR="00A665A9" w:rsidRPr="00EC79CF" w:rsidRDefault="00A665A9" w:rsidP="00C20E52">
      <w:pPr>
        <w:pStyle w:val="CGCBulletlist"/>
        <w:numPr>
          <w:ilvl w:val="0"/>
          <w:numId w:val="1"/>
        </w:numPr>
        <w:tabs>
          <w:tab w:val="clear" w:pos="927"/>
          <w:tab w:val="left" w:pos="1134"/>
        </w:tabs>
        <w:ind w:left="1134" w:hanging="567"/>
      </w:pPr>
      <w:r w:rsidRPr="00EC79CF">
        <w:t>to take into account the IGA</w:t>
      </w:r>
    </w:p>
    <w:p w:rsidR="00A665A9" w:rsidRPr="00EC79CF" w:rsidRDefault="00A665A9" w:rsidP="00C20E52">
      <w:pPr>
        <w:pStyle w:val="CGCBulletlist"/>
        <w:numPr>
          <w:ilvl w:val="0"/>
          <w:numId w:val="1"/>
        </w:numPr>
        <w:tabs>
          <w:tab w:val="clear" w:pos="927"/>
          <w:tab w:val="left" w:pos="1134"/>
        </w:tabs>
        <w:ind w:left="1134" w:hanging="567"/>
      </w:pPr>
      <w:r w:rsidRPr="00EC79CF">
        <w:t>to aim for assessments that are simple and consistent with the quality and fitness for purpose of the available data</w:t>
      </w:r>
    </w:p>
    <w:p w:rsidR="00A665A9" w:rsidRPr="00EC79CF" w:rsidRDefault="00A665A9" w:rsidP="00C20E52">
      <w:pPr>
        <w:pStyle w:val="CGCBulletlist"/>
        <w:numPr>
          <w:ilvl w:val="0"/>
          <w:numId w:val="1"/>
        </w:numPr>
        <w:tabs>
          <w:tab w:val="clear" w:pos="927"/>
          <w:tab w:val="left" w:pos="1134"/>
        </w:tabs>
        <w:ind w:left="1134" w:hanging="567"/>
      </w:pPr>
      <w:r w:rsidRPr="00EC79CF">
        <w:t xml:space="preserve">to ensure robust quality assurance </w:t>
      </w:r>
      <w:r w:rsidR="0066009F">
        <w:t>processes</w:t>
      </w:r>
    </w:p>
    <w:p w:rsidR="00A665A9" w:rsidRPr="00EC79CF" w:rsidRDefault="00464E43" w:rsidP="00C20E52">
      <w:pPr>
        <w:pStyle w:val="CGCBulletlist"/>
        <w:numPr>
          <w:ilvl w:val="0"/>
          <w:numId w:val="1"/>
        </w:numPr>
        <w:tabs>
          <w:tab w:val="clear" w:pos="927"/>
          <w:tab w:val="left" w:pos="1134"/>
        </w:tabs>
        <w:ind w:left="1134" w:hanging="567"/>
      </w:pPr>
      <w:proofErr w:type="gramStart"/>
      <w:r>
        <w:t>to</w:t>
      </w:r>
      <w:proofErr w:type="gramEnd"/>
      <w:r>
        <w:t xml:space="preserve"> </w:t>
      </w:r>
      <w:r w:rsidR="00A665A9" w:rsidRPr="00EC79CF">
        <w:t>develop methods to appropriately capture the changing characteristics of the Indigenous population.</w:t>
      </w:r>
    </w:p>
    <w:p w:rsidR="00A665A9" w:rsidRPr="00EC79CF" w:rsidRDefault="00A665A9" w:rsidP="00C20E52">
      <w:pPr>
        <w:pStyle w:val="CGCNumberedPara"/>
        <w:numPr>
          <w:ilvl w:val="1"/>
          <w:numId w:val="2"/>
        </w:numPr>
      </w:pPr>
      <w:r w:rsidRPr="00EC79CF">
        <w:t>They also ask the Commission to have regard to nominated recommendations of the GST Distribution Review in undertaking the review. In some cases</w:t>
      </w:r>
      <w:r w:rsidR="00464E43">
        <w:t>,</w:t>
      </w:r>
      <w:r w:rsidRPr="00EC79CF">
        <w:t xml:space="preserve"> we are asked to consider a specific recommendation while in others we are directed to develop new assessments. We have followed these directions in our work. However, we have not responded to the more general findings of the GST Distribution Review, or to other recommendations of that review, considering that to be beyond our terms of reference. </w:t>
      </w:r>
    </w:p>
    <w:p w:rsidR="00A665A9" w:rsidRPr="00EC79CF" w:rsidRDefault="00A665A9" w:rsidP="00C20E52">
      <w:pPr>
        <w:pStyle w:val="CGCNumberedPara"/>
        <w:numPr>
          <w:ilvl w:val="1"/>
          <w:numId w:val="2"/>
        </w:numPr>
      </w:pPr>
      <w:r w:rsidRPr="00EC79CF">
        <w:t>Specific guidance</w:t>
      </w:r>
      <w:r w:rsidR="00464E43">
        <w:t xml:space="preserve"> and direction</w:t>
      </w:r>
      <w:r w:rsidR="008338F0">
        <w:t xml:space="preserve"> on specific payments</w:t>
      </w:r>
      <w:r w:rsidRPr="00EC79CF">
        <w:t xml:space="preserve"> is provided in relation to</w:t>
      </w:r>
      <w:r w:rsidR="001164DA">
        <w:t xml:space="preserve"> the treatment of Commonwealth s</w:t>
      </w:r>
      <w:r w:rsidRPr="00EC79CF">
        <w:t>pecific purpose payments (SPPs) and National partnership payments (NPPs). The terms of reference require the Commission:</w:t>
      </w:r>
    </w:p>
    <w:p w:rsidR="00A665A9" w:rsidRPr="00EC79CF" w:rsidRDefault="00A665A9" w:rsidP="00C20E52">
      <w:pPr>
        <w:pStyle w:val="CGCBulletlist"/>
        <w:numPr>
          <w:ilvl w:val="0"/>
          <w:numId w:val="1"/>
        </w:numPr>
        <w:tabs>
          <w:tab w:val="clear" w:pos="927"/>
          <w:tab w:val="left" w:pos="1134"/>
        </w:tabs>
        <w:ind w:left="1134" w:hanging="567"/>
      </w:pPr>
      <w:r w:rsidRPr="00EC79CF">
        <w:t xml:space="preserve">to ensure some specified payments (usually referred to as quarantined payments), including all </w:t>
      </w:r>
      <w:r w:rsidR="00756823" w:rsidRPr="00EC79CF">
        <w:t>reward</w:t>
      </w:r>
      <w:r w:rsidR="00756823">
        <w:t xml:space="preserve"> </w:t>
      </w:r>
      <w:r w:rsidR="002B4BC8">
        <w:t>NPP</w:t>
      </w:r>
      <w:r w:rsidR="00756823">
        <w:t>s</w:t>
      </w:r>
      <w:r w:rsidRPr="00EC79CF">
        <w:t>, have no impact on the GST distribution</w:t>
      </w:r>
    </w:p>
    <w:p w:rsidR="00A665A9" w:rsidRPr="00EC79CF" w:rsidRDefault="00A665A9" w:rsidP="00C20E52">
      <w:pPr>
        <w:pStyle w:val="CGCBulletlist"/>
        <w:numPr>
          <w:ilvl w:val="0"/>
          <w:numId w:val="1"/>
        </w:numPr>
        <w:tabs>
          <w:tab w:val="clear" w:pos="927"/>
          <w:tab w:val="left" w:pos="1134"/>
        </w:tabs>
        <w:ind w:left="1134" w:hanging="567"/>
      </w:pPr>
      <w:r w:rsidRPr="00EC79CF">
        <w:t>to apply a 50% discount to specified payments for major roads</w:t>
      </w:r>
    </w:p>
    <w:p w:rsidR="00A665A9" w:rsidRPr="00EC79CF" w:rsidRDefault="00A665A9" w:rsidP="00C20E52">
      <w:pPr>
        <w:pStyle w:val="CGCBulletlist"/>
        <w:numPr>
          <w:ilvl w:val="0"/>
          <w:numId w:val="1"/>
        </w:numPr>
        <w:tabs>
          <w:tab w:val="clear" w:pos="927"/>
          <w:tab w:val="left" w:pos="1134"/>
        </w:tabs>
        <w:ind w:left="1134" w:hanging="567"/>
      </w:pPr>
      <w:proofErr w:type="gramStart"/>
      <w:r w:rsidRPr="00EC79CF">
        <w:t>to</w:t>
      </w:r>
      <w:proofErr w:type="gramEnd"/>
      <w:r w:rsidRPr="00EC79CF">
        <w:t xml:space="preserve"> treat national SPPs, </w:t>
      </w:r>
      <w:r w:rsidR="002B4BC8">
        <w:t>N</w:t>
      </w:r>
      <w:r w:rsidRPr="00EC79CF">
        <w:t xml:space="preserve">ational health reform funding, project </w:t>
      </w:r>
      <w:r w:rsidR="002B4BC8">
        <w:t>NPPs</w:t>
      </w:r>
      <w:r w:rsidRPr="00EC79CF">
        <w:t xml:space="preserve"> and general revenue assistance (GRA), other than the GST, so that they would affect GST shares, but </w:t>
      </w:r>
      <w:r w:rsidR="00464E43">
        <w:t xml:space="preserve">to </w:t>
      </w:r>
      <w:r w:rsidRPr="00EC79CF">
        <w:t>treat facilitation NPPs so that they would not.</w:t>
      </w:r>
    </w:p>
    <w:p w:rsidR="00A665A9" w:rsidRPr="00EC79CF" w:rsidRDefault="00A665A9" w:rsidP="003426A9">
      <w:pPr>
        <w:pStyle w:val="CGCNumberedPara"/>
      </w:pPr>
      <w:r w:rsidRPr="00EC79CF">
        <w:t>However, the Commission is given discretion to vary the treatment of the third group of payments where it is appropriate, ‘</w:t>
      </w:r>
      <w:r w:rsidR="00E64A3C" w:rsidRPr="00A66AD0">
        <w:t xml:space="preserve">reflecting the nature of the </w:t>
      </w:r>
      <w:r w:rsidR="00E64A3C">
        <w:t xml:space="preserve">particular </w:t>
      </w:r>
      <w:r w:rsidR="00E64A3C" w:rsidRPr="00A66AD0">
        <w:t xml:space="preserve">payment and the role of </w:t>
      </w:r>
      <w:r w:rsidR="00E64A3C">
        <w:t xml:space="preserve">the </w:t>
      </w:r>
      <w:r w:rsidR="00E64A3C" w:rsidRPr="00A66AD0">
        <w:t xml:space="preserve">State governments in providing </w:t>
      </w:r>
      <w:r w:rsidR="00E64A3C">
        <w:t>particular</w:t>
      </w:r>
      <w:r w:rsidR="00E64A3C" w:rsidRPr="00A66AD0">
        <w:t xml:space="preserve"> services’</w:t>
      </w:r>
      <w:r w:rsidRPr="00EC79CF">
        <w:t>.</w:t>
      </w:r>
    </w:p>
    <w:p w:rsidR="00A665A9" w:rsidRPr="00EC79CF" w:rsidRDefault="00A665A9" w:rsidP="00C20E52">
      <w:pPr>
        <w:pStyle w:val="CGCNumberedPara"/>
        <w:numPr>
          <w:ilvl w:val="1"/>
          <w:numId w:val="2"/>
        </w:numPr>
      </w:pPr>
      <w:r w:rsidRPr="00EC79CF">
        <w:lastRenderedPageBreak/>
        <w:t>The terms of reference also identified a number of issues to be progressed as a priority and subject to early consultation with the States.</w:t>
      </w:r>
    </w:p>
    <w:p w:rsidR="00A665A9" w:rsidRPr="00C4696B" w:rsidRDefault="00C4696B" w:rsidP="00C4696B">
      <w:pPr>
        <w:pStyle w:val="Heading3"/>
      </w:pPr>
      <w:bookmarkStart w:id="378" w:name="_Toc410741657"/>
      <w:bookmarkStart w:id="379" w:name="_Toc410744208"/>
      <w:bookmarkStart w:id="380" w:name="_Toc411511197"/>
      <w:bookmarkStart w:id="381" w:name="_Toc411511650"/>
      <w:bookmarkStart w:id="382" w:name="_Toc411924590"/>
      <w:r w:rsidRPr="00C4696B">
        <w:t>Commission’s approach to the review</w:t>
      </w:r>
      <w:bookmarkEnd w:id="378"/>
      <w:bookmarkEnd w:id="379"/>
      <w:bookmarkEnd w:id="380"/>
      <w:bookmarkEnd w:id="381"/>
      <w:bookmarkEnd w:id="382"/>
    </w:p>
    <w:p w:rsidR="00A665A9" w:rsidRPr="00EC79CF" w:rsidRDefault="00A87A12" w:rsidP="00C20E52">
      <w:pPr>
        <w:pStyle w:val="CGCNumberedPara"/>
        <w:numPr>
          <w:ilvl w:val="1"/>
          <w:numId w:val="2"/>
        </w:numPr>
      </w:pPr>
      <w:r>
        <w:t>The terms of reference ask</w:t>
      </w:r>
      <w:r w:rsidR="00A665A9" w:rsidRPr="00EC79CF">
        <w:t xml:space="preserve"> the Commission to develop a work program for the review, in consultation with the Commonwealth and States. This is set out in </w:t>
      </w:r>
      <w:r w:rsidR="00A665A9" w:rsidRPr="00EC79CF">
        <w:fldChar w:fldCharType="begin"/>
      </w:r>
      <w:r w:rsidR="00A665A9" w:rsidRPr="00EC79CF">
        <w:instrText xml:space="preserve"> REF _Ref410719566 \h </w:instrText>
      </w:r>
      <w:r w:rsidR="00EC79CF">
        <w:instrText xml:space="preserve"> \* MERGEFORMAT </w:instrText>
      </w:r>
      <w:r w:rsidR="00A665A9" w:rsidRPr="00EC79CF">
        <w:fldChar w:fldCharType="separate"/>
      </w:r>
      <w:r w:rsidR="003A5DEE" w:rsidRPr="00EC79CF">
        <w:t xml:space="preserve">Table </w:t>
      </w:r>
      <w:r w:rsidR="003A5DEE">
        <w:rPr>
          <w:noProof/>
        </w:rPr>
        <w:t>1</w:t>
      </w:r>
      <w:r w:rsidR="00A665A9" w:rsidRPr="00EC79CF">
        <w:fldChar w:fldCharType="end"/>
      </w:r>
      <w:r w:rsidR="00A665A9" w:rsidRPr="00EC79CF">
        <w:t>. It involved consultations with State Treasurers on the principles and methods which should be reviewed and on the priority issues. These were followed by a Commission position paper on the equalisation objective and supporting principles and staff papers on the priority issues the Commission was asked to address in the terms of reference, other implementation issues and proposed assessments. Further discussions also took place between State Treasury and Commission staff before the provision of a draft report to the Commonwealth Treasurer on 20 June 2014.</w:t>
      </w:r>
    </w:p>
    <w:p w:rsidR="00A665A9" w:rsidRPr="00EC79CF" w:rsidRDefault="00A665A9" w:rsidP="00D05F5E">
      <w:pPr>
        <w:pStyle w:val="CGCNumberedPara"/>
      </w:pPr>
      <w:r w:rsidRPr="00EC79CF">
        <w:t xml:space="preserve">Following the draft report, the Commission held further consultations with the States and considered further submissions. Subsequent significant changes to the </w:t>
      </w:r>
      <w:r w:rsidR="00E0349B">
        <w:t xml:space="preserve">proposed </w:t>
      </w:r>
      <w:r w:rsidRPr="00EC79CF">
        <w:t xml:space="preserve">methodology set out in the draft report were advised to States in November 2014 and submissions were received in December 2014 and January 2015. </w:t>
      </w:r>
      <w:r w:rsidR="008338F0">
        <w:t xml:space="preserve">Volume 2, </w:t>
      </w:r>
      <w:r w:rsidRPr="00EC79CF">
        <w:t xml:space="preserve">Attachment </w:t>
      </w:r>
      <w:r w:rsidR="00971D8D">
        <w:t xml:space="preserve">7 </w:t>
      </w:r>
      <w:r w:rsidRPr="00EC79CF">
        <w:t xml:space="preserve">provides a list of Commission papers, States submissions and consultations held as part of the review process. They are available on </w:t>
      </w:r>
      <w:r w:rsidR="00D05F5E">
        <w:t xml:space="preserve">the </w:t>
      </w:r>
      <w:hyperlink r:id="rId58" w:history="1">
        <w:r w:rsidR="00D05F5E" w:rsidRPr="00D05F5E">
          <w:rPr>
            <w:rStyle w:val="Hyperlink"/>
          </w:rPr>
          <w:t>Commission’s website</w:t>
        </w:r>
      </w:hyperlink>
      <w:r w:rsidR="00D05F5E">
        <w:t xml:space="preserve"> (</w:t>
      </w:r>
      <w:r w:rsidR="00D05F5E" w:rsidRPr="00D05F5E">
        <w:t>https://www.cgc.gov.au/</w:t>
      </w:r>
      <w:r w:rsidR="00D05F5E">
        <w:t>)</w:t>
      </w:r>
      <w:r w:rsidRPr="00EC79CF">
        <w:t>.</w:t>
      </w:r>
    </w:p>
    <w:p w:rsidR="00A665A9" w:rsidRPr="00EC79CF" w:rsidRDefault="00A665A9" w:rsidP="00C20E52">
      <w:pPr>
        <w:pStyle w:val="CGCNumberedPara"/>
        <w:numPr>
          <w:ilvl w:val="1"/>
          <w:numId w:val="2"/>
        </w:numPr>
      </w:pPr>
      <w:r w:rsidRPr="00EC79CF">
        <w:t xml:space="preserve">The last review of methods was completed in 2010. It started with a clean slate and entailed a rigorous justification of each assessment. While that </w:t>
      </w:r>
      <w:r w:rsidR="00D85E28">
        <w:t xml:space="preserve">review </w:t>
      </w:r>
      <w:r w:rsidRPr="00EC79CF">
        <w:t xml:space="preserve">resulted in significant changes in certain areas, it also showed that much existing methodology was robust. </w:t>
      </w:r>
    </w:p>
    <w:p w:rsidR="00A665A9" w:rsidRPr="00EC79CF" w:rsidRDefault="00A665A9" w:rsidP="00C20E52">
      <w:pPr>
        <w:pStyle w:val="CGCNumberedPara"/>
        <w:numPr>
          <w:ilvl w:val="1"/>
          <w:numId w:val="2"/>
        </w:numPr>
      </w:pPr>
      <w:r w:rsidRPr="00EC79CF">
        <w:t xml:space="preserve">In this review, while changes to all methods were permitted within the terms of reference, given the shorter timeframe, we adopted an approach of focusing attention on areas where, in consultation with the States, we considered change was most warranted and likely to achieve an improved equalisation outcome. Again, the result has been a number of major changes, such as the inclusion within the scope of HFE of housing and public transport public non-financial corporations </w:t>
      </w:r>
      <w:r w:rsidR="00464E43">
        <w:t xml:space="preserve">(PNFCs) </w:t>
      </w:r>
      <w:r w:rsidRPr="00EC79CF">
        <w:t xml:space="preserve">which provide general government like services, and a change in the way mining royalty revenues are assessed. We have also responded where there have been major changes in federal financial relations, such as in schools education, disability services and aged </w:t>
      </w:r>
      <w:r w:rsidR="00E7423D">
        <w:t>care</w:t>
      </w:r>
      <w:r w:rsidR="00E7423D" w:rsidRPr="00EC79CF">
        <w:t xml:space="preserve"> </w:t>
      </w:r>
      <w:r w:rsidRPr="00EC79CF">
        <w:t xml:space="preserve">services. There are also smaller changes reflecting, for example, changes in the data available to us. </w:t>
      </w:r>
    </w:p>
    <w:p w:rsidR="00A665A9" w:rsidRPr="00EC79CF" w:rsidRDefault="00A665A9" w:rsidP="00A665A9">
      <w:pPr>
        <w:pStyle w:val="Caption"/>
      </w:pPr>
      <w:bookmarkStart w:id="383" w:name="_Ref389646743"/>
      <w:bookmarkStart w:id="384" w:name="_Ref410719566"/>
      <w:r w:rsidRPr="00EC79CF">
        <w:lastRenderedPageBreak/>
        <w:t xml:space="preserve">Table </w:t>
      </w:r>
      <w:bookmarkEnd w:id="383"/>
      <w:r w:rsidRPr="00EC79CF">
        <w:fldChar w:fldCharType="begin"/>
      </w:r>
      <w:r w:rsidRPr="00EC79CF">
        <w:instrText xml:space="preserve"> SEQ Table \* ARABIC \r1 </w:instrText>
      </w:r>
      <w:r w:rsidRPr="00EC79CF">
        <w:fldChar w:fldCharType="separate"/>
      </w:r>
      <w:r w:rsidR="003A5DEE">
        <w:rPr>
          <w:noProof/>
        </w:rPr>
        <w:t>1</w:t>
      </w:r>
      <w:r w:rsidRPr="00EC79CF">
        <w:fldChar w:fldCharType="end"/>
      </w:r>
      <w:bookmarkEnd w:id="384"/>
      <w:r w:rsidRPr="00EC79CF">
        <w:tab/>
        <w:t>2015 Review program</w:t>
      </w:r>
    </w:p>
    <w:tbl>
      <w:tblPr>
        <w:tblW w:w="9087" w:type="dxa"/>
        <w:tblInd w:w="93" w:type="dxa"/>
        <w:tblLook w:val="04A0" w:firstRow="1" w:lastRow="0" w:firstColumn="1" w:lastColumn="0" w:noHBand="0" w:noVBand="1"/>
      </w:tblPr>
      <w:tblGrid>
        <w:gridCol w:w="1756"/>
        <w:gridCol w:w="7331"/>
      </w:tblGrid>
      <w:tr w:rsidR="00A665A9" w:rsidRPr="00EC79CF" w:rsidTr="002C0D6C">
        <w:trPr>
          <w:trHeight w:val="315"/>
        </w:trPr>
        <w:tc>
          <w:tcPr>
            <w:tcW w:w="1756" w:type="dxa"/>
            <w:tcBorders>
              <w:top w:val="single" w:sz="4" w:space="0" w:color="auto"/>
              <w:left w:val="nil"/>
              <w:bottom w:val="nil"/>
              <w:right w:val="nil"/>
            </w:tcBorders>
            <w:shd w:val="clear" w:color="auto" w:fill="auto"/>
            <w:hideMark/>
          </w:tcPr>
          <w:p w:rsidR="00A665A9" w:rsidRPr="00EC79CF" w:rsidRDefault="00A665A9" w:rsidP="00A665A9">
            <w:pPr>
              <w:keepNext/>
              <w:keepLines/>
              <w:tabs>
                <w:tab w:val="clear" w:pos="567"/>
              </w:tabs>
              <w:spacing w:after="0" w:line="240" w:lineRule="auto"/>
              <w:rPr>
                <w:rFonts w:ascii="Calibri" w:eastAsia="Times New Roman" w:hAnsi="Calibri" w:cs="Times New Roman"/>
                <w:bCs/>
                <w:sz w:val="20"/>
                <w:szCs w:val="20"/>
                <w:lang w:eastAsia="en-AU"/>
              </w:rPr>
            </w:pPr>
            <w:bookmarkStart w:id="385" w:name="RANGE!A2:B27"/>
            <w:r w:rsidRPr="00EC79CF">
              <w:rPr>
                <w:rFonts w:ascii="Calibri" w:eastAsia="Times New Roman" w:hAnsi="Calibri" w:cs="Times New Roman"/>
                <w:bCs/>
                <w:sz w:val="20"/>
                <w:szCs w:val="20"/>
                <w:lang w:eastAsia="en-AU"/>
              </w:rPr>
              <w:t>Date</w:t>
            </w:r>
            <w:bookmarkEnd w:id="385"/>
          </w:p>
        </w:tc>
        <w:tc>
          <w:tcPr>
            <w:tcW w:w="7331" w:type="dxa"/>
            <w:tcBorders>
              <w:top w:val="single" w:sz="4" w:space="0" w:color="auto"/>
              <w:left w:val="nil"/>
              <w:bottom w:val="nil"/>
              <w:right w:val="nil"/>
            </w:tcBorders>
            <w:shd w:val="clear" w:color="auto" w:fill="auto"/>
            <w:hideMark/>
          </w:tcPr>
          <w:p w:rsidR="00A665A9" w:rsidRPr="00EC79CF" w:rsidRDefault="00A665A9" w:rsidP="00A665A9">
            <w:pPr>
              <w:keepNext/>
              <w:keepLines/>
              <w:tabs>
                <w:tab w:val="clear" w:pos="567"/>
              </w:tabs>
              <w:spacing w:after="0" w:line="240" w:lineRule="auto"/>
              <w:rPr>
                <w:rFonts w:ascii="Calibri" w:eastAsia="Times New Roman" w:hAnsi="Calibri" w:cs="Times New Roman"/>
                <w:bCs/>
                <w:sz w:val="20"/>
                <w:szCs w:val="20"/>
                <w:lang w:eastAsia="en-AU"/>
              </w:rPr>
            </w:pPr>
            <w:r w:rsidRPr="00EC79CF">
              <w:rPr>
                <w:rFonts w:ascii="Calibri" w:eastAsia="Times New Roman" w:hAnsi="Calibri" w:cs="Times New Roman"/>
                <w:bCs/>
                <w:sz w:val="20"/>
                <w:szCs w:val="20"/>
                <w:lang w:eastAsia="en-AU"/>
              </w:rPr>
              <w:t>Event</w:t>
            </w:r>
          </w:p>
        </w:tc>
      </w:tr>
      <w:tr w:rsidR="00A665A9" w:rsidRPr="00EC79CF" w:rsidTr="002C0D6C">
        <w:trPr>
          <w:trHeight w:val="35"/>
        </w:trPr>
        <w:tc>
          <w:tcPr>
            <w:tcW w:w="1756" w:type="dxa"/>
            <w:tcBorders>
              <w:top w:val="single" w:sz="4" w:space="0" w:color="auto"/>
              <w:left w:val="nil"/>
              <w:bottom w:val="nil"/>
              <w:right w:val="nil"/>
            </w:tcBorders>
            <w:shd w:val="clear" w:color="auto" w:fill="auto"/>
            <w:hideMark/>
          </w:tcPr>
          <w:p w:rsidR="00A665A9" w:rsidRPr="00EC79CF" w:rsidRDefault="00A665A9" w:rsidP="00A665A9">
            <w:pPr>
              <w:keepNext/>
              <w:keepLines/>
              <w:tabs>
                <w:tab w:val="clear" w:pos="567"/>
              </w:tabs>
              <w:spacing w:after="0" w:line="240" w:lineRule="auto"/>
              <w:rPr>
                <w:rFonts w:ascii="Calibri" w:eastAsia="Times New Roman" w:hAnsi="Calibri" w:cs="Times New Roman"/>
                <w:b/>
                <w:bCs/>
                <w:sz w:val="20"/>
                <w:szCs w:val="20"/>
                <w:lang w:eastAsia="en-AU"/>
              </w:rPr>
            </w:pPr>
            <w:r w:rsidRPr="00EC79CF">
              <w:rPr>
                <w:rFonts w:ascii="Calibri" w:eastAsia="Times New Roman" w:hAnsi="Calibri" w:cs="Times New Roman"/>
                <w:b/>
                <w:bCs/>
                <w:sz w:val="20"/>
                <w:szCs w:val="20"/>
                <w:lang w:eastAsia="en-AU"/>
              </w:rPr>
              <w:t>2013</w:t>
            </w:r>
          </w:p>
        </w:tc>
        <w:tc>
          <w:tcPr>
            <w:tcW w:w="7331" w:type="dxa"/>
            <w:tcBorders>
              <w:top w:val="single" w:sz="4" w:space="0" w:color="auto"/>
              <w:left w:val="nil"/>
              <w:bottom w:val="nil"/>
              <w:right w:val="nil"/>
            </w:tcBorders>
            <w:shd w:val="clear" w:color="auto" w:fill="auto"/>
            <w:hideMark/>
          </w:tcPr>
          <w:p w:rsidR="00A665A9" w:rsidRPr="00EC79CF" w:rsidRDefault="00A665A9" w:rsidP="00A665A9">
            <w:pPr>
              <w:keepNext/>
              <w:keepLines/>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 </w:t>
            </w:r>
          </w:p>
        </w:tc>
      </w:tr>
      <w:tr w:rsidR="003426A9" w:rsidRPr="00EC79CF" w:rsidTr="002C0D6C">
        <w:trPr>
          <w:trHeight w:val="315"/>
        </w:trPr>
        <w:tc>
          <w:tcPr>
            <w:tcW w:w="1756" w:type="dxa"/>
            <w:tcBorders>
              <w:top w:val="nil"/>
              <w:left w:val="nil"/>
              <w:bottom w:val="nil"/>
              <w:right w:val="nil"/>
            </w:tcBorders>
            <w:shd w:val="clear" w:color="auto" w:fill="auto"/>
            <w:hideMark/>
          </w:tcPr>
          <w:p w:rsidR="003426A9" w:rsidRPr="007571FC" w:rsidRDefault="003426A9" w:rsidP="003426A9">
            <w:pPr>
              <w:keepNext/>
              <w:keepLines/>
              <w:tabs>
                <w:tab w:val="clear" w:pos="567"/>
              </w:tabs>
              <w:spacing w:after="0" w:line="240" w:lineRule="auto"/>
              <w:rPr>
                <w:rFonts w:ascii="Calibri" w:eastAsia="Times New Roman" w:hAnsi="Calibri" w:cs="Times New Roman"/>
                <w:sz w:val="20"/>
                <w:szCs w:val="20"/>
                <w:lang w:eastAsia="en-AU"/>
              </w:rPr>
            </w:pPr>
            <w:r w:rsidRPr="007571FC">
              <w:rPr>
                <w:rFonts w:ascii="Calibri" w:eastAsia="Times New Roman" w:hAnsi="Calibri" w:cs="Times New Roman"/>
                <w:sz w:val="20"/>
                <w:szCs w:val="20"/>
                <w:lang w:eastAsia="en-AU"/>
              </w:rPr>
              <w:t>21 June</w:t>
            </w:r>
          </w:p>
        </w:tc>
        <w:tc>
          <w:tcPr>
            <w:tcW w:w="7331" w:type="dxa"/>
            <w:tcBorders>
              <w:top w:val="nil"/>
              <w:left w:val="nil"/>
              <w:bottom w:val="nil"/>
              <w:right w:val="nil"/>
            </w:tcBorders>
            <w:shd w:val="clear" w:color="auto" w:fill="auto"/>
            <w:hideMark/>
          </w:tcPr>
          <w:p w:rsidR="003426A9" w:rsidRPr="007571FC" w:rsidRDefault="003426A9" w:rsidP="003426A9">
            <w:pPr>
              <w:keepNext/>
              <w:keepLines/>
              <w:tabs>
                <w:tab w:val="clear" w:pos="567"/>
              </w:tabs>
              <w:spacing w:after="0" w:line="240" w:lineRule="auto"/>
              <w:ind w:left="270" w:hanging="270"/>
              <w:rPr>
                <w:rFonts w:ascii="Calibri" w:eastAsia="Times New Roman" w:hAnsi="Calibri" w:cs="Times New Roman"/>
                <w:sz w:val="20"/>
                <w:szCs w:val="20"/>
                <w:lang w:eastAsia="en-AU"/>
              </w:rPr>
            </w:pPr>
            <w:r w:rsidRPr="007571FC">
              <w:rPr>
                <w:rFonts w:ascii="Calibri" w:eastAsia="Times New Roman" w:hAnsi="Calibri" w:cs="Times New Roman"/>
                <w:sz w:val="20"/>
                <w:szCs w:val="20"/>
                <w:lang w:eastAsia="en-AU"/>
              </w:rPr>
              <w:t>Receipt of terms of reference</w:t>
            </w:r>
          </w:p>
        </w:tc>
      </w:tr>
      <w:tr w:rsidR="00A665A9" w:rsidRPr="00EC79CF" w:rsidTr="002C0D6C">
        <w:trPr>
          <w:trHeight w:val="251"/>
        </w:trPr>
        <w:tc>
          <w:tcPr>
            <w:tcW w:w="1756" w:type="dxa"/>
            <w:vMerge w:val="restart"/>
            <w:tcBorders>
              <w:top w:val="nil"/>
              <w:left w:val="nil"/>
              <w:bottom w:val="nil"/>
              <w:right w:val="nil"/>
            </w:tcBorders>
            <w:shd w:val="clear" w:color="auto" w:fill="auto"/>
            <w:hideMark/>
          </w:tcPr>
          <w:p w:rsidR="00A665A9" w:rsidRPr="00EC79CF" w:rsidRDefault="00A665A9" w:rsidP="00A665A9">
            <w:pPr>
              <w:keepNext/>
              <w:keepLines/>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End July</w:t>
            </w:r>
          </w:p>
        </w:tc>
        <w:tc>
          <w:tcPr>
            <w:tcW w:w="7331" w:type="dxa"/>
            <w:tcBorders>
              <w:top w:val="nil"/>
              <w:left w:val="nil"/>
              <w:bottom w:val="nil"/>
              <w:right w:val="nil"/>
            </w:tcBorders>
            <w:shd w:val="clear" w:color="auto" w:fill="auto"/>
            <w:hideMark/>
          </w:tcPr>
          <w:p w:rsidR="00A665A9" w:rsidRPr="00EC79CF" w:rsidRDefault="00A665A9" w:rsidP="00A665A9">
            <w:pPr>
              <w:keepNext/>
              <w:keepLines/>
              <w:tabs>
                <w:tab w:val="clear" w:pos="567"/>
              </w:tabs>
              <w:spacing w:after="0" w:line="240" w:lineRule="auto"/>
              <w:ind w:left="270" w:hanging="270"/>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State submissions due on:</w:t>
            </w:r>
          </w:p>
        </w:tc>
      </w:tr>
      <w:tr w:rsidR="00A665A9" w:rsidRPr="00EC79CF" w:rsidTr="002C0D6C">
        <w:trPr>
          <w:trHeight w:val="315"/>
        </w:trPr>
        <w:tc>
          <w:tcPr>
            <w:tcW w:w="1756" w:type="dxa"/>
            <w:vMerge/>
            <w:tcBorders>
              <w:top w:val="nil"/>
              <w:left w:val="nil"/>
              <w:bottom w:val="nil"/>
              <w:right w:val="nil"/>
            </w:tcBorders>
            <w:vAlign w:val="center"/>
            <w:hideMark/>
          </w:tcPr>
          <w:p w:rsidR="00A665A9" w:rsidRPr="00EC79CF" w:rsidRDefault="00A665A9" w:rsidP="00A665A9">
            <w:pPr>
              <w:keepNext/>
              <w:keepLines/>
              <w:tabs>
                <w:tab w:val="clear" w:pos="567"/>
              </w:tabs>
              <w:spacing w:after="0" w:line="240" w:lineRule="auto"/>
              <w:rPr>
                <w:rFonts w:ascii="Calibri" w:eastAsia="Times New Roman" w:hAnsi="Calibri" w:cs="Times New Roman"/>
                <w:sz w:val="20"/>
                <w:szCs w:val="20"/>
                <w:lang w:eastAsia="en-AU"/>
              </w:rPr>
            </w:pPr>
          </w:p>
        </w:tc>
        <w:tc>
          <w:tcPr>
            <w:tcW w:w="7331" w:type="dxa"/>
            <w:tcBorders>
              <w:top w:val="nil"/>
              <w:left w:val="nil"/>
              <w:bottom w:val="nil"/>
              <w:right w:val="nil"/>
            </w:tcBorders>
            <w:shd w:val="clear" w:color="auto" w:fill="auto"/>
            <w:vAlign w:val="center"/>
            <w:hideMark/>
          </w:tcPr>
          <w:p w:rsidR="00A665A9" w:rsidRPr="00EC79CF" w:rsidRDefault="00A665A9" w:rsidP="00C20E52">
            <w:pPr>
              <w:pStyle w:val="ListParagraph"/>
              <w:keepNext/>
              <w:keepLines/>
              <w:numPr>
                <w:ilvl w:val="0"/>
                <w:numId w:val="12"/>
              </w:numPr>
              <w:spacing w:after="0" w:line="240" w:lineRule="auto"/>
              <w:ind w:left="412"/>
              <w:rPr>
                <w:rFonts w:ascii="Symbol" w:eastAsia="Times New Roman" w:hAnsi="Symbol" w:cs="Times New Roman"/>
                <w:sz w:val="20"/>
                <w:szCs w:val="20"/>
                <w:lang w:eastAsia="en-AU"/>
              </w:rPr>
            </w:pPr>
            <w:r w:rsidRPr="00EC79CF">
              <w:rPr>
                <w:rFonts w:ascii="Calibri" w:eastAsia="Times New Roman" w:hAnsi="Calibri" w:cs="Times New Roman"/>
                <w:sz w:val="20"/>
                <w:szCs w:val="20"/>
                <w:lang w:eastAsia="en-AU"/>
              </w:rPr>
              <w:t>principles and architecture</w:t>
            </w:r>
          </w:p>
        </w:tc>
      </w:tr>
      <w:tr w:rsidR="00A665A9" w:rsidRPr="00EC79CF" w:rsidTr="002C0D6C">
        <w:trPr>
          <w:trHeight w:val="315"/>
        </w:trPr>
        <w:tc>
          <w:tcPr>
            <w:tcW w:w="1756" w:type="dxa"/>
            <w:vMerge/>
            <w:tcBorders>
              <w:top w:val="nil"/>
              <w:left w:val="nil"/>
              <w:bottom w:val="nil"/>
              <w:right w:val="nil"/>
            </w:tcBorders>
            <w:vAlign w:val="center"/>
            <w:hideMark/>
          </w:tcPr>
          <w:p w:rsidR="00A665A9" w:rsidRPr="00EC79CF" w:rsidRDefault="00A665A9" w:rsidP="00A665A9">
            <w:pPr>
              <w:keepNext/>
              <w:keepLines/>
              <w:tabs>
                <w:tab w:val="clear" w:pos="567"/>
              </w:tabs>
              <w:spacing w:after="0" w:line="240" w:lineRule="auto"/>
              <w:rPr>
                <w:rFonts w:ascii="Calibri" w:eastAsia="Times New Roman" w:hAnsi="Calibri" w:cs="Times New Roman"/>
                <w:sz w:val="20"/>
                <w:szCs w:val="20"/>
                <w:lang w:eastAsia="en-AU"/>
              </w:rPr>
            </w:pPr>
          </w:p>
        </w:tc>
        <w:tc>
          <w:tcPr>
            <w:tcW w:w="7331" w:type="dxa"/>
            <w:tcBorders>
              <w:top w:val="nil"/>
              <w:left w:val="nil"/>
              <w:bottom w:val="nil"/>
              <w:right w:val="nil"/>
            </w:tcBorders>
            <w:shd w:val="clear" w:color="auto" w:fill="auto"/>
            <w:vAlign w:val="center"/>
            <w:hideMark/>
          </w:tcPr>
          <w:p w:rsidR="00A665A9" w:rsidRPr="00EC79CF" w:rsidRDefault="00A665A9" w:rsidP="00C20E52">
            <w:pPr>
              <w:pStyle w:val="ListParagraph"/>
              <w:keepNext/>
              <w:keepLines/>
              <w:numPr>
                <w:ilvl w:val="0"/>
                <w:numId w:val="12"/>
              </w:numPr>
              <w:spacing w:after="0" w:line="240" w:lineRule="auto"/>
              <w:ind w:left="412"/>
              <w:rPr>
                <w:rFonts w:ascii="Symbol" w:eastAsia="Times New Roman" w:hAnsi="Symbol" w:cs="Times New Roman"/>
                <w:sz w:val="20"/>
                <w:szCs w:val="20"/>
                <w:lang w:eastAsia="en-AU"/>
              </w:rPr>
            </w:pPr>
            <w:r w:rsidRPr="00EC79CF">
              <w:rPr>
                <w:rFonts w:ascii="Calibri" w:eastAsia="Times New Roman" w:hAnsi="Calibri" w:cs="Times New Roman"/>
                <w:sz w:val="20"/>
                <w:szCs w:val="20"/>
                <w:lang w:eastAsia="en-AU"/>
              </w:rPr>
              <w:t>priority issues as outlined in the terms of reference</w:t>
            </w:r>
          </w:p>
        </w:tc>
      </w:tr>
      <w:tr w:rsidR="00A665A9" w:rsidRPr="00EC79CF" w:rsidTr="002C0D6C">
        <w:trPr>
          <w:trHeight w:val="555"/>
        </w:trPr>
        <w:tc>
          <w:tcPr>
            <w:tcW w:w="1756" w:type="dxa"/>
            <w:vMerge/>
            <w:tcBorders>
              <w:top w:val="nil"/>
              <w:left w:val="nil"/>
              <w:bottom w:val="nil"/>
              <w:right w:val="nil"/>
            </w:tcBorders>
            <w:vAlign w:val="center"/>
            <w:hideMark/>
          </w:tcPr>
          <w:p w:rsidR="00A665A9" w:rsidRPr="00EC79CF" w:rsidRDefault="00A665A9" w:rsidP="00A665A9">
            <w:pPr>
              <w:keepNext/>
              <w:keepLines/>
              <w:tabs>
                <w:tab w:val="clear" w:pos="567"/>
              </w:tabs>
              <w:spacing w:after="0" w:line="240" w:lineRule="auto"/>
              <w:rPr>
                <w:rFonts w:ascii="Calibri" w:eastAsia="Times New Roman" w:hAnsi="Calibri" w:cs="Times New Roman"/>
                <w:sz w:val="20"/>
                <w:szCs w:val="20"/>
                <w:lang w:eastAsia="en-AU"/>
              </w:rPr>
            </w:pPr>
          </w:p>
        </w:tc>
        <w:tc>
          <w:tcPr>
            <w:tcW w:w="7331" w:type="dxa"/>
            <w:tcBorders>
              <w:top w:val="nil"/>
              <w:left w:val="nil"/>
              <w:bottom w:val="nil"/>
              <w:right w:val="nil"/>
            </w:tcBorders>
            <w:shd w:val="clear" w:color="auto" w:fill="auto"/>
            <w:vAlign w:val="center"/>
            <w:hideMark/>
          </w:tcPr>
          <w:p w:rsidR="00A665A9" w:rsidRPr="00EC79CF" w:rsidRDefault="00A665A9" w:rsidP="00C20E52">
            <w:pPr>
              <w:pStyle w:val="ListParagraph"/>
              <w:keepNext/>
              <w:keepLines/>
              <w:numPr>
                <w:ilvl w:val="0"/>
                <w:numId w:val="12"/>
              </w:numPr>
              <w:spacing w:after="0" w:line="240" w:lineRule="auto"/>
              <w:ind w:left="412"/>
              <w:rPr>
                <w:rFonts w:ascii="Symbol" w:eastAsia="Times New Roman" w:hAnsi="Symbol" w:cs="Times New Roman"/>
                <w:sz w:val="20"/>
                <w:szCs w:val="20"/>
                <w:lang w:eastAsia="en-AU"/>
              </w:rPr>
            </w:pPr>
            <w:proofErr w:type="gramStart"/>
            <w:r w:rsidRPr="00EC79CF">
              <w:rPr>
                <w:rFonts w:ascii="Calibri" w:eastAsia="Times New Roman" w:hAnsi="Calibri" w:cs="Times New Roman"/>
                <w:sz w:val="20"/>
                <w:szCs w:val="20"/>
                <w:lang w:eastAsia="en-AU"/>
              </w:rPr>
              <w:t>other</w:t>
            </w:r>
            <w:proofErr w:type="gramEnd"/>
            <w:r w:rsidRPr="00EC79CF">
              <w:rPr>
                <w:rFonts w:ascii="Calibri" w:eastAsia="Times New Roman" w:hAnsi="Calibri" w:cs="Times New Roman"/>
                <w:sz w:val="20"/>
                <w:szCs w:val="20"/>
                <w:lang w:eastAsia="en-AU"/>
              </w:rPr>
              <w:t xml:space="preserve"> issues of priority for States, including specific assessments and identifying assessments which should not change.</w:t>
            </w:r>
          </w:p>
        </w:tc>
      </w:tr>
      <w:tr w:rsidR="00A665A9" w:rsidRPr="00EC79CF" w:rsidTr="002C0D6C">
        <w:trPr>
          <w:trHeight w:val="315"/>
        </w:trPr>
        <w:tc>
          <w:tcPr>
            <w:tcW w:w="1756" w:type="dxa"/>
            <w:tcBorders>
              <w:top w:val="nil"/>
              <w:left w:val="nil"/>
              <w:bottom w:val="nil"/>
              <w:right w:val="nil"/>
            </w:tcBorders>
            <w:shd w:val="clear" w:color="auto" w:fill="auto"/>
            <w:hideMark/>
          </w:tcPr>
          <w:p w:rsidR="00A665A9" w:rsidRPr="00EC79CF" w:rsidRDefault="00A665A9" w:rsidP="00A665A9">
            <w:pPr>
              <w:keepNext/>
              <w:keepLines/>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August/September</w:t>
            </w:r>
          </w:p>
        </w:tc>
        <w:tc>
          <w:tcPr>
            <w:tcW w:w="7331" w:type="dxa"/>
            <w:tcBorders>
              <w:top w:val="nil"/>
              <w:left w:val="nil"/>
              <w:bottom w:val="nil"/>
              <w:right w:val="nil"/>
            </w:tcBorders>
            <w:shd w:val="clear" w:color="auto" w:fill="auto"/>
            <w:hideMark/>
          </w:tcPr>
          <w:p w:rsidR="00A665A9" w:rsidRPr="00EC79CF" w:rsidRDefault="00A665A9" w:rsidP="00A665A9">
            <w:pPr>
              <w:keepNext/>
              <w:keepLines/>
              <w:tabs>
                <w:tab w:val="clear" w:pos="567"/>
              </w:tabs>
              <w:spacing w:after="0" w:line="240" w:lineRule="auto"/>
              <w:ind w:left="270" w:hanging="270"/>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 xml:space="preserve">Bilateral meetings Commission (CGC) and Treasurers/Heads of Treasury to discuss State submissions. </w:t>
            </w:r>
          </w:p>
        </w:tc>
      </w:tr>
      <w:tr w:rsidR="00A665A9" w:rsidRPr="00EC79CF" w:rsidTr="002C0D6C">
        <w:trPr>
          <w:trHeight w:val="163"/>
        </w:trPr>
        <w:tc>
          <w:tcPr>
            <w:tcW w:w="1756" w:type="dxa"/>
            <w:vMerge w:val="restart"/>
            <w:tcBorders>
              <w:top w:val="nil"/>
              <w:left w:val="nil"/>
              <w:bottom w:val="nil"/>
              <w:right w:val="nil"/>
            </w:tcBorders>
            <w:shd w:val="clear" w:color="auto" w:fill="auto"/>
            <w:hideMark/>
          </w:tcPr>
          <w:p w:rsidR="00A665A9" w:rsidRPr="00EC79CF" w:rsidRDefault="00A665A9" w:rsidP="00A665A9">
            <w:pPr>
              <w:keepNext/>
              <w:keepLines/>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End October</w:t>
            </w:r>
          </w:p>
        </w:tc>
        <w:tc>
          <w:tcPr>
            <w:tcW w:w="7331" w:type="dxa"/>
            <w:tcBorders>
              <w:top w:val="nil"/>
              <w:left w:val="nil"/>
              <w:bottom w:val="nil"/>
              <w:right w:val="nil"/>
            </w:tcBorders>
            <w:shd w:val="clear" w:color="auto" w:fill="auto"/>
            <w:hideMark/>
          </w:tcPr>
          <w:p w:rsidR="00A665A9" w:rsidRPr="00EC79CF" w:rsidRDefault="00A665A9" w:rsidP="00A665A9">
            <w:pPr>
              <w:keepNext/>
              <w:keepLines/>
              <w:tabs>
                <w:tab w:val="clear" w:pos="567"/>
              </w:tabs>
              <w:spacing w:after="0" w:line="240" w:lineRule="auto"/>
              <w:ind w:left="270" w:hanging="270"/>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CGC sends to States:</w:t>
            </w:r>
          </w:p>
        </w:tc>
      </w:tr>
      <w:tr w:rsidR="00A665A9" w:rsidRPr="00EC79CF" w:rsidTr="002C0D6C">
        <w:trPr>
          <w:trHeight w:val="315"/>
        </w:trPr>
        <w:tc>
          <w:tcPr>
            <w:tcW w:w="1756" w:type="dxa"/>
            <w:vMerge/>
            <w:tcBorders>
              <w:top w:val="nil"/>
              <w:left w:val="nil"/>
              <w:bottom w:val="nil"/>
              <w:right w:val="nil"/>
            </w:tcBorders>
            <w:vAlign w:val="center"/>
            <w:hideMark/>
          </w:tcPr>
          <w:p w:rsidR="00A665A9" w:rsidRPr="00EC79CF" w:rsidRDefault="00A665A9" w:rsidP="00A665A9">
            <w:pPr>
              <w:keepNext/>
              <w:keepLines/>
              <w:tabs>
                <w:tab w:val="clear" w:pos="567"/>
              </w:tabs>
              <w:spacing w:after="0" w:line="240" w:lineRule="auto"/>
              <w:rPr>
                <w:rFonts w:ascii="Calibri" w:eastAsia="Times New Roman" w:hAnsi="Calibri" w:cs="Times New Roman"/>
                <w:sz w:val="20"/>
                <w:szCs w:val="20"/>
                <w:lang w:eastAsia="en-AU"/>
              </w:rPr>
            </w:pPr>
          </w:p>
        </w:tc>
        <w:tc>
          <w:tcPr>
            <w:tcW w:w="7331" w:type="dxa"/>
            <w:tcBorders>
              <w:top w:val="nil"/>
              <w:left w:val="nil"/>
              <w:bottom w:val="nil"/>
              <w:right w:val="nil"/>
            </w:tcBorders>
            <w:shd w:val="clear" w:color="auto" w:fill="auto"/>
            <w:vAlign w:val="center"/>
            <w:hideMark/>
          </w:tcPr>
          <w:p w:rsidR="00A665A9" w:rsidRPr="00EC79CF" w:rsidRDefault="00A665A9" w:rsidP="00C20E52">
            <w:pPr>
              <w:pStyle w:val="ListParagraph"/>
              <w:keepNext/>
              <w:keepLines/>
              <w:numPr>
                <w:ilvl w:val="0"/>
                <w:numId w:val="13"/>
              </w:numPr>
              <w:spacing w:after="0" w:line="240" w:lineRule="auto"/>
              <w:ind w:left="412"/>
              <w:rPr>
                <w:rFonts w:ascii="Symbol" w:eastAsia="Times New Roman" w:hAnsi="Symbol" w:cs="Times New Roman"/>
                <w:sz w:val="20"/>
                <w:szCs w:val="20"/>
                <w:lang w:eastAsia="en-AU"/>
              </w:rPr>
            </w:pPr>
            <w:r w:rsidRPr="00EC79CF">
              <w:rPr>
                <w:rFonts w:ascii="Calibri" w:eastAsia="Times New Roman" w:hAnsi="Calibri" w:cs="Times New Roman"/>
                <w:sz w:val="20"/>
                <w:szCs w:val="20"/>
                <w:lang w:eastAsia="en-AU"/>
              </w:rPr>
              <w:t>Commission views on principles and architecture</w:t>
            </w:r>
          </w:p>
        </w:tc>
      </w:tr>
      <w:tr w:rsidR="00A665A9" w:rsidRPr="00EC79CF" w:rsidTr="002C0D6C">
        <w:trPr>
          <w:trHeight w:val="315"/>
        </w:trPr>
        <w:tc>
          <w:tcPr>
            <w:tcW w:w="1756" w:type="dxa"/>
            <w:vMerge/>
            <w:tcBorders>
              <w:top w:val="nil"/>
              <w:left w:val="nil"/>
              <w:bottom w:val="nil"/>
              <w:right w:val="nil"/>
            </w:tcBorders>
            <w:vAlign w:val="center"/>
            <w:hideMark/>
          </w:tcPr>
          <w:p w:rsidR="00A665A9" w:rsidRPr="00EC79CF" w:rsidRDefault="00A665A9" w:rsidP="00A665A9">
            <w:pPr>
              <w:keepNext/>
              <w:keepLines/>
              <w:tabs>
                <w:tab w:val="clear" w:pos="567"/>
              </w:tabs>
              <w:spacing w:after="0" w:line="240" w:lineRule="auto"/>
              <w:rPr>
                <w:rFonts w:ascii="Calibri" w:eastAsia="Times New Roman" w:hAnsi="Calibri" w:cs="Times New Roman"/>
                <w:sz w:val="20"/>
                <w:szCs w:val="20"/>
                <w:lang w:eastAsia="en-AU"/>
              </w:rPr>
            </w:pPr>
          </w:p>
        </w:tc>
        <w:tc>
          <w:tcPr>
            <w:tcW w:w="7331" w:type="dxa"/>
            <w:tcBorders>
              <w:top w:val="nil"/>
              <w:left w:val="nil"/>
              <w:bottom w:val="nil"/>
              <w:right w:val="nil"/>
            </w:tcBorders>
            <w:shd w:val="clear" w:color="auto" w:fill="auto"/>
            <w:vAlign w:val="center"/>
            <w:hideMark/>
          </w:tcPr>
          <w:p w:rsidR="00A665A9" w:rsidRPr="00EC79CF" w:rsidRDefault="00A665A9" w:rsidP="00C20E52">
            <w:pPr>
              <w:pStyle w:val="ListParagraph"/>
              <w:keepNext/>
              <w:keepLines/>
              <w:numPr>
                <w:ilvl w:val="0"/>
                <w:numId w:val="13"/>
              </w:numPr>
              <w:spacing w:after="0" w:line="240" w:lineRule="auto"/>
              <w:ind w:left="412"/>
              <w:rPr>
                <w:rFonts w:ascii="Symbol" w:eastAsia="Times New Roman" w:hAnsi="Symbol" w:cs="Times New Roman"/>
                <w:sz w:val="20"/>
                <w:szCs w:val="20"/>
                <w:lang w:eastAsia="en-AU"/>
              </w:rPr>
            </w:pPr>
            <w:proofErr w:type="gramStart"/>
            <w:r w:rsidRPr="00EC79CF">
              <w:rPr>
                <w:rFonts w:ascii="Calibri" w:eastAsia="Times New Roman" w:hAnsi="Calibri" w:cs="Times New Roman"/>
                <w:sz w:val="20"/>
                <w:szCs w:val="20"/>
                <w:lang w:eastAsia="en-AU"/>
              </w:rPr>
              <w:t>staff</w:t>
            </w:r>
            <w:proofErr w:type="gramEnd"/>
            <w:r w:rsidRPr="00EC79CF">
              <w:rPr>
                <w:rFonts w:ascii="Calibri" w:eastAsia="Times New Roman" w:hAnsi="Calibri" w:cs="Times New Roman"/>
                <w:sz w:val="20"/>
                <w:szCs w:val="20"/>
                <w:lang w:eastAsia="en-AU"/>
              </w:rPr>
              <w:t xml:space="preserve"> views on priority issues and changes to assessments.</w:t>
            </w:r>
          </w:p>
        </w:tc>
      </w:tr>
      <w:tr w:rsidR="00A665A9" w:rsidRPr="00EC79CF" w:rsidTr="002C0D6C">
        <w:trPr>
          <w:trHeight w:val="315"/>
        </w:trPr>
        <w:tc>
          <w:tcPr>
            <w:tcW w:w="1756" w:type="dxa"/>
            <w:tcBorders>
              <w:top w:val="nil"/>
              <w:left w:val="nil"/>
              <w:bottom w:val="nil"/>
              <w:right w:val="nil"/>
            </w:tcBorders>
            <w:shd w:val="clear" w:color="auto" w:fill="auto"/>
            <w:hideMark/>
          </w:tcPr>
          <w:p w:rsidR="00A665A9" w:rsidRPr="00EC79CF" w:rsidRDefault="00A665A9" w:rsidP="00A665A9">
            <w:pPr>
              <w:keepNext/>
              <w:keepLines/>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End November</w:t>
            </w:r>
          </w:p>
        </w:tc>
        <w:tc>
          <w:tcPr>
            <w:tcW w:w="7331" w:type="dxa"/>
            <w:tcBorders>
              <w:top w:val="nil"/>
              <w:left w:val="nil"/>
              <w:bottom w:val="nil"/>
              <w:right w:val="nil"/>
            </w:tcBorders>
            <w:shd w:val="clear" w:color="auto" w:fill="auto"/>
            <w:hideMark/>
          </w:tcPr>
          <w:p w:rsidR="00A665A9" w:rsidRPr="00EC79CF" w:rsidRDefault="00A665A9" w:rsidP="00A665A9">
            <w:pPr>
              <w:keepNext/>
              <w:keepLines/>
              <w:tabs>
                <w:tab w:val="clear" w:pos="567"/>
              </w:tabs>
              <w:spacing w:after="0" w:line="240" w:lineRule="auto"/>
              <w:ind w:left="270" w:hanging="270"/>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CGC staff meetings with State officials to discuss issues.</w:t>
            </w:r>
          </w:p>
        </w:tc>
      </w:tr>
      <w:tr w:rsidR="00A665A9" w:rsidRPr="00EC79CF" w:rsidTr="002C0D6C">
        <w:trPr>
          <w:trHeight w:val="315"/>
        </w:trPr>
        <w:tc>
          <w:tcPr>
            <w:tcW w:w="1756" w:type="dxa"/>
            <w:tcBorders>
              <w:top w:val="nil"/>
              <w:left w:val="nil"/>
              <w:bottom w:val="nil"/>
              <w:right w:val="nil"/>
            </w:tcBorders>
            <w:shd w:val="clear" w:color="auto" w:fill="auto"/>
            <w:hideMark/>
          </w:tcPr>
          <w:p w:rsidR="00A665A9" w:rsidRPr="00EC79CF" w:rsidRDefault="00A665A9" w:rsidP="00A665A9">
            <w:pPr>
              <w:keepNext/>
              <w:keepLines/>
              <w:tabs>
                <w:tab w:val="clear" w:pos="567"/>
              </w:tabs>
              <w:spacing w:after="0" w:line="240" w:lineRule="auto"/>
              <w:rPr>
                <w:rFonts w:ascii="Calibri" w:eastAsia="Times New Roman" w:hAnsi="Calibri" w:cs="Times New Roman"/>
                <w:b/>
                <w:bCs/>
                <w:sz w:val="20"/>
                <w:szCs w:val="20"/>
                <w:lang w:eastAsia="en-AU"/>
              </w:rPr>
            </w:pPr>
            <w:r w:rsidRPr="00EC79CF">
              <w:rPr>
                <w:rFonts w:ascii="Calibri" w:eastAsia="Times New Roman" w:hAnsi="Calibri" w:cs="Times New Roman"/>
                <w:b/>
                <w:bCs/>
                <w:sz w:val="20"/>
                <w:szCs w:val="20"/>
                <w:lang w:eastAsia="en-AU"/>
              </w:rPr>
              <w:t>2014</w:t>
            </w:r>
          </w:p>
        </w:tc>
        <w:tc>
          <w:tcPr>
            <w:tcW w:w="7331" w:type="dxa"/>
            <w:tcBorders>
              <w:top w:val="nil"/>
              <w:left w:val="nil"/>
              <w:bottom w:val="nil"/>
              <w:right w:val="nil"/>
            </w:tcBorders>
            <w:shd w:val="clear" w:color="auto" w:fill="auto"/>
            <w:hideMark/>
          </w:tcPr>
          <w:p w:rsidR="00A665A9" w:rsidRPr="00EC79CF" w:rsidRDefault="00A665A9" w:rsidP="00A665A9">
            <w:pPr>
              <w:keepNext/>
              <w:keepLines/>
              <w:tabs>
                <w:tab w:val="clear" w:pos="567"/>
              </w:tabs>
              <w:spacing w:after="0" w:line="240" w:lineRule="auto"/>
              <w:ind w:left="270" w:hanging="270"/>
              <w:rPr>
                <w:rFonts w:ascii="Calibri" w:eastAsia="Times New Roman" w:hAnsi="Calibri" w:cs="Times New Roman"/>
                <w:sz w:val="20"/>
                <w:szCs w:val="20"/>
                <w:lang w:eastAsia="en-AU"/>
              </w:rPr>
            </w:pPr>
          </w:p>
        </w:tc>
      </w:tr>
      <w:tr w:rsidR="00A665A9" w:rsidRPr="00EC79CF" w:rsidTr="002C0D6C">
        <w:trPr>
          <w:trHeight w:val="228"/>
        </w:trPr>
        <w:tc>
          <w:tcPr>
            <w:tcW w:w="1756" w:type="dxa"/>
            <w:vMerge w:val="restart"/>
            <w:tcBorders>
              <w:top w:val="nil"/>
              <w:left w:val="nil"/>
              <w:bottom w:val="nil"/>
              <w:right w:val="nil"/>
            </w:tcBorders>
            <w:shd w:val="clear" w:color="auto" w:fill="auto"/>
            <w:hideMark/>
          </w:tcPr>
          <w:p w:rsidR="00A665A9" w:rsidRPr="00EC79CF" w:rsidRDefault="00A665A9" w:rsidP="00A665A9">
            <w:pPr>
              <w:keepNext/>
              <w:keepLines/>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End January</w:t>
            </w:r>
          </w:p>
        </w:tc>
        <w:tc>
          <w:tcPr>
            <w:tcW w:w="7331" w:type="dxa"/>
            <w:tcBorders>
              <w:top w:val="nil"/>
              <w:left w:val="nil"/>
              <w:bottom w:val="nil"/>
              <w:right w:val="nil"/>
            </w:tcBorders>
            <w:shd w:val="clear" w:color="auto" w:fill="auto"/>
            <w:hideMark/>
          </w:tcPr>
          <w:p w:rsidR="00A665A9" w:rsidRPr="00EC79CF" w:rsidRDefault="00A665A9" w:rsidP="00A665A9">
            <w:pPr>
              <w:keepNext/>
              <w:keepLines/>
              <w:tabs>
                <w:tab w:val="clear" w:pos="567"/>
              </w:tabs>
              <w:spacing w:after="0" w:line="240" w:lineRule="auto"/>
              <w:ind w:left="270" w:hanging="270"/>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State submissions due on October papers:</w:t>
            </w:r>
          </w:p>
        </w:tc>
      </w:tr>
      <w:tr w:rsidR="00A665A9" w:rsidRPr="00EC79CF" w:rsidTr="002C0D6C">
        <w:trPr>
          <w:trHeight w:val="315"/>
        </w:trPr>
        <w:tc>
          <w:tcPr>
            <w:tcW w:w="1756" w:type="dxa"/>
            <w:vMerge/>
            <w:tcBorders>
              <w:top w:val="nil"/>
              <w:left w:val="nil"/>
              <w:bottom w:val="nil"/>
              <w:right w:val="nil"/>
            </w:tcBorders>
            <w:vAlign w:val="center"/>
            <w:hideMark/>
          </w:tcPr>
          <w:p w:rsidR="00A665A9" w:rsidRPr="00EC79CF" w:rsidRDefault="00A665A9" w:rsidP="00A665A9">
            <w:pPr>
              <w:keepNext/>
              <w:keepLines/>
              <w:tabs>
                <w:tab w:val="clear" w:pos="567"/>
              </w:tabs>
              <w:spacing w:after="0" w:line="240" w:lineRule="auto"/>
              <w:rPr>
                <w:rFonts w:ascii="Calibri" w:eastAsia="Times New Roman" w:hAnsi="Calibri" w:cs="Times New Roman"/>
                <w:sz w:val="20"/>
                <w:szCs w:val="20"/>
                <w:lang w:eastAsia="en-AU"/>
              </w:rPr>
            </w:pPr>
          </w:p>
        </w:tc>
        <w:tc>
          <w:tcPr>
            <w:tcW w:w="7331" w:type="dxa"/>
            <w:tcBorders>
              <w:top w:val="nil"/>
              <w:left w:val="nil"/>
              <w:bottom w:val="nil"/>
              <w:right w:val="nil"/>
            </w:tcBorders>
            <w:shd w:val="clear" w:color="auto" w:fill="auto"/>
            <w:vAlign w:val="center"/>
            <w:hideMark/>
          </w:tcPr>
          <w:p w:rsidR="00A665A9" w:rsidRPr="00EC79CF" w:rsidRDefault="00A665A9" w:rsidP="00C20E52">
            <w:pPr>
              <w:pStyle w:val="ListParagraph"/>
              <w:keepNext/>
              <w:keepLines/>
              <w:numPr>
                <w:ilvl w:val="0"/>
                <w:numId w:val="14"/>
              </w:numPr>
              <w:spacing w:after="0" w:line="240" w:lineRule="auto"/>
              <w:ind w:left="412"/>
              <w:rPr>
                <w:rFonts w:ascii="Symbol" w:eastAsia="Times New Roman" w:hAnsi="Symbol" w:cs="Times New Roman"/>
                <w:sz w:val="20"/>
                <w:szCs w:val="20"/>
                <w:lang w:eastAsia="en-AU"/>
              </w:rPr>
            </w:pPr>
            <w:r w:rsidRPr="00EC79CF">
              <w:rPr>
                <w:rFonts w:ascii="Calibri" w:eastAsia="Times New Roman" w:hAnsi="Calibri" w:cs="Times New Roman"/>
                <w:sz w:val="20"/>
                <w:szCs w:val="20"/>
                <w:lang w:eastAsia="en-AU"/>
              </w:rPr>
              <w:t>principles and architecture</w:t>
            </w:r>
          </w:p>
        </w:tc>
      </w:tr>
      <w:tr w:rsidR="00A665A9" w:rsidRPr="00EC79CF" w:rsidTr="002C0D6C">
        <w:trPr>
          <w:trHeight w:val="315"/>
        </w:trPr>
        <w:tc>
          <w:tcPr>
            <w:tcW w:w="1756" w:type="dxa"/>
            <w:vMerge/>
            <w:tcBorders>
              <w:top w:val="nil"/>
              <w:left w:val="nil"/>
              <w:bottom w:val="nil"/>
              <w:right w:val="nil"/>
            </w:tcBorders>
            <w:vAlign w:val="center"/>
            <w:hideMark/>
          </w:tcPr>
          <w:p w:rsidR="00A665A9" w:rsidRPr="00EC79CF" w:rsidRDefault="00A665A9" w:rsidP="00A665A9">
            <w:pPr>
              <w:keepNext/>
              <w:keepLines/>
              <w:tabs>
                <w:tab w:val="clear" w:pos="567"/>
              </w:tabs>
              <w:spacing w:after="0" w:line="240" w:lineRule="auto"/>
              <w:rPr>
                <w:rFonts w:ascii="Calibri" w:eastAsia="Times New Roman" w:hAnsi="Calibri" w:cs="Times New Roman"/>
                <w:sz w:val="20"/>
                <w:szCs w:val="20"/>
                <w:lang w:eastAsia="en-AU"/>
              </w:rPr>
            </w:pPr>
          </w:p>
        </w:tc>
        <w:tc>
          <w:tcPr>
            <w:tcW w:w="7331" w:type="dxa"/>
            <w:tcBorders>
              <w:top w:val="nil"/>
              <w:left w:val="nil"/>
              <w:bottom w:val="nil"/>
              <w:right w:val="nil"/>
            </w:tcBorders>
            <w:shd w:val="clear" w:color="auto" w:fill="auto"/>
            <w:vAlign w:val="center"/>
            <w:hideMark/>
          </w:tcPr>
          <w:p w:rsidR="00A665A9" w:rsidRPr="00EC79CF" w:rsidRDefault="00A665A9" w:rsidP="00C20E52">
            <w:pPr>
              <w:pStyle w:val="ListParagraph"/>
              <w:keepNext/>
              <w:keepLines/>
              <w:numPr>
                <w:ilvl w:val="0"/>
                <w:numId w:val="14"/>
              </w:numPr>
              <w:spacing w:after="0" w:line="240" w:lineRule="auto"/>
              <w:ind w:left="412"/>
              <w:rPr>
                <w:rFonts w:ascii="Symbol" w:eastAsia="Times New Roman" w:hAnsi="Symbol" w:cs="Times New Roman"/>
                <w:sz w:val="20"/>
                <w:szCs w:val="20"/>
                <w:lang w:eastAsia="en-AU"/>
              </w:rPr>
            </w:pPr>
            <w:proofErr w:type="gramStart"/>
            <w:r w:rsidRPr="00EC79CF">
              <w:rPr>
                <w:rFonts w:ascii="Calibri" w:eastAsia="Times New Roman" w:hAnsi="Calibri" w:cs="Times New Roman"/>
                <w:sz w:val="20"/>
                <w:szCs w:val="20"/>
                <w:lang w:eastAsia="en-AU"/>
              </w:rPr>
              <w:t>priority</w:t>
            </w:r>
            <w:proofErr w:type="gramEnd"/>
            <w:r w:rsidRPr="00EC79CF">
              <w:rPr>
                <w:rFonts w:ascii="Calibri" w:eastAsia="Times New Roman" w:hAnsi="Calibri" w:cs="Times New Roman"/>
                <w:sz w:val="20"/>
                <w:szCs w:val="20"/>
                <w:lang w:eastAsia="en-AU"/>
              </w:rPr>
              <w:t xml:space="preserve"> issues and changes to assessments.</w:t>
            </w:r>
          </w:p>
        </w:tc>
      </w:tr>
      <w:tr w:rsidR="00A665A9" w:rsidRPr="00EC79CF" w:rsidTr="002C0D6C">
        <w:trPr>
          <w:trHeight w:val="315"/>
        </w:trPr>
        <w:tc>
          <w:tcPr>
            <w:tcW w:w="1756" w:type="dxa"/>
            <w:tcBorders>
              <w:top w:val="nil"/>
              <w:left w:val="nil"/>
              <w:bottom w:val="nil"/>
              <w:right w:val="nil"/>
            </w:tcBorders>
            <w:shd w:val="clear" w:color="auto" w:fill="auto"/>
            <w:hideMark/>
          </w:tcPr>
          <w:p w:rsidR="00A665A9" w:rsidRPr="00EC79CF" w:rsidRDefault="00A665A9" w:rsidP="00A665A9">
            <w:pPr>
              <w:keepNext/>
              <w:keepLines/>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April</w:t>
            </w:r>
          </w:p>
        </w:tc>
        <w:tc>
          <w:tcPr>
            <w:tcW w:w="7331" w:type="dxa"/>
            <w:tcBorders>
              <w:top w:val="nil"/>
              <w:left w:val="nil"/>
              <w:bottom w:val="nil"/>
              <w:right w:val="nil"/>
            </w:tcBorders>
            <w:shd w:val="clear" w:color="auto" w:fill="auto"/>
            <w:hideMark/>
          </w:tcPr>
          <w:p w:rsidR="00A665A9" w:rsidRPr="00EC79CF" w:rsidRDefault="00A665A9" w:rsidP="00A665A9">
            <w:pPr>
              <w:keepNext/>
              <w:keepLines/>
              <w:tabs>
                <w:tab w:val="clear" w:pos="567"/>
              </w:tabs>
              <w:spacing w:after="0" w:line="240" w:lineRule="auto"/>
              <w:ind w:left="270" w:hanging="270"/>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Multilateral meeting between CGC and Heads of Treasury (not held but replaced by multilateral meeting between CGC staff and State Treasury officials).</w:t>
            </w:r>
          </w:p>
        </w:tc>
      </w:tr>
      <w:tr w:rsidR="00A665A9" w:rsidRPr="00EC79CF" w:rsidTr="002C0D6C">
        <w:trPr>
          <w:trHeight w:val="315"/>
        </w:trPr>
        <w:tc>
          <w:tcPr>
            <w:tcW w:w="1756" w:type="dxa"/>
            <w:tcBorders>
              <w:top w:val="nil"/>
              <w:left w:val="nil"/>
              <w:bottom w:val="nil"/>
              <w:right w:val="nil"/>
            </w:tcBorders>
            <w:shd w:val="clear" w:color="auto" w:fill="auto"/>
            <w:hideMark/>
          </w:tcPr>
          <w:p w:rsidR="00A665A9" w:rsidRPr="00EC79CF" w:rsidRDefault="00A665A9" w:rsidP="00A665A9">
            <w:pPr>
              <w:keepNext/>
              <w:keepLines/>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20 June</w:t>
            </w:r>
          </w:p>
        </w:tc>
        <w:tc>
          <w:tcPr>
            <w:tcW w:w="7331" w:type="dxa"/>
            <w:tcBorders>
              <w:top w:val="nil"/>
              <w:left w:val="nil"/>
              <w:bottom w:val="nil"/>
              <w:right w:val="nil"/>
            </w:tcBorders>
            <w:shd w:val="clear" w:color="auto" w:fill="auto"/>
            <w:hideMark/>
          </w:tcPr>
          <w:p w:rsidR="00A665A9" w:rsidRPr="00EC79CF" w:rsidRDefault="00A665A9" w:rsidP="00A665A9">
            <w:pPr>
              <w:keepNext/>
              <w:keepLines/>
              <w:tabs>
                <w:tab w:val="clear" w:pos="567"/>
              </w:tabs>
              <w:spacing w:after="0" w:line="240" w:lineRule="auto"/>
              <w:ind w:left="270" w:hanging="270"/>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CGC provides draft report to Treasurer.</w:t>
            </w:r>
          </w:p>
        </w:tc>
      </w:tr>
      <w:tr w:rsidR="00A665A9" w:rsidRPr="00EC79CF" w:rsidTr="002C0D6C">
        <w:trPr>
          <w:trHeight w:val="315"/>
        </w:trPr>
        <w:tc>
          <w:tcPr>
            <w:tcW w:w="1756" w:type="dxa"/>
            <w:tcBorders>
              <w:top w:val="nil"/>
              <w:left w:val="nil"/>
              <w:bottom w:val="nil"/>
              <w:right w:val="nil"/>
            </w:tcBorders>
            <w:shd w:val="clear" w:color="auto" w:fill="auto"/>
            <w:hideMark/>
          </w:tcPr>
          <w:p w:rsidR="00A665A9" w:rsidRPr="00EC79CF" w:rsidRDefault="00A665A9" w:rsidP="00A665A9">
            <w:pPr>
              <w:keepNext/>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1 August</w:t>
            </w:r>
          </w:p>
        </w:tc>
        <w:tc>
          <w:tcPr>
            <w:tcW w:w="7331" w:type="dxa"/>
            <w:tcBorders>
              <w:top w:val="nil"/>
              <w:left w:val="nil"/>
              <w:bottom w:val="nil"/>
              <w:right w:val="nil"/>
            </w:tcBorders>
            <w:shd w:val="clear" w:color="auto" w:fill="auto"/>
            <w:hideMark/>
          </w:tcPr>
          <w:p w:rsidR="00A665A9" w:rsidRPr="00EC79CF" w:rsidRDefault="00A665A9" w:rsidP="00A665A9">
            <w:pPr>
              <w:keepNext/>
              <w:tabs>
                <w:tab w:val="clear" w:pos="567"/>
              </w:tabs>
              <w:spacing w:after="0" w:line="240" w:lineRule="auto"/>
              <w:ind w:left="270" w:hanging="270"/>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Treasurer releases draft report to States.</w:t>
            </w:r>
          </w:p>
        </w:tc>
      </w:tr>
      <w:tr w:rsidR="00A665A9" w:rsidRPr="00EC79CF" w:rsidTr="002C0D6C">
        <w:trPr>
          <w:trHeight w:val="315"/>
        </w:trPr>
        <w:tc>
          <w:tcPr>
            <w:tcW w:w="1756" w:type="dxa"/>
            <w:tcBorders>
              <w:top w:val="nil"/>
              <w:left w:val="nil"/>
              <w:bottom w:val="nil"/>
              <w:right w:val="nil"/>
            </w:tcBorders>
            <w:shd w:val="clear" w:color="auto" w:fill="auto"/>
            <w:hideMark/>
          </w:tcPr>
          <w:p w:rsidR="00A665A9" w:rsidRPr="00EC79CF" w:rsidRDefault="00A665A9" w:rsidP="00A665A9">
            <w:pPr>
              <w:keepNext/>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20 August</w:t>
            </w:r>
          </w:p>
        </w:tc>
        <w:tc>
          <w:tcPr>
            <w:tcW w:w="7331" w:type="dxa"/>
            <w:tcBorders>
              <w:top w:val="nil"/>
              <w:left w:val="nil"/>
              <w:bottom w:val="nil"/>
              <w:right w:val="nil"/>
            </w:tcBorders>
            <w:shd w:val="clear" w:color="auto" w:fill="auto"/>
            <w:hideMark/>
          </w:tcPr>
          <w:p w:rsidR="00A665A9" w:rsidRPr="00EC79CF" w:rsidRDefault="00A665A9" w:rsidP="00A665A9">
            <w:pPr>
              <w:keepNext/>
              <w:tabs>
                <w:tab w:val="clear" w:pos="567"/>
              </w:tabs>
              <w:spacing w:after="0" w:line="240" w:lineRule="auto"/>
              <w:ind w:left="270" w:hanging="270"/>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New issues paper issued by CGC staff.</w:t>
            </w:r>
          </w:p>
        </w:tc>
      </w:tr>
      <w:tr w:rsidR="00A665A9" w:rsidRPr="00EC79CF" w:rsidTr="002C0D6C">
        <w:trPr>
          <w:trHeight w:val="315"/>
        </w:trPr>
        <w:tc>
          <w:tcPr>
            <w:tcW w:w="1756" w:type="dxa"/>
            <w:tcBorders>
              <w:top w:val="nil"/>
              <w:left w:val="nil"/>
              <w:bottom w:val="nil"/>
              <w:right w:val="nil"/>
            </w:tcBorders>
            <w:shd w:val="clear" w:color="auto" w:fill="auto"/>
            <w:hideMark/>
          </w:tcPr>
          <w:p w:rsidR="00A665A9" w:rsidRPr="00EC79CF" w:rsidRDefault="00A665A9" w:rsidP="00A665A9">
            <w:pPr>
              <w:keepNext/>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1-5 September</w:t>
            </w:r>
          </w:p>
        </w:tc>
        <w:tc>
          <w:tcPr>
            <w:tcW w:w="7331" w:type="dxa"/>
            <w:tcBorders>
              <w:top w:val="nil"/>
              <w:left w:val="nil"/>
              <w:bottom w:val="nil"/>
              <w:right w:val="nil"/>
            </w:tcBorders>
            <w:shd w:val="clear" w:color="auto" w:fill="auto"/>
            <w:hideMark/>
          </w:tcPr>
          <w:p w:rsidR="00A665A9" w:rsidRPr="00EC79CF" w:rsidRDefault="00A665A9" w:rsidP="00A665A9">
            <w:pPr>
              <w:keepNext/>
              <w:tabs>
                <w:tab w:val="clear" w:pos="567"/>
              </w:tabs>
              <w:spacing w:after="0" w:line="240" w:lineRule="auto"/>
              <w:ind w:left="270" w:hanging="270"/>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 xml:space="preserve">CGC </w:t>
            </w:r>
            <w:proofErr w:type="gramStart"/>
            <w:r w:rsidRPr="00EC79CF">
              <w:rPr>
                <w:rFonts w:ascii="Calibri" w:eastAsia="Times New Roman" w:hAnsi="Calibri" w:cs="Times New Roman"/>
                <w:sz w:val="20"/>
                <w:szCs w:val="20"/>
                <w:lang w:eastAsia="en-AU"/>
              </w:rPr>
              <w:t>staff meet</w:t>
            </w:r>
            <w:proofErr w:type="gramEnd"/>
            <w:r w:rsidRPr="00EC79CF">
              <w:rPr>
                <w:rFonts w:ascii="Calibri" w:eastAsia="Times New Roman" w:hAnsi="Calibri" w:cs="Times New Roman"/>
                <w:sz w:val="20"/>
                <w:szCs w:val="20"/>
                <w:lang w:eastAsia="en-AU"/>
              </w:rPr>
              <w:t xml:space="preserve"> with State officials via </w:t>
            </w:r>
            <w:proofErr w:type="spellStart"/>
            <w:r w:rsidRPr="00EC79CF">
              <w:rPr>
                <w:rFonts w:ascii="Calibri" w:eastAsia="Times New Roman" w:hAnsi="Calibri" w:cs="Times New Roman"/>
                <w:sz w:val="20"/>
                <w:szCs w:val="20"/>
                <w:lang w:eastAsia="en-AU"/>
              </w:rPr>
              <w:t>telepresence</w:t>
            </w:r>
            <w:proofErr w:type="spellEnd"/>
            <w:r w:rsidRPr="00EC79CF">
              <w:rPr>
                <w:rFonts w:ascii="Calibri" w:eastAsia="Times New Roman" w:hAnsi="Calibri" w:cs="Times New Roman"/>
                <w:sz w:val="20"/>
                <w:szCs w:val="20"/>
                <w:lang w:eastAsia="en-AU"/>
              </w:rPr>
              <w:t xml:space="preserve"> or visit to discuss draft report.</w:t>
            </w:r>
          </w:p>
        </w:tc>
      </w:tr>
      <w:tr w:rsidR="00A665A9" w:rsidRPr="00EC79CF" w:rsidTr="002C0D6C">
        <w:trPr>
          <w:trHeight w:val="315"/>
        </w:trPr>
        <w:tc>
          <w:tcPr>
            <w:tcW w:w="1756" w:type="dxa"/>
            <w:tcBorders>
              <w:top w:val="nil"/>
              <w:left w:val="nil"/>
              <w:bottom w:val="nil"/>
              <w:right w:val="nil"/>
            </w:tcBorders>
            <w:shd w:val="clear" w:color="auto" w:fill="auto"/>
            <w:hideMark/>
          </w:tcPr>
          <w:p w:rsidR="00A665A9" w:rsidRPr="00EC79CF" w:rsidRDefault="00A665A9" w:rsidP="00A665A9">
            <w:pPr>
              <w:keepNext/>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19 September</w:t>
            </w:r>
          </w:p>
        </w:tc>
        <w:tc>
          <w:tcPr>
            <w:tcW w:w="7331" w:type="dxa"/>
            <w:tcBorders>
              <w:top w:val="nil"/>
              <w:left w:val="nil"/>
              <w:bottom w:val="nil"/>
              <w:right w:val="nil"/>
            </w:tcBorders>
            <w:shd w:val="clear" w:color="auto" w:fill="auto"/>
            <w:hideMark/>
          </w:tcPr>
          <w:p w:rsidR="00A665A9" w:rsidRPr="00EC79CF" w:rsidRDefault="00A665A9" w:rsidP="00A665A9">
            <w:pPr>
              <w:keepNext/>
              <w:tabs>
                <w:tab w:val="clear" w:pos="567"/>
              </w:tabs>
              <w:spacing w:after="0" w:line="240" w:lineRule="auto"/>
              <w:ind w:left="270" w:hanging="270"/>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State submissions on draft report due.</w:t>
            </w:r>
          </w:p>
        </w:tc>
      </w:tr>
      <w:tr w:rsidR="00A665A9" w:rsidRPr="00EC79CF" w:rsidTr="002C0D6C">
        <w:trPr>
          <w:trHeight w:val="315"/>
        </w:trPr>
        <w:tc>
          <w:tcPr>
            <w:tcW w:w="1756" w:type="dxa"/>
            <w:tcBorders>
              <w:top w:val="nil"/>
              <w:left w:val="nil"/>
              <w:bottom w:val="nil"/>
              <w:right w:val="nil"/>
            </w:tcBorders>
            <w:shd w:val="clear" w:color="auto" w:fill="auto"/>
          </w:tcPr>
          <w:p w:rsidR="00A665A9" w:rsidRPr="00EC79CF" w:rsidRDefault="00A665A9" w:rsidP="00A665A9">
            <w:pPr>
              <w:keepNext/>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26 September</w:t>
            </w:r>
          </w:p>
        </w:tc>
        <w:tc>
          <w:tcPr>
            <w:tcW w:w="7331" w:type="dxa"/>
            <w:tcBorders>
              <w:top w:val="nil"/>
              <w:left w:val="nil"/>
              <w:bottom w:val="nil"/>
              <w:right w:val="nil"/>
            </w:tcBorders>
            <w:shd w:val="clear" w:color="auto" w:fill="auto"/>
          </w:tcPr>
          <w:p w:rsidR="00A665A9" w:rsidRPr="00EC79CF" w:rsidRDefault="00A665A9" w:rsidP="00A665A9">
            <w:pPr>
              <w:keepNext/>
              <w:tabs>
                <w:tab w:val="clear" w:pos="567"/>
              </w:tabs>
              <w:spacing w:after="0" w:line="240" w:lineRule="auto"/>
              <w:ind w:left="270" w:hanging="270"/>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State submissions on new issues due.</w:t>
            </w:r>
          </w:p>
        </w:tc>
      </w:tr>
      <w:tr w:rsidR="00A665A9" w:rsidRPr="00EC79CF" w:rsidTr="002C0D6C">
        <w:trPr>
          <w:trHeight w:val="315"/>
        </w:trPr>
        <w:tc>
          <w:tcPr>
            <w:tcW w:w="1756" w:type="dxa"/>
            <w:tcBorders>
              <w:top w:val="nil"/>
              <w:left w:val="nil"/>
              <w:bottom w:val="nil"/>
              <w:right w:val="nil"/>
            </w:tcBorders>
            <w:shd w:val="clear" w:color="auto" w:fill="auto"/>
            <w:hideMark/>
          </w:tcPr>
          <w:p w:rsidR="00A665A9" w:rsidRPr="00EC79CF" w:rsidRDefault="00A665A9" w:rsidP="00A665A9">
            <w:pPr>
              <w:keepNext/>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29 October</w:t>
            </w:r>
          </w:p>
        </w:tc>
        <w:tc>
          <w:tcPr>
            <w:tcW w:w="7331" w:type="dxa"/>
            <w:tcBorders>
              <w:top w:val="nil"/>
              <w:left w:val="nil"/>
              <w:bottom w:val="nil"/>
              <w:right w:val="nil"/>
            </w:tcBorders>
            <w:shd w:val="clear" w:color="auto" w:fill="auto"/>
            <w:hideMark/>
          </w:tcPr>
          <w:p w:rsidR="00A665A9" w:rsidRPr="00EC79CF" w:rsidRDefault="00A665A9" w:rsidP="00A665A9">
            <w:pPr>
              <w:keepNext/>
              <w:tabs>
                <w:tab w:val="clear" w:pos="567"/>
              </w:tabs>
              <w:spacing w:after="0" w:line="240" w:lineRule="auto"/>
              <w:ind w:left="270" w:hanging="270"/>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Meeting with Heads of Treasury of WA, Qld, Vic, SA and ACT to discuss draft report.</w:t>
            </w:r>
          </w:p>
        </w:tc>
      </w:tr>
      <w:tr w:rsidR="00A665A9" w:rsidRPr="00EC79CF" w:rsidTr="002C0D6C">
        <w:trPr>
          <w:trHeight w:val="313"/>
        </w:trPr>
        <w:tc>
          <w:tcPr>
            <w:tcW w:w="1756" w:type="dxa"/>
            <w:tcBorders>
              <w:top w:val="nil"/>
              <w:left w:val="nil"/>
              <w:bottom w:val="nil"/>
              <w:right w:val="nil"/>
            </w:tcBorders>
            <w:shd w:val="clear" w:color="auto" w:fill="auto"/>
          </w:tcPr>
          <w:p w:rsidR="00A665A9" w:rsidRPr="00EC79CF" w:rsidRDefault="00A665A9" w:rsidP="00A665A9">
            <w:pPr>
              <w:keepNext/>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26 November</w:t>
            </w:r>
          </w:p>
        </w:tc>
        <w:tc>
          <w:tcPr>
            <w:tcW w:w="7331" w:type="dxa"/>
            <w:tcBorders>
              <w:top w:val="nil"/>
              <w:left w:val="nil"/>
              <w:bottom w:val="nil"/>
              <w:right w:val="nil"/>
            </w:tcBorders>
            <w:shd w:val="clear" w:color="auto" w:fill="auto"/>
          </w:tcPr>
          <w:p w:rsidR="00A665A9" w:rsidRPr="00EC79CF" w:rsidRDefault="00A665A9" w:rsidP="00A665A9">
            <w:pPr>
              <w:keepNext/>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Meeting with Heads of Treasury of NSW and NT to discuss draft report.</w:t>
            </w:r>
          </w:p>
        </w:tc>
      </w:tr>
      <w:tr w:rsidR="00A665A9" w:rsidRPr="00EC79CF" w:rsidTr="002C0D6C">
        <w:trPr>
          <w:trHeight w:val="555"/>
        </w:trPr>
        <w:tc>
          <w:tcPr>
            <w:tcW w:w="1756" w:type="dxa"/>
            <w:tcBorders>
              <w:top w:val="nil"/>
              <w:left w:val="nil"/>
              <w:bottom w:val="nil"/>
              <w:right w:val="nil"/>
            </w:tcBorders>
            <w:shd w:val="clear" w:color="auto" w:fill="auto"/>
            <w:hideMark/>
          </w:tcPr>
          <w:p w:rsidR="00A665A9" w:rsidRPr="00EC79CF" w:rsidRDefault="00A665A9" w:rsidP="00A665A9">
            <w:pPr>
              <w:keepNext/>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28 November</w:t>
            </w:r>
          </w:p>
        </w:tc>
        <w:tc>
          <w:tcPr>
            <w:tcW w:w="7331" w:type="dxa"/>
            <w:tcBorders>
              <w:top w:val="nil"/>
              <w:left w:val="nil"/>
              <w:bottom w:val="nil"/>
              <w:right w:val="nil"/>
            </w:tcBorders>
            <w:shd w:val="clear" w:color="auto" w:fill="auto"/>
            <w:hideMark/>
          </w:tcPr>
          <w:p w:rsidR="00A665A9" w:rsidRPr="00EC79CF" w:rsidRDefault="00A665A9" w:rsidP="00A665A9">
            <w:pPr>
              <w:keepNext/>
              <w:tabs>
                <w:tab w:val="clear" w:pos="567"/>
              </w:tabs>
              <w:spacing w:after="0" w:line="240" w:lineRule="auto"/>
              <w:ind w:left="270" w:hanging="270"/>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CGC to consult with States, as required by the terms of reference on signific</w:t>
            </w:r>
            <w:r w:rsidR="00A87A12">
              <w:rPr>
                <w:rFonts w:ascii="Calibri" w:eastAsia="Times New Roman" w:hAnsi="Calibri" w:cs="Times New Roman"/>
                <w:sz w:val="20"/>
                <w:szCs w:val="20"/>
                <w:lang w:eastAsia="en-AU"/>
              </w:rPr>
              <w:t>ant changes to the draft report</w:t>
            </w:r>
            <w:r w:rsidRPr="00EC79CF">
              <w:rPr>
                <w:rFonts w:ascii="Calibri" w:eastAsia="Times New Roman" w:hAnsi="Calibri" w:cs="Times New Roman"/>
                <w:sz w:val="20"/>
                <w:szCs w:val="20"/>
                <w:lang w:eastAsia="en-AU"/>
              </w:rPr>
              <w:t>.</w:t>
            </w:r>
          </w:p>
        </w:tc>
      </w:tr>
      <w:tr w:rsidR="00A665A9" w:rsidRPr="00EC79CF" w:rsidTr="002C0D6C">
        <w:trPr>
          <w:trHeight w:val="275"/>
        </w:trPr>
        <w:tc>
          <w:tcPr>
            <w:tcW w:w="1756" w:type="dxa"/>
            <w:tcBorders>
              <w:top w:val="nil"/>
              <w:left w:val="nil"/>
              <w:bottom w:val="nil"/>
              <w:right w:val="nil"/>
            </w:tcBorders>
            <w:shd w:val="clear" w:color="auto" w:fill="auto"/>
          </w:tcPr>
          <w:p w:rsidR="00A665A9" w:rsidRPr="00EC79CF" w:rsidRDefault="00A665A9" w:rsidP="00A665A9">
            <w:pPr>
              <w:keepNext/>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17 December</w:t>
            </w:r>
          </w:p>
        </w:tc>
        <w:tc>
          <w:tcPr>
            <w:tcW w:w="7331" w:type="dxa"/>
            <w:tcBorders>
              <w:top w:val="nil"/>
              <w:left w:val="nil"/>
              <w:bottom w:val="nil"/>
              <w:right w:val="nil"/>
            </w:tcBorders>
            <w:shd w:val="clear" w:color="auto" w:fill="auto"/>
          </w:tcPr>
          <w:p w:rsidR="00A665A9" w:rsidRPr="00EC79CF" w:rsidRDefault="00A665A9" w:rsidP="002B4BC8">
            <w:pPr>
              <w:keepNext/>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 xml:space="preserve">Meeting with Head of Treasury of </w:t>
            </w:r>
            <w:proofErr w:type="spellStart"/>
            <w:r w:rsidRPr="00EC79CF">
              <w:rPr>
                <w:rFonts w:ascii="Calibri" w:eastAsia="Times New Roman" w:hAnsi="Calibri" w:cs="Times New Roman"/>
                <w:sz w:val="20"/>
                <w:szCs w:val="20"/>
                <w:lang w:eastAsia="en-AU"/>
              </w:rPr>
              <w:t>Tas</w:t>
            </w:r>
            <w:proofErr w:type="spellEnd"/>
            <w:r w:rsidRPr="00EC79CF">
              <w:rPr>
                <w:rFonts w:ascii="Calibri" w:eastAsia="Times New Roman" w:hAnsi="Calibri" w:cs="Times New Roman"/>
                <w:sz w:val="20"/>
                <w:szCs w:val="20"/>
                <w:lang w:eastAsia="en-AU"/>
              </w:rPr>
              <w:t xml:space="preserve"> to discuss draft report.</w:t>
            </w:r>
          </w:p>
        </w:tc>
      </w:tr>
      <w:tr w:rsidR="00A665A9" w:rsidRPr="00EC79CF" w:rsidTr="002C0D6C">
        <w:trPr>
          <w:trHeight w:val="315"/>
        </w:trPr>
        <w:tc>
          <w:tcPr>
            <w:tcW w:w="1756" w:type="dxa"/>
            <w:tcBorders>
              <w:top w:val="nil"/>
              <w:left w:val="nil"/>
              <w:bottom w:val="nil"/>
              <w:right w:val="nil"/>
            </w:tcBorders>
            <w:shd w:val="clear" w:color="auto" w:fill="auto"/>
            <w:hideMark/>
          </w:tcPr>
          <w:p w:rsidR="00A665A9" w:rsidRPr="00EC79CF" w:rsidRDefault="00A665A9" w:rsidP="00A665A9">
            <w:pPr>
              <w:keepNext/>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31 December</w:t>
            </w:r>
          </w:p>
        </w:tc>
        <w:tc>
          <w:tcPr>
            <w:tcW w:w="7331" w:type="dxa"/>
            <w:tcBorders>
              <w:top w:val="nil"/>
              <w:left w:val="nil"/>
              <w:bottom w:val="nil"/>
              <w:right w:val="nil"/>
            </w:tcBorders>
            <w:shd w:val="clear" w:color="auto" w:fill="auto"/>
            <w:hideMark/>
          </w:tcPr>
          <w:p w:rsidR="00A665A9" w:rsidRPr="00EC79CF" w:rsidRDefault="00A665A9" w:rsidP="00A665A9">
            <w:pPr>
              <w:keepNext/>
              <w:tabs>
                <w:tab w:val="clear" w:pos="567"/>
              </w:tabs>
              <w:spacing w:after="0" w:line="240" w:lineRule="auto"/>
              <w:ind w:left="270" w:hanging="270"/>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Final State comments due on proposed changes to draft report.</w:t>
            </w:r>
          </w:p>
        </w:tc>
      </w:tr>
      <w:tr w:rsidR="00A665A9" w:rsidRPr="00EC79CF" w:rsidTr="002C0D6C">
        <w:trPr>
          <w:trHeight w:val="315"/>
        </w:trPr>
        <w:tc>
          <w:tcPr>
            <w:tcW w:w="1756" w:type="dxa"/>
            <w:tcBorders>
              <w:top w:val="nil"/>
              <w:left w:val="nil"/>
              <w:right w:val="nil"/>
            </w:tcBorders>
            <w:shd w:val="clear" w:color="auto" w:fill="auto"/>
            <w:hideMark/>
          </w:tcPr>
          <w:p w:rsidR="00A665A9" w:rsidRPr="00EC79CF" w:rsidRDefault="00A665A9" w:rsidP="00A665A9">
            <w:pPr>
              <w:keepNext/>
              <w:tabs>
                <w:tab w:val="clear" w:pos="567"/>
              </w:tabs>
              <w:spacing w:after="0" w:line="240" w:lineRule="auto"/>
              <w:rPr>
                <w:rFonts w:ascii="Calibri" w:eastAsia="Times New Roman" w:hAnsi="Calibri" w:cs="Times New Roman"/>
                <w:b/>
                <w:bCs/>
                <w:sz w:val="20"/>
                <w:szCs w:val="20"/>
                <w:lang w:eastAsia="en-AU"/>
              </w:rPr>
            </w:pPr>
            <w:r w:rsidRPr="00EC79CF">
              <w:rPr>
                <w:rFonts w:ascii="Calibri" w:eastAsia="Times New Roman" w:hAnsi="Calibri" w:cs="Times New Roman"/>
                <w:b/>
                <w:bCs/>
                <w:sz w:val="20"/>
                <w:szCs w:val="20"/>
                <w:lang w:eastAsia="en-AU"/>
              </w:rPr>
              <w:t>2015</w:t>
            </w:r>
          </w:p>
        </w:tc>
        <w:tc>
          <w:tcPr>
            <w:tcW w:w="7331" w:type="dxa"/>
            <w:tcBorders>
              <w:top w:val="nil"/>
              <w:left w:val="nil"/>
              <w:right w:val="nil"/>
            </w:tcBorders>
            <w:shd w:val="clear" w:color="auto" w:fill="auto"/>
            <w:hideMark/>
          </w:tcPr>
          <w:p w:rsidR="00A665A9" w:rsidRPr="00EC79CF" w:rsidRDefault="00A665A9" w:rsidP="00A665A9">
            <w:pPr>
              <w:keepNext/>
              <w:tabs>
                <w:tab w:val="clear" w:pos="567"/>
              </w:tabs>
              <w:spacing w:after="0" w:line="240" w:lineRule="auto"/>
              <w:ind w:left="270" w:hanging="270"/>
              <w:rPr>
                <w:rFonts w:ascii="Calibri" w:eastAsia="Times New Roman" w:hAnsi="Calibri" w:cs="Times New Roman"/>
                <w:sz w:val="20"/>
                <w:szCs w:val="20"/>
                <w:lang w:eastAsia="en-AU"/>
              </w:rPr>
            </w:pPr>
          </w:p>
        </w:tc>
      </w:tr>
      <w:tr w:rsidR="00CA1402" w:rsidRPr="00EC79CF" w:rsidTr="002C0D6C">
        <w:trPr>
          <w:trHeight w:val="315"/>
        </w:trPr>
        <w:tc>
          <w:tcPr>
            <w:tcW w:w="1756" w:type="dxa"/>
            <w:tcBorders>
              <w:top w:val="nil"/>
              <w:left w:val="nil"/>
              <w:right w:val="nil"/>
            </w:tcBorders>
            <w:shd w:val="clear" w:color="auto" w:fill="auto"/>
            <w:hideMark/>
          </w:tcPr>
          <w:p w:rsidR="00CA1402" w:rsidRPr="00EC79CF" w:rsidRDefault="00CA1402" w:rsidP="005B4DC0">
            <w:pPr>
              <w:keepNext/>
              <w:tabs>
                <w:tab w:val="clear" w:pos="567"/>
              </w:tabs>
              <w:spacing w:after="0" w:line="240" w:lineRule="auto"/>
              <w:rPr>
                <w:rFonts w:ascii="Calibri" w:eastAsia="Times New Roman" w:hAnsi="Calibri" w:cs="Times New Roman"/>
                <w:sz w:val="20"/>
                <w:szCs w:val="20"/>
                <w:lang w:eastAsia="en-AU"/>
              </w:rPr>
            </w:pPr>
            <w:r>
              <w:rPr>
                <w:rFonts w:ascii="Calibri" w:eastAsia="Times New Roman" w:hAnsi="Calibri" w:cs="Times New Roman"/>
                <w:sz w:val="20"/>
                <w:szCs w:val="20"/>
                <w:lang w:eastAsia="en-AU"/>
              </w:rPr>
              <w:t>17 January</w:t>
            </w:r>
          </w:p>
        </w:tc>
        <w:tc>
          <w:tcPr>
            <w:tcW w:w="7331" w:type="dxa"/>
            <w:tcBorders>
              <w:top w:val="nil"/>
              <w:left w:val="nil"/>
              <w:right w:val="nil"/>
            </w:tcBorders>
            <w:shd w:val="clear" w:color="auto" w:fill="auto"/>
            <w:hideMark/>
          </w:tcPr>
          <w:p w:rsidR="00CA1402" w:rsidRPr="00EC79CF" w:rsidRDefault="00CA1402" w:rsidP="00CA1402">
            <w:pPr>
              <w:keepNext/>
              <w:tabs>
                <w:tab w:val="clear" w:pos="567"/>
              </w:tabs>
              <w:spacing w:after="0" w:line="240" w:lineRule="auto"/>
              <w:ind w:left="270" w:hanging="270"/>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 xml:space="preserve">Final State comments due on </w:t>
            </w:r>
            <w:r>
              <w:rPr>
                <w:rFonts w:ascii="Calibri" w:eastAsia="Times New Roman" w:hAnsi="Calibri" w:cs="Times New Roman"/>
                <w:sz w:val="20"/>
                <w:szCs w:val="20"/>
                <w:lang w:eastAsia="en-AU"/>
              </w:rPr>
              <w:t>contemporaneity issues</w:t>
            </w:r>
            <w:r w:rsidR="00C766D0">
              <w:rPr>
                <w:rFonts w:ascii="Calibri" w:eastAsia="Times New Roman" w:hAnsi="Calibri" w:cs="Times New Roman"/>
                <w:sz w:val="20"/>
                <w:szCs w:val="20"/>
                <w:lang w:eastAsia="en-AU"/>
              </w:rPr>
              <w:t xml:space="preserve"> raised by WA</w:t>
            </w:r>
            <w:r w:rsidRPr="00EC79CF">
              <w:rPr>
                <w:rFonts w:ascii="Calibri" w:eastAsia="Times New Roman" w:hAnsi="Calibri" w:cs="Times New Roman"/>
                <w:sz w:val="20"/>
                <w:szCs w:val="20"/>
                <w:lang w:eastAsia="en-AU"/>
              </w:rPr>
              <w:t>.</w:t>
            </w:r>
          </w:p>
        </w:tc>
      </w:tr>
      <w:tr w:rsidR="00A665A9" w:rsidRPr="00EC79CF" w:rsidTr="002C0D6C">
        <w:trPr>
          <w:trHeight w:val="315"/>
        </w:trPr>
        <w:tc>
          <w:tcPr>
            <w:tcW w:w="1756" w:type="dxa"/>
            <w:tcBorders>
              <w:left w:val="nil"/>
              <w:bottom w:val="single" w:sz="4" w:space="0" w:color="auto"/>
              <w:right w:val="nil"/>
            </w:tcBorders>
            <w:shd w:val="clear" w:color="auto" w:fill="auto"/>
            <w:hideMark/>
          </w:tcPr>
          <w:p w:rsidR="00A665A9" w:rsidRPr="00EC79CF" w:rsidRDefault="00A665A9" w:rsidP="00A665A9">
            <w:pPr>
              <w:keepNext/>
              <w:tabs>
                <w:tab w:val="clear" w:pos="567"/>
              </w:tabs>
              <w:spacing w:after="0" w:line="240" w:lineRule="auto"/>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28 February</w:t>
            </w:r>
          </w:p>
        </w:tc>
        <w:tc>
          <w:tcPr>
            <w:tcW w:w="7331" w:type="dxa"/>
            <w:tcBorders>
              <w:left w:val="nil"/>
              <w:bottom w:val="single" w:sz="4" w:space="0" w:color="auto"/>
              <w:right w:val="nil"/>
            </w:tcBorders>
            <w:shd w:val="clear" w:color="auto" w:fill="auto"/>
            <w:hideMark/>
          </w:tcPr>
          <w:p w:rsidR="00A665A9" w:rsidRPr="00EC79CF" w:rsidRDefault="00A665A9" w:rsidP="00A665A9">
            <w:pPr>
              <w:keepNext/>
              <w:tabs>
                <w:tab w:val="clear" w:pos="567"/>
              </w:tabs>
              <w:spacing w:after="0" w:line="240" w:lineRule="auto"/>
              <w:ind w:left="270" w:hanging="270"/>
              <w:rPr>
                <w:rFonts w:ascii="Calibri" w:eastAsia="Times New Roman" w:hAnsi="Calibri" w:cs="Times New Roman"/>
                <w:sz w:val="20"/>
                <w:szCs w:val="20"/>
                <w:lang w:eastAsia="en-AU"/>
              </w:rPr>
            </w:pPr>
            <w:r w:rsidRPr="00EC79CF">
              <w:rPr>
                <w:rFonts w:ascii="Calibri" w:eastAsia="Times New Roman" w:hAnsi="Calibri" w:cs="Times New Roman"/>
                <w:sz w:val="20"/>
                <w:szCs w:val="20"/>
                <w:lang w:eastAsia="en-AU"/>
              </w:rPr>
              <w:t>Provision of final report to the Commonwealth.</w:t>
            </w:r>
          </w:p>
        </w:tc>
      </w:tr>
    </w:tbl>
    <w:p w:rsidR="00A665A9" w:rsidRPr="00EC79CF" w:rsidRDefault="00A665A9" w:rsidP="00C20E52">
      <w:pPr>
        <w:pStyle w:val="CGCNumberedPara"/>
        <w:numPr>
          <w:ilvl w:val="1"/>
          <w:numId w:val="2"/>
        </w:numPr>
      </w:pPr>
      <w:r w:rsidRPr="00EC79CF">
        <w:t xml:space="preserve">Some States considered the short time frame meant that a comprehensive review, with adequate time for analysis and meaningful consideration of all assessments, was not undertaken. Other States disagreed. It is our view that changes have been considered where the terms of reference require it, State circumstances, including those arising from changes in federal financial relations, have changed, better data have become available or where other evidence, including in State submissions, has convinced us to reconsider previous approaches. While a longer review could have provided greater opportunity to consider issues, we are not convinced that it would </w:t>
      </w:r>
      <w:r w:rsidRPr="00EC79CF">
        <w:lastRenderedPageBreak/>
        <w:t>have provided States with greater opportunity to provide data to supp</w:t>
      </w:r>
      <w:r w:rsidR="007C0043">
        <w:t>ort the cases they were arguing,</w:t>
      </w:r>
      <w:r w:rsidRPr="00EC79CF">
        <w:t xml:space="preserve"> the single biggest constraint in the review process. Many of the arguments had been raised in previous reviews and States </w:t>
      </w:r>
      <w:r w:rsidR="005E1335">
        <w:t>were</w:t>
      </w:r>
      <w:r w:rsidR="005E1335" w:rsidRPr="00EC79CF">
        <w:t xml:space="preserve"> </w:t>
      </w:r>
      <w:r w:rsidRPr="00EC79CF">
        <w:t>still not able to provide data to support them. We are satisfied a comprehensive and balanced review of the assessment methodology, with considerable opportunities for State input, has been undertaken.</w:t>
      </w:r>
    </w:p>
    <w:p w:rsidR="00A665A9" w:rsidRPr="00EC79CF" w:rsidRDefault="00A665A9" w:rsidP="00C20E52">
      <w:pPr>
        <w:pStyle w:val="CGCNumberedPara"/>
        <w:numPr>
          <w:ilvl w:val="1"/>
          <w:numId w:val="2"/>
        </w:numPr>
      </w:pPr>
      <w:r w:rsidRPr="00EC79CF">
        <w:t>In this review</w:t>
      </w:r>
      <w:r w:rsidR="00A87A12">
        <w:t>,</w:t>
      </w:r>
      <w:r w:rsidRPr="00EC79CF">
        <w:t xml:space="preserve"> our terms of reference required us to consult with States on any significant changes we proposed to make after considering their responses to our draft report. We consider that round of consultation added little to the review process because few new arguments were raised by States. Our view is that </w:t>
      </w:r>
      <w:r w:rsidR="006123ED">
        <w:t xml:space="preserve">the most effective </w:t>
      </w:r>
      <w:r w:rsidRPr="00EC79CF">
        <w:t xml:space="preserve">approach is through </w:t>
      </w:r>
      <w:r w:rsidR="00E0349B" w:rsidRPr="00EC79CF">
        <w:t xml:space="preserve">consultations on </w:t>
      </w:r>
      <w:r w:rsidR="00E0349B">
        <w:t>the</w:t>
      </w:r>
      <w:r w:rsidRPr="00EC79CF">
        <w:t xml:space="preserve"> draft report, followed only by a fina</w:t>
      </w:r>
      <w:r w:rsidR="00E0349B">
        <w:t>l report.</w:t>
      </w:r>
    </w:p>
    <w:p w:rsidR="00A665A9" w:rsidRDefault="00A665A9" w:rsidP="00C20E52">
      <w:pPr>
        <w:pStyle w:val="CGCNumberedPara"/>
        <w:numPr>
          <w:ilvl w:val="1"/>
          <w:numId w:val="2"/>
        </w:numPr>
      </w:pPr>
      <w:r w:rsidRPr="00EC79CF">
        <w:t xml:space="preserve">Of course, if substantive issues not previously canvassed by the Commission arise late in a review period, there </w:t>
      </w:r>
      <w:r w:rsidR="00E0349B">
        <w:t>may</w:t>
      </w:r>
      <w:r w:rsidRPr="00EC79CF">
        <w:t xml:space="preserve"> need to be special consultation with States on them. We consider the contemporaneity issue raised by Western Australia in it</w:t>
      </w:r>
      <w:r w:rsidR="002B182D">
        <w:t xml:space="preserve">s response to the draft report </w:t>
      </w:r>
      <w:r w:rsidRPr="00EC79CF">
        <w:t>to be an example of such a substantive issue. We have consulted with States on this issue before preparing our response.</w:t>
      </w:r>
    </w:p>
    <w:p w:rsidR="00C7591C" w:rsidRDefault="00C7591C" w:rsidP="00C7591C">
      <w:pPr>
        <w:pStyle w:val="CGCNumberedPara"/>
      </w:pPr>
      <w:r w:rsidRPr="00EC79CF">
        <w:t xml:space="preserve">We have not documented State arguments in detail throughout the report. Instead, we have responded to the issues States have raised. We have allowed State submissions to speak for themselves. </w:t>
      </w:r>
    </w:p>
    <w:p w:rsidR="00C7591C" w:rsidRDefault="00C7591C" w:rsidP="00C7591C">
      <w:pPr>
        <w:pStyle w:val="CGCNumberedPara"/>
        <w:numPr>
          <w:ilvl w:val="1"/>
          <w:numId w:val="2"/>
        </w:numPr>
      </w:pPr>
      <w:r w:rsidRPr="00EC79CF">
        <w:t>All Commission papers, State submissions</w:t>
      </w:r>
      <w:r>
        <w:t>,</w:t>
      </w:r>
      <w:r w:rsidRPr="00EC79CF">
        <w:t xml:space="preserve"> other supporting dat</w:t>
      </w:r>
      <w:r>
        <w:t xml:space="preserve">a and a mathematical presentation of the HFE model are available on the </w:t>
      </w:r>
      <w:hyperlink r:id="rId59" w:history="1">
        <w:r w:rsidRPr="00D05F5E">
          <w:rPr>
            <w:rStyle w:val="Hyperlink"/>
          </w:rPr>
          <w:t>Commission’s website</w:t>
        </w:r>
      </w:hyperlink>
      <w:r>
        <w:t xml:space="preserve"> </w:t>
      </w:r>
      <w:r w:rsidR="00066C61">
        <w:t>(</w:t>
      </w:r>
      <w:r w:rsidR="00066C61" w:rsidRPr="00D05F5E">
        <w:t>https://www.cgc.gov.au/</w:t>
      </w:r>
      <w:r w:rsidR="00066C61">
        <w:t>).</w:t>
      </w:r>
    </w:p>
    <w:p w:rsidR="00A665A9" w:rsidRPr="00C4696B" w:rsidRDefault="00C4696B" w:rsidP="00C4696B">
      <w:pPr>
        <w:pStyle w:val="Heading3"/>
      </w:pPr>
      <w:bookmarkStart w:id="386" w:name="_Toc410741659"/>
      <w:bookmarkStart w:id="387" w:name="_Toc410744210"/>
      <w:bookmarkStart w:id="388" w:name="_Toc411511199"/>
      <w:bookmarkStart w:id="389" w:name="_Toc411511652"/>
      <w:bookmarkStart w:id="390" w:name="_Toc411924592"/>
      <w:r w:rsidRPr="00C4696B">
        <w:t xml:space="preserve">Objectives of the </w:t>
      </w:r>
      <w:r w:rsidR="00E07184">
        <w:t>GST</w:t>
      </w:r>
      <w:r w:rsidRPr="00C4696B">
        <w:t xml:space="preserve"> distribution</w:t>
      </w:r>
      <w:bookmarkEnd w:id="386"/>
      <w:bookmarkEnd w:id="387"/>
      <w:bookmarkEnd w:id="388"/>
      <w:bookmarkEnd w:id="389"/>
      <w:bookmarkEnd w:id="390"/>
    </w:p>
    <w:p w:rsidR="00A665A9" w:rsidRPr="00EC79CF" w:rsidRDefault="00A665A9" w:rsidP="00C20E52">
      <w:pPr>
        <w:pStyle w:val="CGCNumberedPara"/>
        <w:numPr>
          <w:ilvl w:val="1"/>
          <w:numId w:val="2"/>
        </w:numPr>
      </w:pPr>
      <w:r w:rsidRPr="00EC79CF">
        <w:t>For the 2015 Review, the terms of reference direct the Commission to take into account the IGA. This provides that the GST revenue will be distributed among the States in accordance with ‘the principle of horizontal fiscal equalisation (HFE)’.</w:t>
      </w:r>
    </w:p>
    <w:p w:rsidR="00A665A9" w:rsidRPr="00EC79CF" w:rsidRDefault="00A665A9" w:rsidP="00C20E52">
      <w:pPr>
        <w:pStyle w:val="CGCNumberedPara"/>
        <w:numPr>
          <w:ilvl w:val="1"/>
          <w:numId w:val="2"/>
        </w:numPr>
      </w:pPr>
      <w:r w:rsidRPr="00EC79CF">
        <w:t xml:space="preserve">The Commission considers it appropriate to articulate the ‘principle of HFE’ using the definition it developed in </w:t>
      </w:r>
      <w:r w:rsidR="00464E43">
        <w:t xml:space="preserve">the </w:t>
      </w:r>
      <w:r w:rsidRPr="00EC79CF">
        <w:t>2010</w:t>
      </w:r>
      <w:r w:rsidR="00464E43">
        <w:t xml:space="preserve"> Review</w:t>
      </w:r>
      <w:r w:rsidRPr="00EC79CF">
        <w:t>:</w:t>
      </w:r>
    </w:p>
    <w:p w:rsidR="00A665A9" w:rsidRPr="00EC79CF" w:rsidRDefault="00A665A9" w:rsidP="003C5D2D">
      <w:pPr>
        <w:pStyle w:val="CGCQuotation"/>
      </w:pPr>
      <w:r w:rsidRPr="00EC79CF">
        <w:t>State governments should receive funding from the pool of goods and services tax such that, after allowing for material factors affecting revenues and expenditures, each would have the fiscal capacity to provide services and the associated infrastructure at the same standard, if each made the same effort to raise revenue from its own sources and operated at the same level of efficiency.</w:t>
      </w:r>
    </w:p>
    <w:p w:rsidR="00A665A9" w:rsidRPr="00EC79CF" w:rsidRDefault="00A665A9" w:rsidP="00C20E52">
      <w:pPr>
        <w:pStyle w:val="CGCNumberedPara"/>
        <w:numPr>
          <w:ilvl w:val="1"/>
          <w:numId w:val="2"/>
        </w:numPr>
      </w:pPr>
      <w:r w:rsidRPr="00EC79CF">
        <w:t>That definition has, with only minor variations, formed the basis for distributing the GST since that tax’s introduction and Financial Assistance Grants before that.</w:t>
      </w:r>
    </w:p>
    <w:p w:rsidR="00A665A9" w:rsidRPr="00EC79CF" w:rsidRDefault="00A665A9" w:rsidP="00C20E52">
      <w:pPr>
        <w:pStyle w:val="CGCNumberedPara"/>
        <w:numPr>
          <w:ilvl w:val="1"/>
          <w:numId w:val="2"/>
        </w:numPr>
      </w:pPr>
      <w:r w:rsidRPr="00EC79CF">
        <w:lastRenderedPageBreak/>
        <w:t>The definition focuses on the main task of the Commission: to identify innate differences (</w:t>
      </w:r>
      <w:r w:rsidR="00E7423D">
        <w:t>‘</w:t>
      </w:r>
      <w:r w:rsidRPr="00EC79CF">
        <w:t>disabilities</w:t>
      </w:r>
      <w:r w:rsidR="00E7423D">
        <w:t>’</w:t>
      </w:r>
      <w:r w:rsidRPr="00EC79CF">
        <w:t>) among the States which would cause their fiscal capacities to diverge and to recommend a distribution of GST revenue which would remove the impact of that divergence on State finances. As a result, States will have the same capacity to deliver services, provided they deliver them at the average level of technical efficiency and make the same effort to raise revenue.</w:t>
      </w:r>
    </w:p>
    <w:p w:rsidR="00A665A9" w:rsidRPr="00EC79CF" w:rsidRDefault="00A665A9" w:rsidP="00C20E52">
      <w:pPr>
        <w:pStyle w:val="CGCNumberedPara"/>
        <w:numPr>
          <w:ilvl w:val="1"/>
          <w:numId w:val="2"/>
        </w:numPr>
      </w:pPr>
      <w:r w:rsidRPr="00EC79CF">
        <w:t>If we can reliably measure a disability which has a material impact on the GST distribution, we include it in our methodology. In some cases</w:t>
      </w:r>
      <w:r w:rsidR="00464E43">
        <w:t>,</w:t>
      </w:r>
      <w:r w:rsidRPr="00EC79CF">
        <w:t xml:space="preserve"> </w:t>
      </w:r>
      <w:r w:rsidR="002B182D">
        <w:t>a judgment based on the available information is needed</w:t>
      </w:r>
      <w:r w:rsidRPr="00EC79CF">
        <w:t>. The Commission does not aim to achieve precise equalisation because not all disabilities are included, either because they cannot be reliably measured or have an immaterial impact. We aim for proximate (or comparable) equalisation.</w:t>
      </w:r>
    </w:p>
    <w:p w:rsidR="00A665A9" w:rsidRPr="00EC79CF" w:rsidRDefault="00A665A9" w:rsidP="00C20E52">
      <w:pPr>
        <w:pStyle w:val="CGCNumberedPara"/>
        <w:numPr>
          <w:ilvl w:val="1"/>
          <w:numId w:val="2"/>
        </w:numPr>
      </w:pPr>
      <w:r w:rsidRPr="00EC79CF">
        <w:t>Material disabilities affecting revenue and expenditures mean innate differences in State circumstances that:</w:t>
      </w:r>
    </w:p>
    <w:p w:rsidR="00A665A9" w:rsidRPr="00EC79CF" w:rsidRDefault="00A665A9" w:rsidP="00C20E52">
      <w:pPr>
        <w:pStyle w:val="CGCBulletlist"/>
        <w:numPr>
          <w:ilvl w:val="0"/>
          <w:numId w:val="1"/>
        </w:numPr>
        <w:tabs>
          <w:tab w:val="clear" w:pos="927"/>
          <w:tab w:val="left" w:pos="1134"/>
        </w:tabs>
        <w:ind w:left="1134" w:hanging="567"/>
      </w:pPr>
      <w:r w:rsidRPr="00EC79CF">
        <w:t>give rise to differences in the capacities of States to raise revenue or differences in the cost of providing services or infrastructure, over and above any impact of the policies of individual States</w:t>
      </w:r>
    </w:p>
    <w:p w:rsidR="00A665A9" w:rsidRPr="00EC79CF" w:rsidRDefault="00A665A9" w:rsidP="00C20E52">
      <w:pPr>
        <w:pStyle w:val="CGCBulletlist"/>
        <w:numPr>
          <w:ilvl w:val="0"/>
          <w:numId w:val="1"/>
        </w:numPr>
        <w:tabs>
          <w:tab w:val="clear" w:pos="927"/>
          <w:tab w:val="left" w:pos="1134"/>
        </w:tabs>
        <w:ind w:left="1134" w:hanging="567"/>
      </w:pPr>
      <w:r w:rsidRPr="00EC79CF">
        <w:t>have an impact on the recommended GST distribution which</w:t>
      </w:r>
      <w:r w:rsidR="00D06073">
        <w:t xml:space="preserve"> exceeds materiality thresholds</w:t>
      </w:r>
      <w:r w:rsidR="00D06073">
        <w:rPr>
          <w:rStyle w:val="FootnoteReference"/>
        </w:rPr>
        <w:footnoteReference w:id="3"/>
      </w:r>
    </w:p>
    <w:p w:rsidR="00A665A9" w:rsidRPr="00EC79CF" w:rsidRDefault="00A665A9" w:rsidP="00C20E52">
      <w:pPr>
        <w:pStyle w:val="CGCBulletlist"/>
        <w:numPr>
          <w:ilvl w:val="0"/>
          <w:numId w:val="1"/>
        </w:numPr>
        <w:tabs>
          <w:tab w:val="clear" w:pos="927"/>
          <w:tab w:val="left" w:pos="1134"/>
        </w:tabs>
        <w:ind w:left="1134" w:hanging="567"/>
      </w:pPr>
      <w:proofErr w:type="gramStart"/>
      <w:r w:rsidRPr="00EC79CF">
        <w:t>can</w:t>
      </w:r>
      <w:proofErr w:type="gramEnd"/>
      <w:r w:rsidRPr="00EC79CF">
        <w:t xml:space="preserve"> be measured </w:t>
      </w:r>
      <w:r w:rsidR="002B182D">
        <w:t xml:space="preserve">or estimated </w:t>
      </w:r>
      <w:r w:rsidRPr="00EC79CF">
        <w:t>reliably.</w:t>
      </w:r>
    </w:p>
    <w:p w:rsidR="00A665A9" w:rsidRPr="00EC79CF" w:rsidRDefault="00A665A9" w:rsidP="00C20E52">
      <w:pPr>
        <w:pStyle w:val="CGCNumberedPara"/>
        <w:numPr>
          <w:ilvl w:val="1"/>
          <w:numId w:val="2"/>
        </w:numPr>
      </w:pPr>
      <w:r w:rsidRPr="00EC79CF">
        <w:t>The disabilities assessed cover a range of influences on the finances of a State. For example:</w:t>
      </w:r>
    </w:p>
    <w:p w:rsidR="00A665A9" w:rsidRPr="00EC79CF" w:rsidRDefault="00A665A9" w:rsidP="00C20E52">
      <w:pPr>
        <w:pStyle w:val="CGCBulletlist"/>
        <w:numPr>
          <w:ilvl w:val="0"/>
          <w:numId w:val="1"/>
        </w:numPr>
        <w:tabs>
          <w:tab w:val="clear" w:pos="927"/>
          <w:tab w:val="left" w:pos="1134"/>
        </w:tabs>
        <w:ind w:left="1134" w:hanging="567"/>
      </w:pPr>
      <w:r w:rsidRPr="00EC79CF">
        <w:t>different demographic profiles can generate differences in what States need to spend to deliver the average service to their residents</w:t>
      </w:r>
    </w:p>
    <w:p w:rsidR="00A665A9" w:rsidRPr="00EC79CF" w:rsidRDefault="00A665A9" w:rsidP="00C20E52">
      <w:pPr>
        <w:pStyle w:val="CGCBulletlist"/>
        <w:numPr>
          <w:ilvl w:val="0"/>
          <w:numId w:val="1"/>
        </w:numPr>
        <w:tabs>
          <w:tab w:val="clear" w:pos="927"/>
          <w:tab w:val="left" w:pos="1134"/>
        </w:tabs>
        <w:ind w:left="1134" w:hanging="567"/>
      </w:pPr>
      <w:r w:rsidRPr="00EC79CF">
        <w:t>in some areas the provision of services by the private sector, Commonwealth or local government reduces what States need to spend to deliver the average level of services:</w:t>
      </w:r>
    </w:p>
    <w:p w:rsidR="00A665A9" w:rsidRPr="00EC79CF" w:rsidRDefault="00A665A9" w:rsidP="00C20E52">
      <w:pPr>
        <w:pStyle w:val="CGCSubbulletlist"/>
        <w:numPr>
          <w:ilvl w:val="0"/>
          <w:numId w:val="3"/>
        </w:numPr>
        <w:tabs>
          <w:tab w:val="clear" w:pos="927"/>
        </w:tabs>
        <w:ind w:left="1701" w:hanging="567"/>
      </w:pPr>
      <w:proofErr w:type="gramStart"/>
      <w:r w:rsidRPr="00EC79CF">
        <w:t>for</w:t>
      </w:r>
      <w:proofErr w:type="gramEnd"/>
      <w:r w:rsidRPr="00EC79CF">
        <w:t xml:space="preserve"> example, a State with an above average level of non-government schooling has a reduced need to provide public education, so above or below average provision of services in this way can constitute a material </w:t>
      </w:r>
      <w:r w:rsidR="00870C0E">
        <w:t>disability</w:t>
      </w:r>
      <w:r w:rsidRPr="00EC79CF">
        <w:t>.</w:t>
      </w:r>
    </w:p>
    <w:p w:rsidR="00A665A9" w:rsidRPr="00EC79CF" w:rsidRDefault="00A665A9" w:rsidP="00C20E52">
      <w:pPr>
        <w:pStyle w:val="CGCNumberedPara"/>
        <w:numPr>
          <w:ilvl w:val="1"/>
          <w:numId w:val="2"/>
        </w:numPr>
      </w:pPr>
      <w:r w:rsidRPr="00EC79CF">
        <w:t>Based on the data available to us, these disabilities have a material impact on States’ fiscal capacities. We conclude an equal per capita (EPC) GST distribution would not be consistent with HFE.</w:t>
      </w:r>
    </w:p>
    <w:p w:rsidR="00A665A9" w:rsidRPr="00EC79CF" w:rsidRDefault="00A665A9" w:rsidP="00C20E52">
      <w:pPr>
        <w:pStyle w:val="CGCNumberedPara"/>
        <w:numPr>
          <w:ilvl w:val="1"/>
          <w:numId w:val="2"/>
        </w:numPr>
      </w:pPr>
      <w:r w:rsidRPr="00EC79CF">
        <w:t xml:space="preserve">New South Wales disagrees, arguing that an EPC distribution would still involve equalisation, albeit one which is simpler, more objective, more predictable and more easily understood. However, </w:t>
      </w:r>
      <w:r w:rsidR="00301C32">
        <w:t xml:space="preserve">if </w:t>
      </w:r>
      <w:r w:rsidR="002B182D">
        <w:t xml:space="preserve">the task is to </w:t>
      </w:r>
      <w:r w:rsidR="007917EA" w:rsidRPr="00EC79CF">
        <w:t>giv</w:t>
      </w:r>
      <w:r w:rsidR="007917EA">
        <w:t>e</w:t>
      </w:r>
      <w:r w:rsidR="007917EA" w:rsidRPr="00EC79CF">
        <w:t xml:space="preserve"> all States the same capacity to </w:t>
      </w:r>
      <w:r w:rsidR="007917EA" w:rsidRPr="00EC79CF">
        <w:lastRenderedPageBreak/>
        <w:t xml:space="preserve">deliver services after taking into account their revenue raised at average policy, then </w:t>
      </w:r>
      <w:r w:rsidR="00301C32">
        <w:t xml:space="preserve">the distribution </w:t>
      </w:r>
      <w:r w:rsidR="007917EA" w:rsidRPr="00EC79CF">
        <w:t>advocated by New South Wales would not achieve that outcome.</w:t>
      </w:r>
      <w:r w:rsidR="007917EA">
        <w:t xml:space="preserve"> </w:t>
      </w:r>
      <w:r w:rsidR="00301C32">
        <w:t xml:space="preserve">An EPC distribution which, by definition, </w:t>
      </w:r>
      <w:r w:rsidRPr="00EC79CF">
        <w:t xml:space="preserve">does not change the </w:t>
      </w:r>
      <w:r w:rsidR="007917EA">
        <w:t xml:space="preserve">relative </w:t>
      </w:r>
      <w:r w:rsidRPr="00EC79CF">
        <w:t>fiscal capacities of State</w:t>
      </w:r>
      <w:r w:rsidR="007917EA">
        <w:t xml:space="preserve"> </w:t>
      </w:r>
      <w:proofErr w:type="gramStart"/>
      <w:r w:rsidR="007917EA">
        <w:t>governments</w:t>
      </w:r>
      <w:r w:rsidRPr="00EC79CF">
        <w:t>,</w:t>
      </w:r>
      <w:proofErr w:type="gramEnd"/>
      <w:r w:rsidRPr="00EC79CF">
        <w:t xml:space="preserve"> cannot result in </w:t>
      </w:r>
      <w:r w:rsidR="007917EA">
        <w:t xml:space="preserve">the </w:t>
      </w:r>
      <w:r w:rsidRPr="00EC79CF">
        <w:t>equalisation</w:t>
      </w:r>
      <w:r w:rsidR="007917EA">
        <w:t xml:space="preserve"> of their fiscal capacities</w:t>
      </w:r>
      <w:r w:rsidRPr="00EC79CF">
        <w:t xml:space="preserve">. </w:t>
      </w:r>
    </w:p>
    <w:p w:rsidR="00A665A9" w:rsidRPr="00EC79CF" w:rsidRDefault="00A665A9" w:rsidP="00C20E52">
      <w:pPr>
        <w:pStyle w:val="CGCNumberedPara"/>
        <w:numPr>
          <w:ilvl w:val="1"/>
          <w:numId w:val="2"/>
        </w:numPr>
      </w:pPr>
      <w:r w:rsidRPr="00EC79CF">
        <w:t xml:space="preserve">Some States have also said GST revenue should not be distributed according to the HFE principle, or the operation of HFE should be limited by other policy objectives, for example raising national productivity. In particular, one State asked the Commission to take into account the intent of other Commonwealth-State financial agreements when developing methods and making decisions which impact on the GST distribution. Another State said the Commission should be more proactive in the area of tax reform, effectively holding governments to account in relation to reform agreements. </w:t>
      </w:r>
    </w:p>
    <w:p w:rsidR="005E1335" w:rsidRDefault="00A665A9" w:rsidP="00C20E52">
      <w:pPr>
        <w:pStyle w:val="CGCNumberedPara"/>
        <w:numPr>
          <w:ilvl w:val="1"/>
          <w:numId w:val="2"/>
        </w:numPr>
      </w:pPr>
      <w:r w:rsidRPr="00EC79CF">
        <w:t xml:space="preserve">However, we consider our terms of reference are clear: we are to recommend how the GST should be distributed in accordance with the ‘principle of HFE’. We are not asked, nor given the discretion, to decide when other policy objectives or agreements between the Commonwealth and the States should moderate the achievement of HFE, unless explicitly directed in our terms of reference. In fact, the terms of reference provide guidance on how Commonwealth payments should be treated, both those that should have an impact and those that should not. </w:t>
      </w:r>
    </w:p>
    <w:p w:rsidR="00A665A9" w:rsidRPr="00EC79CF" w:rsidRDefault="00A665A9" w:rsidP="00C20E52">
      <w:pPr>
        <w:pStyle w:val="CGCNumberedPara"/>
        <w:numPr>
          <w:ilvl w:val="1"/>
          <w:numId w:val="2"/>
        </w:numPr>
      </w:pPr>
      <w:r w:rsidRPr="00EC79CF">
        <w:t xml:space="preserve">Nonetheless, in adopting the definition of HFE, and in developing its methodology, the Commission is conscious of the desirability of minimising any adverse impacts of HFE on the operations of government and the economy generally. </w:t>
      </w:r>
    </w:p>
    <w:p w:rsidR="00A665A9" w:rsidRPr="00C4696B" w:rsidRDefault="00C4696B" w:rsidP="00C4696B">
      <w:pPr>
        <w:pStyle w:val="Heading3"/>
      </w:pPr>
      <w:bookmarkStart w:id="391" w:name="_Toc410741660"/>
      <w:bookmarkStart w:id="392" w:name="_Toc410744211"/>
      <w:bookmarkStart w:id="393" w:name="_Toc411511200"/>
      <w:bookmarkStart w:id="394" w:name="_Toc411511653"/>
      <w:bookmarkStart w:id="395" w:name="_Toc411924593"/>
      <w:r w:rsidRPr="00C4696B">
        <w:t>Supporting principles</w:t>
      </w:r>
      <w:bookmarkEnd w:id="391"/>
      <w:bookmarkEnd w:id="392"/>
      <w:bookmarkEnd w:id="393"/>
      <w:bookmarkEnd w:id="394"/>
      <w:bookmarkEnd w:id="395"/>
    </w:p>
    <w:p w:rsidR="00A665A9" w:rsidRPr="00EC79CF" w:rsidRDefault="00A665A9" w:rsidP="00C20E52">
      <w:pPr>
        <w:pStyle w:val="CGCNumberedPara"/>
        <w:numPr>
          <w:ilvl w:val="1"/>
          <w:numId w:val="2"/>
        </w:numPr>
      </w:pPr>
      <w:r w:rsidRPr="00EC79CF">
        <w:t>In making and explaining decisions on the development of methodology to achieve HFE, the Commission has adopted certain supporting principles. They capture the main influences which experience suggests the Commission has to consider through the course of a review in evaluating alternative assessment methods. These principles also provide guidance to the States in preparing their submissions through the consultation process.</w:t>
      </w:r>
    </w:p>
    <w:p w:rsidR="00BB6BAE" w:rsidRDefault="00A665A9" w:rsidP="00C20E52">
      <w:pPr>
        <w:pStyle w:val="CGCNumberedPara"/>
        <w:numPr>
          <w:ilvl w:val="1"/>
          <w:numId w:val="2"/>
        </w:numPr>
      </w:pPr>
      <w:r w:rsidRPr="00EC79CF">
        <w:t>However, the principles remain subsidiary to the Commission’s primary objective of achieving HFE</w:t>
      </w:r>
      <w:r w:rsidR="007C19B8">
        <w:t xml:space="preserve"> and t</w:t>
      </w:r>
      <w:r w:rsidRPr="00EC79CF">
        <w:t>hey should not override that objective. We do not agree with the view of some States that these principles should take precedence over HFE. We use them as guidance in how HFE should best be achieved in practice.</w:t>
      </w:r>
    </w:p>
    <w:p w:rsidR="00BB6BAE" w:rsidRDefault="00BB6BAE">
      <w:pPr>
        <w:tabs>
          <w:tab w:val="clear" w:pos="567"/>
        </w:tabs>
        <w:rPr>
          <w:szCs w:val="24"/>
        </w:rPr>
      </w:pPr>
      <w:r>
        <w:br w:type="page"/>
      </w:r>
    </w:p>
    <w:p w:rsidR="00A665A9" w:rsidRPr="00EC79CF" w:rsidRDefault="00A665A9" w:rsidP="00C20E52">
      <w:pPr>
        <w:pStyle w:val="CGCNumberedPara"/>
        <w:numPr>
          <w:ilvl w:val="1"/>
          <w:numId w:val="2"/>
        </w:numPr>
      </w:pPr>
      <w:r w:rsidRPr="00EC79CF">
        <w:lastRenderedPageBreak/>
        <w:t xml:space="preserve">Based on our experience and the views expressed to us in consultations, we </w:t>
      </w:r>
      <w:r w:rsidR="00B54009">
        <w:t>have maintained</w:t>
      </w:r>
      <w:r w:rsidRPr="00EC79CF">
        <w:t xml:space="preserve"> the supporting principles from the 2010 Review, </w:t>
      </w:r>
      <w:r w:rsidR="007C19B8">
        <w:t xml:space="preserve">and used them </w:t>
      </w:r>
      <w:r w:rsidRPr="00EC79CF">
        <w:t xml:space="preserve">to guide us in the development of </w:t>
      </w:r>
      <w:r w:rsidR="007070D5">
        <w:t xml:space="preserve">the </w:t>
      </w:r>
      <w:r w:rsidRPr="00EC79CF">
        <w:t>2015 methodology. As such, equalisation will be implemented by methods that:</w:t>
      </w:r>
    </w:p>
    <w:p w:rsidR="00A665A9" w:rsidRPr="00EC79CF" w:rsidRDefault="00A665A9" w:rsidP="00C20E52">
      <w:pPr>
        <w:pStyle w:val="CGCBulletlist"/>
        <w:numPr>
          <w:ilvl w:val="0"/>
          <w:numId w:val="1"/>
        </w:numPr>
        <w:tabs>
          <w:tab w:val="clear" w:pos="927"/>
          <w:tab w:val="left" w:pos="1134"/>
        </w:tabs>
        <w:ind w:left="1134" w:hanging="567"/>
      </w:pPr>
      <w:proofErr w:type="gramStart"/>
      <w:r w:rsidRPr="00FF62CB">
        <w:rPr>
          <w:rStyle w:val="Heading6Char"/>
        </w:rPr>
        <w:t>reflect</w:t>
      </w:r>
      <w:proofErr w:type="gramEnd"/>
      <w:r w:rsidRPr="00FF62CB">
        <w:rPr>
          <w:rStyle w:val="Heading6Char"/>
        </w:rPr>
        <w:t xml:space="preserve"> what States collectively do.</w:t>
      </w:r>
      <w:r w:rsidRPr="00EC79CF">
        <w:rPr>
          <w:b/>
        </w:rPr>
        <w:t xml:space="preserve"> </w:t>
      </w:r>
      <w:r w:rsidRPr="00EC79CF">
        <w:t>This principle aims to</w:t>
      </w:r>
      <w:r w:rsidRPr="00EC79CF">
        <w:rPr>
          <w:b/>
        </w:rPr>
        <w:t xml:space="preserve"> </w:t>
      </w:r>
      <w:r w:rsidRPr="00EC79CF">
        <w:t xml:space="preserve">ensure the GST distribution provides financial support for the activities of State governments – the services and infrastructure they are providing, given the revenues they are able to raise. It means </w:t>
      </w:r>
      <w:proofErr w:type="gramStart"/>
      <w:r w:rsidR="00E7423D">
        <w:t xml:space="preserve">neither </w:t>
      </w:r>
      <w:r w:rsidRPr="00EC79CF">
        <w:t>the Commission, nor any other body, dictates what States should do and</w:t>
      </w:r>
      <w:proofErr w:type="gramEnd"/>
      <w:r w:rsidRPr="00EC79CF">
        <w:t xml:space="preserve"> State sovereignty is preserved.</w:t>
      </w:r>
    </w:p>
    <w:p w:rsidR="00A665A9" w:rsidRPr="00EC79CF" w:rsidRDefault="00A665A9" w:rsidP="00C20E52">
      <w:pPr>
        <w:pStyle w:val="CGCBulletlist"/>
        <w:numPr>
          <w:ilvl w:val="0"/>
          <w:numId w:val="1"/>
        </w:numPr>
        <w:tabs>
          <w:tab w:val="clear" w:pos="927"/>
          <w:tab w:val="left" w:pos="1134"/>
        </w:tabs>
        <w:ind w:left="1134" w:hanging="567"/>
        <w:rPr>
          <w:b/>
        </w:rPr>
      </w:pPr>
      <w:proofErr w:type="gramStart"/>
      <w:r w:rsidRPr="00FF62CB">
        <w:rPr>
          <w:rStyle w:val="Heading6Char"/>
        </w:rPr>
        <w:t>are</w:t>
      </w:r>
      <w:proofErr w:type="gramEnd"/>
      <w:r w:rsidRPr="00FF62CB">
        <w:rPr>
          <w:rStyle w:val="Heading6Char"/>
        </w:rPr>
        <w:t xml:space="preserve"> policy neutral.</w:t>
      </w:r>
      <w:r w:rsidRPr="00EC79CF">
        <w:rPr>
          <w:b/>
        </w:rPr>
        <w:t xml:space="preserve"> </w:t>
      </w:r>
      <w:r w:rsidRPr="00EC79CF">
        <w:t>This principle aims to ensure a State’s own policies or choices, in relation to the services it provides, or the revenues it raises, do not directly influence the level of grants it receives. It also aims to ensure the GST distribution methodology creates no incentives or disincentives for States to choose one policy over another.</w:t>
      </w:r>
    </w:p>
    <w:p w:rsidR="00A665A9" w:rsidRPr="00EC79CF" w:rsidRDefault="00A665A9" w:rsidP="00C20E52">
      <w:pPr>
        <w:pStyle w:val="CGCBulletlist"/>
        <w:numPr>
          <w:ilvl w:val="0"/>
          <w:numId w:val="1"/>
        </w:numPr>
        <w:tabs>
          <w:tab w:val="clear" w:pos="927"/>
          <w:tab w:val="left" w:pos="1134"/>
        </w:tabs>
        <w:ind w:left="1134" w:hanging="567"/>
      </w:pPr>
      <w:proofErr w:type="gramStart"/>
      <w:r w:rsidRPr="00FF62CB">
        <w:rPr>
          <w:rStyle w:val="Heading6Char"/>
        </w:rPr>
        <w:t>are</w:t>
      </w:r>
      <w:proofErr w:type="gramEnd"/>
      <w:r w:rsidRPr="00FF62CB">
        <w:rPr>
          <w:rStyle w:val="Heading6Char"/>
        </w:rPr>
        <w:t xml:space="preserve"> practical.</w:t>
      </w:r>
      <w:r w:rsidRPr="00EC79CF">
        <w:t xml:space="preserve"> This principle means that assessments should be based on sound and reliable data and methods, be as simple as possible while also reflecting the major influences on State expenses and revenues. It is consistent with the terms of reference which say the Commission should prepare its assessments to distribute GST revenue in accordance with the principle of HFE (Clause 1(a)) and ‘aim to have assessments that are simple and consistent with the quality and fitness for purpose of the available data’ (Clause 1(b)).</w:t>
      </w:r>
    </w:p>
    <w:p w:rsidR="00A665A9" w:rsidRPr="00EC79CF" w:rsidRDefault="00A665A9" w:rsidP="00C20E52">
      <w:pPr>
        <w:pStyle w:val="CGCBulletlist"/>
        <w:numPr>
          <w:ilvl w:val="0"/>
          <w:numId w:val="1"/>
        </w:numPr>
        <w:tabs>
          <w:tab w:val="clear" w:pos="927"/>
          <w:tab w:val="left" w:pos="1134"/>
        </w:tabs>
        <w:ind w:left="1134" w:hanging="567"/>
      </w:pPr>
      <w:proofErr w:type="gramStart"/>
      <w:r w:rsidRPr="00FF62CB">
        <w:rPr>
          <w:rStyle w:val="Heading6Char"/>
        </w:rPr>
        <w:t>deliver</w:t>
      </w:r>
      <w:proofErr w:type="gramEnd"/>
      <w:r w:rsidRPr="00FF62CB">
        <w:rPr>
          <w:rStyle w:val="Heading6Char"/>
        </w:rPr>
        <w:t xml:space="preserve"> relativities that</w:t>
      </w:r>
      <w:r w:rsidR="00870C0E" w:rsidRPr="00FF62CB">
        <w:rPr>
          <w:rStyle w:val="Heading6Char"/>
        </w:rPr>
        <w:t>, as far as possible,</w:t>
      </w:r>
      <w:r w:rsidRPr="00FF62CB">
        <w:rPr>
          <w:rStyle w:val="Heading6Char"/>
        </w:rPr>
        <w:t xml:space="preserve"> are appropriate to the application year (contemporaneous relativities).</w:t>
      </w:r>
      <w:r w:rsidRPr="00EC79CF">
        <w:t xml:space="preserve"> This principle means that, as far as </w:t>
      </w:r>
      <w:r w:rsidR="008338F0">
        <w:t>reliable data will allow</w:t>
      </w:r>
      <w:r w:rsidRPr="00EC79CF">
        <w:t>, the distribution of GST provided to States in a year should reflect State circumstances in that year. Without that, the capacity to provide services and the associated infrastructure at the same standard, if each State made the same effort to raise revenue from its own sources and operated at the same level of efficiency, would be compromised.</w:t>
      </w:r>
    </w:p>
    <w:p w:rsidR="00A665A9" w:rsidRPr="00EC79CF" w:rsidRDefault="00A665A9" w:rsidP="00C20E52">
      <w:pPr>
        <w:pStyle w:val="CGCNumberedPara"/>
        <w:numPr>
          <w:ilvl w:val="1"/>
          <w:numId w:val="2"/>
        </w:numPr>
      </w:pPr>
      <w:r w:rsidRPr="00EC79CF">
        <w:t xml:space="preserve">These principles are deliberately expressed in aspirational terms and ideally all methods would embody these attributes. In practice, the Commission often has to evaluate alternative methods which embody mixtures of these principles and has to decide trade-offs among them — for example, between methods that capture what States do in detail and methods that are policy neutral. The Commission has not set rules for how it would decide the appropriate approach in any such cases, nor has it established a hierarchy among the principles. As required, judgment </w:t>
      </w:r>
      <w:r w:rsidR="007C19B8">
        <w:t>is</w:t>
      </w:r>
      <w:r w:rsidRPr="00EC79CF">
        <w:t xml:space="preserve"> used to devise the best overall equalisation result. </w:t>
      </w:r>
    </w:p>
    <w:p w:rsidR="00A665A9" w:rsidRPr="00EC79CF" w:rsidRDefault="00A665A9" w:rsidP="00C20E52">
      <w:pPr>
        <w:pStyle w:val="CGCNumberedPara"/>
        <w:numPr>
          <w:ilvl w:val="1"/>
          <w:numId w:val="2"/>
        </w:numPr>
      </w:pPr>
      <w:r w:rsidRPr="00EC79CF">
        <w:t xml:space="preserve">We do not think that the need to achieve a balance between principles in some cases is an argument, as some States have suggested, for diverging from HFE. Our approach is to develop methods which achieve HFE </w:t>
      </w:r>
      <w:proofErr w:type="gramStart"/>
      <w:r w:rsidRPr="00EC79CF">
        <w:t>first,</w:t>
      </w:r>
      <w:proofErr w:type="gramEnd"/>
      <w:r w:rsidRPr="00EC79CF">
        <w:t xml:space="preserve"> balancing the principles we have established to guide us among alternative methods. </w:t>
      </w:r>
    </w:p>
    <w:p w:rsidR="00A665A9" w:rsidRPr="00EC79CF" w:rsidRDefault="00A665A9" w:rsidP="00C20E52">
      <w:pPr>
        <w:pStyle w:val="CGCNumberedPara"/>
        <w:numPr>
          <w:ilvl w:val="1"/>
          <w:numId w:val="2"/>
        </w:numPr>
      </w:pPr>
      <w:r w:rsidRPr="00EC79CF">
        <w:lastRenderedPageBreak/>
        <w:t>Like past Commissions, we are not convinced other objectives, such as predictability or stability, should be added to the list of supporting principles. Our view is the important principles are included in our approach and such other principles would move the GST distribution away from what the ‘principle of HFE’ implies. The 2010</w:t>
      </w:r>
      <w:r w:rsidR="007917EA">
        <w:t> </w:t>
      </w:r>
      <w:r w:rsidRPr="00EC79CF">
        <w:t>Review report provides a detailed explanation of our position</w:t>
      </w:r>
      <w:r w:rsidR="007C19B8">
        <w:t xml:space="preserve"> on this matter</w:t>
      </w:r>
      <w:r w:rsidRPr="00EC79CF">
        <w:t>.</w:t>
      </w:r>
    </w:p>
    <w:p w:rsidR="00A665A9" w:rsidRPr="00EC79CF" w:rsidRDefault="00A665A9" w:rsidP="00C20E52">
      <w:pPr>
        <w:pStyle w:val="CGCNumberedPara"/>
        <w:numPr>
          <w:ilvl w:val="1"/>
          <w:numId w:val="2"/>
        </w:numPr>
      </w:pPr>
      <w:r w:rsidRPr="00EC79CF">
        <w:t>While the supporting principles are helpful in guiding the development of Commission methods, it is the equalisation objective that must be achieved through the distribution of the GST. What that means in practice is set out in the rest of this report.</w:t>
      </w:r>
    </w:p>
    <w:p w:rsidR="00A665A9" w:rsidRPr="00C4696B" w:rsidRDefault="00C4696B" w:rsidP="00C4696B">
      <w:pPr>
        <w:pStyle w:val="Heading3"/>
      </w:pPr>
      <w:bookmarkStart w:id="396" w:name="_Toc410741661"/>
      <w:bookmarkStart w:id="397" w:name="_Toc410744212"/>
      <w:bookmarkStart w:id="398" w:name="_Toc411511201"/>
      <w:bookmarkStart w:id="399" w:name="_Toc411511654"/>
      <w:bookmarkStart w:id="400" w:name="_Toc411924594"/>
      <w:r w:rsidRPr="00C4696B">
        <w:t xml:space="preserve">Equalisation in </w:t>
      </w:r>
      <w:r w:rsidR="005C6E64">
        <w:t>A</w:t>
      </w:r>
      <w:r w:rsidRPr="00C4696B">
        <w:t>ustralia</w:t>
      </w:r>
      <w:bookmarkEnd w:id="396"/>
      <w:bookmarkEnd w:id="397"/>
      <w:bookmarkEnd w:id="398"/>
      <w:bookmarkEnd w:id="399"/>
      <w:bookmarkEnd w:id="400"/>
    </w:p>
    <w:p w:rsidR="00A665A9" w:rsidRPr="00EC79CF" w:rsidRDefault="00A665A9" w:rsidP="00C20E52">
      <w:pPr>
        <w:pStyle w:val="CGCNumberedPara"/>
        <w:numPr>
          <w:ilvl w:val="1"/>
          <w:numId w:val="2"/>
        </w:numPr>
      </w:pPr>
      <w:r w:rsidRPr="00EC79CF">
        <w:t>In a federation comprising a national government and a number of States, services can be delivered in two broad ways. Services can be provided by the national government on a uniform basis across the federation. For example, old age pensions are provided across Australia in the one way so that similar people receive the same benefit. States also deliver services, but because they have different fiscal capacities and make different choices, only similar residents in a State receive the same standard of services.</w:t>
      </w:r>
    </w:p>
    <w:p w:rsidR="00A665A9" w:rsidRPr="00EC79CF" w:rsidRDefault="00A665A9" w:rsidP="00C20E52">
      <w:pPr>
        <w:pStyle w:val="CGCNumberedPara"/>
        <w:numPr>
          <w:ilvl w:val="1"/>
          <w:numId w:val="2"/>
        </w:numPr>
      </w:pPr>
      <w:r w:rsidRPr="00EC79CF">
        <w:t>In the same way</w:t>
      </w:r>
      <w:r w:rsidR="003C5D2D" w:rsidRPr="00EC79CF">
        <w:t>,</w:t>
      </w:r>
      <w:r w:rsidRPr="00EC79CF">
        <w:t xml:space="preserve"> national taxes fall equally on similar residents across the federation while policy choice means even similar taxes are levied at different rates among States.</w:t>
      </w:r>
    </w:p>
    <w:p w:rsidR="00A665A9" w:rsidRPr="00EC79CF" w:rsidRDefault="00A665A9" w:rsidP="00C20E52">
      <w:pPr>
        <w:pStyle w:val="CGCNumberedPara"/>
        <w:numPr>
          <w:ilvl w:val="1"/>
          <w:numId w:val="2"/>
        </w:numPr>
      </w:pPr>
      <w:r w:rsidRPr="00EC79CF">
        <w:t>The aim of fiscal equalisation in Australia is to create the capacity/opportunity for similar residents across the federation to receive similar State services as well as face the same tax burden. However</w:t>
      </w:r>
      <w:r w:rsidR="00464E43">
        <w:t>,</w:t>
      </w:r>
      <w:r w:rsidRPr="00EC79CF">
        <w:t xml:space="preserve"> preserving State choice, which gives them control over the best mix of services and revenues for their residents, is maintained as a key part of the equalisation process. Equalisation creates the capacity/opportunity for equal outcomes, rather than necessarily creating equal outcomes.</w:t>
      </w:r>
    </w:p>
    <w:p w:rsidR="00A665A9" w:rsidRPr="00EC79CF" w:rsidRDefault="00A665A9" w:rsidP="00C20E52">
      <w:pPr>
        <w:pStyle w:val="CGCNumberedPara"/>
        <w:numPr>
          <w:ilvl w:val="1"/>
          <w:numId w:val="2"/>
        </w:numPr>
      </w:pPr>
      <w:r w:rsidRPr="00EC79CF">
        <w:t>If States adopted the same policies, with equalisation, State services could be provided as if they were national services, without a role for the national government, and without it meaning some States bear a disproportionate fiscal burden. If States applied a national approach for service delivery without equalisation, some would incur a greater fiscal burden than others. For example, for services to homeless persons, the State with the largest concentration of homeless persons in its population would bear the largest per capita cost in its budget.</w:t>
      </w:r>
    </w:p>
    <w:p w:rsidR="00A665A9" w:rsidRPr="00EC79CF" w:rsidRDefault="00A665A9" w:rsidP="00C20E52">
      <w:pPr>
        <w:pStyle w:val="CGCNumberedPara"/>
        <w:numPr>
          <w:ilvl w:val="1"/>
          <w:numId w:val="2"/>
        </w:numPr>
      </w:pPr>
      <w:r w:rsidRPr="00EC79CF">
        <w:t>What equalisation overcomes is that if States were to provide the same standard of services to similar residents and raise revenue in the same way, their budget outcomes per person would vary widely. For example</w:t>
      </w:r>
      <w:r w:rsidR="00464E43">
        <w:t>,</w:t>
      </w:r>
      <w:r w:rsidRPr="00EC79CF">
        <w:t xml:space="preserve"> those with a high concentration of high cost residents, say </w:t>
      </w:r>
      <w:r w:rsidR="00B54009">
        <w:t>older persons</w:t>
      </w:r>
      <w:r w:rsidRPr="00EC79CF">
        <w:t xml:space="preserve"> for health care, or with a small </w:t>
      </w:r>
      <w:r w:rsidRPr="00EC79CF">
        <w:lastRenderedPageBreak/>
        <w:t>revenue base, say little or no mining royalties, would have a higher than average budget deficit per person. Equalisation offsets these innate differences creating a more balanced fiscal setting across the federation in which State policy makers can set spending and revenue policy. It does this by giving equalising grants to the States (different levels of general purpose grants) depending on their varying fiscal equalisation needs.</w:t>
      </w:r>
    </w:p>
    <w:p w:rsidR="00A665A9" w:rsidRPr="00EC79CF" w:rsidRDefault="00A665A9" w:rsidP="00C20E52">
      <w:pPr>
        <w:pStyle w:val="CGCNumberedPara"/>
        <w:numPr>
          <w:ilvl w:val="1"/>
          <w:numId w:val="2"/>
        </w:numPr>
      </w:pPr>
      <w:r w:rsidRPr="00EC79CF">
        <w:t>Equalisation complements the automatic redistribution across the federation inherent in national policies, where service standards in different States are not tied to the national revenues raised in those States.</w:t>
      </w:r>
    </w:p>
    <w:p w:rsidR="00A665A9" w:rsidRPr="00EC79CF" w:rsidRDefault="00A87A12" w:rsidP="00C20E52">
      <w:pPr>
        <w:pStyle w:val="CGCNumberedPara"/>
        <w:numPr>
          <w:ilvl w:val="1"/>
          <w:numId w:val="2"/>
        </w:numPr>
      </w:pPr>
      <w:r w:rsidRPr="00EC79CF">
        <w:rPr>
          <w:noProof/>
          <w:lang w:eastAsia="en-AU"/>
        </w:rPr>
        <mc:AlternateContent>
          <mc:Choice Requires="wps">
            <w:drawing>
              <wp:anchor distT="0" distB="0" distL="114300" distR="114300" simplePos="0" relativeHeight="251659264" behindDoc="1" locked="0" layoutInCell="1" allowOverlap="1" wp14:anchorId="1D0F1BA8" wp14:editId="67A4C1CA">
                <wp:simplePos x="0" y="0"/>
                <wp:positionH relativeFrom="column">
                  <wp:posOffset>367030</wp:posOffset>
                </wp:positionH>
                <wp:positionV relativeFrom="paragraph">
                  <wp:posOffset>80010</wp:posOffset>
                </wp:positionV>
                <wp:extent cx="1362075" cy="934720"/>
                <wp:effectExtent l="0" t="0" r="28575" b="17780"/>
                <wp:wrapTight wrapText="bothSides">
                  <wp:wrapPolygon edited="0">
                    <wp:start x="0" y="0"/>
                    <wp:lineTo x="0" y="21571"/>
                    <wp:lineTo x="21751" y="21571"/>
                    <wp:lineTo x="21751"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934720"/>
                        </a:xfrm>
                        <a:prstGeom prst="rect">
                          <a:avLst/>
                        </a:prstGeom>
                        <a:solidFill>
                          <a:srgbClr val="FFFFFF"/>
                        </a:solidFill>
                        <a:ln w="9525">
                          <a:solidFill>
                            <a:srgbClr val="000000"/>
                          </a:solidFill>
                          <a:miter lim="800000"/>
                          <a:headEnd/>
                          <a:tailEnd/>
                        </a:ln>
                      </wps:spPr>
                      <wps:txbx>
                        <w:txbxContent>
                          <w:p w:rsidR="00532CB2" w:rsidRDefault="00532CB2" w:rsidP="00A665A9">
                            <w:r>
                              <w:t>The Equalisation system reflects the average policy of States.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9pt;margin-top:6.3pt;width:107.25pt;height:7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">
                <v:textbox>
                  <w:txbxContent>
                    <w:p w:rsidR="00532CB2" w:rsidRDefault="00532CB2" w:rsidP="00A665A9">
                      <w:r>
                        <w:t>The Equalisation system reflects the average policy of States.</w:t>
                      </w:r>
                    </w:p>
                  </w:txbxContent>
                </v:textbox>
                <w10:wrap type="tight"/>
              </v:shape>
            </w:pict>
          </mc:Fallback>
        </mc:AlternateContent>
      </w:r>
      <w:r w:rsidR="00A665A9" w:rsidRPr="00EC79CF">
        <w:t>The equalisation process could be implemented in several ways. For example, it could be based on a package of notional or hypothetical State service standards and some idealised State revenue system. While this might, because of its stylised nature, be easier to implement, it would differ from what the experience of States reveals about the relative importance of different services to residents, the desired standard of those services and the appropriate mix of revenues to fund them. Rather than base equalisation on an idealised or hypothetical standard, the Australian system is built on the foundation of the actual average service delivery and revenue policy of the States. It distributes revenue so that each has the capacity to deliver the observed average service delivery standard, if each applied the observed average tax rates.</w:t>
      </w:r>
    </w:p>
    <w:p w:rsidR="00A665A9" w:rsidRPr="00EC79CF" w:rsidRDefault="00A665A9" w:rsidP="00C20E52">
      <w:pPr>
        <w:pStyle w:val="CGCNumberedPara"/>
        <w:numPr>
          <w:ilvl w:val="1"/>
          <w:numId w:val="2"/>
        </w:numPr>
      </w:pPr>
      <w:r w:rsidRPr="00EC79CF">
        <w:t>The Australian equalisation system also recognises that grants paid by the Commonwealth to States for specific purposes such as schools or hospitals provide States with financial capacity to deliver services. This revenue is taken into account when determining the size of the equalising grant each State should receive to give it the capacity to provide the average level of services.</w:t>
      </w:r>
    </w:p>
    <w:p w:rsidR="00A665A9" w:rsidRDefault="00A665A9" w:rsidP="00C20E52">
      <w:pPr>
        <w:pStyle w:val="CGCNumberedPara"/>
        <w:numPr>
          <w:ilvl w:val="1"/>
          <w:numId w:val="2"/>
        </w:numPr>
      </w:pPr>
      <w:r w:rsidRPr="00EC79CF">
        <w:rPr>
          <w:noProof/>
          <w:lang w:eastAsia="en-AU"/>
        </w:rPr>
        <mc:AlternateContent>
          <mc:Choice Requires="wps">
            <w:drawing>
              <wp:anchor distT="0" distB="0" distL="114300" distR="114300" simplePos="0" relativeHeight="251660288" behindDoc="0" locked="0" layoutInCell="1" allowOverlap="1" wp14:anchorId="36AB4058" wp14:editId="62D04144">
                <wp:simplePos x="0" y="0"/>
                <wp:positionH relativeFrom="column">
                  <wp:posOffset>360045</wp:posOffset>
                </wp:positionH>
                <wp:positionV relativeFrom="paragraph">
                  <wp:posOffset>78740</wp:posOffset>
                </wp:positionV>
                <wp:extent cx="1273175" cy="914400"/>
                <wp:effectExtent l="0" t="0" r="2222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914400"/>
                        </a:xfrm>
                        <a:prstGeom prst="rect">
                          <a:avLst/>
                        </a:prstGeom>
                        <a:solidFill>
                          <a:srgbClr val="FFFFFF"/>
                        </a:solidFill>
                        <a:ln w="9525">
                          <a:solidFill>
                            <a:srgbClr val="000000"/>
                          </a:solidFill>
                          <a:miter lim="800000"/>
                          <a:headEnd/>
                          <a:tailEnd/>
                        </a:ln>
                      </wps:spPr>
                      <wps:txbx>
                        <w:txbxContent>
                          <w:p w:rsidR="00532CB2" w:rsidRDefault="00532CB2" w:rsidP="00A665A9">
                            <w:r>
                              <w:t>The Equalisation system adapts to reflect State experience.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8.35pt;margin-top:6.2pt;width:100.2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">
                <v:textbox>
                  <w:txbxContent>
                    <w:p w:rsidR="00532CB2" w:rsidRDefault="00532CB2" w:rsidP="00A665A9">
                      <w:r>
                        <w:t>The Equalisation system adapts to reflect State experience.</w:t>
                      </w:r>
                    </w:p>
                  </w:txbxContent>
                </v:textbox>
                <w10:wrap type="square"/>
              </v:shape>
            </w:pict>
          </mc:Fallback>
        </mc:AlternateContent>
      </w:r>
      <w:r w:rsidRPr="00EC79CF">
        <w:t>Because the equalisation system is founded on the observed experience of the States, and that experience is updated on an annual basis as new statistics are released, the pattern of equalising grants changes over time to reflect the evolution of individual State fiscal circumstances. For example, the buoyancy of State real estate markets changes over time, as does the capacity of States to raise revenue from the stamp duty on real estate transactions. As a State's capacity rises, relative to other States, its equalising grant falls. If States on average choose to spend more on providing services to a particular group of their residents, for example</w:t>
      </w:r>
      <w:r w:rsidR="00464E43">
        <w:t>,</w:t>
      </w:r>
      <w:r w:rsidRPr="00EC79CF">
        <w:t xml:space="preserve"> those living in remote communities, then those States with a high proportion of residents in remote communities would have to spend disproportionately more on providing the higher average service level, increasing their equalising payment. If a State were to receive an increase in their share of </w:t>
      </w:r>
      <w:r w:rsidRPr="00EC79CF">
        <w:lastRenderedPageBreak/>
        <w:t>payments from the Commonwealth then, with no other changes, its equalising grant would decline.</w:t>
      </w:r>
    </w:p>
    <w:p w:rsidR="00A665A9" w:rsidRPr="00EC79CF" w:rsidRDefault="00A665A9" w:rsidP="00C20E52">
      <w:pPr>
        <w:pStyle w:val="CGCNumberedPara"/>
        <w:numPr>
          <w:ilvl w:val="1"/>
          <w:numId w:val="2"/>
        </w:numPr>
      </w:pPr>
      <w:r w:rsidRPr="00EC79CF">
        <w:rPr>
          <w:noProof/>
          <w:lang w:eastAsia="en-AU"/>
        </w:rPr>
        <mc:AlternateContent>
          <mc:Choice Requires="wps">
            <w:drawing>
              <wp:anchor distT="0" distB="0" distL="114300" distR="114300" simplePos="0" relativeHeight="251661312" behindDoc="0" locked="0" layoutInCell="1" allowOverlap="1" wp14:anchorId="6A64AA9D" wp14:editId="32F22BDE">
                <wp:simplePos x="0" y="0"/>
                <wp:positionH relativeFrom="column">
                  <wp:posOffset>366395</wp:posOffset>
                </wp:positionH>
                <wp:positionV relativeFrom="paragraph">
                  <wp:posOffset>81280</wp:posOffset>
                </wp:positionV>
                <wp:extent cx="1263650" cy="1129030"/>
                <wp:effectExtent l="0" t="0" r="12700" b="13970"/>
                <wp:wrapSquare wrapText="bothSides"/>
                <wp:docPr id="7" name="Text Box 7"/>
                <wp:cNvGraphicFramePr/>
                <a:graphic xmlns:a="http://schemas.openxmlformats.org/drawingml/2006/main">
                  <a:graphicData uri="http://schemas.microsoft.com/office/word/2010/wordprocessingShape">
                    <wps:wsp>
                      <wps:cNvSpPr txBox="1"/>
                      <wps:spPr>
                        <a:xfrm>
                          <a:off x="0" y="0"/>
                          <a:ext cx="1263650" cy="1129030"/>
                        </a:xfrm>
                        <a:prstGeom prst="rect">
                          <a:avLst/>
                        </a:prstGeom>
                        <a:solidFill>
                          <a:srgbClr val="FFFFFF"/>
                        </a:solidFill>
                        <a:ln w="9525">
                          <a:solidFill>
                            <a:srgbClr val="000000"/>
                          </a:solidFill>
                          <a:miter lim="800000"/>
                          <a:headEnd/>
                          <a:tailEnd/>
                        </a:ln>
                      </wps:spPr>
                      <wps:txbx>
                        <w:txbxContent>
                          <w:p w:rsidR="00532CB2" w:rsidRDefault="00532CB2" w:rsidP="00A665A9">
                            <w:r>
                              <w:t xml:space="preserve">The </w:t>
                            </w:r>
                            <w:r w:rsidRPr="009F77C9">
                              <w:t>Equ</w:t>
                            </w:r>
                            <w:r w:rsidRPr="009F77C9">
                              <w:rPr>
                                <w:szCs w:val="24"/>
                              </w:rPr>
                              <w:t>alisation</w:t>
                            </w:r>
                            <w:r w:rsidRPr="009F77C9">
                              <w:rPr>
                                <w:szCs w:val="24"/>
                                <w:highlight w:val="yellow"/>
                              </w:rPr>
                              <w:t xml:space="preserve"> </w:t>
                            </w:r>
                            <w:r>
                              <w:t>system is com</w:t>
                            </w:r>
                            <w:r w:rsidRPr="00145106">
                              <w:t>prehensive and</w:t>
                            </w:r>
                            <w:r>
                              <w:t xml:space="preserve"> transparent, </w:t>
                            </w:r>
                            <w:r w:rsidRPr="00DB0C03">
                              <w:t xml:space="preserve">not a </w:t>
                            </w:r>
                            <w:r>
                              <w:t>‘</w:t>
                            </w:r>
                            <w:r w:rsidRPr="00DB0C03">
                              <w:t>black box</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8" type="#_x0000_t202" style="position:absolute;left:0;text-align:left;margin-left:28.85pt;margin-top:6.4pt;width:99.5pt;height:88.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">
                <v:textbox>
                  <w:txbxContent>
                    <w:p w:rsidR="00532CB2" w:rsidRDefault="00532CB2" w:rsidP="00A665A9">
                      <w:r>
                        <w:t xml:space="preserve">The </w:t>
                      </w:r>
                      <w:r w:rsidRPr="009F77C9">
                        <w:t>Equ</w:t>
                      </w:r>
                      <w:r w:rsidRPr="009F77C9">
                        <w:rPr>
                          <w:szCs w:val="24"/>
                        </w:rPr>
                        <w:t>alisation</w:t>
                      </w:r>
                      <w:r w:rsidRPr="009F77C9">
                        <w:rPr>
                          <w:szCs w:val="24"/>
                          <w:highlight w:val="yellow"/>
                        </w:rPr>
                        <w:t xml:space="preserve"> </w:t>
                      </w:r>
                      <w:r>
                        <w:t>system is com</w:t>
                      </w:r>
                      <w:r w:rsidRPr="00145106">
                        <w:t>prehensive and</w:t>
                      </w:r>
                      <w:r>
                        <w:t xml:space="preserve"> transparent, </w:t>
                      </w:r>
                      <w:r w:rsidRPr="00DB0C03">
                        <w:t xml:space="preserve">not a </w:t>
                      </w:r>
                      <w:r>
                        <w:t>‘</w:t>
                      </w:r>
                      <w:r w:rsidRPr="00DB0C03">
                        <w:t>black box</w:t>
                      </w:r>
                      <w:r>
                        <w:t>’.</w:t>
                      </w:r>
                    </w:p>
                  </w:txbxContent>
                </v:textbox>
                <w10:wrap type="square"/>
              </v:shape>
            </w:pict>
          </mc:Fallback>
        </mc:AlternateContent>
      </w:r>
      <w:r w:rsidRPr="00EC79CF">
        <w:t>To capture the material differences in State fiscal capacities the equalisation system comprehensively covers the service delivery, investment and revenue activities of States. While each part of the assessment of fiscal capacities is of itself relatively simple, when considered as a system</w:t>
      </w:r>
      <w:r w:rsidR="00464E43">
        <w:t>,</w:t>
      </w:r>
      <w:r w:rsidRPr="00EC79CF">
        <w:t xml:space="preserve"> it is as complex as the State Governments </w:t>
      </w:r>
      <w:r w:rsidR="00464E43">
        <w:t xml:space="preserve">which are its subject matter. </w:t>
      </w:r>
      <w:r w:rsidRPr="00EC79CF">
        <w:t xml:space="preserve">To provide the greatest transparency, </w:t>
      </w:r>
      <w:r w:rsidR="005E1335">
        <w:t xml:space="preserve">our </w:t>
      </w:r>
      <w:r w:rsidRPr="00EC79CF">
        <w:t>methodology is develo</w:t>
      </w:r>
      <w:r w:rsidR="00464E43">
        <w:t>ped in consultation with States</w:t>
      </w:r>
      <w:r w:rsidRPr="00EC79CF">
        <w:t xml:space="preserve">. Most of this material, apart from confidential information provided by States, is also on </w:t>
      </w:r>
      <w:r w:rsidR="00D05F5E">
        <w:t xml:space="preserve">the </w:t>
      </w:r>
      <w:hyperlink r:id="rId60" w:history="1">
        <w:r w:rsidR="00D05F5E" w:rsidRPr="00D05F5E">
          <w:rPr>
            <w:rStyle w:val="Hyperlink"/>
          </w:rPr>
          <w:t>Commission’s website</w:t>
        </w:r>
      </w:hyperlink>
      <w:r w:rsidR="00D05F5E">
        <w:t xml:space="preserve"> (</w:t>
      </w:r>
      <w:r w:rsidR="00D05F5E" w:rsidRPr="00D05F5E">
        <w:t>https://www.cgc.gov.au/</w:t>
      </w:r>
      <w:r w:rsidR="00D05F5E">
        <w:t>)</w:t>
      </w:r>
      <w:r w:rsidRPr="00EC79CF">
        <w:t xml:space="preserve"> </w:t>
      </w:r>
      <w:r w:rsidR="005E1335">
        <w:t xml:space="preserve">to enable replication of results </w:t>
      </w:r>
      <w:r w:rsidRPr="00EC79CF">
        <w:t xml:space="preserve">and </w:t>
      </w:r>
      <w:r w:rsidR="005E1335">
        <w:t xml:space="preserve">is </w:t>
      </w:r>
      <w:r w:rsidRPr="00EC79CF">
        <w:t>open to public scrutiny.</w:t>
      </w:r>
    </w:p>
    <w:p w:rsidR="00A665A9" w:rsidRPr="00EC79CF" w:rsidRDefault="00A665A9" w:rsidP="00C20E52">
      <w:pPr>
        <w:pStyle w:val="CGCNumberedPara"/>
        <w:numPr>
          <w:ilvl w:val="1"/>
          <w:numId w:val="2"/>
        </w:numPr>
      </w:pPr>
      <w:r w:rsidRPr="00EC79CF">
        <w:t>The methodology is also based on the best available data capturing the average service delivery and revenue policies of the States. Most often</w:t>
      </w:r>
      <w:r w:rsidR="00464E43">
        <w:t>,</w:t>
      </w:r>
      <w:r w:rsidRPr="00EC79CF">
        <w:t xml:space="preserve"> this comes from national data collections which detail, for example, the average State spending on persons with different socio-demographic characteristics, supplemented by specific purpose data collected from the States and then averaged. The available data are often incomplete and so from time to time the Commission has to use informed judgment where we consider, based on the evidence before us, that a better equalisation outcome is achieved by adjusting the way that available data are used in our calculations. Those decisions are documented in our reports.</w:t>
      </w:r>
    </w:p>
    <w:p w:rsidR="00A665A9" w:rsidRPr="00EC79CF" w:rsidRDefault="007C19B8" w:rsidP="00C20E52">
      <w:pPr>
        <w:pStyle w:val="CGCNumberedPara"/>
        <w:numPr>
          <w:ilvl w:val="1"/>
          <w:numId w:val="2"/>
        </w:numPr>
      </w:pPr>
      <w:r>
        <w:t>E</w:t>
      </w:r>
      <w:r w:rsidR="00A665A9" w:rsidRPr="00EC79CF">
        <w:t>qualisation in Australia has a single objective, to give all States the same fiscal capacity to deliver services to individuals as in other States, as evidenced by the average service States provide to those individuals. This is not the same as giving all individuals within States the same services because that is not what States do. Typically</w:t>
      </w:r>
      <w:r w:rsidR="00464E43">
        <w:t>,</w:t>
      </w:r>
      <w:r w:rsidR="00A665A9" w:rsidRPr="00EC79CF">
        <w:t xml:space="preserve"> States choose to spend different amounts on providing services to residents across their States (for example, service levels tend</w:t>
      </w:r>
      <w:r w:rsidR="00464E43">
        <w:t xml:space="preserve"> to vary between remote and non</w:t>
      </w:r>
      <w:r w:rsidR="00464E43">
        <w:noBreakHyphen/>
      </w:r>
      <w:r w:rsidR="00A665A9" w:rsidRPr="00EC79CF">
        <w:t xml:space="preserve">remote regions) and the fiscal implications of this are captured in the equalisation process. </w:t>
      </w:r>
    </w:p>
    <w:p w:rsidR="00A665A9" w:rsidRPr="00EC79CF" w:rsidRDefault="00A665A9" w:rsidP="00C20E52">
      <w:pPr>
        <w:pStyle w:val="CGCNumberedPara"/>
        <w:numPr>
          <w:ilvl w:val="1"/>
          <w:numId w:val="2"/>
        </w:numPr>
      </w:pPr>
      <w:r w:rsidRPr="00EC79CF">
        <w:t xml:space="preserve">The equalisation system operates together with other Commonwealth programs and related funding to shape the environment in which States operate. The Commission is asked to recommend an equalising distribution, including by taking other Commonwealth support into account. While this can cut across the distribution of that funding and so might appear to undermine other policies, nothing equalisation does affects those other policies in other than their bottom line financial impact on States. For example, agreements to fund programs and matching arrangements are not affected. In making our recommendations, the Commission is not required by our terms of reference to adjudicate between equalisation and other policy objectives. In some particular cases, where the financial effects on States of other policies are </w:t>
      </w:r>
      <w:r w:rsidRPr="00EC79CF">
        <w:lastRenderedPageBreak/>
        <w:t>required to be preserved, the Commission is asked in terms of reference to ensure that outcome is achieved.</w:t>
      </w:r>
    </w:p>
    <w:p w:rsidR="00A665A9" w:rsidRPr="00EC79CF" w:rsidRDefault="007C19B8" w:rsidP="00C20E52">
      <w:pPr>
        <w:pStyle w:val="CGCNumberedPara"/>
        <w:numPr>
          <w:ilvl w:val="1"/>
          <w:numId w:val="2"/>
        </w:numPr>
      </w:pPr>
      <w:r>
        <w:t>I</w:t>
      </w:r>
      <w:r w:rsidR="00A665A9" w:rsidRPr="00EC79CF">
        <w:t>t has been suggested the Commission should adjust the equalisation system to create incentives t</w:t>
      </w:r>
      <w:r w:rsidR="00464E43">
        <w:t>o support other policy outcomes,</w:t>
      </w:r>
      <w:r w:rsidR="00A665A9" w:rsidRPr="00EC79CF">
        <w:t xml:space="preserve"> for example, State tax reform. However, the Commission restricts its activities to the directions in our terms of reference which instruct us to </w:t>
      </w:r>
      <w:r w:rsidR="00E7423D">
        <w:t xml:space="preserve">take account of </w:t>
      </w:r>
      <w:r w:rsidR="00A665A9" w:rsidRPr="00EC79CF">
        <w:t xml:space="preserve">only one policy </w:t>
      </w:r>
      <w:r w:rsidR="00A665A9" w:rsidRPr="00EC79CF">
        <w:noBreakHyphen/>
        <w:t xml:space="preserve"> that is</w:t>
      </w:r>
      <w:r w:rsidR="00464E43">
        <w:t>,</w:t>
      </w:r>
      <w:r w:rsidR="00A665A9" w:rsidRPr="00EC79CF">
        <w:t xml:space="preserve"> equalisation. We do not consider we have the role of weighing competing policy outcomes when that choice could compromise the achievement of equalisation. We do</w:t>
      </w:r>
      <w:r w:rsidR="00464E43">
        <w:t>,</w:t>
      </w:r>
      <w:r w:rsidR="00A665A9" w:rsidRPr="00EC79CF">
        <w:t xml:space="preserve"> however</w:t>
      </w:r>
      <w:r w:rsidR="00464E43">
        <w:t>,</w:t>
      </w:r>
      <w:r w:rsidR="00A665A9" w:rsidRPr="00EC79CF">
        <w:t xml:space="preserve"> consider that within equalisation the methods we adopt should create the minimum incentive for States to distort policy choice. </w:t>
      </w:r>
    </w:p>
    <w:p w:rsidR="00186756" w:rsidRPr="00EC79CF" w:rsidRDefault="00A665A9" w:rsidP="00490ECA">
      <w:pPr>
        <w:pStyle w:val="CGCNumberedPara"/>
      </w:pPr>
      <w:r w:rsidRPr="00EC79CF">
        <w:t xml:space="preserve">The equalisation </w:t>
      </w:r>
      <w:r w:rsidRPr="00490ECA">
        <w:t>process</w:t>
      </w:r>
      <w:r w:rsidRPr="00EC79CF">
        <w:t xml:space="preserve"> does not create incentives to adopt a particular form of Commonwealth-State interaction. For example, it operates equally well with competitive as well as co-operative federalism. </w:t>
      </w:r>
      <w:r w:rsidR="00E7423D">
        <w:t>B</w:t>
      </w:r>
      <w:r w:rsidRPr="00EC79CF">
        <w:t>ecause it endows States with the same fiscal capacity</w:t>
      </w:r>
      <w:r w:rsidR="00464E43">
        <w:t>,</w:t>
      </w:r>
      <w:r w:rsidRPr="00EC79CF">
        <w:t xml:space="preserve"> it </w:t>
      </w:r>
      <w:r w:rsidR="008338F0">
        <w:t>facilitates a</w:t>
      </w:r>
      <w:r w:rsidRPr="00EC79CF">
        <w:t xml:space="preserve"> greater range of choice </w:t>
      </w:r>
      <w:r w:rsidR="008338F0">
        <w:t>f</w:t>
      </w:r>
      <w:r w:rsidR="00066C61">
        <w:t>or</w:t>
      </w:r>
      <w:r w:rsidR="008338F0" w:rsidRPr="00EC79CF">
        <w:t xml:space="preserve"> </w:t>
      </w:r>
      <w:r w:rsidRPr="00EC79CF">
        <w:t xml:space="preserve">States </w:t>
      </w:r>
      <w:r w:rsidR="00066C61">
        <w:t>in</w:t>
      </w:r>
      <w:r w:rsidRPr="00EC79CF">
        <w:t xml:space="preserve"> their service delivery and revenue policies. Because it preserves State policy flexibility, while giving them equal capacity, it lets them choose service delivery levels and mechanisms as well as revenue policies which best suit their State. </w:t>
      </w:r>
    </w:p>
    <w:p w:rsidR="00A665A9" w:rsidRPr="00EC79CF" w:rsidRDefault="00A665A9" w:rsidP="00C20E52">
      <w:pPr>
        <w:pStyle w:val="CGCNumberedPara"/>
        <w:numPr>
          <w:ilvl w:val="1"/>
          <w:numId w:val="2"/>
        </w:numPr>
      </w:pPr>
      <w:r w:rsidRPr="00EC79CF">
        <w:rPr>
          <w:noProof/>
          <w:lang w:eastAsia="en-AU"/>
        </w:rPr>
        <mc:AlternateContent>
          <mc:Choice Requires="wps">
            <w:drawing>
              <wp:anchor distT="0" distB="0" distL="114300" distR="114300" simplePos="0" relativeHeight="251662336" behindDoc="0" locked="0" layoutInCell="1" allowOverlap="1" wp14:anchorId="0F89AD88" wp14:editId="2FD2F1A1">
                <wp:simplePos x="0" y="0"/>
                <wp:positionH relativeFrom="column">
                  <wp:posOffset>381000</wp:posOffset>
                </wp:positionH>
                <wp:positionV relativeFrom="paragraph">
                  <wp:posOffset>100330</wp:posOffset>
                </wp:positionV>
                <wp:extent cx="1282700" cy="518160"/>
                <wp:effectExtent l="0" t="0" r="12700" b="15240"/>
                <wp:wrapSquare wrapText="bothSides"/>
                <wp:docPr id="8" name="Text Box 8"/>
                <wp:cNvGraphicFramePr/>
                <a:graphic xmlns:a="http://schemas.openxmlformats.org/drawingml/2006/main">
                  <a:graphicData uri="http://schemas.microsoft.com/office/word/2010/wordprocessingShape">
                    <wps:wsp>
                      <wps:cNvSpPr txBox="1"/>
                      <wps:spPr>
                        <a:xfrm>
                          <a:off x="0" y="0"/>
                          <a:ext cx="1282700" cy="518160"/>
                        </a:xfrm>
                        <a:prstGeom prst="rect">
                          <a:avLst/>
                        </a:prstGeom>
                        <a:solidFill>
                          <a:srgbClr val="FFFFFF"/>
                        </a:solidFill>
                        <a:ln w="9525">
                          <a:solidFill>
                            <a:srgbClr val="000000"/>
                          </a:solidFill>
                          <a:miter lim="800000"/>
                          <a:headEnd/>
                          <a:tailEnd/>
                        </a:ln>
                      </wps:spPr>
                      <wps:txbx>
                        <w:txbxContent>
                          <w:p w:rsidR="00532CB2" w:rsidRDefault="00532CB2" w:rsidP="00A665A9">
                            <w:r w:rsidRPr="00DB0C03">
                              <w:t>Governments set HFE policy</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30pt;margin-top:7.9pt;width:101pt;height:4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">
                <v:textbox>
                  <w:txbxContent>
                    <w:p w:rsidR="00532CB2" w:rsidRDefault="00532CB2" w:rsidP="00A665A9">
                      <w:r w:rsidRPr="00DB0C03">
                        <w:t>Governments set HFE policy</w:t>
                      </w:r>
                      <w:r>
                        <w:t>.</w:t>
                      </w:r>
                    </w:p>
                  </w:txbxContent>
                </v:textbox>
                <w10:wrap type="square"/>
              </v:shape>
            </w:pict>
          </mc:Fallback>
        </mc:AlternateContent>
      </w:r>
      <w:r w:rsidRPr="00EC79CF">
        <w:t>There are critics of the aim of fiscal equalisation. The Commission considers that the policy discussion about the place and form of equalisation is important, but sees our role only to ensure there is appropriate information and clear understanding of the equalisation arrangements. Any debate on the aim of equalisation belongs in the wider community and in the agreements made between governments in the federation.</w:t>
      </w:r>
    </w:p>
    <w:p w:rsidR="00A665A9" w:rsidRPr="00EC79CF" w:rsidRDefault="00A665A9" w:rsidP="00C20E52">
      <w:pPr>
        <w:pStyle w:val="CGCNumberedPara"/>
        <w:numPr>
          <w:ilvl w:val="1"/>
          <w:numId w:val="2"/>
        </w:numPr>
      </w:pPr>
      <w:r w:rsidRPr="00EC79CF">
        <w:rPr>
          <w:noProof/>
          <w:lang w:eastAsia="en-AU"/>
        </w:rPr>
        <mc:AlternateContent>
          <mc:Choice Requires="wps">
            <w:drawing>
              <wp:anchor distT="0" distB="0" distL="114300" distR="114300" simplePos="0" relativeHeight="251663360" behindDoc="0" locked="0" layoutInCell="1" allowOverlap="1" wp14:anchorId="4A8C824F" wp14:editId="0B6FDBDB">
                <wp:simplePos x="0" y="0"/>
                <wp:positionH relativeFrom="column">
                  <wp:posOffset>381000</wp:posOffset>
                </wp:positionH>
                <wp:positionV relativeFrom="paragraph">
                  <wp:posOffset>101600</wp:posOffset>
                </wp:positionV>
                <wp:extent cx="1330325" cy="1316990"/>
                <wp:effectExtent l="0" t="0" r="22225" b="16510"/>
                <wp:wrapSquare wrapText="bothSides"/>
                <wp:docPr id="9" name="Text Box 9"/>
                <wp:cNvGraphicFramePr/>
                <a:graphic xmlns:a="http://schemas.openxmlformats.org/drawingml/2006/main">
                  <a:graphicData uri="http://schemas.microsoft.com/office/word/2010/wordprocessingShape">
                    <wps:wsp>
                      <wps:cNvSpPr txBox="1"/>
                      <wps:spPr>
                        <a:xfrm>
                          <a:off x="0" y="0"/>
                          <a:ext cx="1330325" cy="1316990"/>
                        </a:xfrm>
                        <a:prstGeom prst="rect">
                          <a:avLst/>
                        </a:prstGeom>
                        <a:solidFill>
                          <a:srgbClr val="FFFFFF"/>
                        </a:solidFill>
                        <a:ln w="9525">
                          <a:solidFill>
                            <a:srgbClr val="000000"/>
                          </a:solidFill>
                          <a:miter lim="800000"/>
                          <a:headEnd/>
                          <a:tailEnd/>
                        </a:ln>
                      </wps:spPr>
                      <wps:txbx>
                        <w:txbxContent>
                          <w:p w:rsidR="00532CB2" w:rsidRDefault="00532CB2" w:rsidP="00A665A9">
                            <w:r w:rsidRPr="00DB0C03">
                              <w:t>The Equ</w:t>
                            </w:r>
                            <w:r w:rsidRPr="00DB0C03">
                              <w:rPr>
                                <w:szCs w:val="24"/>
                              </w:rPr>
                              <w:t xml:space="preserve">alisation </w:t>
                            </w:r>
                            <w:r w:rsidRPr="00DB0C03">
                              <w:t>system delivers outcomes which are as contemporaneous as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30pt;margin-top:8pt;width:104.75pt;height:10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">
                <v:textbox>
                  <w:txbxContent>
                    <w:p w:rsidR="00532CB2" w:rsidRDefault="00532CB2" w:rsidP="00A665A9">
                      <w:r w:rsidRPr="00DB0C03">
                        <w:t>The Equ</w:t>
                      </w:r>
                      <w:r w:rsidRPr="00DB0C03">
                        <w:rPr>
                          <w:szCs w:val="24"/>
                        </w:rPr>
                        <w:t xml:space="preserve">alisation </w:t>
                      </w:r>
                      <w:r w:rsidRPr="00DB0C03">
                        <w:t>system delivers outcomes which are as contemporaneous as possible.</w:t>
                      </w:r>
                    </w:p>
                  </w:txbxContent>
                </v:textbox>
                <w10:wrap type="square"/>
              </v:shape>
            </w:pict>
          </mc:Fallback>
        </mc:AlternateContent>
      </w:r>
      <w:r w:rsidRPr="00EC79CF">
        <w:t>Managing an equalisation process is challenging. The Commission seeks to provide States with equalising grants which in the year they receive them, would equalise their fiscal capacity. However, because we base our work on the average of what States do, we have to wait for data which reveals that to us. Our recommendations are always catching up to fiscal conditions that States actually confront. In general</w:t>
      </w:r>
      <w:r w:rsidR="00464E43">
        <w:t>,</w:t>
      </w:r>
      <w:r w:rsidRPr="00EC79CF">
        <w:t xml:space="preserve"> that trade-off between the delay required for data certainty and actual budget-year conditions appears reasonable, but there might be exceptional circumstances which warrant the Commission to anticipate the statistics to allow a more immediate response to developments. This occurs already, for example, where there have been major changes in Commonwealth-State relations. Western Australia has raised its forecast </w:t>
      </w:r>
      <w:r w:rsidR="00464E43">
        <w:t xml:space="preserve">of a </w:t>
      </w:r>
      <w:r w:rsidRPr="00EC79CF">
        <w:t xml:space="preserve">large decrease in iron ore royalties as an example of an exceptional circumstance that could seriously compromise equalisation outcomes. We address this issue in the following chapter on </w:t>
      </w:r>
      <w:r w:rsidR="00464E43">
        <w:t>M</w:t>
      </w:r>
      <w:r w:rsidRPr="00EC79CF">
        <w:t xml:space="preserve">ain issues. </w:t>
      </w:r>
    </w:p>
    <w:p w:rsidR="00A665A9" w:rsidRPr="00EC79CF" w:rsidRDefault="00A665A9" w:rsidP="00C20E52">
      <w:pPr>
        <w:pStyle w:val="CGCNumberedPara"/>
        <w:numPr>
          <w:ilvl w:val="1"/>
          <w:numId w:val="2"/>
        </w:numPr>
      </w:pPr>
      <w:r w:rsidRPr="00EC79CF">
        <w:lastRenderedPageBreak/>
        <w:t>The equalisation system, while grounded in data, also represents a series of Commission decisions. We accept that there may be some factors impacting on State fiscal capacities which we either do not capture or capture imperfectly. This is because the quality of data varies widely, and in some cases the underlying conceptual case is less clear cut than in others. Until better and more comprehensive data and analysis are available we will always be faced with decisions on how important a factor is likely to be and how confident we can be that making an assessment is consistent with</w:t>
      </w:r>
      <w:r w:rsidR="00397F91">
        <w:t xml:space="preserve"> a sound equalisation outcome.</w:t>
      </w:r>
    </w:p>
    <w:p w:rsidR="00A665A9" w:rsidRPr="00EC79CF" w:rsidRDefault="00A665A9" w:rsidP="00A665A9">
      <w:pPr>
        <w:pStyle w:val="CGCNumberedPara"/>
        <w:numPr>
          <w:ilvl w:val="0"/>
          <w:numId w:val="0"/>
        </w:numPr>
        <w:sectPr w:rsidR="00A665A9" w:rsidRPr="00EC79CF" w:rsidSect="00A665A9">
          <w:footerReference w:type="default" r:id="rId61"/>
          <w:footnotePr>
            <w:numRestart w:val="eachSect"/>
          </w:footnotePr>
          <w:pgSz w:w="11906" w:h="16838" w:code="9"/>
          <w:pgMar w:top="1701" w:right="1474" w:bottom="1701" w:left="1474" w:header="709" w:footer="709" w:gutter="0"/>
          <w:cols w:space="708"/>
          <w:titlePg/>
          <w:docGrid w:linePitch="360"/>
        </w:sectPr>
      </w:pPr>
    </w:p>
    <w:p w:rsidR="00A665A9" w:rsidRPr="00EC79CF" w:rsidRDefault="00A665A9" w:rsidP="00A665A9">
      <w:pPr>
        <w:pStyle w:val="Heading1"/>
      </w:pPr>
      <w:bookmarkStart w:id="401" w:name="_Toc391023236"/>
      <w:bookmarkStart w:id="402" w:name="_Toc411924595"/>
      <w:r w:rsidRPr="00EC79CF">
        <w:lastRenderedPageBreak/>
        <w:t xml:space="preserve">CHAPTER </w:t>
      </w:r>
      <w:bookmarkEnd w:id="401"/>
      <w:r w:rsidRPr="00EC79CF">
        <w:t>2</w:t>
      </w:r>
      <w:bookmarkEnd w:id="402"/>
    </w:p>
    <w:p w:rsidR="00A665A9" w:rsidRPr="00EC79CF" w:rsidRDefault="00C4696B" w:rsidP="00A665A9">
      <w:pPr>
        <w:pStyle w:val="Heading2"/>
      </w:pPr>
      <w:bookmarkStart w:id="403" w:name="_Toc389133026"/>
      <w:bookmarkStart w:id="404" w:name="_Toc389579171"/>
      <w:bookmarkStart w:id="405" w:name="_Toc390955785"/>
      <w:bookmarkStart w:id="406" w:name="_Toc391023237"/>
      <w:bookmarkStart w:id="407" w:name="_Toc410741663"/>
      <w:bookmarkStart w:id="408" w:name="_Toc410744214"/>
      <w:bookmarkStart w:id="409" w:name="_Toc411924596"/>
      <w:r w:rsidRPr="00EC79CF">
        <w:rPr>
          <w:caps w:val="0"/>
        </w:rPr>
        <w:t xml:space="preserve">MAIN </w:t>
      </w:r>
      <w:bookmarkEnd w:id="403"/>
      <w:bookmarkEnd w:id="404"/>
      <w:bookmarkEnd w:id="405"/>
      <w:bookmarkEnd w:id="406"/>
      <w:bookmarkEnd w:id="407"/>
      <w:bookmarkEnd w:id="408"/>
      <w:r w:rsidRPr="00EC79CF">
        <w:rPr>
          <w:caps w:val="0"/>
        </w:rPr>
        <w:t>ISSUES</w:t>
      </w:r>
      <w:bookmarkEnd w:id="409"/>
    </w:p>
    <w:p w:rsidR="00A665A9" w:rsidRPr="00EC79CF" w:rsidRDefault="00A665A9" w:rsidP="00C20E52">
      <w:pPr>
        <w:pStyle w:val="CGCNumberedPara"/>
        <w:numPr>
          <w:ilvl w:val="1"/>
          <w:numId w:val="16"/>
        </w:numPr>
      </w:pPr>
      <w:r w:rsidRPr="00EC79CF">
        <w:t>The terms of reference for the 2015 Methodology Review ask the Commission to progress a number of matters as a priority and undertake early consultation with the Commonwealth and the States. Those matters are:</w:t>
      </w:r>
    </w:p>
    <w:p w:rsidR="00A665A9" w:rsidRPr="00EC79CF" w:rsidRDefault="00A665A9" w:rsidP="00C20E52">
      <w:pPr>
        <w:pStyle w:val="CGCBulletlist"/>
        <w:numPr>
          <w:ilvl w:val="0"/>
          <w:numId w:val="1"/>
        </w:numPr>
        <w:tabs>
          <w:tab w:val="clear" w:pos="927"/>
          <w:tab w:val="left" w:pos="1134"/>
        </w:tabs>
        <w:ind w:left="1134" w:hanging="567"/>
      </w:pPr>
      <w:r w:rsidRPr="00EC79CF">
        <w:t>the Mining revenue assessment</w:t>
      </w:r>
    </w:p>
    <w:p w:rsidR="00A665A9" w:rsidRPr="00EC79CF" w:rsidRDefault="00A665A9" w:rsidP="00C20E52">
      <w:pPr>
        <w:pStyle w:val="CGCBulletlist"/>
        <w:numPr>
          <w:ilvl w:val="0"/>
          <w:numId w:val="1"/>
        </w:numPr>
        <w:tabs>
          <w:tab w:val="clear" w:pos="927"/>
          <w:tab w:val="left" w:pos="1134"/>
        </w:tabs>
        <w:ind w:left="1134" w:hanging="567"/>
      </w:pPr>
      <w:r w:rsidRPr="00EC79CF">
        <w:t>the treatment of mining related expenditure</w:t>
      </w:r>
    </w:p>
    <w:p w:rsidR="00A665A9" w:rsidRPr="00EC79CF" w:rsidRDefault="00A665A9" w:rsidP="00C20E52">
      <w:pPr>
        <w:pStyle w:val="CGCBulletlist"/>
        <w:numPr>
          <w:ilvl w:val="0"/>
          <w:numId w:val="1"/>
        </w:numPr>
        <w:tabs>
          <w:tab w:val="clear" w:pos="927"/>
          <w:tab w:val="left" w:pos="1134"/>
        </w:tabs>
        <w:ind w:left="1134" w:hanging="567"/>
      </w:pPr>
      <w:r w:rsidRPr="00EC79CF">
        <w:t>ensuring educational disadvantage funding embedded in the National Education Reform Agreement (NERA) is not unwound and there is no windfall gain for non-participating States</w:t>
      </w:r>
    </w:p>
    <w:p w:rsidR="00A665A9" w:rsidRPr="00EC79CF" w:rsidRDefault="00A665A9" w:rsidP="00C20E52">
      <w:pPr>
        <w:pStyle w:val="CGCBulletlist"/>
        <w:numPr>
          <w:ilvl w:val="0"/>
          <w:numId w:val="1"/>
        </w:numPr>
        <w:tabs>
          <w:tab w:val="clear" w:pos="927"/>
          <w:tab w:val="left" w:pos="1134"/>
        </w:tabs>
        <w:ind w:left="1134" w:hanging="567"/>
      </w:pPr>
      <w:r w:rsidRPr="00EC79CF">
        <w:t>the appropriate treatment of the National Disability Insurance Scheme (NDIS) arrangements</w:t>
      </w:r>
    </w:p>
    <w:p w:rsidR="00A665A9" w:rsidRPr="00EC79CF" w:rsidRDefault="00A665A9" w:rsidP="00C20E52">
      <w:pPr>
        <w:pStyle w:val="CGCBulletlist"/>
        <w:numPr>
          <w:ilvl w:val="0"/>
          <w:numId w:val="1"/>
        </w:numPr>
        <w:tabs>
          <w:tab w:val="clear" w:pos="927"/>
          <w:tab w:val="left" w:pos="1134"/>
        </w:tabs>
        <w:ind w:left="1134" w:hanging="567"/>
      </w:pPr>
      <w:r w:rsidRPr="00EC79CF">
        <w:t>the development of a Transport infrastructure assessment and the appropriate treatment of transport infrastructure payments</w:t>
      </w:r>
    </w:p>
    <w:p w:rsidR="00A665A9" w:rsidRPr="00EC79CF" w:rsidRDefault="00A665A9" w:rsidP="00C20E52">
      <w:pPr>
        <w:pStyle w:val="CGCBulletlist"/>
        <w:numPr>
          <w:ilvl w:val="0"/>
          <w:numId w:val="1"/>
        </w:numPr>
        <w:tabs>
          <w:tab w:val="clear" w:pos="927"/>
          <w:tab w:val="left" w:pos="1134"/>
        </w:tabs>
        <w:ind w:left="1134" w:hanging="567"/>
      </w:pPr>
      <w:proofErr w:type="gramStart"/>
      <w:r w:rsidRPr="00EC79CF">
        <w:t>appropriately</w:t>
      </w:r>
      <w:proofErr w:type="gramEnd"/>
      <w:r w:rsidRPr="00EC79CF">
        <w:t xml:space="preserve"> capturing Indigen</w:t>
      </w:r>
      <w:r w:rsidR="008B31B2">
        <w:t>ous status</w:t>
      </w:r>
      <w:r w:rsidRPr="00EC79CF">
        <w:t xml:space="preserve"> (including socio-economic status) in the assessments.</w:t>
      </w:r>
    </w:p>
    <w:p w:rsidR="00A665A9" w:rsidRPr="00EC79CF" w:rsidRDefault="00A665A9" w:rsidP="00C20E52">
      <w:pPr>
        <w:pStyle w:val="CGCNumberedPara"/>
        <w:numPr>
          <w:ilvl w:val="1"/>
          <w:numId w:val="2"/>
        </w:numPr>
      </w:pPr>
      <w:r w:rsidRPr="00EC79CF">
        <w:t xml:space="preserve">In addition, another important issue arose late in the </w:t>
      </w:r>
      <w:r w:rsidR="003D4B37">
        <w:t>r</w:t>
      </w:r>
      <w:r w:rsidR="003D4B37" w:rsidRPr="00EC79CF">
        <w:t>eview</w:t>
      </w:r>
      <w:r w:rsidRPr="00EC79CF">
        <w:t>: whether the relativities could be more contemporaneous. Western Australia stated in its response to the draft report that</w:t>
      </w:r>
      <w:r w:rsidR="008338F0">
        <w:t>,</w:t>
      </w:r>
      <w:r w:rsidRPr="00EC79CF">
        <w:t xml:space="preserve"> with a major fall forecast for its iron ore royalties, using average royalties for 2011-12 to 2013-14 as the basis of the 2015-16 GST distribution would be inappropriate. It suggests that a distribution based on prospective 2015-16 conditions would be preferable. State views were sought in relation to this issue</w:t>
      </w:r>
      <w:r w:rsidR="00056A51">
        <w:t>, including</w:t>
      </w:r>
      <w:r w:rsidRPr="00EC79CF">
        <w:t xml:space="preserve"> during discussions with Heads of Treasury.</w:t>
      </w:r>
    </w:p>
    <w:p w:rsidR="00195B81" w:rsidRDefault="00A665A9" w:rsidP="00C20E52">
      <w:pPr>
        <w:pStyle w:val="CGCNumberedPara"/>
        <w:numPr>
          <w:ilvl w:val="1"/>
          <w:numId w:val="2"/>
        </w:numPr>
      </w:pPr>
      <w:r w:rsidRPr="00EC79CF">
        <w:t>This chapter briefly outlines our final response to each matter. Implementation details are covered in the appropriate assessment chapters.</w:t>
      </w:r>
    </w:p>
    <w:p w:rsidR="00195B81" w:rsidRDefault="00195B81" w:rsidP="00195B81">
      <w:pPr>
        <w:rPr>
          <w:szCs w:val="24"/>
        </w:rPr>
      </w:pPr>
      <w:r>
        <w:br w:type="page"/>
      </w:r>
    </w:p>
    <w:p w:rsidR="00A665A9" w:rsidRPr="00EC79CF" w:rsidRDefault="00A665A9" w:rsidP="00A665A9">
      <w:pPr>
        <w:pStyle w:val="Heading3"/>
      </w:pPr>
      <w:bookmarkStart w:id="410" w:name="_Toc391023238"/>
      <w:bookmarkStart w:id="411" w:name="_Toc410741664"/>
      <w:bookmarkStart w:id="412" w:name="_Toc410744215"/>
      <w:bookmarkStart w:id="413" w:name="_Toc411511204"/>
      <w:bookmarkStart w:id="414" w:name="_Toc411511657"/>
      <w:bookmarkStart w:id="415" w:name="_Toc411924597"/>
      <w:r w:rsidRPr="00EC79CF">
        <w:lastRenderedPageBreak/>
        <w:t>The mining revenue assessment</w:t>
      </w:r>
      <w:bookmarkEnd w:id="410"/>
      <w:bookmarkEnd w:id="411"/>
      <w:bookmarkEnd w:id="412"/>
      <w:bookmarkEnd w:id="413"/>
      <w:bookmarkEnd w:id="414"/>
      <w:bookmarkEnd w:id="415"/>
    </w:p>
    <w:p w:rsidR="00A665A9" w:rsidRPr="00EC79CF" w:rsidRDefault="00A665A9" w:rsidP="00A665A9">
      <w:pPr>
        <w:pStyle w:val="Heading4"/>
      </w:pPr>
      <w:r w:rsidRPr="00EC79CF">
        <w:t>Background</w:t>
      </w:r>
    </w:p>
    <w:p w:rsidR="00A665A9" w:rsidRPr="00EC79CF" w:rsidRDefault="00A665A9" w:rsidP="00C20E52">
      <w:pPr>
        <w:pStyle w:val="CGCNumberedPara"/>
        <w:numPr>
          <w:ilvl w:val="1"/>
          <w:numId w:val="2"/>
        </w:numPr>
      </w:pPr>
      <w:r w:rsidRPr="00EC79CF">
        <w:t>The terms of reference ask the Commission to:</w:t>
      </w:r>
    </w:p>
    <w:p w:rsidR="00A665A9" w:rsidRPr="00EC79CF" w:rsidRDefault="00A665A9" w:rsidP="00A665A9">
      <w:pPr>
        <w:pStyle w:val="CGCQuotation"/>
      </w:pPr>
      <w:r w:rsidRPr="00EC79CF">
        <w:t xml:space="preserve">… </w:t>
      </w:r>
      <w:proofErr w:type="gramStart"/>
      <w:r w:rsidRPr="00EC79CF">
        <w:t>have</w:t>
      </w:r>
      <w:proofErr w:type="gramEnd"/>
      <w:r w:rsidRPr="00EC79CF">
        <w:t xml:space="preserve"> regard to the recommendations of the final report of the GST Distribution Review to … develop a new mining revenue assessment.</w:t>
      </w:r>
    </w:p>
    <w:p w:rsidR="00A665A9" w:rsidRPr="00EC79CF" w:rsidRDefault="00A665A9" w:rsidP="00C20E52">
      <w:pPr>
        <w:pStyle w:val="CGCNumberedPara"/>
        <w:numPr>
          <w:ilvl w:val="1"/>
          <w:numId w:val="2"/>
        </w:numPr>
      </w:pPr>
      <w:r w:rsidRPr="00EC79CF">
        <w:t>In the 2010 Review, the Commission adopted a two-tier mining assessment. The GST Distribution Review panel found the two-tier mining assessment could produce excessively large GST share effects when a commodity moved between groups. It recommended the Commission and stakeholders develop a new mining revenue assessment that:</w:t>
      </w:r>
    </w:p>
    <w:p w:rsidR="00A665A9" w:rsidRPr="00EC79CF" w:rsidRDefault="00A665A9" w:rsidP="00C20E52">
      <w:pPr>
        <w:pStyle w:val="CGCBulletlist"/>
        <w:numPr>
          <w:ilvl w:val="0"/>
          <w:numId w:val="1"/>
        </w:numPr>
        <w:tabs>
          <w:tab w:val="clear" w:pos="927"/>
          <w:tab w:val="left" w:pos="1134"/>
        </w:tabs>
        <w:ind w:left="1134" w:hanging="567"/>
      </w:pPr>
      <w:r w:rsidRPr="00EC79CF">
        <w:t>avoids excessively large GST share effects, such as when a commodity moved between groups under the two-tier assessment (Recommendation 7.1)</w:t>
      </w:r>
    </w:p>
    <w:p w:rsidR="00A665A9" w:rsidRPr="00EC79CF" w:rsidRDefault="00A665A9" w:rsidP="00C20E52">
      <w:pPr>
        <w:pStyle w:val="CGCBulletlist"/>
        <w:numPr>
          <w:ilvl w:val="0"/>
          <w:numId w:val="1"/>
        </w:numPr>
        <w:tabs>
          <w:tab w:val="clear" w:pos="927"/>
          <w:tab w:val="left" w:pos="1134"/>
        </w:tabs>
        <w:ind w:left="1134" w:hanging="567"/>
      </w:pPr>
      <w:proofErr w:type="gramStart"/>
      <w:r w:rsidRPr="00EC79CF">
        <w:t>treats</w:t>
      </w:r>
      <w:proofErr w:type="gramEnd"/>
      <w:r w:rsidRPr="00EC79CF">
        <w:t xml:space="preserve"> iron ore, coal and petroleum differently from minerals that are not subject to the Commonwealth resource rent taxes (Recommendation 7.2).</w:t>
      </w:r>
    </w:p>
    <w:p w:rsidR="00A665A9" w:rsidRPr="00EC79CF" w:rsidRDefault="00A665A9" w:rsidP="00C20E52">
      <w:pPr>
        <w:pStyle w:val="CGCNumberedPara"/>
        <w:numPr>
          <w:ilvl w:val="1"/>
          <w:numId w:val="2"/>
        </w:numPr>
      </w:pPr>
      <w:r w:rsidRPr="00EC79CF">
        <w:t>The States had differing views on how mining revenue raising capacity should be assessed. Western Australia favoured a mineral by mineral approach. Most other States favoured assessing minerals in groups, although their views varied on the number and composition of groups.</w:t>
      </w:r>
    </w:p>
    <w:p w:rsidR="00A665A9" w:rsidRPr="00EC79CF" w:rsidRDefault="00A665A9" w:rsidP="00C20E52">
      <w:pPr>
        <w:pStyle w:val="CGCNumberedPara"/>
        <w:numPr>
          <w:ilvl w:val="1"/>
          <w:numId w:val="2"/>
        </w:numPr>
      </w:pPr>
      <w:r w:rsidRPr="00EC79CF">
        <w:t>Queensland and Western Australia argued the mining assessment should be discounted by up to 50%. They considered discounting as a means of addressing perceived issues with policy neutrality, unassessed mining related expenditures, the assessment’s sensitivity to royalty rate changes, the need for judgment and intergenerational risk.</w:t>
      </w:r>
    </w:p>
    <w:p w:rsidR="00A665A9" w:rsidRPr="00EC79CF" w:rsidRDefault="00A665A9" w:rsidP="00A665A9">
      <w:pPr>
        <w:pStyle w:val="Heading4"/>
      </w:pPr>
      <w:r w:rsidRPr="00EC79CF">
        <w:t>Commission response</w:t>
      </w:r>
    </w:p>
    <w:p w:rsidR="00A665A9" w:rsidRPr="00EC79CF" w:rsidRDefault="00A665A9" w:rsidP="00C20E52">
      <w:pPr>
        <w:pStyle w:val="CGCNumberedPara"/>
        <w:numPr>
          <w:ilvl w:val="1"/>
          <w:numId w:val="2"/>
        </w:numPr>
      </w:pPr>
      <w:r w:rsidRPr="00EC79CF">
        <w:t xml:space="preserve">For the 2015 Review, we have decided to adopt a mineral by mineral approach. We have done this because we consider this achieves equalisation more accurately. We acknowledge that this has the potential to make the assessment less policy neutral because changes in State policies may have a larger impact on their shares of GST. </w:t>
      </w:r>
    </w:p>
    <w:p w:rsidR="00A665A9" w:rsidRPr="00EC79CF" w:rsidRDefault="00A665A9" w:rsidP="00C20E52">
      <w:pPr>
        <w:pStyle w:val="CGCNumberedPara"/>
        <w:numPr>
          <w:ilvl w:val="1"/>
          <w:numId w:val="2"/>
        </w:numPr>
      </w:pPr>
      <w:r w:rsidRPr="00EC79CF">
        <w:t xml:space="preserve">However, we consider that the goal of policy neutrality is subsidiary to the requirement to achieve equalisation. We also consider that while it is theoretically possible for changes in State policies to affect GST shares, in practice we do not observe </w:t>
      </w:r>
      <w:r w:rsidR="00B54009">
        <w:t>that States adopt policies for this purpose</w:t>
      </w:r>
      <w:r w:rsidRPr="00EC79CF">
        <w:t>. If we do observe a significant change in behaviour which raises policy neutrality concerns</w:t>
      </w:r>
      <w:r w:rsidR="003C5D2D" w:rsidRPr="00EC79CF">
        <w:t>,</w:t>
      </w:r>
      <w:r w:rsidRPr="00EC79CF">
        <w:t xml:space="preserve"> we w</w:t>
      </w:r>
      <w:r w:rsidR="007C19B8">
        <w:t>ill</w:t>
      </w:r>
      <w:r w:rsidRPr="00EC79CF">
        <w:t xml:space="preserve"> revisit the assessment in a futu</w:t>
      </w:r>
      <w:r w:rsidR="00632BC8">
        <w:t>re update.</w:t>
      </w:r>
    </w:p>
    <w:p w:rsidR="00A665A9" w:rsidRPr="00EC79CF" w:rsidRDefault="00A665A9" w:rsidP="00C20E52">
      <w:pPr>
        <w:pStyle w:val="CGCNumberedPara"/>
        <w:numPr>
          <w:ilvl w:val="1"/>
          <w:numId w:val="2"/>
        </w:numPr>
      </w:pPr>
      <w:r w:rsidRPr="00EC79CF">
        <w:t xml:space="preserve">Under our mineral by mineral approach, we will separately assess a mineral if it is material to do so. This approach means the seven minerals that generate most </w:t>
      </w:r>
      <w:r w:rsidRPr="00EC79CF">
        <w:lastRenderedPageBreak/>
        <w:t>royalties will be separately assessed. These are iron ore, coal, gold, on-shore oil and gas, copper, bauxite and nickel. The remaining minerals will be assessed together. All coal will be assessed together and all iron ore will be assessed together.</w:t>
      </w:r>
    </w:p>
    <w:p w:rsidR="00A665A9" w:rsidRPr="00EC79CF" w:rsidRDefault="00A665A9" w:rsidP="00C20E52">
      <w:pPr>
        <w:pStyle w:val="CGCNumberedPara"/>
        <w:numPr>
          <w:ilvl w:val="1"/>
          <w:numId w:val="2"/>
        </w:numPr>
      </w:pPr>
      <w:r w:rsidRPr="00EC79CF">
        <w:t xml:space="preserve">The only movement of minerals between groups </w:t>
      </w:r>
      <w:r w:rsidR="008338F0">
        <w:t xml:space="preserve">will </w:t>
      </w:r>
      <w:r w:rsidRPr="00EC79CF">
        <w:t>relate to entry or exit from the balance of minerals group. These minerals generate</w:t>
      </w:r>
      <w:r w:rsidR="00E14C7F">
        <w:t xml:space="preserve"> small royalties (less than $20 </w:t>
      </w:r>
      <w:r w:rsidRPr="00EC79CF">
        <w:t xml:space="preserve">million) and a separate assessment would not materially affect the GST distribution. Therefore, the new mining assessment avoids excessively large GST share effects arising from minerals moving between groups. </w:t>
      </w:r>
    </w:p>
    <w:p w:rsidR="00A665A9" w:rsidRPr="00EC79CF" w:rsidRDefault="00A665A9" w:rsidP="00C20E52">
      <w:pPr>
        <w:pStyle w:val="CGCNumberedPara"/>
        <w:numPr>
          <w:ilvl w:val="1"/>
          <w:numId w:val="2"/>
        </w:numPr>
      </w:pPr>
      <w:r w:rsidRPr="00EC79CF">
        <w:t>We have not discounted the assessment because we use discounting when we have concerns about the reliability of our measure of fiscal capacity, concerns we do not have in relation to the mining assessment.</w:t>
      </w:r>
    </w:p>
    <w:p w:rsidR="00A665A9" w:rsidRPr="00EC79CF" w:rsidRDefault="00A665A9" w:rsidP="00A665A9">
      <w:pPr>
        <w:pStyle w:val="Heading5"/>
      </w:pPr>
      <w:r w:rsidRPr="00EC79CF">
        <w:t>Iron ore fines</w:t>
      </w:r>
    </w:p>
    <w:p w:rsidR="00A665A9" w:rsidRPr="00EC79CF" w:rsidRDefault="00A665A9" w:rsidP="00C20E52">
      <w:pPr>
        <w:pStyle w:val="CGCNumberedPara"/>
        <w:numPr>
          <w:ilvl w:val="1"/>
          <w:numId w:val="2"/>
        </w:numPr>
      </w:pPr>
      <w:r w:rsidRPr="00EC79CF">
        <w:t>Compared to our assessment in the 2014 Update, where we were directed not to capture the full fiscal consequences of Western Australia’s decision to raise the effective royalty rate on iron ore fines, an iron ore royalty assessment including fines significantly increases Western Australia’s assessed fiscal capacity. Had previous updates more closely tracked the evolution of Western Australia’s fiscal capacity, the change from the 2014 Update would have been considerably smaller.</w:t>
      </w:r>
    </w:p>
    <w:p w:rsidR="00A665A9" w:rsidRPr="00EC79CF" w:rsidRDefault="00A665A9" w:rsidP="00C20E52">
      <w:pPr>
        <w:pStyle w:val="CGCNumberedPara"/>
        <w:numPr>
          <w:ilvl w:val="1"/>
          <w:numId w:val="2"/>
        </w:numPr>
      </w:pPr>
      <w:r w:rsidRPr="00EC79CF">
        <w:t xml:space="preserve">We considered if the direction in previous Update terms of reference constrained how we assess Western Australia’s capacity to raise revenue in </w:t>
      </w:r>
      <w:r w:rsidR="00632BC8">
        <w:t xml:space="preserve">the assessment </w:t>
      </w:r>
      <w:r w:rsidRPr="00EC79CF">
        <w:t>years</w:t>
      </w:r>
      <w:r w:rsidR="00632BC8">
        <w:t xml:space="preserve"> covered by those </w:t>
      </w:r>
      <w:r w:rsidR="00632BC8" w:rsidRPr="00EC79CF">
        <w:t>terms of reference</w:t>
      </w:r>
      <w:r w:rsidRPr="00EC79CF">
        <w:t>. We decided that because the Update terms of reference made explicit mention of operating between methodology reviews, and terms of reference for this review were silent on the issue, we should frame our assessment only from the perspective of achieving HFE.</w:t>
      </w:r>
    </w:p>
    <w:p w:rsidR="00A665A9" w:rsidRPr="00EC79CF" w:rsidRDefault="00A665A9" w:rsidP="00C20E52">
      <w:pPr>
        <w:pStyle w:val="CGCNumberedPara"/>
        <w:numPr>
          <w:ilvl w:val="1"/>
          <w:numId w:val="2"/>
        </w:numPr>
      </w:pPr>
      <w:r w:rsidRPr="00EC79CF">
        <w:t>We also considered whether some phasing of this ‘bringing to book’ of higher iron ore fines royalty rates was appropriate, consistent with the usual three year phasing embedded in our assessment methodology. However</w:t>
      </w:r>
      <w:r w:rsidR="007C19B8">
        <w:t>,</w:t>
      </w:r>
      <w:r w:rsidRPr="00EC79CF">
        <w:t xml:space="preserve"> we have decided that no </w:t>
      </w:r>
      <w:r w:rsidR="00B54009">
        <w:t>different</w:t>
      </w:r>
      <w:r w:rsidR="00B54009" w:rsidRPr="00EC79CF">
        <w:t xml:space="preserve"> </w:t>
      </w:r>
      <w:r w:rsidRPr="00EC79CF">
        <w:t>treatment for this methodology change is warranted. We will use the new methodology in each of the reference years. The effective royalty rates used in the iron ore assessment in each year are</w:t>
      </w:r>
      <w:r w:rsidR="00645E79">
        <w:t>,</w:t>
      </w:r>
      <w:r w:rsidRPr="00EC79CF">
        <w:t xml:space="preserve"> therefore</w:t>
      </w:r>
      <w:r w:rsidR="00645E79">
        <w:t>,</w:t>
      </w:r>
      <w:r w:rsidRPr="00EC79CF">
        <w:t xml:space="preserve"> those shown in </w:t>
      </w:r>
      <w:r w:rsidRPr="00EC79CF">
        <w:fldChar w:fldCharType="begin"/>
      </w:r>
      <w:r w:rsidRPr="00EC79CF">
        <w:instrText xml:space="preserve"> REF _Ref410722111 \h  \* MERGEFORMAT </w:instrText>
      </w:r>
      <w:r w:rsidRPr="00EC79CF">
        <w:fldChar w:fldCharType="separate"/>
      </w:r>
      <w:r w:rsidR="003A5DEE" w:rsidRPr="00EC79CF">
        <w:t xml:space="preserve">Table </w:t>
      </w:r>
      <w:r w:rsidR="003A5DEE">
        <w:rPr>
          <w:noProof/>
        </w:rPr>
        <w:t>1</w:t>
      </w:r>
      <w:r w:rsidRPr="00EC79CF">
        <w:fldChar w:fldCharType="end"/>
      </w:r>
      <w:r w:rsidR="00DF13B2">
        <w:t>. In 2013</w:t>
      </w:r>
      <w:r w:rsidR="00DF13B2">
        <w:noBreakHyphen/>
      </w:r>
      <w:r w:rsidRPr="00EC79CF">
        <w:t>14, the effective rate applying to fines and lump is the same. This is the only assessment year where</w:t>
      </w:r>
      <w:r w:rsidR="007571FC">
        <w:t>,</w:t>
      </w:r>
      <w:r w:rsidR="00D749E2">
        <w:t xml:space="preserve"> on current policy</w:t>
      </w:r>
      <w:r w:rsidR="00E92CBE">
        <w:t xml:space="preserve"> settings</w:t>
      </w:r>
      <w:r w:rsidR="007571FC">
        <w:t>,</w:t>
      </w:r>
      <w:r w:rsidRPr="00EC79CF">
        <w:t xml:space="preserve"> the effective rates are contemporaneous with those applying in the application year.</w:t>
      </w:r>
    </w:p>
    <w:p w:rsidR="00A665A9" w:rsidRPr="00EC79CF" w:rsidRDefault="00A665A9" w:rsidP="00007FF0">
      <w:pPr>
        <w:pStyle w:val="CGCTableHeading"/>
      </w:pPr>
      <w:bookmarkStart w:id="416" w:name="_Ref408728724"/>
      <w:bookmarkStart w:id="417" w:name="_Ref410722111"/>
      <w:r w:rsidRPr="00EC79CF">
        <w:lastRenderedPageBreak/>
        <w:t xml:space="preserve">Table </w:t>
      </w:r>
      <w:bookmarkEnd w:id="416"/>
      <w:r w:rsidRPr="00EC79CF">
        <w:fldChar w:fldCharType="begin"/>
      </w:r>
      <w:r w:rsidRPr="00EC79CF">
        <w:instrText xml:space="preserve"> SEQ Table \* ARABIC \r1 </w:instrText>
      </w:r>
      <w:r w:rsidRPr="00EC79CF">
        <w:fldChar w:fldCharType="separate"/>
      </w:r>
      <w:r w:rsidR="003A5DEE">
        <w:rPr>
          <w:noProof/>
        </w:rPr>
        <w:t>1</w:t>
      </w:r>
      <w:r w:rsidRPr="00EC79CF">
        <w:fldChar w:fldCharType="end"/>
      </w:r>
      <w:bookmarkEnd w:id="417"/>
      <w:r w:rsidRPr="00EC79CF">
        <w:tab/>
        <w:t>Effective royalty rate on iron ore</w:t>
      </w:r>
    </w:p>
    <w:tbl>
      <w:tblPr>
        <w:tblW w:w="5000" w:type="pct"/>
        <w:tblCellMar>
          <w:left w:w="85" w:type="dxa"/>
          <w:right w:w="85" w:type="dxa"/>
        </w:tblCellMar>
        <w:tblLook w:val="0000" w:firstRow="0" w:lastRow="0" w:firstColumn="0" w:lastColumn="0" w:noHBand="0" w:noVBand="0"/>
      </w:tblPr>
      <w:tblGrid>
        <w:gridCol w:w="2070"/>
        <w:gridCol w:w="1411"/>
        <w:gridCol w:w="1410"/>
        <w:gridCol w:w="1410"/>
        <w:gridCol w:w="1410"/>
        <w:gridCol w:w="1410"/>
      </w:tblGrid>
      <w:tr w:rsidR="00A665A9" w:rsidRPr="00EC79CF" w:rsidTr="00A665A9">
        <w:tc>
          <w:tcPr>
            <w:tcW w:w="1134" w:type="pct"/>
            <w:tcBorders>
              <w:top w:val="single" w:sz="6" w:space="0" w:color="auto"/>
              <w:bottom w:val="single" w:sz="6" w:space="0" w:color="auto"/>
            </w:tcBorders>
            <w:vAlign w:val="bottom"/>
          </w:tcPr>
          <w:p w:rsidR="00A665A9" w:rsidRPr="00EC79CF" w:rsidRDefault="00A665A9" w:rsidP="00A665A9">
            <w:pPr>
              <w:pStyle w:val="TableColHeadings"/>
              <w:jc w:val="left"/>
              <w:rPr>
                <w:rFonts w:cstheme="minorHAnsi"/>
              </w:rPr>
            </w:pPr>
          </w:p>
        </w:tc>
        <w:tc>
          <w:tcPr>
            <w:tcW w:w="773" w:type="pct"/>
            <w:tcBorders>
              <w:top w:val="single" w:sz="6" w:space="0" w:color="auto"/>
              <w:bottom w:val="single" w:sz="6" w:space="0" w:color="auto"/>
            </w:tcBorders>
            <w:vAlign w:val="bottom"/>
          </w:tcPr>
          <w:p w:rsidR="00A665A9" w:rsidRPr="00EC79CF" w:rsidRDefault="00A665A9" w:rsidP="00A665A9">
            <w:pPr>
              <w:pStyle w:val="TableColHeadings"/>
              <w:rPr>
                <w:rFonts w:cstheme="minorHAnsi"/>
              </w:rPr>
            </w:pPr>
            <w:r w:rsidRPr="00EC79CF">
              <w:rPr>
                <w:rFonts w:cstheme="minorHAnsi"/>
              </w:rPr>
              <w:t>2009-10</w:t>
            </w:r>
          </w:p>
        </w:tc>
        <w:tc>
          <w:tcPr>
            <w:tcW w:w="773" w:type="pct"/>
            <w:tcBorders>
              <w:top w:val="single" w:sz="6" w:space="0" w:color="auto"/>
              <w:bottom w:val="single" w:sz="6" w:space="0" w:color="auto"/>
            </w:tcBorders>
            <w:vAlign w:val="bottom"/>
          </w:tcPr>
          <w:p w:rsidR="00A665A9" w:rsidRPr="00EC79CF" w:rsidRDefault="00A665A9" w:rsidP="00A665A9">
            <w:pPr>
              <w:pStyle w:val="TableColHeadings"/>
              <w:rPr>
                <w:rFonts w:cstheme="minorHAnsi"/>
              </w:rPr>
            </w:pPr>
            <w:r w:rsidRPr="00EC79CF">
              <w:rPr>
                <w:rFonts w:cstheme="minorHAnsi"/>
              </w:rPr>
              <w:t>2010-11</w:t>
            </w:r>
          </w:p>
        </w:tc>
        <w:tc>
          <w:tcPr>
            <w:tcW w:w="773" w:type="pct"/>
            <w:tcBorders>
              <w:top w:val="single" w:sz="6" w:space="0" w:color="auto"/>
              <w:bottom w:val="single" w:sz="6" w:space="0" w:color="auto"/>
            </w:tcBorders>
            <w:vAlign w:val="bottom"/>
          </w:tcPr>
          <w:p w:rsidR="00A665A9" w:rsidRPr="00EC79CF" w:rsidRDefault="00A665A9" w:rsidP="00A665A9">
            <w:pPr>
              <w:pStyle w:val="TableColHeadings"/>
              <w:rPr>
                <w:rFonts w:cstheme="minorHAnsi"/>
              </w:rPr>
            </w:pPr>
            <w:r w:rsidRPr="00EC79CF">
              <w:rPr>
                <w:rFonts w:cstheme="minorHAnsi"/>
              </w:rPr>
              <w:t>2011-12</w:t>
            </w:r>
          </w:p>
        </w:tc>
        <w:tc>
          <w:tcPr>
            <w:tcW w:w="773" w:type="pct"/>
            <w:tcBorders>
              <w:top w:val="single" w:sz="6" w:space="0" w:color="auto"/>
              <w:bottom w:val="single" w:sz="6" w:space="0" w:color="auto"/>
            </w:tcBorders>
            <w:vAlign w:val="bottom"/>
          </w:tcPr>
          <w:p w:rsidR="00A665A9" w:rsidRPr="00EC79CF" w:rsidRDefault="00A665A9" w:rsidP="00A665A9">
            <w:pPr>
              <w:pStyle w:val="TableColHeadings"/>
              <w:rPr>
                <w:rFonts w:cstheme="minorHAnsi"/>
              </w:rPr>
            </w:pPr>
            <w:r w:rsidRPr="00EC79CF">
              <w:rPr>
                <w:rFonts w:cstheme="minorHAnsi"/>
              </w:rPr>
              <w:t>2012-13</w:t>
            </w:r>
          </w:p>
        </w:tc>
        <w:tc>
          <w:tcPr>
            <w:tcW w:w="773" w:type="pct"/>
            <w:tcBorders>
              <w:top w:val="single" w:sz="6" w:space="0" w:color="auto"/>
              <w:bottom w:val="single" w:sz="6" w:space="0" w:color="auto"/>
            </w:tcBorders>
            <w:vAlign w:val="bottom"/>
          </w:tcPr>
          <w:p w:rsidR="00A665A9" w:rsidRPr="00EC79CF" w:rsidRDefault="00A665A9" w:rsidP="00A665A9">
            <w:pPr>
              <w:pStyle w:val="TableColHeadings"/>
              <w:rPr>
                <w:rFonts w:cstheme="minorHAnsi"/>
              </w:rPr>
            </w:pPr>
            <w:r w:rsidRPr="00EC79CF">
              <w:rPr>
                <w:rFonts w:cstheme="minorHAnsi"/>
              </w:rPr>
              <w:t>2013-14</w:t>
            </w:r>
          </w:p>
        </w:tc>
      </w:tr>
      <w:tr w:rsidR="00A665A9" w:rsidRPr="00EC79CF" w:rsidTr="00A665A9">
        <w:tc>
          <w:tcPr>
            <w:tcW w:w="1134" w:type="pct"/>
            <w:tcMar>
              <w:top w:w="0" w:type="dxa"/>
              <w:bottom w:w="0" w:type="dxa"/>
            </w:tcMar>
            <w:vAlign w:val="bottom"/>
          </w:tcPr>
          <w:p w:rsidR="00A665A9" w:rsidRPr="00EC79CF" w:rsidRDefault="00A665A9" w:rsidP="00A665A9">
            <w:pPr>
              <w:pStyle w:val="TableRowUnits"/>
              <w:rPr>
                <w:rFonts w:cstheme="minorHAnsi"/>
              </w:rPr>
            </w:pPr>
          </w:p>
        </w:tc>
        <w:tc>
          <w:tcPr>
            <w:tcW w:w="773" w:type="pct"/>
            <w:tcMar>
              <w:top w:w="0" w:type="dxa"/>
              <w:bottom w:w="0" w:type="dxa"/>
            </w:tcMar>
            <w:vAlign w:val="bottom"/>
          </w:tcPr>
          <w:p w:rsidR="00A665A9" w:rsidRPr="00EC79CF" w:rsidRDefault="00A665A9" w:rsidP="00A665A9">
            <w:pPr>
              <w:pStyle w:val="TableRowUnits"/>
              <w:rPr>
                <w:rFonts w:cstheme="minorHAnsi"/>
              </w:rPr>
            </w:pPr>
            <w:r w:rsidRPr="00EC79CF">
              <w:rPr>
                <w:rFonts w:cstheme="minorHAnsi"/>
              </w:rPr>
              <w:t>%</w:t>
            </w:r>
          </w:p>
        </w:tc>
        <w:tc>
          <w:tcPr>
            <w:tcW w:w="773" w:type="pct"/>
            <w:vAlign w:val="bottom"/>
          </w:tcPr>
          <w:p w:rsidR="00A665A9" w:rsidRPr="00EC79CF" w:rsidRDefault="00A665A9" w:rsidP="00A665A9">
            <w:pPr>
              <w:pStyle w:val="TableRowUnits"/>
              <w:rPr>
                <w:rFonts w:cstheme="minorHAnsi"/>
              </w:rPr>
            </w:pPr>
            <w:r w:rsidRPr="00EC79CF">
              <w:rPr>
                <w:rFonts w:cstheme="minorHAnsi"/>
              </w:rPr>
              <w:t>%</w:t>
            </w:r>
          </w:p>
        </w:tc>
        <w:tc>
          <w:tcPr>
            <w:tcW w:w="773" w:type="pct"/>
            <w:tcMar>
              <w:top w:w="0" w:type="dxa"/>
              <w:bottom w:w="0" w:type="dxa"/>
            </w:tcMar>
            <w:vAlign w:val="bottom"/>
          </w:tcPr>
          <w:p w:rsidR="00A665A9" w:rsidRPr="00EC79CF" w:rsidRDefault="00A665A9" w:rsidP="00A665A9">
            <w:pPr>
              <w:pStyle w:val="TableRowUnits"/>
              <w:rPr>
                <w:rFonts w:cstheme="minorHAnsi"/>
              </w:rPr>
            </w:pPr>
            <w:r w:rsidRPr="00EC79CF">
              <w:rPr>
                <w:rFonts w:cstheme="minorHAnsi"/>
              </w:rPr>
              <w:t>%</w:t>
            </w:r>
          </w:p>
        </w:tc>
        <w:tc>
          <w:tcPr>
            <w:tcW w:w="773" w:type="pct"/>
            <w:tcMar>
              <w:top w:w="0" w:type="dxa"/>
              <w:bottom w:w="0" w:type="dxa"/>
            </w:tcMar>
            <w:vAlign w:val="bottom"/>
          </w:tcPr>
          <w:p w:rsidR="00A665A9" w:rsidRPr="00EC79CF" w:rsidRDefault="00A665A9" w:rsidP="00A665A9">
            <w:pPr>
              <w:pStyle w:val="TableRowUnits"/>
              <w:rPr>
                <w:rFonts w:cstheme="minorHAnsi"/>
              </w:rPr>
            </w:pPr>
            <w:r w:rsidRPr="00EC79CF">
              <w:rPr>
                <w:rFonts w:cstheme="minorHAnsi"/>
              </w:rPr>
              <w:t>%</w:t>
            </w:r>
          </w:p>
        </w:tc>
        <w:tc>
          <w:tcPr>
            <w:tcW w:w="773" w:type="pct"/>
            <w:tcMar>
              <w:top w:w="0" w:type="dxa"/>
              <w:bottom w:w="0" w:type="dxa"/>
            </w:tcMar>
            <w:vAlign w:val="bottom"/>
          </w:tcPr>
          <w:p w:rsidR="00A665A9" w:rsidRPr="00EC79CF" w:rsidRDefault="00A665A9" w:rsidP="00A665A9">
            <w:pPr>
              <w:pStyle w:val="TableRowUnits"/>
              <w:rPr>
                <w:rFonts w:cstheme="minorHAnsi"/>
              </w:rPr>
            </w:pPr>
            <w:r w:rsidRPr="00EC79CF">
              <w:rPr>
                <w:rFonts w:cstheme="minorHAnsi"/>
              </w:rPr>
              <w:t>%</w:t>
            </w:r>
          </w:p>
        </w:tc>
      </w:tr>
      <w:tr w:rsidR="00A665A9" w:rsidRPr="00EC79CF" w:rsidTr="00A665A9">
        <w:tc>
          <w:tcPr>
            <w:tcW w:w="1134" w:type="pct"/>
            <w:vAlign w:val="bottom"/>
          </w:tcPr>
          <w:p w:rsidR="00A665A9" w:rsidRPr="00EC79CF" w:rsidRDefault="00A665A9" w:rsidP="00A665A9">
            <w:pPr>
              <w:pStyle w:val="CGCTableStub"/>
              <w:tabs>
                <w:tab w:val="left" w:pos="142"/>
                <w:tab w:val="left" w:pos="425"/>
                <w:tab w:val="left" w:pos="709"/>
                <w:tab w:val="left" w:pos="851"/>
              </w:tabs>
              <w:ind w:left="142" w:hanging="142"/>
              <w:rPr>
                <w:rFonts w:cstheme="minorHAnsi"/>
              </w:rPr>
            </w:pPr>
            <w:r w:rsidRPr="00EC79CF">
              <w:rPr>
                <w:rFonts w:cstheme="minorHAnsi"/>
              </w:rPr>
              <w:t>Effective royalty rate</w:t>
            </w:r>
          </w:p>
        </w:tc>
        <w:tc>
          <w:tcPr>
            <w:tcW w:w="773" w:type="pct"/>
            <w:vAlign w:val="bottom"/>
          </w:tcPr>
          <w:p w:rsidR="00A665A9" w:rsidRPr="00EC79CF" w:rsidRDefault="00A665A9" w:rsidP="00A665A9">
            <w:pPr>
              <w:pStyle w:val="TableRowNormal"/>
              <w:ind w:left="0" w:firstLine="0"/>
              <w:rPr>
                <w:rFonts w:cstheme="minorHAnsi"/>
              </w:rPr>
            </w:pPr>
            <w:r w:rsidRPr="00EC79CF">
              <w:rPr>
                <w:rFonts w:cstheme="minorHAnsi"/>
              </w:rPr>
              <w:t>5.4</w:t>
            </w:r>
          </w:p>
        </w:tc>
        <w:tc>
          <w:tcPr>
            <w:tcW w:w="773" w:type="pct"/>
            <w:vAlign w:val="bottom"/>
          </w:tcPr>
          <w:p w:rsidR="00A665A9" w:rsidRPr="00EC79CF" w:rsidRDefault="00A665A9" w:rsidP="00A665A9">
            <w:pPr>
              <w:pStyle w:val="TableRowNormal"/>
              <w:ind w:left="0" w:firstLine="0"/>
              <w:rPr>
                <w:rFonts w:cstheme="minorHAnsi"/>
              </w:rPr>
            </w:pPr>
            <w:r w:rsidRPr="00EC79CF">
              <w:rPr>
                <w:rFonts w:cstheme="minorHAnsi"/>
              </w:rPr>
              <w:t>6.2</w:t>
            </w:r>
          </w:p>
        </w:tc>
        <w:tc>
          <w:tcPr>
            <w:tcW w:w="773" w:type="pct"/>
            <w:vAlign w:val="bottom"/>
          </w:tcPr>
          <w:p w:rsidR="00A665A9" w:rsidRPr="00EC79CF" w:rsidRDefault="00A665A9" w:rsidP="00A665A9">
            <w:pPr>
              <w:pStyle w:val="TableRowNormal"/>
              <w:ind w:left="0" w:firstLine="0"/>
              <w:rPr>
                <w:rFonts w:cstheme="minorHAnsi"/>
              </w:rPr>
            </w:pPr>
            <w:r w:rsidRPr="00EC79CF">
              <w:rPr>
                <w:rFonts w:cstheme="minorHAnsi"/>
              </w:rPr>
              <w:t>6.1</w:t>
            </w:r>
          </w:p>
        </w:tc>
        <w:tc>
          <w:tcPr>
            <w:tcW w:w="773" w:type="pct"/>
            <w:vAlign w:val="bottom"/>
          </w:tcPr>
          <w:p w:rsidR="00A665A9" w:rsidRPr="00EC79CF" w:rsidRDefault="00A665A9" w:rsidP="00A665A9">
            <w:pPr>
              <w:pStyle w:val="TableRowNormal"/>
              <w:ind w:left="0" w:firstLine="0"/>
              <w:rPr>
                <w:rFonts w:cstheme="minorHAnsi"/>
              </w:rPr>
            </w:pPr>
            <w:r w:rsidRPr="00EC79CF">
              <w:rPr>
                <w:rFonts w:cstheme="minorHAnsi"/>
              </w:rPr>
              <w:t>6.7</w:t>
            </w:r>
          </w:p>
        </w:tc>
        <w:tc>
          <w:tcPr>
            <w:tcW w:w="773" w:type="pct"/>
            <w:vAlign w:val="bottom"/>
          </w:tcPr>
          <w:p w:rsidR="00A665A9" w:rsidRPr="00EC79CF" w:rsidRDefault="00A665A9" w:rsidP="00A665A9">
            <w:pPr>
              <w:pStyle w:val="TableRowNormal"/>
              <w:ind w:left="0" w:firstLine="0"/>
              <w:rPr>
                <w:rFonts w:cstheme="minorHAnsi"/>
              </w:rPr>
            </w:pPr>
            <w:r w:rsidRPr="00EC79CF">
              <w:rPr>
                <w:rFonts w:cstheme="minorHAnsi"/>
              </w:rPr>
              <w:t>7.3</w:t>
            </w:r>
          </w:p>
        </w:tc>
      </w:tr>
      <w:tr w:rsidR="00A665A9" w:rsidRPr="00EC79CF" w:rsidTr="00A665A9">
        <w:tc>
          <w:tcPr>
            <w:tcW w:w="1134" w:type="pct"/>
            <w:tcBorders>
              <w:bottom w:val="single" w:sz="6" w:space="0" w:color="auto"/>
            </w:tcBorders>
            <w:vAlign w:val="bottom"/>
          </w:tcPr>
          <w:p w:rsidR="00A665A9" w:rsidRPr="00EC79CF" w:rsidRDefault="00A665A9" w:rsidP="00A665A9">
            <w:pPr>
              <w:pStyle w:val="CGCTableStub"/>
              <w:tabs>
                <w:tab w:val="left" w:pos="142"/>
                <w:tab w:val="left" w:pos="425"/>
                <w:tab w:val="left" w:pos="709"/>
                <w:tab w:val="left" w:pos="851"/>
              </w:tabs>
              <w:ind w:left="142" w:hanging="142"/>
              <w:rPr>
                <w:rFonts w:cstheme="minorHAnsi"/>
              </w:rPr>
            </w:pPr>
            <w:r w:rsidRPr="00EC79CF">
              <w:rPr>
                <w:rFonts w:cstheme="minorHAnsi"/>
              </w:rPr>
              <w:t>Cause of change</w:t>
            </w:r>
            <w:r w:rsidRPr="00EC79CF">
              <w:rPr>
                <w:rFonts w:cstheme="minorHAnsi"/>
              </w:rPr>
              <w:br/>
            </w:r>
          </w:p>
        </w:tc>
        <w:tc>
          <w:tcPr>
            <w:tcW w:w="773" w:type="pct"/>
            <w:tcBorders>
              <w:bottom w:val="single" w:sz="6" w:space="0" w:color="auto"/>
            </w:tcBorders>
            <w:vAlign w:val="bottom"/>
          </w:tcPr>
          <w:p w:rsidR="00A665A9" w:rsidRPr="00EC79CF" w:rsidRDefault="00A665A9" w:rsidP="00A665A9">
            <w:pPr>
              <w:pStyle w:val="TableRowNormal"/>
              <w:ind w:left="0" w:firstLine="0"/>
              <w:rPr>
                <w:rFonts w:cstheme="minorHAnsi"/>
              </w:rPr>
            </w:pPr>
          </w:p>
        </w:tc>
        <w:tc>
          <w:tcPr>
            <w:tcW w:w="773" w:type="pct"/>
            <w:tcBorders>
              <w:bottom w:val="single" w:sz="6" w:space="0" w:color="auto"/>
            </w:tcBorders>
            <w:vAlign w:val="bottom"/>
          </w:tcPr>
          <w:p w:rsidR="00A665A9" w:rsidRPr="00EC79CF" w:rsidRDefault="00A665A9" w:rsidP="00A665A9">
            <w:pPr>
              <w:pStyle w:val="TableRowNormal"/>
              <w:ind w:left="0" w:firstLine="0"/>
              <w:rPr>
                <w:rFonts w:cstheme="minorHAnsi"/>
              </w:rPr>
            </w:pPr>
            <w:r w:rsidRPr="00EC79CF">
              <w:rPr>
                <w:rFonts w:cstheme="minorHAnsi"/>
              </w:rPr>
              <w:t>Removal of concession</w:t>
            </w:r>
          </w:p>
        </w:tc>
        <w:tc>
          <w:tcPr>
            <w:tcW w:w="773" w:type="pct"/>
            <w:tcBorders>
              <w:bottom w:val="single" w:sz="6" w:space="0" w:color="auto"/>
            </w:tcBorders>
            <w:vAlign w:val="bottom"/>
          </w:tcPr>
          <w:p w:rsidR="00A665A9" w:rsidRPr="00EC79CF" w:rsidRDefault="00A665A9" w:rsidP="00A665A9">
            <w:pPr>
              <w:pStyle w:val="TableRowNormal"/>
              <w:ind w:left="0" w:firstLine="0"/>
              <w:rPr>
                <w:rFonts w:cstheme="minorHAnsi"/>
              </w:rPr>
            </w:pPr>
          </w:p>
        </w:tc>
        <w:tc>
          <w:tcPr>
            <w:tcW w:w="773" w:type="pct"/>
            <w:tcBorders>
              <w:bottom w:val="single" w:sz="6" w:space="0" w:color="auto"/>
            </w:tcBorders>
            <w:vAlign w:val="bottom"/>
          </w:tcPr>
          <w:p w:rsidR="00A665A9" w:rsidRPr="00EC79CF" w:rsidRDefault="00A665A9" w:rsidP="00A665A9">
            <w:pPr>
              <w:pStyle w:val="TableRowNormal"/>
              <w:ind w:left="0" w:firstLine="0"/>
              <w:rPr>
                <w:rFonts w:cstheme="minorHAnsi"/>
              </w:rPr>
            </w:pPr>
            <w:r w:rsidRPr="00EC79CF">
              <w:rPr>
                <w:rFonts w:cstheme="minorHAnsi"/>
              </w:rPr>
              <w:t>First rate increase</w:t>
            </w:r>
          </w:p>
        </w:tc>
        <w:tc>
          <w:tcPr>
            <w:tcW w:w="773" w:type="pct"/>
            <w:tcBorders>
              <w:bottom w:val="single" w:sz="6" w:space="0" w:color="auto"/>
            </w:tcBorders>
            <w:vAlign w:val="bottom"/>
          </w:tcPr>
          <w:p w:rsidR="00A665A9" w:rsidRPr="00EC79CF" w:rsidRDefault="00A665A9" w:rsidP="00A665A9">
            <w:pPr>
              <w:pStyle w:val="TableRowNormal"/>
              <w:ind w:left="0" w:firstLine="0"/>
              <w:rPr>
                <w:rFonts w:cstheme="minorHAnsi"/>
              </w:rPr>
            </w:pPr>
            <w:r w:rsidRPr="00EC79CF">
              <w:rPr>
                <w:rFonts w:cstheme="minorHAnsi"/>
              </w:rPr>
              <w:t>Second rate increase</w:t>
            </w:r>
          </w:p>
        </w:tc>
      </w:tr>
    </w:tbl>
    <w:p w:rsidR="00A665A9" w:rsidRPr="00EC79CF" w:rsidRDefault="00A665A9" w:rsidP="00A665A9">
      <w:pPr>
        <w:pStyle w:val="CGCTableFootnote"/>
        <w:ind w:left="0" w:firstLine="0"/>
      </w:pPr>
      <w:r w:rsidRPr="00EC79CF">
        <w:t>Source:</w:t>
      </w:r>
      <w:r w:rsidRPr="00EC79CF">
        <w:tab/>
        <w:t>ABS and State provided data</w:t>
      </w:r>
      <w:r w:rsidR="00E14C7F">
        <w:t>.</w:t>
      </w:r>
    </w:p>
    <w:p w:rsidR="00A665A9" w:rsidRDefault="00A665A9" w:rsidP="00C20E52">
      <w:pPr>
        <w:pStyle w:val="CGCNumberedPara"/>
        <w:numPr>
          <w:ilvl w:val="1"/>
          <w:numId w:val="2"/>
        </w:numPr>
      </w:pPr>
      <w:r w:rsidRPr="00EC79CF">
        <w:t>Most States opposed phasing because it was inconsistent with HFE, the supporting principles, the terms of reference and the approach taken in other assessments. Only Western Australia supported phasing because it would avoid the situation where its loss in GST would exceed the additional revenue raised as a consequence of its decision to raise royalty rates in 2012</w:t>
      </w:r>
      <w:r w:rsidRPr="00EC79CF">
        <w:noBreakHyphen/>
        <w:t xml:space="preserve">13. It viewed this outcome as an unacceptable breach of policy neutrality. Tasmania said it accepted the role of judgment in the Commission’s decision making process and it did not oppose the Commission’s use of judgment on this issue. </w:t>
      </w:r>
    </w:p>
    <w:p w:rsidR="00195B81" w:rsidRDefault="00962DB3" w:rsidP="00C20E52">
      <w:pPr>
        <w:pStyle w:val="CGCNumberedPara"/>
        <w:numPr>
          <w:ilvl w:val="1"/>
          <w:numId w:val="2"/>
        </w:numPr>
      </w:pPr>
      <w:r>
        <w:t>Box 1 shows the GST impacts of the two major effects resulting from the method changes to the mining revenue assessment.</w:t>
      </w:r>
    </w:p>
    <w:p w:rsidR="00007FF0" w:rsidRDefault="00007FF0" w:rsidP="00C20E52">
      <w:pPr>
        <w:pStyle w:val="CGCNumberedPara"/>
        <w:numPr>
          <w:ilvl w:val="1"/>
          <w:numId w:val="2"/>
        </w:numPr>
      </w:pPr>
      <w:r w:rsidRPr="00EC79CF">
        <w:t>This assessment is described in Volume 2, Chapter 8 – Mining revenue.</w:t>
      </w:r>
    </w:p>
    <w:p w:rsidR="00F077B6" w:rsidRPr="00F077B6" w:rsidRDefault="00195B81" w:rsidP="00F077B6">
      <w:pPr>
        <w:pStyle w:val="CGCTableHeading"/>
      </w:pPr>
      <w:r>
        <w:lastRenderedPageBreak/>
        <w:t>Box 1</w:t>
      </w:r>
      <w:r w:rsidR="00F077B6" w:rsidRPr="00F077B6">
        <w:tab/>
        <w:t>Method changes in the assessment of mining revenues</w:t>
      </w:r>
    </w:p>
    <w:tbl>
      <w:tblPr>
        <w:tblStyle w:val="TableGrid"/>
        <w:tblW w:w="0" w:type="auto"/>
        <w:tblLook w:val="04A0" w:firstRow="1" w:lastRow="0" w:firstColumn="1" w:lastColumn="0" w:noHBand="0" w:noVBand="1"/>
        <w:tblDescription w:val=" "/>
      </w:tblPr>
      <w:tblGrid>
        <w:gridCol w:w="9167"/>
      </w:tblGrid>
      <w:tr w:rsidR="00F077B6" w:rsidTr="009E6214">
        <w:tc>
          <w:tcPr>
            <w:tcW w:w="9167" w:type="dxa"/>
            <w:tcBorders>
              <w:top w:val="nil"/>
              <w:left w:val="nil"/>
              <w:bottom w:val="nil"/>
              <w:right w:val="nil"/>
            </w:tcBorders>
            <w:shd w:val="clear" w:color="auto" w:fill="D9F3E6"/>
          </w:tcPr>
          <w:p w:rsidR="00F077B6" w:rsidRPr="00F077B6" w:rsidRDefault="00F077B6" w:rsidP="009E6214">
            <w:pPr>
              <w:keepNext/>
              <w:spacing w:before="120" w:after="120" w:line="280" w:lineRule="atLeast"/>
              <w:rPr>
                <w:szCs w:val="24"/>
              </w:rPr>
            </w:pPr>
            <w:r w:rsidRPr="00F077B6">
              <w:rPr>
                <w:szCs w:val="24"/>
              </w:rPr>
              <w:t>The Commission decided to adopt a mineral by mineral assessment for mining revenue. This decision had two effects for the mining assessment. As shown in the table</w:t>
            </w:r>
            <w:r w:rsidR="00195B81">
              <w:rPr>
                <w:szCs w:val="24"/>
              </w:rPr>
              <w:t xml:space="preserve"> below</w:t>
            </w:r>
            <w:r w:rsidRPr="00F077B6">
              <w:rPr>
                <w:szCs w:val="24"/>
              </w:rPr>
              <w:t xml:space="preserve">, for most States the effects moved GST revenue in offsetting directions. </w:t>
            </w:r>
          </w:p>
          <w:p w:rsidR="00F077B6" w:rsidRPr="00F077B6" w:rsidRDefault="00F077B6" w:rsidP="009E6214">
            <w:pPr>
              <w:pStyle w:val="CGCBulletlist"/>
              <w:keepNext/>
              <w:numPr>
                <w:ilvl w:val="0"/>
                <w:numId w:val="1"/>
              </w:numPr>
              <w:tabs>
                <w:tab w:val="clear" w:pos="927"/>
                <w:tab w:val="left" w:pos="1134"/>
              </w:tabs>
              <w:spacing w:line="280" w:lineRule="atLeast"/>
              <w:ind w:left="567" w:hanging="567"/>
              <w:rPr>
                <w:szCs w:val="24"/>
              </w:rPr>
            </w:pPr>
            <w:r w:rsidRPr="00F077B6">
              <w:rPr>
                <w:rStyle w:val="Heading6Char"/>
                <w:sz w:val="24"/>
                <w:szCs w:val="24"/>
              </w:rPr>
              <w:t>The move from two mineral groups to eight mineral groups.</w:t>
            </w:r>
            <w:r w:rsidRPr="00F077B6">
              <w:rPr>
                <w:szCs w:val="24"/>
              </w:rPr>
              <w:t xml:space="preserve"> This change reduced the assessed capacity of Western Australia and the Northern Territory</w:t>
            </w:r>
            <w:r w:rsidR="00195B81" w:rsidRPr="00F077B6">
              <w:rPr>
                <w:szCs w:val="24"/>
              </w:rPr>
              <w:t xml:space="preserve"> and increased the assessed capacities of other States</w:t>
            </w:r>
            <w:r w:rsidR="00195B81">
              <w:rPr>
                <w:szCs w:val="24"/>
              </w:rPr>
              <w:t>.</w:t>
            </w:r>
            <w:r w:rsidRPr="00F077B6">
              <w:rPr>
                <w:szCs w:val="24"/>
              </w:rPr>
              <w:t xml:space="preserve"> Queensland was unaffected. In th</w:t>
            </w:r>
            <w:r w:rsidR="00195B81">
              <w:rPr>
                <w:szCs w:val="24"/>
              </w:rPr>
              <w:t>e table below,</w:t>
            </w:r>
            <w:r w:rsidRPr="00F077B6">
              <w:rPr>
                <w:szCs w:val="24"/>
              </w:rPr>
              <w:t xml:space="preserve"> we have assessed iron ore fines separately, but have applied the same effective rate as that for the 2014 Update low royalty rate group.</w:t>
            </w:r>
          </w:p>
          <w:p w:rsidR="00F077B6" w:rsidRPr="00F077B6" w:rsidRDefault="00F077B6" w:rsidP="009E6214">
            <w:pPr>
              <w:pStyle w:val="CGCBulletlist"/>
              <w:keepNext/>
              <w:numPr>
                <w:ilvl w:val="0"/>
                <w:numId w:val="1"/>
              </w:numPr>
              <w:tabs>
                <w:tab w:val="clear" w:pos="927"/>
                <w:tab w:val="left" w:pos="1134"/>
              </w:tabs>
              <w:spacing w:line="280" w:lineRule="atLeast"/>
              <w:ind w:left="567" w:hanging="567"/>
              <w:rPr>
                <w:szCs w:val="24"/>
              </w:rPr>
            </w:pPr>
            <w:r w:rsidRPr="00F077B6">
              <w:rPr>
                <w:rStyle w:val="Heading6Char"/>
                <w:sz w:val="24"/>
                <w:szCs w:val="24"/>
              </w:rPr>
              <w:t>Applying the average iron ore royalty rate to iron ore fines.</w:t>
            </w:r>
            <w:r w:rsidRPr="00F077B6">
              <w:rPr>
                <w:szCs w:val="24"/>
              </w:rPr>
              <w:t xml:space="preserve"> Previous terms of reference instructed the Commission to apply the effective rate for the low royalty rate group to iron ore fines. In this review, we apply the average iron ore royalty rate for all iron ore to both lump iron ore and to iron ore fines. This change increased the revenue capacity of Western Australia, as 97% of iron ore fines production occurs in that State.</w:t>
            </w:r>
          </w:p>
          <w:p w:rsidR="00F077B6" w:rsidRPr="00F077B6" w:rsidRDefault="00F077B6" w:rsidP="009E6214">
            <w:pPr>
              <w:pStyle w:val="CGCTableHeading"/>
            </w:pPr>
            <w:r w:rsidRPr="00F077B6">
              <w:t>Illustrative GST effects of mining revenue assessment method changes, 2015-16</w:t>
            </w:r>
          </w:p>
          <w:tbl>
            <w:tblPr>
              <w:tblW w:w="8951" w:type="dxa"/>
              <w:tblCellMar>
                <w:left w:w="0" w:type="dxa"/>
                <w:right w:w="0" w:type="dxa"/>
              </w:tblCellMar>
              <w:tblLook w:val="04A0" w:firstRow="1" w:lastRow="0" w:firstColumn="1" w:lastColumn="0" w:noHBand="0" w:noVBand="1"/>
            </w:tblPr>
            <w:tblGrid>
              <w:gridCol w:w="2452"/>
              <w:gridCol w:w="642"/>
              <w:gridCol w:w="767"/>
              <w:gridCol w:w="713"/>
              <w:gridCol w:w="659"/>
              <w:gridCol w:w="712"/>
              <w:gridCol w:w="712"/>
              <w:gridCol w:w="712"/>
              <w:gridCol w:w="712"/>
              <w:gridCol w:w="870"/>
            </w:tblGrid>
            <w:tr w:rsidR="00F077B6" w:rsidRPr="00F077B6" w:rsidTr="009E6214">
              <w:trPr>
                <w:trHeight w:val="379"/>
              </w:trPr>
              <w:tc>
                <w:tcPr>
                  <w:tcW w:w="2479" w:type="dxa"/>
                  <w:tcBorders>
                    <w:top w:val="single" w:sz="4" w:space="0" w:color="auto"/>
                    <w:left w:val="nil"/>
                    <w:bottom w:val="single" w:sz="4" w:space="0" w:color="auto"/>
                    <w:right w:val="nil"/>
                  </w:tcBorders>
                  <w:shd w:val="clear" w:color="auto" w:fill="auto"/>
                  <w:noWrap/>
                  <w:vAlign w:val="center"/>
                  <w:hideMark/>
                </w:tcPr>
                <w:p w:rsidR="00F077B6" w:rsidRPr="00F077B6" w:rsidRDefault="00F077B6" w:rsidP="009E6214">
                  <w:pPr>
                    <w:keepNext/>
                    <w:keepLines/>
                    <w:tabs>
                      <w:tab w:val="clear" w:pos="567"/>
                    </w:tabs>
                    <w:spacing w:after="0" w:line="240" w:lineRule="auto"/>
                    <w:ind w:left="193" w:hanging="142"/>
                    <w:jc w:val="right"/>
                    <w:rPr>
                      <w:rFonts w:ascii="Calibri" w:hAnsi="Calibri"/>
                      <w:sz w:val="20"/>
                      <w:szCs w:val="20"/>
                      <w:lang w:eastAsia="en-AU"/>
                    </w:rPr>
                  </w:pPr>
                  <w:r w:rsidRPr="00F077B6">
                    <w:rPr>
                      <w:rFonts w:ascii="Calibri" w:hAnsi="Calibri"/>
                      <w:sz w:val="20"/>
                      <w:szCs w:val="20"/>
                      <w:lang w:eastAsia="en-AU"/>
                    </w:rPr>
                    <w:t> </w:t>
                  </w:r>
                </w:p>
              </w:tc>
              <w:tc>
                <w:tcPr>
                  <w:tcW w:w="636" w:type="dxa"/>
                  <w:tcBorders>
                    <w:top w:val="single" w:sz="4" w:space="0" w:color="auto"/>
                    <w:left w:val="nil"/>
                    <w:bottom w:val="single" w:sz="4" w:space="0" w:color="auto"/>
                    <w:right w:val="nil"/>
                  </w:tcBorders>
                  <w:shd w:val="clear" w:color="auto" w:fill="auto"/>
                  <w:noWrap/>
                  <w:vAlign w:val="center"/>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NSW</w:t>
                  </w:r>
                </w:p>
              </w:tc>
              <w:tc>
                <w:tcPr>
                  <w:tcW w:w="765" w:type="dxa"/>
                  <w:tcBorders>
                    <w:top w:val="single" w:sz="4" w:space="0" w:color="auto"/>
                    <w:left w:val="nil"/>
                    <w:bottom w:val="single" w:sz="4" w:space="0" w:color="auto"/>
                    <w:right w:val="nil"/>
                  </w:tcBorders>
                  <w:shd w:val="clear" w:color="auto" w:fill="auto"/>
                  <w:noWrap/>
                  <w:vAlign w:val="center"/>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Vic</w:t>
                  </w:r>
                </w:p>
              </w:tc>
              <w:tc>
                <w:tcPr>
                  <w:tcW w:w="710" w:type="dxa"/>
                  <w:tcBorders>
                    <w:top w:val="single" w:sz="4" w:space="0" w:color="auto"/>
                    <w:left w:val="nil"/>
                    <w:bottom w:val="single" w:sz="4" w:space="0" w:color="auto"/>
                    <w:right w:val="nil"/>
                  </w:tcBorders>
                  <w:shd w:val="clear" w:color="auto" w:fill="auto"/>
                  <w:noWrap/>
                  <w:vAlign w:val="center"/>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Qld</w:t>
                  </w:r>
                </w:p>
              </w:tc>
              <w:tc>
                <w:tcPr>
                  <w:tcW w:w="655" w:type="dxa"/>
                  <w:tcBorders>
                    <w:top w:val="single" w:sz="4" w:space="0" w:color="auto"/>
                    <w:left w:val="nil"/>
                    <w:bottom w:val="single" w:sz="4" w:space="0" w:color="auto"/>
                    <w:right w:val="nil"/>
                  </w:tcBorders>
                  <w:shd w:val="clear" w:color="auto" w:fill="auto"/>
                  <w:noWrap/>
                  <w:vAlign w:val="center"/>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WA</w:t>
                  </w:r>
                </w:p>
              </w:tc>
              <w:tc>
                <w:tcPr>
                  <w:tcW w:w="709" w:type="dxa"/>
                  <w:tcBorders>
                    <w:top w:val="single" w:sz="4" w:space="0" w:color="auto"/>
                    <w:left w:val="nil"/>
                    <w:bottom w:val="single" w:sz="4" w:space="0" w:color="auto"/>
                    <w:right w:val="nil"/>
                  </w:tcBorders>
                  <w:shd w:val="clear" w:color="auto" w:fill="auto"/>
                  <w:noWrap/>
                  <w:vAlign w:val="center"/>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SA</w:t>
                  </w:r>
                </w:p>
              </w:tc>
              <w:tc>
                <w:tcPr>
                  <w:tcW w:w="709" w:type="dxa"/>
                  <w:tcBorders>
                    <w:top w:val="single" w:sz="4" w:space="0" w:color="auto"/>
                    <w:left w:val="nil"/>
                    <w:bottom w:val="single" w:sz="4" w:space="0" w:color="auto"/>
                    <w:right w:val="nil"/>
                  </w:tcBorders>
                  <w:shd w:val="clear" w:color="auto" w:fill="auto"/>
                  <w:noWrap/>
                  <w:vAlign w:val="center"/>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proofErr w:type="spellStart"/>
                  <w:r w:rsidRPr="00F077B6">
                    <w:rPr>
                      <w:rFonts w:ascii="Calibri" w:hAnsi="Calibri"/>
                      <w:sz w:val="20"/>
                      <w:szCs w:val="20"/>
                      <w:lang w:eastAsia="en-AU"/>
                    </w:rPr>
                    <w:t>Tas</w:t>
                  </w:r>
                  <w:proofErr w:type="spellEnd"/>
                </w:p>
              </w:tc>
              <w:tc>
                <w:tcPr>
                  <w:tcW w:w="709" w:type="dxa"/>
                  <w:tcBorders>
                    <w:top w:val="single" w:sz="4" w:space="0" w:color="auto"/>
                    <w:left w:val="nil"/>
                    <w:bottom w:val="single" w:sz="4" w:space="0" w:color="auto"/>
                    <w:right w:val="nil"/>
                  </w:tcBorders>
                  <w:shd w:val="clear" w:color="auto" w:fill="auto"/>
                  <w:noWrap/>
                  <w:vAlign w:val="center"/>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ACT</w:t>
                  </w:r>
                </w:p>
              </w:tc>
              <w:tc>
                <w:tcPr>
                  <w:tcW w:w="709" w:type="dxa"/>
                  <w:tcBorders>
                    <w:top w:val="single" w:sz="4" w:space="0" w:color="auto"/>
                    <w:left w:val="nil"/>
                    <w:bottom w:val="single" w:sz="4" w:space="0" w:color="auto"/>
                    <w:right w:val="nil"/>
                  </w:tcBorders>
                  <w:shd w:val="clear" w:color="auto" w:fill="auto"/>
                  <w:noWrap/>
                  <w:vAlign w:val="center"/>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NT</w:t>
                  </w:r>
                </w:p>
              </w:tc>
              <w:tc>
                <w:tcPr>
                  <w:tcW w:w="870" w:type="dxa"/>
                  <w:tcBorders>
                    <w:top w:val="single" w:sz="4" w:space="0" w:color="auto"/>
                    <w:left w:val="nil"/>
                    <w:bottom w:val="nil"/>
                    <w:right w:val="nil"/>
                  </w:tcBorders>
                  <w:shd w:val="clear" w:color="auto" w:fill="auto"/>
                  <w:noWrap/>
                  <w:vAlign w:val="center"/>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proofErr w:type="spellStart"/>
                  <w:r w:rsidRPr="00F077B6">
                    <w:rPr>
                      <w:rFonts w:ascii="Calibri" w:hAnsi="Calibri"/>
                      <w:sz w:val="20"/>
                      <w:szCs w:val="20"/>
                      <w:lang w:eastAsia="en-AU"/>
                    </w:rPr>
                    <w:t>Redist</w:t>
                  </w:r>
                  <w:proofErr w:type="spellEnd"/>
                </w:p>
              </w:tc>
            </w:tr>
            <w:tr w:rsidR="00F077B6" w:rsidRPr="00F077B6" w:rsidTr="009E6214">
              <w:trPr>
                <w:trHeight w:val="259"/>
              </w:trPr>
              <w:tc>
                <w:tcPr>
                  <w:tcW w:w="2479" w:type="dxa"/>
                  <w:tcBorders>
                    <w:top w:val="nil"/>
                    <w:left w:val="nil"/>
                    <w:bottom w:val="nil"/>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ind w:left="193" w:hanging="142"/>
                    <w:jc w:val="right"/>
                    <w:rPr>
                      <w:rFonts w:ascii="Calibri" w:hAnsi="Calibri"/>
                      <w:sz w:val="20"/>
                      <w:szCs w:val="20"/>
                      <w:lang w:eastAsia="en-AU"/>
                    </w:rPr>
                  </w:pPr>
                </w:p>
              </w:tc>
              <w:tc>
                <w:tcPr>
                  <w:tcW w:w="636" w:type="dxa"/>
                  <w:tcBorders>
                    <w:top w:val="nil"/>
                    <w:left w:val="nil"/>
                    <w:bottom w:val="nil"/>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$m</w:t>
                  </w:r>
                </w:p>
              </w:tc>
              <w:tc>
                <w:tcPr>
                  <w:tcW w:w="765" w:type="dxa"/>
                  <w:tcBorders>
                    <w:top w:val="nil"/>
                    <w:left w:val="nil"/>
                    <w:bottom w:val="nil"/>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$m</w:t>
                  </w:r>
                </w:p>
              </w:tc>
              <w:tc>
                <w:tcPr>
                  <w:tcW w:w="710" w:type="dxa"/>
                  <w:tcBorders>
                    <w:top w:val="nil"/>
                    <w:left w:val="nil"/>
                    <w:bottom w:val="nil"/>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$m</w:t>
                  </w:r>
                </w:p>
              </w:tc>
              <w:tc>
                <w:tcPr>
                  <w:tcW w:w="655" w:type="dxa"/>
                  <w:tcBorders>
                    <w:top w:val="nil"/>
                    <w:left w:val="nil"/>
                    <w:bottom w:val="nil"/>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$m</w:t>
                  </w:r>
                </w:p>
              </w:tc>
              <w:tc>
                <w:tcPr>
                  <w:tcW w:w="709" w:type="dxa"/>
                  <w:tcBorders>
                    <w:top w:val="nil"/>
                    <w:left w:val="nil"/>
                    <w:bottom w:val="nil"/>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$m</w:t>
                  </w:r>
                </w:p>
              </w:tc>
              <w:tc>
                <w:tcPr>
                  <w:tcW w:w="709" w:type="dxa"/>
                  <w:tcBorders>
                    <w:top w:val="nil"/>
                    <w:left w:val="nil"/>
                    <w:bottom w:val="nil"/>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$m</w:t>
                  </w:r>
                </w:p>
              </w:tc>
              <w:tc>
                <w:tcPr>
                  <w:tcW w:w="709" w:type="dxa"/>
                  <w:tcBorders>
                    <w:top w:val="nil"/>
                    <w:left w:val="nil"/>
                    <w:bottom w:val="nil"/>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$m</w:t>
                  </w:r>
                </w:p>
              </w:tc>
              <w:tc>
                <w:tcPr>
                  <w:tcW w:w="709" w:type="dxa"/>
                  <w:tcBorders>
                    <w:top w:val="nil"/>
                    <w:left w:val="nil"/>
                    <w:bottom w:val="nil"/>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$m</w:t>
                  </w:r>
                </w:p>
              </w:tc>
              <w:tc>
                <w:tcPr>
                  <w:tcW w:w="870" w:type="dxa"/>
                  <w:tcBorders>
                    <w:top w:val="single" w:sz="4" w:space="0" w:color="auto"/>
                    <w:left w:val="nil"/>
                    <w:bottom w:val="nil"/>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$m</w:t>
                  </w:r>
                </w:p>
              </w:tc>
            </w:tr>
            <w:tr w:rsidR="00F077B6" w:rsidRPr="00F077B6" w:rsidTr="009E6214">
              <w:trPr>
                <w:trHeight w:val="315"/>
              </w:trPr>
              <w:tc>
                <w:tcPr>
                  <w:tcW w:w="2479" w:type="dxa"/>
                  <w:tcBorders>
                    <w:top w:val="nil"/>
                    <w:left w:val="nil"/>
                    <w:bottom w:val="nil"/>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ind w:left="193" w:hanging="142"/>
                    <w:rPr>
                      <w:rFonts w:ascii="Calibri" w:hAnsi="Calibri"/>
                      <w:sz w:val="20"/>
                      <w:szCs w:val="20"/>
                      <w:lang w:eastAsia="en-AU"/>
                    </w:rPr>
                  </w:pPr>
                  <w:r w:rsidRPr="00F077B6">
                    <w:rPr>
                      <w:rFonts w:ascii="Calibri" w:hAnsi="Calibri"/>
                      <w:sz w:val="20"/>
                      <w:szCs w:val="20"/>
                      <w:lang w:eastAsia="en-AU"/>
                    </w:rPr>
                    <w:t>Mineral by mineral (a)</w:t>
                  </w:r>
                </w:p>
              </w:tc>
              <w:tc>
                <w:tcPr>
                  <w:tcW w:w="636" w:type="dxa"/>
                  <w:tcBorders>
                    <w:top w:val="nil"/>
                    <w:left w:val="nil"/>
                    <w:bottom w:val="nil"/>
                    <w:right w:val="nil"/>
                  </w:tcBorders>
                  <w:shd w:val="clear" w:color="auto" w:fill="auto"/>
                  <w:vAlign w:val="bottom"/>
                  <w:hideMark/>
                </w:tcPr>
                <w:p w:rsidR="00F077B6" w:rsidRPr="00F077B6" w:rsidRDefault="00F077B6" w:rsidP="009E6214">
                  <w:pPr>
                    <w:keepNext/>
                    <w:keepLines/>
                    <w:tabs>
                      <w:tab w:val="clear" w:pos="567"/>
                    </w:tabs>
                    <w:spacing w:after="0" w:line="240" w:lineRule="auto"/>
                    <w:jc w:val="right"/>
                    <w:rPr>
                      <w:rFonts w:ascii="Calibri" w:hAnsi="Calibri"/>
                      <w:color w:val="000000"/>
                      <w:sz w:val="20"/>
                      <w:szCs w:val="20"/>
                      <w:lang w:eastAsia="en-AU"/>
                    </w:rPr>
                  </w:pPr>
                  <w:r w:rsidRPr="00F077B6">
                    <w:rPr>
                      <w:rFonts w:ascii="Calibri" w:hAnsi="Calibri"/>
                      <w:color w:val="000000"/>
                      <w:sz w:val="20"/>
                      <w:szCs w:val="20"/>
                      <w:lang w:eastAsia="en-AU"/>
                    </w:rPr>
                    <w:t>-257</w:t>
                  </w:r>
                </w:p>
              </w:tc>
              <w:tc>
                <w:tcPr>
                  <w:tcW w:w="765" w:type="dxa"/>
                  <w:tcBorders>
                    <w:top w:val="nil"/>
                    <w:left w:val="nil"/>
                    <w:bottom w:val="nil"/>
                    <w:right w:val="nil"/>
                  </w:tcBorders>
                  <w:shd w:val="clear" w:color="auto" w:fill="auto"/>
                  <w:vAlign w:val="bottom"/>
                  <w:hideMark/>
                </w:tcPr>
                <w:p w:rsidR="00F077B6" w:rsidRPr="00F077B6" w:rsidRDefault="00F077B6" w:rsidP="009E6214">
                  <w:pPr>
                    <w:keepNext/>
                    <w:keepLines/>
                    <w:tabs>
                      <w:tab w:val="clear" w:pos="567"/>
                    </w:tabs>
                    <w:spacing w:after="0" w:line="240" w:lineRule="auto"/>
                    <w:jc w:val="right"/>
                    <w:rPr>
                      <w:rFonts w:ascii="Calibri" w:hAnsi="Calibri"/>
                      <w:color w:val="000000"/>
                      <w:sz w:val="20"/>
                      <w:szCs w:val="20"/>
                      <w:lang w:eastAsia="en-AU"/>
                    </w:rPr>
                  </w:pPr>
                  <w:r w:rsidRPr="00F077B6">
                    <w:rPr>
                      <w:rFonts w:ascii="Calibri" w:hAnsi="Calibri"/>
                      <w:color w:val="000000"/>
                      <w:sz w:val="20"/>
                      <w:szCs w:val="20"/>
                      <w:lang w:eastAsia="en-AU"/>
                    </w:rPr>
                    <w:t>-172</w:t>
                  </w:r>
                </w:p>
              </w:tc>
              <w:tc>
                <w:tcPr>
                  <w:tcW w:w="710" w:type="dxa"/>
                  <w:tcBorders>
                    <w:top w:val="nil"/>
                    <w:left w:val="nil"/>
                    <w:bottom w:val="nil"/>
                    <w:right w:val="nil"/>
                  </w:tcBorders>
                  <w:shd w:val="clear" w:color="auto" w:fill="auto"/>
                  <w:vAlign w:val="bottom"/>
                  <w:hideMark/>
                </w:tcPr>
                <w:p w:rsidR="00F077B6" w:rsidRPr="00F077B6" w:rsidRDefault="00F077B6" w:rsidP="009E6214">
                  <w:pPr>
                    <w:keepNext/>
                    <w:keepLines/>
                    <w:tabs>
                      <w:tab w:val="clear" w:pos="567"/>
                    </w:tabs>
                    <w:spacing w:after="0" w:line="240" w:lineRule="auto"/>
                    <w:jc w:val="right"/>
                    <w:rPr>
                      <w:rFonts w:ascii="Calibri" w:hAnsi="Calibri"/>
                      <w:color w:val="000000"/>
                      <w:sz w:val="20"/>
                      <w:szCs w:val="20"/>
                      <w:lang w:eastAsia="en-AU"/>
                    </w:rPr>
                  </w:pPr>
                  <w:r w:rsidRPr="00F077B6">
                    <w:rPr>
                      <w:rFonts w:ascii="Calibri" w:hAnsi="Calibri"/>
                      <w:color w:val="000000"/>
                      <w:sz w:val="20"/>
                      <w:szCs w:val="20"/>
                      <w:lang w:eastAsia="en-AU"/>
                    </w:rPr>
                    <w:t>0</w:t>
                  </w:r>
                </w:p>
              </w:tc>
              <w:tc>
                <w:tcPr>
                  <w:tcW w:w="655" w:type="dxa"/>
                  <w:tcBorders>
                    <w:top w:val="nil"/>
                    <w:left w:val="nil"/>
                    <w:bottom w:val="nil"/>
                    <w:right w:val="nil"/>
                  </w:tcBorders>
                  <w:shd w:val="clear" w:color="auto" w:fill="auto"/>
                  <w:vAlign w:val="bottom"/>
                  <w:hideMark/>
                </w:tcPr>
                <w:p w:rsidR="00F077B6" w:rsidRPr="00F077B6" w:rsidRDefault="00F077B6" w:rsidP="009E6214">
                  <w:pPr>
                    <w:keepNext/>
                    <w:keepLines/>
                    <w:tabs>
                      <w:tab w:val="clear" w:pos="567"/>
                    </w:tabs>
                    <w:spacing w:after="0" w:line="240" w:lineRule="auto"/>
                    <w:jc w:val="right"/>
                    <w:rPr>
                      <w:rFonts w:ascii="Calibri" w:hAnsi="Calibri"/>
                      <w:color w:val="000000"/>
                      <w:sz w:val="20"/>
                      <w:szCs w:val="20"/>
                      <w:lang w:eastAsia="en-AU"/>
                    </w:rPr>
                  </w:pPr>
                  <w:r w:rsidRPr="00F077B6">
                    <w:rPr>
                      <w:rFonts w:ascii="Calibri" w:hAnsi="Calibri"/>
                      <w:color w:val="000000"/>
                      <w:sz w:val="20"/>
                      <w:szCs w:val="20"/>
                      <w:lang w:eastAsia="en-AU"/>
                    </w:rPr>
                    <w:t>434</w:t>
                  </w:r>
                </w:p>
              </w:tc>
              <w:tc>
                <w:tcPr>
                  <w:tcW w:w="709" w:type="dxa"/>
                  <w:tcBorders>
                    <w:top w:val="nil"/>
                    <w:left w:val="nil"/>
                    <w:bottom w:val="nil"/>
                    <w:right w:val="nil"/>
                  </w:tcBorders>
                  <w:shd w:val="clear" w:color="auto" w:fill="auto"/>
                  <w:vAlign w:val="bottom"/>
                  <w:hideMark/>
                </w:tcPr>
                <w:p w:rsidR="00F077B6" w:rsidRPr="00F077B6" w:rsidRDefault="00F077B6" w:rsidP="009E6214">
                  <w:pPr>
                    <w:keepNext/>
                    <w:keepLines/>
                    <w:tabs>
                      <w:tab w:val="clear" w:pos="567"/>
                    </w:tabs>
                    <w:spacing w:after="0" w:line="240" w:lineRule="auto"/>
                    <w:jc w:val="right"/>
                    <w:rPr>
                      <w:rFonts w:ascii="Calibri" w:hAnsi="Calibri"/>
                      <w:color w:val="000000"/>
                      <w:sz w:val="20"/>
                      <w:szCs w:val="20"/>
                      <w:lang w:eastAsia="en-AU"/>
                    </w:rPr>
                  </w:pPr>
                  <w:r w:rsidRPr="00F077B6">
                    <w:rPr>
                      <w:rFonts w:ascii="Calibri" w:hAnsi="Calibri"/>
                      <w:color w:val="000000"/>
                      <w:sz w:val="20"/>
                      <w:szCs w:val="20"/>
                      <w:lang w:eastAsia="en-AU"/>
                    </w:rPr>
                    <w:t>-7</w:t>
                  </w:r>
                </w:p>
              </w:tc>
              <w:tc>
                <w:tcPr>
                  <w:tcW w:w="709" w:type="dxa"/>
                  <w:tcBorders>
                    <w:top w:val="nil"/>
                    <w:left w:val="nil"/>
                    <w:bottom w:val="nil"/>
                    <w:right w:val="nil"/>
                  </w:tcBorders>
                  <w:shd w:val="clear" w:color="auto" w:fill="auto"/>
                  <w:vAlign w:val="bottom"/>
                  <w:hideMark/>
                </w:tcPr>
                <w:p w:rsidR="00F077B6" w:rsidRPr="00F077B6" w:rsidRDefault="00F077B6" w:rsidP="009E6214">
                  <w:pPr>
                    <w:keepNext/>
                    <w:keepLines/>
                    <w:tabs>
                      <w:tab w:val="clear" w:pos="567"/>
                    </w:tabs>
                    <w:spacing w:after="0" w:line="240" w:lineRule="auto"/>
                    <w:jc w:val="right"/>
                    <w:rPr>
                      <w:rFonts w:ascii="Calibri" w:hAnsi="Calibri"/>
                      <w:color w:val="000000"/>
                      <w:sz w:val="20"/>
                      <w:szCs w:val="20"/>
                      <w:lang w:eastAsia="en-AU"/>
                    </w:rPr>
                  </w:pPr>
                  <w:r w:rsidRPr="00F077B6">
                    <w:rPr>
                      <w:rFonts w:ascii="Calibri" w:hAnsi="Calibri"/>
                      <w:color w:val="000000"/>
                      <w:sz w:val="20"/>
                      <w:szCs w:val="20"/>
                      <w:lang w:eastAsia="en-AU"/>
                    </w:rPr>
                    <w:t>-2</w:t>
                  </w:r>
                </w:p>
              </w:tc>
              <w:tc>
                <w:tcPr>
                  <w:tcW w:w="709" w:type="dxa"/>
                  <w:tcBorders>
                    <w:top w:val="nil"/>
                    <w:left w:val="nil"/>
                    <w:bottom w:val="nil"/>
                    <w:right w:val="nil"/>
                  </w:tcBorders>
                  <w:shd w:val="clear" w:color="auto" w:fill="auto"/>
                  <w:vAlign w:val="bottom"/>
                  <w:hideMark/>
                </w:tcPr>
                <w:p w:rsidR="00F077B6" w:rsidRPr="00F077B6" w:rsidRDefault="00F077B6" w:rsidP="009E6214">
                  <w:pPr>
                    <w:keepNext/>
                    <w:keepLines/>
                    <w:tabs>
                      <w:tab w:val="clear" w:pos="567"/>
                    </w:tabs>
                    <w:spacing w:after="0" w:line="240" w:lineRule="auto"/>
                    <w:jc w:val="right"/>
                    <w:rPr>
                      <w:rFonts w:ascii="Calibri" w:hAnsi="Calibri"/>
                      <w:color w:val="000000"/>
                      <w:sz w:val="20"/>
                      <w:szCs w:val="20"/>
                      <w:lang w:eastAsia="en-AU"/>
                    </w:rPr>
                  </w:pPr>
                  <w:r w:rsidRPr="00F077B6">
                    <w:rPr>
                      <w:rFonts w:ascii="Calibri" w:hAnsi="Calibri"/>
                      <w:color w:val="000000"/>
                      <w:sz w:val="20"/>
                      <w:szCs w:val="20"/>
                      <w:lang w:eastAsia="en-AU"/>
                    </w:rPr>
                    <w:t>-12</w:t>
                  </w:r>
                </w:p>
              </w:tc>
              <w:tc>
                <w:tcPr>
                  <w:tcW w:w="709" w:type="dxa"/>
                  <w:tcBorders>
                    <w:top w:val="nil"/>
                    <w:left w:val="nil"/>
                    <w:bottom w:val="nil"/>
                    <w:right w:val="nil"/>
                  </w:tcBorders>
                  <w:shd w:val="clear" w:color="auto" w:fill="auto"/>
                  <w:vAlign w:val="bottom"/>
                  <w:hideMark/>
                </w:tcPr>
                <w:p w:rsidR="00F077B6" w:rsidRPr="00F077B6" w:rsidRDefault="00F077B6" w:rsidP="009E6214">
                  <w:pPr>
                    <w:keepNext/>
                    <w:keepLines/>
                    <w:tabs>
                      <w:tab w:val="clear" w:pos="567"/>
                    </w:tabs>
                    <w:spacing w:after="0" w:line="240" w:lineRule="auto"/>
                    <w:jc w:val="right"/>
                    <w:rPr>
                      <w:rFonts w:ascii="Calibri" w:hAnsi="Calibri"/>
                      <w:color w:val="000000"/>
                      <w:sz w:val="20"/>
                      <w:szCs w:val="20"/>
                      <w:lang w:eastAsia="en-AU"/>
                    </w:rPr>
                  </w:pPr>
                  <w:r w:rsidRPr="00F077B6">
                    <w:rPr>
                      <w:rFonts w:ascii="Calibri" w:hAnsi="Calibri"/>
                      <w:color w:val="000000"/>
                      <w:sz w:val="20"/>
                      <w:szCs w:val="20"/>
                      <w:lang w:eastAsia="en-AU"/>
                    </w:rPr>
                    <w:t>14</w:t>
                  </w:r>
                </w:p>
              </w:tc>
              <w:tc>
                <w:tcPr>
                  <w:tcW w:w="870" w:type="dxa"/>
                  <w:tcBorders>
                    <w:top w:val="nil"/>
                    <w:left w:val="nil"/>
                    <w:bottom w:val="nil"/>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449</w:t>
                  </w:r>
                </w:p>
              </w:tc>
            </w:tr>
            <w:tr w:rsidR="00F077B6" w:rsidRPr="00F077B6" w:rsidTr="009E6214">
              <w:trPr>
                <w:trHeight w:val="315"/>
              </w:trPr>
              <w:tc>
                <w:tcPr>
                  <w:tcW w:w="2479" w:type="dxa"/>
                  <w:tcBorders>
                    <w:top w:val="nil"/>
                    <w:left w:val="nil"/>
                    <w:bottom w:val="nil"/>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ind w:left="193" w:hanging="142"/>
                    <w:rPr>
                      <w:rFonts w:ascii="Calibri" w:hAnsi="Calibri"/>
                      <w:sz w:val="20"/>
                      <w:szCs w:val="20"/>
                      <w:lang w:eastAsia="en-AU"/>
                    </w:rPr>
                  </w:pPr>
                  <w:r w:rsidRPr="00F077B6">
                    <w:rPr>
                      <w:rFonts w:ascii="Calibri" w:hAnsi="Calibri"/>
                      <w:sz w:val="20"/>
                      <w:szCs w:val="20"/>
                      <w:lang w:eastAsia="en-AU"/>
                    </w:rPr>
                    <w:t>Applying the average iron ore royalty rate to iron ore fines</w:t>
                  </w:r>
                </w:p>
              </w:tc>
              <w:tc>
                <w:tcPr>
                  <w:tcW w:w="636" w:type="dxa"/>
                  <w:tcBorders>
                    <w:top w:val="nil"/>
                    <w:left w:val="nil"/>
                    <w:bottom w:val="single" w:sz="4" w:space="0" w:color="auto"/>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color w:val="000000"/>
                      <w:sz w:val="20"/>
                      <w:szCs w:val="20"/>
                      <w:lang w:eastAsia="en-AU"/>
                    </w:rPr>
                  </w:pPr>
                  <w:r w:rsidRPr="00F077B6">
                    <w:rPr>
                      <w:rFonts w:ascii="Calibri" w:hAnsi="Calibri"/>
                      <w:color w:val="000000"/>
                      <w:sz w:val="20"/>
                      <w:szCs w:val="20"/>
                      <w:lang w:eastAsia="en-AU"/>
                    </w:rPr>
                    <w:t>244</w:t>
                  </w:r>
                </w:p>
              </w:tc>
              <w:tc>
                <w:tcPr>
                  <w:tcW w:w="765" w:type="dxa"/>
                  <w:tcBorders>
                    <w:top w:val="nil"/>
                    <w:left w:val="nil"/>
                    <w:bottom w:val="single" w:sz="4" w:space="0" w:color="auto"/>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color w:val="000000"/>
                      <w:sz w:val="20"/>
                      <w:szCs w:val="20"/>
                      <w:lang w:eastAsia="en-AU"/>
                    </w:rPr>
                  </w:pPr>
                  <w:r w:rsidRPr="00F077B6">
                    <w:rPr>
                      <w:rFonts w:ascii="Calibri" w:hAnsi="Calibri"/>
                      <w:color w:val="000000"/>
                      <w:sz w:val="20"/>
                      <w:szCs w:val="20"/>
                      <w:lang w:eastAsia="en-AU"/>
                    </w:rPr>
                    <w:t>191</w:t>
                  </w:r>
                </w:p>
              </w:tc>
              <w:tc>
                <w:tcPr>
                  <w:tcW w:w="710" w:type="dxa"/>
                  <w:tcBorders>
                    <w:top w:val="nil"/>
                    <w:left w:val="nil"/>
                    <w:bottom w:val="single" w:sz="4" w:space="0" w:color="auto"/>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color w:val="000000"/>
                      <w:sz w:val="20"/>
                      <w:szCs w:val="20"/>
                      <w:lang w:eastAsia="en-AU"/>
                    </w:rPr>
                  </w:pPr>
                  <w:r w:rsidRPr="00F077B6">
                    <w:rPr>
                      <w:rFonts w:ascii="Calibri" w:hAnsi="Calibri"/>
                      <w:color w:val="000000"/>
                      <w:sz w:val="20"/>
                      <w:szCs w:val="20"/>
                      <w:lang w:eastAsia="en-AU"/>
                    </w:rPr>
                    <w:t>154</w:t>
                  </w:r>
                </w:p>
              </w:tc>
              <w:tc>
                <w:tcPr>
                  <w:tcW w:w="655" w:type="dxa"/>
                  <w:tcBorders>
                    <w:top w:val="nil"/>
                    <w:left w:val="nil"/>
                    <w:bottom w:val="single" w:sz="4" w:space="0" w:color="auto"/>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color w:val="000000"/>
                      <w:sz w:val="20"/>
                      <w:szCs w:val="20"/>
                      <w:lang w:eastAsia="en-AU"/>
                    </w:rPr>
                  </w:pPr>
                  <w:r w:rsidRPr="00F077B6">
                    <w:rPr>
                      <w:rFonts w:ascii="Calibri" w:hAnsi="Calibri"/>
                      <w:color w:val="000000"/>
                      <w:sz w:val="20"/>
                      <w:szCs w:val="20"/>
                      <w:lang w:eastAsia="en-AU"/>
                    </w:rPr>
                    <w:t>-664</w:t>
                  </w:r>
                </w:p>
              </w:tc>
              <w:tc>
                <w:tcPr>
                  <w:tcW w:w="709" w:type="dxa"/>
                  <w:tcBorders>
                    <w:top w:val="nil"/>
                    <w:left w:val="nil"/>
                    <w:bottom w:val="single" w:sz="4" w:space="0" w:color="auto"/>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color w:val="000000"/>
                      <w:sz w:val="20"/>
                      <w:szCs w:val="20"/>
                      <w:lang w:eastAsia="en-AU"/>
                    </w:rPr>
                  </w:pPr>
                  <w:r w:rsidRPr="00F077B6">
                    <w:rPr>
                      <w:rFonts w:ascii="Calibri" w:hAnsi="Calibri"/>
                      <w:color w:val="000000"/>
                      <w:sz w:val="20"/>
                      <w:szCs w:val="20"/>
                      <w:lang w:eastAsia="en-AU"/>
                    </w:rPr>
                    <w:t>46</w:t>
                  </w:r>
                </w:p>
              </w:tc>
              <w:tc>
                <w:tcPr>
                  <w:tcW w:w="709" w:type="dxa"/>
                  <w:tcBorders>
                    <w:top w:val="nil"/>
                    <w:left w:val="nil"/>
                    <w:bottom w:val="single" w:sz="4" w:space="0" w:color="auto"/>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color w:val="000000"/>
                      <w:sz w:val="20"/>
                      <w:szCs w:val="20"/>
                      <w:lang w:eastAsia="en-AU"/>
                    </w:rPr>
                  </w:pPr>
                  <w:r w:rsidRPr="00F077B6">
                    <w:rPr>
                      <w:rFonts w:ascii="Calibri" w:hAnsi="Calibri"/>
                      <w:color w:val="000000"/>
                      <w:sz w:val="20"/>
                      <w:szCs w:val="20"/>
                      <w:lang w:eastAsia="en-AU"/>
                    </w:rPr>
                    <w:t>10</w:t>
                  </w:r>
                </w:p>
              </w:tc>
              <w:tc>
                <w:tcPr>
                  <w:tcW w:w="709" w:type="dxa"/>
                  <w:tcBorders>
                    <w:top w:val="nil"/>
                    <w:left w:val="nil"/>
                    <w:bottom w:val="single" w:sz="4" w:space="0" w:color="auto"/>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color w:val="000000"/>
                      <w:sz w:val="20"/>
                      <w:szCs w:val="20"/>
                      <w:lang w:eastAsia="en-AU"/>
                    </w:rPr>
                  </w:pPr>
                  <w:r w:rsidRPr="00F077B6">
                    <w:rPr>
                      <w:rFonts w:ascii="Calibri" w:hAnsi="Calibri"/>
                      <w:color w:val="000000"/>
                      <w:sz w:val="20"/>
                      <w:szCs w:val="20"/>
                      <w:lang w:eastAsia="en-AU"/>
                    </w:rPr>
                    <w:t>13</w:t>
                  </w:r>
                </w:p>
              </w:tc>
              <w:tc>
                <w:tcPr>
                  <w:tcW w:w="709" w:type="dxa"/>
                  <w:tcBorders>
                    <w:top w:val="nil"/>
                    <w:left w:val="nil"/>
                    <w:bottom w:val="single" w:sz="4" w:space="0" w:color="auto"/>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color w:val="000000"/>
                      <w:sz w:val="20"/>
                      <w:szCs w:val="20"/>
                      <w:lang w:eastAsia="en-AU"/>
                    </w:rPr>
                  </w:pPr>
                  <w:r w:rsidRPr="00F077B6">
                    <w:rPr>
                      <w:rFonts w:ascii="Calibri" w:hAnsi="Calibri"/>
                      <w:color w:val="000000"/>
                      <w:sz w:val="20"/>
                      <w:szCs w:val="20"/>
                      <w:lang w:eastAsia="en-AU"/>
                    </w:rPr>
                    <w:t>7</w:t>
                  </w:r>
                </w:p>
              </w:tc>
              <w:tc>
                <w:tcPr>
                  <w:tcW w:w="870" w:type="dxa"/>
                  <w:tcBorders>
                    <w:top w:val="nil"/>
                    <w:left w:val="nil"/>
                    <w:bottom w:val="single" w:sz="4" w:space="0" w:color="auto"/>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664</w:t>
                  </w:r>
                </w:p>
              </w:tc>
            </w:tr>
            <w:tr w:rsidR="00F077B6" w:rsidRPr="00F077B6" w:rsidTr="009E6214">
              <w:trPr>
                <w:trHeight w:val="315"/>
              </w:trPr>
              <w:tc>
                <w:tcPr>
                  <w:tcW w:w="2479" w:type="dxa"/>
                  <w:tcBorders>
                    <w:top w:val="nil"/>
                    <w:left w:val="nil"/>
                    <w:bottom w:val="single" w:sz="4" w:space="0" w:color="auto"/>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ind w:left="193" w:hanging="142"/>
                    <w:rPr>
                      <w:rFonts w:ascii="Calibri" w:hAnsi="Calibri"/>
                      <w:sz w:val="20"/>
                      <w:szCs w:val="20"/>
                      <w:lang w:eastAsia="en-AU"/>
                    </w:rPr>
                  </w:pPr>
                  <w:r w:rsidRPr="00F077B6">
                    <w:rPr>
                      <w:rFonts w:ascii="Calibri" w:hAnsi="Calibri"/>
                      <w:sz w:val="20"/>
                      <w:szCs w:val="20"/>
                      <w:lang w:eastAsia="en-AU"/>
                    </w:rPr>
                    <w:t>Total change</w:t>
                  </w:r>
                </w:p>
              </w:tc>
              <w:tc>
                <w:tcPr>
                  <w:tcW w:w="636" w:type="dxa"/>
                  <w:tcBorders>
                    <w:top w:val="nil"/>
                    <w:left w:val="nil"/>
                    <w:bottom w:val="single" w:sz="4" w:space="0" w:color="auto"/>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-13</w:t>
                  </w:r>
                </w:p>
              </w:tc>
              <w:tc>
                <w:tcPr>
                  <w:tcW w:w="765" w:type="dxa"/>
                  <w:tcBorders>
                    <w:top w:val="nil"/>
                    <w:left w:val="nil"/>
                    <w:bottom w:val="single" w:sz="4" w:space="0" w:color="auto"/>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19</w:t>
                  </w:r>
                </w:p>
              </w:tc>
              <w:tc>
                <w:tcPr>
                  <w:tcW w:w="710" w:type="dxa"/>
                  <w:tcBorders>
                    <w:top w:val="nil"/>
                    <w:left w:val="nil"/>
                    <w:bottom w:val="single" w:sz="4" w:space="0" w:color="auto"/>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154</w:t>
                  </w:r>
                </w:p>
              </w:tc>
              <w:tc>
                <w:tcPr>
                  <w:tcW w:w="655" w:type="dxa"/>
                  <w:tcBorders>
                    <w:top w:val="nil"/>
                    <w:left w:val="nil"/>
                    <w:bottom w:val="single" w:sz="4" w:space="0" w:color="auto"/>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-230</w:t>
                  </w:r>
                </w:p>
              </w:tc>
              <w:tc>
                <w:tcPr>
                  <w:tcW w:w="709" w:type="dxa"/>
                  <w:tcBorders>
                    <w:top w:val="nil"/>
                    <w:left w:val="nil"/>
                    <w:bottom w:val="single" w:sz="4" w:space="0" w:color="auto"/>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39</w:t>
                  </w:r>
                </w:p>
              </w:tc>
              <w:tc>
                <w:tcPr>
                  <w:tcW w:w="709" w:type="dxa"/>
                  <w:tcBorders>
                    <w:top w:val="nil"/>
                    <w:left w:val="nil"/>
                    <w:bottom w:val="single" w:sz="4" w:space="0" w:color="auto"/>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9</w:t>
                  </w:r>
                </w:p>
              </w:tc>
              <w:tc>
                <w:tcPr>
                  <w:tcW w:w="709" w:type="dxa"/>
                  <w:tcBorders>
                    <w:top w:val="nil"/>
                    <w:left w:val="nil"/>
                    <w:bottom w:val="single" w:sz="4" w:space="0" w:color="auto"/>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1</w:t>
                  </w:r>
                </w:p>
              </w:tc>
              <w:tc>
                <w:tcPr>
                  <w:tcW w:w="709" w:type="dxa"/>
                  <w:tcBorders>
                    <w:top w:val="nil"/>
                    <w:left w:val="nil"/>
                    <w:bottom w:val="single" w:sz="4" w:space="0" w:color="auto"/>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21</w:t>
                  </w:r>
                </w:p>
              </w:tc>
              <w:tc>
                <w:tcPr>
                  <w:tcW w:w="870" w:type="dxa"/>
                  <w:tcBorders>
                    <w:top w:val="nil"/>
                    <w:left w:val="nil"/>
                    <w:bottom w:val="single" w:sz="4" w:space="0" w:color="auto"/>
                    <w:right w:val="nil"/>
                  </w:tcBorders>
                  <w:shd w:val="clear" w:color="auto" w:fill="auto"/>
                  <w:noWrap/>
                  <w:vAlign w:val="bottom"/>
                  <w:hideMark/>
                </w:tcPr>
                <w:p w:rsidR="00F077B6" w:rsidRPr="00F077B6" w:rsidRDefault="00F077B6" w:rsidP="009E6214">
                  <w:pPr>
                    <w:keepNext/>
                    <w:keepLines/>
                    <w:tabs>
                      <w:tab w:val="clear" w:pos="567"/>
                    </w:tabs>
                    <w:spacing w:after="0" w:line="240" w:lineRule="auto"/>
                    <w:jc w:val="right"/>
                    <w:rPr>
                      <w:rFonts w:ascii="Calibri" w:hAnsi="Calibri"/>
                      <w:sz w:val="20"/>
                      <w:szCs w:val="20"/>
                      <w:lang w:eastAsia="en-AU"/>
                    </w:rPr>
                  </w:pPr>
                  <w:r w:rsidRPr="00F077B6">
                    <w:rPr>
                      <w:rFonts w:ascii="Calibri" w:hAnsi="Calibri"/>
                      <w:sz w:val="20"/>
                      <w:szCs w:val="20"/>
                      <w:lang w:eastAsia="en-AU"/>
                    </w:rPr>
                    <w:t>243</w:t>
                  </w:r>
                </w:p>
              </w:tc>
            </w:tr>
          </w:tbl>
          <w:p w:rsidR="00F077B6" w:rsidRPr="00F077B6" w:rsidRDefault="00F077B6" w:rsidP="009E6214">
            <w:pPr>
              <w:pStyle w:val="CGCTableFootnote"/>
            </w:pPr>
            <w:r w:rsidRPr="00F077B6">
              <w:t>(a)</w:t>
            </w:r>
            <w:r w:rsidRPr="00F077B6">
              <w:tab/>
              <w:t xml:space="preserve">Lump iron ore assessed separately at its average effective royalty rate. Iron ore fines assessed separately at the effective rate as per the low royalty group in the 2014 Update. </w:t>
            </w:r>
          </w:p>
          <w:p w:rsidR="00F077B6" w:rsidRPr="00F077B6" w:rsidRDefault="00F077B6" w:rsidP="009E6214">
            <w:pPr>
              <w:pStyle w:val="CGCTableFootnote"/>
            </w:pPr>
            <w:r w:rsidRPr="00F077B6">
              <w:t>Source:</w:t>
            </w:r>
            <w:r w:rsidRPr="00F077B6">
              <w:tab/>
              <w:t>Commission calculation.</w:t>
            </w:r>
          </w:p>
          <w:p w:rsidR="00F077B6" w:rsidRPr="00F077B6" w:rsidRDefault="00F077B6" w:rsidP="009E6214">
            <w:pPr>
              <w:keepNext/>
              <w:spacing w:before="120" w:after="120" w:line="280" w:lineRule="atLeast"/>
              <w:rPr>
                <w:szCs w:val="24"/>
              </w:rPr>
            </w:pPr>
            <w:r w:rsidRPr="00F077B6">
              <w:rPr>
                <w:szCs w:val="24"/>
              </w:rPr>
              <w:t>Under the move to a mineral by mineral assessment, the effective rate applying to lump iron ore decreased, decreasing Western Australia’s assessed revenue raising capacity and increasing its GST. The effective rate on export coal increased, increasing the assessed revenue raising capacity for New South Wales and Queensland, decreasing their GST shares. In Queensland’s case, the decrease was nearly exactly offset by an increase in GST resulting from the lower effective rate being applied to its major minerals other than coal.</w:t>
            </w:r>
          </w:p>
          <w:p w:rsidR="00F077B6" w:rsidRPr="009F6CB2" w:rsidRDefault="00F077B6" w:rsidP="009E6214">
            <w:pPr>
              <w:keepNext/>
              <w:spacing w:before="120" w:after="120" w:line="280" w:lineRule="atLeast"/>
              <w:rPr>
                <w:sz w:val="22"/>
              </w:rPr>
            </w:pPr>
            <w:r w:rsidRPr="00F077B6">
              <w:rPr>
                <w:szCs w:val="24"/>
              </w:rPr>
              <w:t>Applying the average royalty rate to iron ore fines increased the effective rate applying to iron ore overall, increasing Western Australia’s assessed revenue raising capacity and decreasing its share of GST. This was the larger effect for Western Australia.</w:t>
            </w:r>
          </w:p>
        </w:tc>
      </w:tr>
    </w:tbl>
    <w:p w:rsidR="00195B81" w:rsidRDefault="00195B81" w:rsidP="00195B81">
      <w:bookmarkStart w:id="418" w:name="_Toc391023239"/>
      <w:bookmarkStart w:id="419" w:name="_Toc410741665"/>
      <w:bookmarkStart w:id="420" w:name="_Toc410744216"/>
      <w:bookmarkStart w:id="421" w:name="_Toc411511205"/>
      <w:bookmarkStart w:id="422" w:name="_Toc411511658"/>
      <w:bookmarkStart w:id="423" w:name="_Toc411924598"/>
      <w:bookmarkStart w:id="424" w:name="_Toc391023240"/>
    </w:p>
    <w:p w:rsidR="00A665A9" w:rsidRPr="00EC79CF" w:rsidRDefault="00A665A9" w:rsidP="00A665A9">
      <w:pPr>
        <w:pStyle w:val="Heading3"/>
      </w:pPr>
      <w:r w:rsidRPr="00EC79CF">
        <w:lastRenderedPageBreak/>
        <w:t>Mining related expenditure</w:t>
      </w:r>
      <w:bookmarkEnd w:id="418"/>
      <w:bookmarkEnd w:id="419"/>
      <w:bookmarkEnd w:id="420"/>
      <w:bookmarkEnd w:id="421"/>
      <w:bookmarkEnd w:id="422"/>
      <w:bookmarkEnd w:id="423"/>
    </w:p>
    <w:p w:rsidR="00A665A9" w:rsidRPr="00EC79CF" w:rsidRDefault="00A665A9" w:rsidP="00A665A9">
      <w:pPr>
        <w:pStyle w:val="Heading4"/>
      </w:pPr>
      <w:r w:rsidRPr="00EC79CF">
        <w:t>Background</w:t>
      </w:r>
    </w:p>
    <w:p w:rsidR="00A665A9" w:rsidRPr="00EC79CF" w:rsidRDefault="00A665A9" w:rsidP="00C20E52">
      <w:pPr>
        <w:pStyle w:val="CGCNumberedPara"/>
        <w:numPr>
          <w:ilvl w:val="1"/>
          <w:numId w:val="2"/>
        </w:numPr>
      </w:pPr>
      <w:r w:rsidRPr="00EC79CF">
        <w:t>The terms of reference ask the Commission to:</w:t>
      </w:r>
    </w:p>
    <w:p w:rsidR="00A665A9" w:rsidRPr="00EC79CF" w:rsidRDefault="00A665A9" w:rsidP="00A665A9">
      <w:pPr>
        <w:pStyle w:val="CGCQuotation"/>
      </w:pPr>
      <w:r w:rsidRPr="00EC79CF">
        <w:t xml:space="preserve">… </w:t>
      </w:r>
      <w:proofErr w:type="gramStart"/>
      <w:r w:rsidRPr="00EC79CF">
        <w:t>have</w:t>
      </w:r>
      <w:proofErr w:type="gramEnd"/>
      <w:r w:rsidRPr="00EC79CF">
        <w:t xml:space="preserve"> regard to the recommendations of the final report of the GST Distribution Review to … consider the appropriate treatment of mining related expenditure.</w:t>
      </w:r>
    </w:p>
    <w:p w:rsidR="00A665A9" w:rsidRPr="00EC79CF" w:rsidRDefault="00A665A9" w:rsidP="00C20E52">
      <w:pPr>
        <w:pStyle w:val="CGCNumberedPara"/>
        <w:numPr>
          <w:ilvl w:val="1"/>
          <w:numId w:val="2"/>
        </w:numPr>
      </w:pPr>
      <w:r w:rsidRPr="00EC79CF">
        <w:t xml:space="preserve">The GST Distribution Review concluded that, while most of the direct mining related needs of Queensland and Western Australia are recognised in the Commission’s assessments, some small gaps exist. It recommended the Commission re-examine mining related expenditures in the next methodology review. </w:t>
      </w:r>
    </w:p>
    <w:p w:rsidR="00A665A9" w:rsidRPr="00EC79CF" w:rsidRDefault="00A665A9" w:rsidP="00C20E52">
      <w:pPr>
        <w:pStyle w:val="CGCNumberedPara"/>
        <w:numPr>
          <w:ilvl w:val="1"/>
          <w:numId w:val="2"/>
        </w:numPr>
      </w:pPr>
      <w:r w:rsidRPr="00EC79CF">
        <w:t>In the 2010 Review</w:t>
      </w:r>
      <w:r w:rsidR="00007FF0" w:rsidRPr="00EC79CF">
        <w:t>,</w:t>
      </w:r>
      <w:r w:rsidRPr="00EC79CF">
        <w:t xml:space="preserve"> the Commission changed the way it assessed State infrastructure investment, to more directly reflect the impact of population growth. This captured the impact of fast growing economies on State infrastructure requirements, driven by mining or other sectors. In the 2010 Review, the Commission also considered the influences on State business development expenditure but concluded that the nature of a State’s economy does not determine how actively it attempts to develop its economy.</w:t>
      </w:r>
    </w:p>
    <w:p w:rsidR="00A665A9" w:rsidRPr="00EC79CF" w:rsidRDefault="00A665A9" w:rsidP="00C20E52">
      <w:pPr>
        <w:pStyle w:val="CGCNumberedPara"/>
        <w:numPr>
          <w:ilvl w:val="1"/>
          <w:numId w:val="2"/>
        </w:numPr>
      </w:pPr>
      <w:r w:rsidRPr="00EC79CF">
        <w:t>We have reconsidered whether there are any other unassessed needs relating to mining related expenditure in the review.</w:t>
      </w:r>
    </w:p>
    <w:p w:rsidR="00416805" w:rsidRDefault="00A665A9" w:rsidP="00416805">
      <w:pPr>
        <w:pStyle w:val="CGCNumberedPara"/>
      </w:pPr>
      <w:r w:rsidRPr="00EC79CF">
        <w:t xml:space="preserve">States have provided information about how much they spend on direct mining related activities. </w:t>
      </w:r>
      <w:r w:rsidR="00416805" w:rsidRPr="00EC79CF">
        <w:fldChar w:fldCharType="begin"/>
      </w:r>
      <w:r w:rsidR="00416805" w:rsidRPr="00EC79CF">
        <w:instrText xml:space="preserve"> REF _Ref410722160 \h </w:instrText>
      </w:r>
      <w:r w:rsidR="00416805">
        <w:instrText xml:space="preserve"> \* MERGEFORMAT </w:instrText>
      </w:r>
      <w:r w:rsidR="00416805" w:rsidRPr="00EC79CF">
        <w:fldChar w:fldCharType="separate"/>
      </w:r>
      <w:r w:rsidR="003A5DEE" w:rsidRPr="00EC79CF">
        <w:t xml:space="preserve">Table </w:t>
      </w:r>
      <w:r w:rsidR="003A5DEE">
        <w:rPr>
          <w:noProof/>
        </w:rPr>
        <w:t>2</w:t>
      </w:r>
      <w:r w:rsidR="00416805" w:rsidRPr="00EC79CF">
        <w:fldChar w:fldCharType="end"/>
      </w:r>
      <w:r w:rsidR="00416805" w:rsidRPr="00EC79CF">
        <w:t xml:space="preserve"> below provides the da</w:t>
      </w:r>
      <w:r w:rsidR="00416805">
        <w:t>ta we received from the States.</w:t>
      </w:r>
    </w:p>
    <w:p w:rsidR="00416805" w:rsidRDefault="00416805" w:rsidP="00416805">
      <w:pPr>
        <w:pStyle w:val="CGCNumberedPara"/>
        <w:numPr>
          <w:ilvl w:val="1"/>
          <w:numId w:val="2"/>
        </w:numPr>
      </w:pPr>
      <w:r w:rsidRPr="00EC79CF">
        <w:t xml:space="preserve">Western Australia was unable to provide data on direct mining expenditures due to difficulties in identifying relevant expenditures and the inability to apportion costs between mining and non-mining related activity. Instead, Western Australia provided data on the level and purpose of spending through its Royalties for Regions (RFR) program explaining that much of this spending is support for its mining economy. </w:t>
      </w:r>
    </w:p>
    <w:p w:rsidR="00416805" w:rsidRPr="00EC79CF" w:rsidRDefault="00416805" w:rsidP="00416805">
      <w:pPr>
        <w:pStyle w:val="CGCNumberedPara"/>
        <w:numPr>
          <w:ilvl w:val="1"/>
          <w:numId w:val="2"/>
        </w:numPr>
      </w:pPr>
      <w:r w:rsidRPr="00EC79CF">
        <w:t>Western Australia’s RFR expenditure in 2012</w:t>
      </w:r>
      <w:r w:rsidRPr="00EC79CF">
        <w:noBreakHyphen/>
        <w:t>13 was $1 billion. Similar amounts were allocated to the program in 2010</w:t>
      </w:r>
      <w:r w:rsidRPr="00EC79CF">
        <w:noBreakHyphen/>
        <w:t>11 and 2011</w:t>
      </w:r>
      <w:r w:rsidRPr="00EC79CF">
        <w:noBreakHyphen/>
        <w:t>12. Over 75% of RFR expenditure was for social and economic infrastructure in the regions, including schools, hospital</w:t>
      </w:r>
      <w:r>
        <w:t>s</w:t>
      </w:r>
      <w:r w:rsidRPr="00EC79CF">
        <w:t>, courts, police facilities, community amenities, town infrastructure, housing, electricity, water, irrigation projects and other community development. About a quarter of the infrastructure expenditure was provided to local government for community amenities. The other 25% of RFR expenditure was for recurrent purposes, including pensioner fuel subsidies, regional worker loadings, mining exploration, community events, tourism promotion and local government reform.</w:t>
      </w:r>
    </w:p>
    <w:p w:rsidR="00A665A9" w:rsidRDefault="00A665A9" w:rsidP="00007FF0">
      <w:pPr>
        <w:pStyle w:val="CGCTableHeading"/>
      </w:pPr>
      <w:bookmarkStart w:id="425" w:name="_Ref410722160"/>
      <w:r w:rsidRPr="00EC79CF">
        <w:lastRenderedPageBreak/>
        <w:t xml:space="preserve">Table </w:t>
      </w:r>
      <w:fldSimple w:instr=" SEQ Table \* ARABIC ">
        <w:r w:rsidR="003A5DEE">
          <w:rPr>
            <w:noProof/>
          </w:rPr>
          <w:t>2</w:t>
        </w:r>
      </w:fldSimple>
      <w:bookmarkEnd w:id="425"/>
      <w:r w:rsidRPr="00EC79CF">
        <w:tab/>
        <w:t>Mining related expenditure, annual average spending for 2010-11 to 2012</w:t>
      </w:r>
      <w:r w:rsidRPr="00EC79CF">
        <w:noBreakHyphen/>
        <w:t>13</w:t>
      </w:r>
    </w:p>
    <w:tbl>
      <w:tblPr>
        <w:tblW w:w="9081" w:type="dxa"/>
        <w:tblLayout w:type="fixed"/>
        <w:tblCellMar>
          <w:left w:w="0" w:type="dxa"/>
          <w:right w:w="0" w:type="dxa"/>
        </w:tblCellMar>
        <w:tblLook w:val="04A0" w:firstRow="1" w:lastRow="0" w:firstColumn="1" w:lastColumn="0" w:noHBand="0" w:noVBand="1"/>
      </w:tblPr>
      <w:tblGrid>
        <w:gridCol w:w="2977"/>
        <w:gridCol w:w="559"/>
        <w:gridCol w:w="559"/>
        <w:gridCol w:w="560"/>
        <w:gridCol w:w="559"/>
        <w:gridCol w:w="560"/>
        <w:gridCol w:w="559"/>
        <w:gridCol w:w="560"/>
        <w:gridCol w:w="559"/>
        <w:gridCol w:w="560"/>
        <w:gridCol w:w="1069"/>
      </w:tblGrid>
      <w:tr w:rsidR="00BB417B" w:rsidRPr="00393BE8" w:rsidTr="004B6F2B">
        <w:trPr>
          <w:trHeight w:val="795"/>
        </w:trPr>
        <w:tc>
          <w:tcPr>
            <w:tcW w:w="2977" w:type="dxa"/>
            <w:tcBorders>
              <w:top w:val="single" w:sz="4" w:space="0" w:color="auto"/>
              <w:left w:val="nil"/>
              <w:bottom w:val="single" w:sz="4" w:space="0" w:color="auto"/>
              <w:right w:val="nil"/>
            </w:tcBorders>
            <w:shd w:val="clear" w:color="auto" w:fill="auto"/>
            <w:noWrap/>
            <w:vAlign w:val="center"/>
            <w:hideMark/>
          </w:tcPr>
          <w:p w:rsidR="00BB417B" w:rsidRPr="00393BE8" w:rsidRDefault="00BB417B" w:rsidP="004B6F2B">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 </w:t>
            </w:r>
          </w:p>
        </w:tc>
        <w:tc>
          <w:tcPr>
            <w:tcW w:w="559" w:type="dxa"/>
            <w:tcBorders>
              <w:top w:val="single" w:sz="4" w:space="0" w:color="auto"/>
              <w:left w:val="nil"/>
              <w:bottom w:val="single" w:sz="4" w:space="0" w:color="auto"/>
              <w:right w:val="nil"/>
            </w:tcBorders>
            <w:shd w:val="clear" w:color="auto" w:fill="auto"/>
            <w:noWrap/>
            <w:vAlign w:val="center"/>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NSW</w:t>
            </w:r>
          </w:p>
        </w:tc>
        <w:tc>
          <w:tcPr>
            <w:tcW w:w="559" w:type="dxa"/>
            <w:tcBorders>
              <w:top w:val="single" w:sz="4" w:space="0" w:color="auto"/>
              <w:left w:val="nil"/>
              <w:bottom w:val="single" w:sz="4" w:space="0" w:color="auto"/>
              <w:right w:val="nil"/>
            </w:tcBorders>
            <w:shd w:val="clear" w:color="auto" w:fill="auto"/>
            <w:noWrap/>
            <w:vAlign w:val="center"/>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Vic</w:t>
            </w:r>
          </w:p>
        </w:tc>
        <w:tc>
          <w:tcPr>
            <w:tcW w:w="560" w:type="dxa"/>
            <w:tcBorders>
              <w:top w:val="single" w:sz="4" w:space="0" w:color="auto"/>
              <w:left w:val="nil"/>
              <w:bottom w:val="single" w:sz="4" w:space="0" w:color="auto"/>
              <w:right w:val="nil"/>
            </w:tcBorders>
            <w:shd w:val="clear" w:color="auto" w:fill="auto"/>
            <w:noWrap/>
            <w:vAlign w:val="center"/>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Qld</w:t>
            </w:r>
          </w:p>
        </w:tc>
        <w:tc>
          <w:tcPr>
            <w:tcW w:w="559" w:type="dxa"/>
            <w:tcBorders>
              <w:top w:val="single" w:sz="4" w:space="0" w:color="auto"/>
              <w:left w:val="nil"/>
              <w:bottom w:val="single" w:sz="4" w:space="0" w:color="auto"/>
              <w:right w:val="nil"/>
            </w:tcBorders>
            <w:shd w:val="clear" w:color="auto" w:fill="auto"/>
            <w:noWrap/>
            <w:vAlign w:val="center"/>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WA(b)</w:t>
            </w:r>
          </w:p>
        </w:tc>
        <w:tc>
          <w:tcPr>
            <w:tcW w:w="560" w:type="dxa"/>
            <w:tcBorders>
              <w:top w:val="single" w:sz="4" w:space="0" w:color="auto"/>
              <w:left w:val="nil"/>
              <w:bottom w:val="single" w:sz="4" w:space="0" w:color="auto"/>
              <w:right w:val="nil"/>
            </w:tcBorders>
            <w:shd w:val="clear" w:color="auto" w:fill="auto"/>
            <w:noWrap/>
            <w:vAlign w:val="center"/>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SA(a)</w:t>
            </w:r>
          </w:p>
        </w:tc>
        <w:tc>
          <w:tcPr>
            <w:tcW w:w="559" w:type="dxa"/>
            <w:tcBorders>
              <w:top w:val="single" w:sz="4" w:space="0" w:color="auto"/>
              <w:left w:val="nil"/>
              <w:bottom w:val="single" w:sz="4" w:space="0" w:color="auto"/>
              <w:right w:val="nil"/>
            </w:tcBorders>
            <w:shd w:val="clear" w:color="auto" w:fill="auto"/>
            <w:noWrap/>
            <w:vAlign w:val="center"/>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Tas</w:t>
            </w:r>
            <w:proofErr w:type="spellEnd"/>
          </w:p>
        </w:tc>
        <w:tc>
          <w:tcPr>
            <w:tcW w:w="560" w:type="dxa"/>
            <w:tcBorders>
              <w:top w:val="single" w:sz="4" w:space="0" w:color="auto"/>
              <w:left w:val="nil"/>
              <w:bottom w:val="single" w:sz="4" w:space="0" w:color="auto"/>
              <w:right w:val="nil"/>
            </w:tcBorders>
            <w:shd w:val="clear" w:color="auto" w:fill="auto"/>
            <w:noWrap/>
            <w:vAlign w:val="center"/>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ACT</w:t>
            </w:r>
          </w:p>
        </w:tc>
        <w:tc>
          <w:tcPr>
            <w:tcW w:w="559" w:type="dxa"/>
            <w:tcBorders>
              <w:top w:val="single" w:sz="4" w:space="0" w:color="auto"/>
              <w:left w:val="nil"/>
              <w:bottom w:val="single" w:sz="4" w:space="0" w:color="auto"/>
              <w:right w:val="nil"/>
            </w:tcBorders>
            <w:shd w:val="clear" w:color="auto" w:fill="auto"/>
            <w:noWrap/>
            <w:vAlign w:val="center"/>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NT</w:t>
            </w:r>
          </w:p>
        </w:tc>
        <w:tc>
          <w:tcPr>
            <w:tcW w:w="560" w:type="dxa"/>
            <w:tcBorders>
              <w:top w:val="single" w:sz="4" w:space="0" w:color="auto"/>
              <w:left w:val="nil"/>
              <w:bottom w:val="single" w:sz="4" w:space="0" w:color="auto"/>
              <w:right w:val="nil"/>
            </w:tcBorders>
            <w:shd w:val="clear" w:color="auto" w:fill="auto"/>
            <w:noWrap/>
            <w:vAlign w:val="center"/>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 xml:space="preserve">Total </w:t>
            </w:r>
          </w:p>
        </w:tc>
        <w:tc>
          <w:tcPr>
            <w:tcW w:w="1069" w:type="dxa"/>
            <w:tcBorders>
              <w:top w:val="single" w:sz="4" w:space="0" w:color="auto"/>
              <w:left w:val="nil"/>
              <w:bottom w:val="single" w:sz="4" w:space="0" w:color="auto"/>
              <w:right w:val="nil"/>
            </w:tcBorders>
            <w:shd w:val="clear" w:color="auto" w:fill="auto"/>
            <w:vAlign w:val="center"/>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sz w:val="20"/>
                <w:szCs w:val="20"/>
                <w:lang w:eastAsia="en-AU"/>
              </w:rPr>
            </w:pPr>
            <w:r w:rsidRPr="00393BE8">
              <w:rPr>
                <w:rFonts w:ascii="Calibri" w:eastAsia="Times New Roman" w:hAnsi="Calibri" w:cs="Times New Roman"/>
                <w:sz w:val="20"/>
                <w:szCs w:val="20"/>
                <w:lang w:eastAsia="en-AU"/>
              </w:rPr>
              <w:t>Category or component expense</w:t>
            </w:r>
          </w:p>
        </w:tc>
      </w:tr>
      <w:tr w:rsidR="00BB417B" w:rsidRPr="00393BE8" w:rsidTr="004B6F2B">
        <w:trPr>
          <w:trHeight w:val="259"/>
        </w:trPr>
        <w:tc>
          <w:tcPr>
            <w:tcW w:w="2977"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$m</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$m</w:t>
            </w: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$m</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$m</w:t>
            </w: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$m</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$m</w:t>
            </w: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$m</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$m</w:t>
            </w: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$m</w:t>
            </w:r>
          </w:p>
        </w:tc>
        <w:tc>
          <w:tcPr>
            <w:tcW w:w="106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$m</w:t>
            </w:r>
          </w:p>
        </w:tc>
      </w:tr>
      <w:tr w:rsidR="00BB417B" w:rsidRPr="00393BE8" w:rsidTr="004B6F2B">
        <w:trPr>
          <w:trHeight w:val="315"/>
        </w:trPr>
        <w:tc>
          <w:tcPr>
            <w:tcW w:w="2977"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Recurrent expenses (net)</w:t>
            </w:r>
          </w:p>
        </w:tc>
        <w:tc>
          <w:tcPr>
            <w:tcW w:w="559"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59"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60"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59"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60"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59"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60"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59"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60"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1069"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sz w:val="20"/>
                <w:szCs w:val="20"/>
                <w:lang w:eastAsia="en-AU"/>
              </w:rPr>
            </w:pPr>
          </w:p>
        </w:tc>
      </w:tr>
      <w:tr w:rsidR="00BB417B" w:rsidRPr="00393BE8" w:rsidTr="004B6F2B">
        <w:trPr>
          <w:trHeight w:val="315"/>
        </w:trPr>
        <w:tc>
          <w:tcPr>
            <w:tcW w:w="2977"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ind w:left="193" w:firstLineChars="100" w:firstLine="200"/>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Roads</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na</w:t>
            </w:r>
            <w:proofErr w:type="spellEnd"/>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90</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na</w:t>
            </w:r>
            <w:proofErr w:type="spellEnd"/>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90</w:t>
            </w:r>
          </w:p>
        </w:tc>
        <w:tc>
          <w:tcPr>
            <w:tcW w:w="106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sz w:val="20"/>
                <w:szCs w:val="20"/>
                <w:lang w:eastAsia="en-AU"/>
              </w:rPr>
            </w:pPr>
            <w:r w:rsidRPr="00393BE8">
              <w:rPr>
                <w:rFonts w:ascii="Calibri" w:eastAsia="Times New Roman" w:hAnsi="Calibri" w:cs="Times New Roman"/>
                <w:sz w:val="20"/>
                <w:szCs w:val="20"/>
                <w:lang w:eastAsia="en-AU"/>
              </w:rPr>
              <w:t>6 494</w:t>
            </w:r>
          </w:p>
        </w:tc>
      </w:tr>
      <w:tr w:rsidR="00BB417B" w:rsidRPr="00393BE8" w:rsidTr="004B6F2B">
        <w:trPr>
          <w:trHeight w:val="315"/>
        </w:trPr>
        <w:tc>
          <w:tcPr>
            <w:tcW w:w="2977"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ind w:left="193" w:firstLineChars="100" w:firstLine="200"/>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Service to industry</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106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sz w:val="20"/>
                <w:szCs w:val="20"/>
                <w:lang w:eastAsia="en-AU"/>
              </w:rPr>
            </w:pPr>
          </w:p>
        </w:tc>
      </w:tr>
      <w:tr w:rsidR="00BB417B" w:rsidRPr="00393BE8" w:rsidTr="004B6F2B">
        <w:trPr>
          <w:trHeight w:val="315"/>
        </w:trPr>
        <w:tc>
          <w:tcPr>
            <w:tcW w:w="2977"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ind w:left="193" w:firstLineChars="200" w:firstLine="400"/>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Business development (c)</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na</w:t>
            </w:r>
            <w:proofErr w:type="spellEnd"/>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56</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na</w:t>
            </w:r>
            <w:proofErr w:type="spellEnd"/>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56</w:t>
            </w:r>
          </w:p>
        </w:tc>
        <w:tc>
          <w:tcPr>
            <w:tcW w:w="106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sz w:val="20"/>
                <w:szCs w:val="20"/>
                <w:lang w:eastAsia="en-AU"/>
              </w:rPr>
            </w:pPr>
            <w:r w:rsidRPr="00393BE8">
              <w:rPr>
                <w:rFonts w:ascii="Calibri" w:eastAsia="Times New Roman" w:hAnsi="Calibri" w:cs="Times New Roman"/>
                <w:sz w:val="20"/>
                <w:szCs w:val="20"/>
                <w:lang w:eastAsia="en-AU"/>
              </w:rPr>
              <w:t>3 438</w:t>
            </w:r>
          </w:p>
        </w:tc>
      </w:tr>
      <w:tr w:rsidR="00BB417B" w:rsidRPr="00393BE8" w:rsidTr="004B6F2B">
        <w:trPr>
          <w:trHeight w:val="315"/>
        </w:trPr>
        <w:tc>
          <w:tcPr>
            <w:tcW w:w="2977"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ind w:left="193" w:firstLineChars="200" w:firstLine="400"/>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Regulation</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72</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na</w:t>
            </w:r>
            <w:proofErr w:type="spellEnd"/>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7</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na</w:t>
            </w:r>
            <w:proofErr w:type="spellEnd"/>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18</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5</w:t>
            </w: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103</w:t>
            </w:r>
          </w:p>
        </w:tc>
        <w:tc>
          <w:tcPr>
            <w:tcW w:w="106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sz w:val="20"/>
                <w:szCs w:val="20"/>
                <w:lang w:eastAsia="en-AU"/>
              </w:rPr>
            </w:pPr>
            <w:r w:rsidRPr="00393BE8">
              <w:rPr>
                <w:rFonts w:ascii="Calibri" w:eastAsia="Times New Roman" w:hAnsi="Calibri" w:cs="Times New Roman"/>
                <w:sz w:val="20"/>
                <w:szCs w:val="20"/>
                <w:lang w:eastAsia="en-AU"/>
              </w:rPr>
              <w:t>2 164</w:t>
            </w:r>
          </w:p>
        </w:tc>
      </w:tr>
      <w:tr w:rsidR="00BB417B" w:rsidRPr="00393BE8" w:rsidTr="004B6F2B">
        <w:trPr>
          <w:trHeight w:val="315"/>
        </w:trPr>
        <w:tc>
          <w:tcPr>
            <w:tcW w:w="2977"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ind w:left="193" w:firstLineChars="100" w:firstLine="200"/>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Protection of the environment</w:t>
            </w:r>
          </w:p>
        </w:tc>
        <w:tc>
          <w:tcPr>
            <w:tcW w:w="559"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na</w:t>
            </w:r>
            <w:proofErr w:type="spellEnd"/>
          </w:p>
        </w:tc>
        <w:tc>
          <w:tcPr>
            <w:tcW w:w="560"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22</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na</w:t>
            </w:r>
            <w:proofErr w:type="spellEnd"/>
          </w:p>
        </w:tc>
        <w:tc>
          <w:tcPr>
            <w:tcW w:w="560"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60"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22</w:t>
            </w:r>
          </w:p>
        </w:tc>
        <w:tc>
          <w:tcPr>
            <w:tcW w:w="1069"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sz w:val="20"/>
                <w:szCs w:val="20"/>
                <w:lang w:eastAsia="en-AU"/>
              </w:rPr>
            </w:pPr>
            <w:r w:rsidRPr="00393BE8">
              <w:rPr>
                <w:rFonts w:ascii="Calibri" w:eastAsia="Times New Roman" w:hAnsi="Calibri" w:cs="Times New Roman"/>
                <w:sz w:val="20"/>
                <w:szCs w:val="20"/>
                <w:lang w:eastAsia="en-AU"/>
              </w:rPr>
              <w:t>2 283</w:t>
            </w:r>
          </w:p>
        </w:tc>
      </w:tr>
      <w:tr w:rsidR="00BB417B" w:rsidRPr="00393BE8" w:rsidTr="004B6F2B">
        <w:trPr>
          <w:trHeight w:val="315"/>
        </w:trPr>
        <w:tc>
          <w:tcPr>
            <w:tcW w:w="2977"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ind w:left="193" w:firstLineChars="100" w:firstLine="200"/>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Other</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na</w:t>
            </w:r>
            <w:proofErr w:type="spellEnd"/>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27</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na</w:t>
            </w:r>
            <w:proofErr w:type="spellEnd"/>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60" w:type="dxa"/>
            <w:tcBorders>
              <w:top w:val="nil"/>
              <w:left w:val="nil"/>
              <w:bottom w:val="single" w:sz="4" w:space="0" w:color="auto"/>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27</w:t>
            </w:r>
          </w:p>
        </w:tc>
        <w:tc>
          <w:tcPr>
            <w:tcW w:w="106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sz w:val="20"/>
                <w:szCs w:val="20"/>
                <w:lang w:eastAsia="en-AU"/>
              </w:rPr>
            </w:pPr>
            <w:r w:rsidRPr="00393BE8">
              <w:rPr>
                <w:rFonts w:ascii="Calibri" w:eastAsia="Times New Roman" w:hAnsi="Calibri" w:cs="Times New Roman"/>
                <w:sz w:val="20"/>
                <w:szCs w:val="20"/>
                <w:lang w:eastAsia="en-AU"/>
              </w:rPr>
              <w:t>174 041</w:t>
            </w:r>
          </w:p>
        </w:tc>
      </w:tr>
      <w:tr w:rsidR="00BB417B" w:rsidRPr="00393BE8" w:rsidTr="004B6F2B">
        <w:trPr>
          <w:trHeight w:val="315"/>
        </w:trPr>
        <w:tc>
          <w:tcPr>
            <w:tcW w:w="2977"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ind w:left="193" w:firstLineChars="100" w:firstLine="200"/>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Total recurrent expenses</w:t>
            </w:r>
          </w:p>
        </w:tc>
        <w:tc>
          <w:tcPr>
            <w:tcW w:w="559" w:type="dxa"/>
            <w:tcBorders>
              <w:top w:val="single" w:sz="4" w:space="0" w:color="auto"/>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72</w:t>
            </w:r>
          </w:p>
        </w:tc>
        <w:tc>
          <w:tcPr>
            <w:tcW w:w="559" w:type="dxa"/>
            <w:tcBorders>
              <w:top w:val="single" w:sz="4" w:space="0" w:color="auto"/>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na</w:t>
            </w:r>
            <w:proofErr w:type="spellEnd"/>
          </w:p>
        </w:tc>
        <w:tc>
          <w:tcPr>
            <w:tcW w:w="560" w:type="dxa"/>
            <w:tcBorders>
              <w:top w:val="single" w:sz="4" w:space="0" w:color="auto"/>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203</w:t>
            </w:r>
          </w:p>
        </w:tc>
        <w:tc>
          <w:tcPr>
            <w:tcW w:w="559" w:type="dxa"/>
            <w:tcBorders>
              <w:top w:val="single" w:sz="4" w:space="0" w:color="auto"/>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na</w:t>
            </w:r>
            <w:proofErr w:type="spellEnd"/>
          </w:p>
        </w:tc>
        <w:tc>
          <w:tcPr>
            <w:tcW w:w="560" w:type="dxa"/>
            <w:tcBorders>
              <w:top w:val="single" w:sz="4" w:space="0" w:color="auto"/>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18</w:t>
            </w:r>
          </w:p>
        </w:tc>
        <w:tc>
          <w:tcPr>
            <w:tcW w:w="559" w:type="dxa"/>
            <w:tcBorders>
              <w:top w:val="single" w:sz="4" w:space="0" w:color="auto"/>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5</w:t>
            </w:r>
          </w:p>
        </w:tc>
        <w:tc>
          <w:tcPr>
            <w:tcW w:w="560" w:type="dxa"/>
            <w:tcBorders>
              <w:top w:val="single" w:sz="4" w:space="0" w:color="auto"/>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single" w:sz="4" w:space="0" w:color="auto"/>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60"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299</w:t>
            </w:r>
          </w:p>
        </w:tc>
        <w:tc>
          <w:tcPr>
            <w:tcW w:w="1069" w:type="dxa"/>
            <w:tcBorders>
              <w:top w:val="single" w:sz="4" w:space="0" w:color="auto"/>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sz w:val="20"/>
                <w:szCs w:val="20"/>
                <w:lang w:eastAsia="en-AU"/>
              </w:rPr>
            </w:pPr>
            <w:r w:rsidRPr="00393BE8">
              <w:rPr>
                <w:rFonts w:ascii="Calibri" w:eastAsia="Times New Roman" w:hAnsi="Calibri" w:cs="Times New Roman"/>
                <w:sz w:val="20"/>
                <w:szCs w:val="20"/>
                <w:lang w:eastAsia="en-AU"/>
              </w:rPr>
              <w:t>188 419</w:t>
            </w:r>
          </w:p>
        </w:tc>
      </w:tr>
      <w:tr w:rsidR="00BB417B" w:rsidRPr="00393BE8" w:rsidTr="004B6F2B">
        <w:trPr>
          <w:trHeight w:val="315"/>
        </w:trPr>
        <w:tc>
          <w:tcPr>
            <w:tcW w:w="2977"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Capital expenditure</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106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rPr>
                <w:rFonts w:ascii="Calibri" w:eastAsia="Times New Roman" w:hAnsi="Calibri" w:cs="Times New Roman"/>
                <w:sz w:val="20"/>
                <w:szCs w:val="20"/>
                <w:lang w:eastAsia="en-AU"/>
              </w:rPr>
            </w:pPr>
          </w:p>
        </w:tc>
      </w:tr>
      <w:tr w:rsidR="00BB417B" w:rsidRPr="00393BE8" w:rsidTr="004B6F2B">
        <w:trPr>
          <w:trHeight w:val="315"/>
        </w:trPr>
        <w:tc>
          <w:tcPr>
            <w:tcW w:w="2977"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ind w:left="193" w:firstLineChars="100" w:firstLine="200"/>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Roads</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na</w:t>
            </w:r>
            <w:proofErr w:type="spellEnd"/>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87</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na</w:t>
            </w:r>
            <w:proofErr w:type="spellEnd"/>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60"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87</w:t>
            </w:r>
          </w:p>
        </w:tc>
        <w:tc>
          <w:tcPr>
            <w:tcW w:w="1069"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sz w:val="20"/>
                <w:szCs w:val="20"/>
                <w:lang w:eastAsia="en-AU"/>
              </w:rPr>
            </w:pPr>
            <w:r w:rsidRPr="00393BE8">
              <w:rPr>
                <w:rFonts w:ascii="Calibri" w:eastAsia="Times New Roman" w:hAnsi="Calibri" w:cs="Times New Roman"/>
                <w:sz w:val="20"/>
                <w:szCs w:val="20"/>
                <w:lang w:eastAsia="en-AU"/>
              </w:rPr>
              <w:t>4 118</w:t>
            </w:r>
          </w:p>
        </w:tc>
      </w:tr>
      <w:tr w:rsidR="00BB417B" w:rsidRPr="00393BE8" w:rsidTr="004B6F2B">
        <w:trPr>
          <w:trHeight w:val="315"/>
        </w:trPr>
        <w:tc>
          <w:tcPr>
            <w:tcW w:w="2977" w:type="dxa"/>
            <w:tcBorders>
              <w:top w:val="nil"/>
              <w:left w:val="nil"/>
              <w:bottom w:val="nil"/>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ind w:left="193" w:firstLineChars="100" w:firstLine="200"/>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Non-roads</w:t>
            </w:r>
          </w:p>
        </w:tc>
        <w:tc>
          <w:tcPr>
            <w:tcW w:w="559" w:type="dxa"/>
            <w:tcBorders>
              <w:top w:val="nil"/>
              <w:left w:val="nil"/>
              <w:bottom w:val="single" w:sz="4" w:space="0" w:color="auto"/>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single" w:sz="4" w:space="0" w:color="auto"/>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na</w:t>
            </w:r>
            <w:proofErr w:type="spellEnd"/>
          </w:p>
        </w:tc>
        <w:tc>
          <w:tcPr>
            <w:tcW w:w="560" w:type="dxa"/>
            <w:tcBorders>
              <w:top w:val="nil"/>
              <w:left w:val="nil"/>
              <w:bottom w:val="single" w:sz="4" w:space="0" w:color="auto"/>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43</w:t>
            </w:r>
          </w:p>
        </w:tc>
        <w:tc>
          <w:tcPr>
            <w:tcW w:w="559" w:type="dxa"/>
            <w:tcBorders>
              <w:top w:val="nil"/>
              <w:left w:val="nil"/>
              <w:bottom w:val="single" w:sz="4" w:space="0" w:color="auto"/>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na</w:t>
            </w:r>
            <w:proofErr w:type="spellEnd"/>
          </w:p>
        </w:tc>
        <w:tc>
          <w:tcPr>
            <w:tcW w:w="560" w:type="dxa"/>
            <w:tcBorders>
              <w:top w:val="nil"/>
              <w:left w:val="nil"/>
              <w:bottom w:val="single" w:sz="4" w:space="0" w:color="auto"/>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single" w:sz="4" w:space="0" w:color="auto"/>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60" w:type="dxa"/>
            <w:tcBorders>
              <w:top w:val="nil"/>
              <w:left w:val="nil"/>
              <w:bottom w:val="single" w:sz="4" w:space="0" w:color="auto"/>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single" w:sz="4" w:space="0" w:color="auto"/>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60" w:type="dxa"/>
            <w:tcBorders>
              <w:top w:val="nil"/>
              <w:left w:val="nil"/>
              <w:bottom w:val="single" w:sz="4" w:space="0" w:color="auto"/>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43</w:t>
            </w:r>
          </w:p>
        </w:tc>
        <w:tc>
          <w:tcPr>
            <w:tcW w:w="1069" w:type="dxa"/>
            <w:tcBorders>
              <w:top w:val="nil"/>
              <w:left w:val="nil"/>
              <w:bottom w:val="single" w:sz="4" w:space="0" w:color="auto"/>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sz w:val="20"/>
                <w:szCs w:val="20"/>
                <w:lang w:eastAsia="en-AU"/>
              </w:rPr>
            </w:pPr>
            <w:r w:rsidRPr="00393BE8">
              <w:rPr>
                <w:rFonts w:ascii="Calibri" w:eastAsia="Times New Roman" w:hAnsi="Calibri" w:cs="Times New Roman"/>
                <w:sz w:val="20"/>
                <w:szCs w:val="20"/>
                <w:lang w:eastAsia="en-AU"/>
              </w:rPr>
              <w:t>14 401</w:t>
            </w:r>
          </w:p>
        </w:tc>
      </w:tr>
      <w:tr w:rsidR="00BB417B" w:rsidRPr="00393BE8" w:rsidTr="004B6F2B">
        <w:trPr>
          <w:trHeight w:val="315"/>
        </w:trPr>
        <w:tc>
          <w:tcPr>
            <w:tcW w:w="2977" w:type="dxa"/>
            <w:tcBorders>
              <w:top w:val="nil"/>
              <w:left w:val="nil"/>
              <w:bottom w:val="nil"/>
              <w:right w:val="nil"/>
            </w:tcBorders>
            <w:shd w:val="clear" w:color="auto" w:fill="auto"/>
            <w:vAlign w:val="bottom"/>
            <w:hideMark/>
          </w:tcPr>
          <w:p w:rsidR="00BB417B" w:rsidRPr="00393BE8" w:rsidRDefault="00BB417B" w:rsidP="004B6F2B">
            <w:pPr>
              <w:keepNext/>
              <w:keepLines/>
              <w:tabs>
                <w:tab w:val="clear" w:pos="567"/>
              </w:tabs>
              <w:spacing w:after="0" w:line="240" w:lineRule="auto"/>
              <w:ind w:left="193" w:firstLineChars="100" w:firstLine="200"/>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Total capital expenditure</w:t>
            </w:r>
          </w:p>
        </w:tc>
        <w:tc>
          <w:tcPr>
            <w:tcW w:w="559" w:type="dxa"/>
            <w:tcBorders>
              <w:top w:val="nil"/>
              <w:left w:val="nil"/>
              <w:bottom w:val="single" w:sz="4" w:space="0" w:color="auto"/>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single" w:sz="4" w:space="0" w:color="auto"/>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na</w:t>
            </w:r>
            <w:proofErr w:type="spellEnd"/>
          </w:p>
        </w:tc>
        <w:tc>
          <w:tcPr>
            <w:tcW w:w="560" w:type="dxa"/>
            <w:tcBorders>
              <w:top w:val="nil"/>
              <w:left w:val="nil"/>
              <w:bottom w:val="single" w:sz="4" w:space="0" w:color="auto"/>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131</w:t>
            </w:r>
          </w:p>
        </w:tc>
        <w:tc>
          <w:tcPr>
            <w:tcW w:w="559" w:type="dxa"/>
            <w:tcBorders>
              <w:top w:val="nil"/>
              <w:left w:val="nil"/>
              <w:bottom w:val="single" w:sz="4" w:space="0" w:color="auto"/>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na</w:t>
            </w:r>
            <w:proofErr w:type="spellEnd"/>
          </w:p>
        </w:tc>
        <w:tc>
          <w:tcPr>
            <w:tcW w:w="560" w:type="dxa"/>
            <w:tcBorders>
              <w:top w:val="nil"/>
              <w:left w:val="nil"/>
              <w:bottom w:val="single" w:sz="4" w:space="0" w:color="auto"/>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single" w:sz="4" w:space="0" w:color="auto"/>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60" w:type="dxa"/>
            <w:tcBorders>
              <w:top w:val="nil"/>
              <w:left w:val="nil"/>
              <w:bottom w:val="single" w:sz="4" w:space="0" w:color="auto"/>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single" w:sz="4" w:space="0" w:color="auto"/>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60" w:type="dxa"/>
            <w:tcBorders>
              <w:top w:val="nil"/>
              <w:left w:val="nil"/>
              <w:bottom w:val="single" w:sz="4" w:space="0" w:color="auto"/>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131</w:t>
            </w:r>
          </w:p>
        </w:tc>
        <w:tc>
          <w:tcPr>
            <w:tcW w:w="1069" w:type="dxa"/>
            <w:tcBorders>
              <w:top w:val="nil"/>
              <w:left w:val="nil"/>
              <w:bottom w:val="single" w:sz="4" w:space="0" w:color="auto"/>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sz w:val="20"/>
                <w:szCs w:val="20"/>
                <w:lang w:eastAsia="en-AU"/>
              </w:rPr>
            </w:pPr>
            <w:r w:rsidRPr="00393BE8">
              <w:rPr>
                <w:rFonts w:ascii="Calibri" w:eastAsia="Times New Roman" w:hAnsi="Calibri" w:cs="Times New Roman"/>
                <w:sz w:val="20"/>
                <w:szCs w:val="20"/>
                <w:lang w:eastAsia="en-AU"/>
              </w:rPr>
              <w:t>18 519</w:t>
            </w:r>
          </w:p>
        </w:tc>
      </w:tr>
      <w:tr w:rsidR="00BB417B" w:rsidRPr="00393BE8" w:rsidTr="004B6F2B">
        <w:trPr>
          <w:trHeight w:val="315"/>
        </w:trPr>
        <w:tc>
          <w:tcPr>
            <w:tcW w:w="2977" w:type="dxa"/>
            <w:tcBorders>
              <w:top w:val="nil"/>
              <w:left w:val="nil"/>
              <w:bottom w:val="single" w:sz="4" w:space="0" w:color="auto"/>
              <w:right w:val="nil"/>
            </w:tcBorders>
            <w:shd w:val="clear" w:color="auto" w:fill="auto"/>
            <w:vAlign w:val="bottom"/>
            <w:hideMark/>
          </w:tcPr>
          <w:p w:rsidR="00BB417B" w:rsidRPr="00393BE8" w:rsidRDefault="00BB417B" w:rsidP="004B6F2B">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Total State expenditure</w:t>
            </w:r>
          </w:p>
        </w:tc>
        <w:tc>
          <w:tcPr>
            <w:tcW w:w="559" w:type="dxa"/>
            <w:tcBorders>
              <w:top w:val="nil"/>
              <w:left w:val="nil"/>
              <w:bottom w:val="single" w:sz="4" w:space="0" w:color="auto"/>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72</w:t>
            </w:r>
          </w:p>
        </w:tc>
        <w:tc>
          <w:tcPr>
            <w:tcW w:w="559" w:type="dxa"/>
            <w:tcBorders>
              <w:top w:val="nil"/>
              <w:left w:val="nil"/>
              <w:bottom w:val="single" w:sz="4" w:space="0" w:color="auto"/>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na</w:t>
            </w:r>
            <w:proofErr w:type="spellEnd"/>
          </w:p>
        </w:tc>
        <w:tc>
          <w:tcPr>
            <w:tcW w:w="560" w:type="dxa"/>
            <w:tcBorders>
              <w:top w:val="nil"/>
              <w:left w:val="nil"/>
              <w:bottom w:val="single" w:sz="4" w:space="0" w:color="auto"/>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334</w:t>
            </w:r>
          </w:p>
        </w:tc>
        <w:tc>
          <w:tcPr>
            <w:tcW w:w="559" w:type="dxa"/>
            <w:tcBorders>
              <w:top w:val="nil"/>
              <w:left w:val="nil"/>
              <w:bottom w:val="single" w:sz="4" w:space="0" w:color="auto"/>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393BE8">
              <w:rPr>
                <w:rFonts w:ascii="Calibri" w:eastAsia="Times New Roman" w:hAnsi="Calibri" w:cs="Times New Roman"/>
                <w:color w:val="000000"/>
                <w:sz w:val="20"/>
                <w:szCs w:val="20"/>
                <w:lang w:eastAsia="en-AU"/>
              </w:rPr>
              <w:t>na</w:t>
            </w:r>
            <w:proofErr w:type="spellEnd"/>
          </w:p>
        </w:tc>
        <w:tc>
          <w:tcPr>
            <w:tcW w:w="560" w:type="dxa"/>
            <w:tcBorders>
              <w:top w:val="nil"/>
              <w:left w:val="nil"/>
              <w:bottom w:val="single" w:sz="4" w:space="0" w:color="auto"/>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18</w:t>
            </w:r>
          </w:p>
        </w:tc>
        <w:tc>
          <w:tcPr>
            <w:tcW w:w="559" w:type="dxa"/>
            <w:tcBorders>
              <w:top w:val="nil"/>
              <w:left w:val="nil"/>
              <w:bottom w:val="single" w:sz="4" w:space="0" w:color="auto"/>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5</w:t>
            </w:r>
          </w:p>
        </w:tc>
        <w:tc>
          <w:tcPr>
            <w:tcW w:w="560" w:type="dxa"/>
            <w:tcBorders>
              <w:top w:val="nil"/>
              <w:left w:val="nil"/>
              <w:bottom w:val="single" w:sz="4" w:space="0" w:color="auto"/>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59" w:type="dxa"/>
            <w:tcBorders>
              <w:top w:val="nil"/>
              <w:left w:val="nil"/>
              <w:bottom w:val="single" w:sz="4" w:space="0" w:color="auto"/>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0</w:t>
            </w:r>
          </w:p>
        </w:tc>
        <w:tc>
          <w:tcPr>
            <w:tcW w:w="560" w:type="dxa"/>
            <w:tcBorders>
              <w:top w:val="nil"/>
              <w:left w:val="nil"/>
              <w:bottom w:val="single" w:sz="4" w:space="0" w:color="auto"/>
              <w:right w:val="nil"/>
            </w:tcBorders>
            <w:shd w:val="clear" w:color="auto" w:fill="auto"/>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393BE8">
              <w:rPr>
                <w:rFonts w:ascii="Calibri" w:eastAsia="Times New Roman" w:hAnsi="Calibri" w:cs="Times New Roman"/>
                <w:color w:val="000000"/>
                <w:sz w:val="20"/>
                <w:szCs w:val="20"/>
                <w:lang w:eastAsia="en-AU"/>
              </w:rPr>
              <w:t>429</w:t>
            </w:r>
          </w:p>
        </w:tc>
        <w:tc>
          <w:tcPr>
            <w:tcW w:w="1069" w:type="dxa"/>
            <w:tcBorders>
              <w:top w:val="nil"/>
              <w:left w:val="nil"/>
              <w:bottom w:val="single" w:sz="4" w:space="0" w:color="auto"/>
              <w:right w:val="nil"/>
            </w:tcBorders>
            <w:shd w:val="clear" w:color="auto" w:fill="auto"/>
            <w:noWrap/>
            <w:vAlign w:val="bottom"/>
            <w:hideMark/>
          </w:tcPr>
          <w:p w:rsidR="00BB417B" w:rsidRPr="00393BE8" w:rsidRDefault="00BB417B" w:rsidP="004B6F2B">
            <w:pPr>
              <w:keepNext/>
              <w:keepLines/>
              <w:tabs>
                <w:tab w:val="clear" w:pos="567"/>
              </w:tabs>
              <w:spacing w:after="0" w:line="240" w:lineRule="auto"/>
              <w:jc w:val="right"/>
              <w:rPr>
                <w:rFonts w:ascii="Calibri" w:eastAsia="Times New Roman" w:hAnsi="Calibri" w:cs="Times New Roman"/>
                <w:sz w:val="20"/>
                <w:szCs w:val="20"/>
                <w:lang w:eastAsia="en-AU"/>
              </w:rPr>
            </w:pPr>
            <w:r w:rsidRPr="00393BE8">
              <w:rPr>
                <w:rFonts w:ascii="Calibri" w:eastAsia="Times New Roman" w:hAnsi="Calibri" w:cs="Times New Roman"/>
                <w:sz w:val="20"/>
                <w:szCs w:val="20"/>
                <w:lang w:eastAsia="en-AU"/>
              </w:rPr>
              <w:t>206 939</w:t>
            </w:r>
          </w:p>
        </w:tc>
      </w:tr>
    </w:tbl>
    <w:p w:rsidR="00A665A9" w:rsidRPr="00EC79CF" w:rsidRDefault="00A665A9" w:rsidP="00A665A9">
      <w:pPr>
        <w:pStyle w:val="CGCTableFootnote"/>
      </w:pPr>
      <w:r w:rsidRPr="00EC79CF">
        <w:t>(a)</w:t>
      </w:r>
      <w:r w:rsidRPr="00EC79CF">
        <w:tab/>
        <w:t xml:space="preserve">A two year average is used for South Australia. </w:t>
      </w:r>
    </w:p>
    <w:p w:rsidR="00A665A9" w:rsidRPr="00EC79CF" w:rsidRDefault="00A665A9" w:rsidP="00A665A9">
      <w:pPr>
        <w:pStyle w:val="CGCTableFootnote"/>
      </w:pPr>
      <w:r w:rsidRPr="00EC79CF">
        <w:t>(b)</w:t>
      </w:r>
      <w:r w:rsidRPr="00EC79CF">
        <w:tab/>
        <w:t>Western Australia provided a detailed breakdown of its Royalties f</w:t>
      </w:r>
      <w:r w:rsidR="00F077B6">
        <w:t>or Regions expenditure for 2012</w:t>
      </w:r>
      <w:r w:rsidR="00F077B6">
        <w:noBreakHyphen/>
      </w:r>
      <w:r w:rsidRPr="00EC79CF">
        <w:t>13.</w:t>
      </w:r>
      <w:r w:rsidR="00D749E2">
        <w:t xml:space="preserve"> However, this </w:t>
      </w:r>
      <w:r w:rsidR="007571FC">
        <w:t>wa</w:t>
      </w:r>
      <w:r w:rsidR="00D749E2">
        <w:t>s not comparable to the breakdown provided by other States.</w:t>
      </w:r>
    </w:p>
    <w:p w:rsidR="00A665A9" w:rsidRPr="00EC79CF" w:rsidRDefault="00A665A9" w:rsidP="00A665A9">
      <w:pPr>
        <w:pStyle w:val="CGCTableFootnote"/>
      </w:pPr>
      <w:r w:rsidRPr="00EC79CF">
        <w:t>(c)</w:t>
      </w:r>
      <w:r w:rsidRPr="00EC79CF">
        <w:tab/>
        <w:t>Not all these expenses are classified to Services to industry.</w:t>
      </w:r>
    </w:p>
    <w:p w:rsidR="00A665A9" w:rsidRPr="00EC79CF" w:rsidRDefault="00A665A9" w:rsidP="00A665A9">
      <w:pPr>
        <w:pStyle w:val="CGCTableFootnote"/>
      </w:pPr>
      <w:proofErr w:type="spellStart"/>
      <w:proofErr w:type="gramStart"/>
      <w:r w:rsidRPr="00EC79CF">
        <w:t>na</w:t>
      </w:r>
      <w:proofErr w:type="spellEnd"/>
      <w:proofErr w:type="gramEnd"/>
      <w:r w:rsidRPr="00EC79CF">
        <w:tab/>
        <w:t>Not able to provide dat</w:t>
      </w:r>
      <w:r w:rsidR="00BB417B">
        <w:t>a.</w:t>
      </w:r>
    </w:p>
    <w:p w:rsidR="00A665A9" w:rsidRPr="00EC79CF" w:rsidRDefault="00A665A9" w:rsidP="00A665A9">
      <w:pPr>
        <w:pStyle w:val="CGCTableFootnote"/>
      </w:pPr>
      <w:r w:rsidRPr="00EC79CF">
        <w:t>Source:</w:t>
      </w:r>
      <w:r w:rsidRPr="00EC79CF">
        <w:tab/>
        <w:t>State provided data.</w:t>
      </w:r>
    </w:p>
    <w:p w:rsidR="00195B81" w:rsidRDefault="00195B81" w:rsidP="00195B81">
      <w:pPr>
        <w:pStyle w:val="CGCNumberedPara"/>
        <w:numPr>
          <w:ilvl w:val="1"/>
          <w:numId w:val="2"/>
        </w:numPr>
      </w:pPr>
      <w:r w:rsidRPr="00EC79CF">
        <w:t xml:space="preserve">We observe that New South Wales and Queensland also have RFR programs but their spending is a fraction of Western Australia’s spending. Their programs fund economic and social infrastructure in regional areas. </w:t>
      </w:r>
    </w:p>
    <w:p w:rsidR="00195B81" w:rsidRPr="00EC79CF" w:rsidRDefault="00195B81" w:rsidP="00195B81">
      <w:pPr>
        <w:pStyle w:val="CGCNumberedPara"/>
        <w:numPr>
          <w:ilvl w:val="1"/>
          <w:numId w:val="2"/>
        </w:numPr>
      </w:pPr>
      <w:r>
        <w:t>We also observe that the majority of the RFR spending is in categories for which needs are already assessed.</w:t>
      </w:r>
    </w:p>
    <w:p w:rsidR="00A665A9" w:rsidRPr="00EC79CF" w:rsidRDefault="00A665A9" w:rsidP="00A665A9">
      <w:pPr>
        <w:pStyle w:val="Heading4"/>
      </w:pPr>
      <w:r w:rsidRPr="00EC79CF">
        <w:t>State views</w:t>
      </w:r>
    </w:p>
    <w:p w:rsidR="00A665A9" w:rsidRPr="00EC79CF" w:rsidRDefault="00A665A9" w:rsidP="00C20E52">
      <w:pPr>
        <w:pStyle w:val="CGCNumberedPara"/>
        <w:numPr>
          <w:ilvl w:val="1"/>
          <w:numId w:val="2"/>
        </w:numPr>
      </w:pPr>
      <w:r w:rsidRPr="00EC79CF">
        <w:t xml:space="preserve">Queensland and Western Australia said they face higher costs due to the presence of a large mining industry which are not recognised in the Commission’s assessments. They described expenditures they incur and proposed how the Commission could assess them. Western Australia presented detailed assessment proposals and estimated its unrecognised needs were </w:t>
      </w:r>
      <w:r w:rsidR="00007FF0" w:rsidRPr="00EC79CF">
        <w:t xml:space="preserve">about </w:t>
      </w:r>
      <w:r w:rsidRPr="00EC79CF">
        <w:t xml:space="preserve">$2 billion per annum. </w:t>
      </w:r>
    </w:p>
    <w:p w:rsidR="00A665A9" w:rsidRPr="00EC79CF" w:rsidRDefault="00A665A9" w:rsidP="00C20E52">
      <w:pPr>
        <w:pStyle w:val="CGCNumberedPara"/>
        <w:numPr>
          <w:ilvl w:val="1"/>
          <w:numId w:val="2"/>
        </w:numPr>
      </w:pPr>
      <w:r w:rsidRPr="00EC79CF">
        <w:t xml:space="preserve">New South Wales, Victoria and the ACT said they did not support any further changes to the assessments to recognise mining related expenditure needs because it has not been demonstrated that mining States face higher costs or that the current assessments do not adequately recognise mining related needs. New South Wales said the GST Distribution Review concluded there are no significant unrecognised </w:t>
      </w:r>
      <w:r w:rsidRPr="00EC79CF">
        <w:lastRenderedPageBreak/>
        <w:t>mining related expenditure needs. New South Wales and Victoria noted the high level of private sector investment in mining infrastructure, and Victoria said this meant that the mining industry would require less government investment than other industries.</w:t>
      </w:r>
    </w:p>
    <w:p w:rsidR="00A665A9" w:rsidRPr="00EC79CF" w:rsidRDefault="00A665A9" w:rsidP="00C20E52">
      <w:pPr>
        <w:pStyle w:val="CGCNumberedPara"/>
        <w:numPr>
          <w:ilvl w:val="1"/>
          <w:numId w:val="2"/>
        </w:numPr>
      </w:pPr>
      <w:r w:rsidRPr="00EC79CF">
        <w:t>Queensland said there are inherent problems with the category by category approach adopted by the Commission for examining mining related needs due to data and methodological limitations as well as materiality issues. Queensland said the ideal approach for recognising mining related expenditure is to assess net mining revenue. However, it said this approach is not practical due to issues such as the lumpy nature of capital expenditure supporting the mining industry, timing differences between expenses and the resulting revenues, and difficult</w:t>
      </w:r>
      <w:r w:rsidR="007C19B8">
        <w:t>ies in</w:t>
      </w:r>
      <w:r w:rsidRPr="00EC79CF">
        <w:t xml:space="preserve"> measur</w:t>
      </w:r>
      <w:r w:rsidR="007C19B8">
        <w:t>ing</w:t>
      </w:r>
      <w:r w:rsidRPr="00EC79CF">
        <w:t xml:space="preserve"> costs such as opportunity cost and risk. Queensland said the next best option is to apply a discount to the mining revenue assessment. Failing this</w:t>
      </w:r>
      <w:r w:rsidR="00E7423D">
        <w:t>,</w:t>
      </w:r>
      <w:r w:rsidRPr="00EC79CF">
        <w:t xml:space="preserve"> the Commission should aggregate all the relevant expenses and make an assessment using a broad indicator such as private sector investment in the mining industry.</w:t>
      </w:r>
    </w:p>
    <w:p w:rsidR="00A665A9" w:rsidRPr="00EC79CF" w:rsidRDefault="00A665A9" w:rsidP="00C20E52">
      <w:pPr>
        <w:pStyle w:val="CGCNumberedPara"/>
        <w:numPr>
          <w:ilvl w:val="1"/>
          <w:numId w:val="2"/>
        </w:numPr>
      </w:pPr>
      <w:r w:rsidRPr="00EC79CF">
        <w:t>Western Australia was broadly supportive of the category by category approach the Commission adopted. It did not want the Commission to make a separate mining expenditure assessment. It said if the Commission was unable to quantify its costs through the expenditure assessments, it supported a discount to the mining revenue assessment as a ‘rough justice way’ of addressing this.</w:t>
      </w:r>
    </w:p>
    <w:p w:rsidR="00A665A9" w:rsidRPr="00EC79CF" w:rsidRDefault="00A665A9" w:rsidP="00C20E52">
      <w:pPr>
        <w:pStyle w:val="CGCNumberedPara"/>
        <w:numPr>
          <w:ilvl w:val="1"/>
          <w:numId w:val="2"/>
        </w:numPr>
      </w:pPr>
      <w:r w:rsidRPr="00EC79CF">
        <w:t>South Australia, Tasmania and the Northern Territory supported an examination of mining related expenditure but said the Commission should apply its assessment guidelines, including materiality, when considering new assessments. They said this approach is more transparent and accurate and less subjective than discounting the mining revenue assessment. The Northern Territory said any assessments should recognise the stage</w:t>
      </w:r>
      <w:r w:rsidR="003D4B37">
        <w:t xml:space="preserve"> of</w:t>
      </w:r>
      <w:r w:rsidRPr="00EC79CF">
        <w:t xml:space="preserve"> development.</w:t>
      </w:r>
    </w:p>
    <w:p w:rsidR="00A665A9" w:rsidRPr="00EC79CF" w:rsidRDefault="00A665A9" w:rsidP="00C20E52">
      <w:pPr>
        <w:pStyle w:val="CGCNumberedPara"/>
        <w:numPr>
          <w:ilvl w:val="1"/>
          <w:numId w:val="2"/>
        </w:numPr>
      </w:pPr>
      <w:r w:rsidRPr="00EC79CF">
        <w:t>State views on the specific assessment issues are outlined in the relevant chapter</w:t>
      </w:r>
      <w:r w:rsidR="00E7423D">
        <w:t>s</w:t>
      </w:r>
      <w:r w:rsidRPr="00EC79CF">
        <w:t xml:space="preserve"> of Volume 2 of this report.</w:t>
      </w:r>
    </w:p>
    <w:p w:rsidR="00A665A9" w:rsidRPr="00EC79CF" w:rsidRDefault="00A665A9" w:rsidP="00A665A9">
      <w:pPr>
        <w:pStyle w:val="Heading4"/>
      </w:pPr>
      <w:r w:rsidRPr="00EC79CF">
        <w:t>Commission response</w:t>
      </w:r>
    </w:p>
    <w:p w:rsidR="00A665A9" w:rsidRPr="00EC79CF" w:rsidRDefault="00A665A9" w:rsidP="00C20E52">
      <w:pPr>
        <w:pStyle w:val="CGCNumberedPara"/>
        <w:numPr>
          <w:ilvl w:val="1"/>
          <w:numId w:val="2"/>
        </w:numPr>
      </w:pPr>
      <w:r w:rsidRPr="00EC79CF">
        <w:t>We understand that States with rapidly expanding mining sectors have experienced significant budgetary pressures dealing with the growth in demand for State services and in the provision of related infrastructure associated with population growth. We are also aware that the impact of a smaller but fast growing mining sector might have a bigger budgetary impact than an industry which is larger, but stable. In this review, as in past reviews, we have given careful consideration to how well our assessment methodology captures the impact of mining activity on State fiscal capacities, and whether a given size</w:t>
      </w:r>
      <w:r w:rsidR="003D4B37">
        <w:t>d</w:t>
      </w:r>
      <w:r w:rsidRPr="00EC79CF">
        <w:t xml:space="preserve"> mining sector has a different impact than say a similar sized finance sector with the same growth profile. </w:t>
      </w:r>
    </w:p>
    <w:p w:rsidR="00A665A9" w:rsidRPr="00EC79CF" w:rsidRDefault="00A665A9" w:rsidP="00C20E52">
      <w:pPr>
        <w:pStyle w:val="CGCNumberedPara"/>
        <w:numPr>
          <w:ilvl w:val="1"/>
          <w:numId w:val="2"/>
        </w:numPr>
      </w:pPr>
      <w:r w:rsidRPr="00EC79CF">
        <w:lastRenderedPageBreak/>
        <w:t>Our approach</w:t>
      </w:r>
      <w:r w:rsidR="00007FF0" w:rsidRPr="00EC79CF">
        <w:t xml:space="preserve">, </w:t>
      </w:r>
      <w:r w:rsidR="00F077B6">
        <w:t xml:space="preserve">notwithstanding </w:t>
      </w:r>
      <w:r w:rsidR="00007FF0" w:rsidRPr="00EC79CF">
        <w:t>Queensland’s concerns,</w:t>
      </w:r>
      <w:r w:rsidRPr="00EC79CF">
        <w:t xml:space="preserve"> has been to systematically consider category by category the potential influences identified by the mining States. We have examined any potentially unrecognised mining related expenditure needs using the assessment framework used for all other assessments. We do not consider that mining expenditures should be accorded special treatment compared to, for example, State spending on agriculture, manufacturing or service industries.</w:t>
      </w:r>
    </w:p>
    <w:p w:rsidR="00A665A9" w:rsidRPr="00EC79CF" w:rsidRDefault="00A665A9" w:rsidP="00C20E52">
      <w:pPr>
        <w:pStyle w:val="CGCNumberedPara"/>
        <w:numPr>
          <w:ilvl w:val="1"/>
          <w:numId w:val="2"/>
        </w:numPr>
      </w:pPr>
      <w:r w:rsidRPr="00EC79CF">
        <w:t xml:space="preserve">We consider that mining related expenditure should be limited to the expenditure directly associated with the development and management of mining activities. We examined the data provided by the States, including Western Australia’s RFR data. In most cases, the expenditure States identified as relating to mining is a small part of what </w:t>
      </w:r>
      <w:r w:rsidR="00007FF0" w:rsidRPr="00EC79CF">
        <w:t>they</w:t>
      </w:r>
      <w:r w:rsidRPr="00EC79CF">
        <w:t xml:space="preserve"> spend. The data indicate direct mining expenditure is less than one quarter of 1% of total State expenditure. </w:t>
      </w:r>
    </w:p>
    <w:p w:rsidR="00A665A9" w:rsidRPr="00EC79CF" w:rsidRDefault="00A665A9" w:rsidP="00C20E52">
      <w:pPr>
        <w:pStyle w:val="CGCNumberedPara"/>
        <w:numPr>
          <w:ilvl w:val="1"/>
          <w:numId w:val="2"/>
        </w:numPr>
      </w:pPr>
      <w:r w:rsidRPr="00EC79CF">
        <w:t xml:space="preserve">Where a conceptual case has been established, reliable data are available and it is material, we have made an assessment. Following this approach we identified two new assessments, for planning and regulation of investment projects and capital grants to local government, to better capture the impact of </w:t>
      </w:r>
      <w:r w:rsidR="00007FF0" w:rsidRPr="00EC79CF">
        <w:t>economic</w:t>
      </w:r>
      <w:r w:rsidRPr="00EC79CF">
        <w:t xml:space="preserve"> activity on State fiscal capacities. However, in respect of the other issues raised by Queensland and Western Australia</w:t>
      </w:r>
      <w:r w:rsidR="00007FF0" w:rsidRPr="00EC79CF">
        <w:t>,</w:t>
      </w:r>
      <w:r w:rsidRPr="00EC79CF">
        <w:t xml:space="preserve"> we have concluded that, in most areas, States with significant mining sectors face no higher expenses per capita than States with a different industrial composition. Our responses to the expenditures identified by States are summarised in </w:t>
      </w:r>
      <w:r w:rsidRPr="00EC79CF">
        <w:fldChar w:fldCharType="begin"/>
      </w:r>
      <w:r w:rsidRPr="00EC79CF">
        <w:instrText xml:space="preserve"> REF _Ref407018502 \h </w:instrText>
      </w:r>
      <w:r w:rsidR="00EC79CF">
        <w:instrText xml:space="preserve"> \* MERGEFORMAT </w:instrText>
      </w:r>
      <w:r w:rsidRPr="00EC79CF">
        <w:fldChar w:fldCharType="separate"/>
      </w:r>
      <w:r w:rsidR="003A5DEE" w:rsidRPr="00EC79CF">
        <w:t xml:space="preserve">Table </w:t>
      </w:r>
      <w:r w:rsidR="003A5DEE">
        <w:rPr>
          <w:noProof/>
        </w:rPr>
        <w:t>3</w:t>
      </w:r>
      <w:r w:rsidRPr="00EC79CF">
        <w:fldChar w:fldCharType="end"/>
      </w:r>
      <w:r w:rsidRPr="00EC79CF">
        <w:t>. Further details are provided in the relevant chapters of Volume 2.</w:t>
      </w:r>
    </w:p>
    <w:p w:rsidR="00A665A9" w:rsidRPr="00EC79CF" w:rsidRDefault="00A665A9" w:rsidP="00A665A9">
      <w:pPr>
        <w:pStyle w:val="Heading5"/>
      </w:pPr>
      <w:r w:rsidRPr="00EC79CF">
        <w:t>Planning and regulation of investment projects</w:t>
      </w:r>
    </w:p>
    <w:p w:rsidR="00A665A9" w:rsidRPr="00EC79CF" w:rsidRDefault="00A665A9" w:rsidP="00C20E52">
      <w:pPr>
        <w:pStyle w:val="CGCNumberedPara"/>
        <w:numPr>
          <w:ilvl w:val="1"/>
          <w:numId w:val="2"/>
        </w:numPr>
      </w:pPr>
      <w:r w:rsidRPr="00EC79CF">
        <w:t xml:space="preserve">The Commission considers there is a conceptual case for including a disability reflecting the additional planning and regulation costs incurred by States to facilitate investment projects. States with expanding mining or other industries usually have higher levels of construction activity that result in higher project planning and approval expenses, including environmental assessment costs. </w:t>
      </w:r>
    </w:p>
    <w:p w:rsidR="00A665A9" w:rsidRPr="00EC79CF" w:rsidRDefault="00A665A9" w:rsidP="00C20E52">
      <w:pPr>
        <w:pStyle w:val="CGCNumberedPara"/>
        <w:numPr>
          <w:ilvl w:val="1"/>
          <w:numId w:val="2"/>
        </w:numPr>
      </w:pPr>
      <w:r w:rsidRPr="00EC79CF">
        <w:t xml:space="preserve">New South Wales, Victoria, Tasmania and the ACT did not support the assessment, although the ACT accepted there was a conceptual case. These States said it should be discounted significantly because of data and other concerns. Victoria said both residential and non-residential construction incurs project planning and approval expenses, and most costs should be recovered by States. Queensland, Western Australia, South Australia and the Northern Territory supported it because it recognised the high costs they face especially in relation to mining. </w:t>
      </w:r>
    </w:p>
    <w:p w:rsidR="00A665A9" w:rsidRPr="00EC79CF" w:rsidRDefault="00A665A9" w:rsidP="00C20E52">
      <w:pPr>
        <w:pStyle w:val="CGCNumberedPara"/>
        <w:numPr>
          <w:ilvl w:val="1"/>
          <w:numId w:val="2"/>
        </w:numPr>
      </w:pPr>
      <w:r w:rsidRPr="00EC79CF">
        <w:t xml:space="preserve">We consider there is a conceptual case for making the assessment. We observe that States with higher shares of planning and regulation expenses tend to have higher shares of private investment expenditure. While there may be some deficiencies with the State provided expense data, they are only used to determine the average net </w:t>
      </w:r>
      <w:r w:rsidRPr="00EC79CF">
        <w:lastRenderedPageBreak/>
        <w:t xml:space="preserve">expense. </w:t>
      </w:r>
      <w:r w:rsidRPr="00EC79CF">
        <w:rPr>
          <w:lang w:val="en-US"/>
        </w:rPr>
        <w:t xml:space="preserve">Because some States had difficulties providing some of the data, it is likely that the average expense is under-estimated. We have used net expenses instead of gross expenses so the average expense used in the assessment takes account of average cost recovery rates. On balance, we consider the data sufficiently reliable for the purpose it is used. </w:t>
      </w:r>
    </w:p>
    <w:p w:rsidR="00A665A9" w:rsidRPr="00EC79CF" w:rsidRDefault="00A665A9" w:rsidP="00C20E52">
      <w:pPr>
        <w:pStyle w:val="CGCNumberedPara"/>
        <w:numPr>
          <w:ilvl w:val="1"/>
          <w:numId w:val="2"/>
        </w:numPr>
      </w:pPr>
      <w:r w:rsidRPr="00EC79CF">
        <w:rPr>
          <w:lang w:val="en-US"/>
        </w:rPr>
        <w:t xml:space="preserve">We considered a number of drivers for assessing State spending including private non-dwelling construction and private gross fixed capital formation as well as a number of industry specific drivers. </w:t>
      </w:r>
      <w:r w:rsidRPr="00EC79CF">
        <w:t>We have decided to assess these expenses using State shares of private non-dwelling construction expenditure as a policy neutral indicator of both private and public investment. Making the assessment in this way will allow us to recognise the higher costs of mining States but not discriminate between industries. This assessment is described in Volume 2</w:t>
      </w:r>
      <w:r w:rsidR="00007FF0" w:rsidRPr="00EC79CF">
        <w:t>,</w:t>
      </w:r>
      <w:r w:rsidR="00490ECA">
        <w:t xml:space="preserve"> Chapter 19 — Services to i</w:t>
      </w:r>
      <w:r w:rsidRPr="00EC79CF">
        <w:t xml:space="preserve">ndustry. </w:t>
      </w:r>
    </w:p>
    <w:p w:rsidR="00A665A9" w:rsidRPr="00EC79CF" w:rsidRDefault="00A665A9" w:rsidP="00C20E52">
      <w:pPr>
        <w:pStyle w:val="CGCNumberedPara"/>
        <w:numPr>
          <w:ilvl w:val="1"/>
          <w:numId w:val="2"/>
        </w:numPr>
      </w:pPr>
      <w:r w:rsidRPr="00EC79CF">
        <w:t>We do not consider a discount necessary as the conceptual case has been established and the expense data and assessment are sufficiently reliable for our purpose.</w:t>
      </w:r>
    </w:p>
    <w:p w:rsidR="00A665A9" w:rsidRPr="00EC79CF" w:rsidRDefault="00A665A9" w:rsidP="00A665A9">
      <w:pPr>
        <w:pStyle w:val="Heading5"/>
      </w:pPr>
      <w:bookmarkStart w:id="426" w:name="_Toc404157432"/>
      <w:bookmarkStart w:id="427" w:name="_Toc404164795"/>
      <w:r w:rsidRPr="00EC79CF">
        <w:t>Capital grants to local government</w:t>
      </w:r>
      <w:bookmarkEnd w:id="426"/>
      <w:bookmarkEnd w:id="427"/>
    </w:p>
    <w:p w:rsidR="00A665A9" w:rsidRPr="00EC79CF" w:rsidRDefault="00A665A9" w:rsidP="00C20E52">
      <w:pPr>
        <w:pStyle w:val="CGCNumberedPara"/>
        <w:numPr>
          <w:ilvl w:val="1"/>
          <w:numId w:val="2"/>
        </w:numPr>
      </w:pPr>
      <w:r w:rsidRPr="00EC79CF">
        <w:t>The Commission considers there is a conceptual case for including a disability reflecting the additional costs incurred by States to support local government infrastructure provision relating to community development and amenities and culture and recreation. Previously</w:t>
      </w:r>
      <w:r w:rsidR="00D97786">
        <w:t>,</w:t>
      </w:r>
      <w:r w:rsidRPr="00EC79CF">
        <w:t xml:space="preserve"> these expenses were assessed on the basis of population shares (EPC) and so did not explicitly recognise the impact of population growth. We consider local governments experiencing rapid population growth will undertake more investment, requiring more than a per capita share of capital grants from State governments to maintain their per capita levels of infrastructure. We observe higher levels of capital grants paid to local governments through the Royalties for Regions programs, particularly in Western Australia but also in Queensland and New South Wales. We have assessed these grants using shares of population growth rather than population shares. This assessment is described in Volume 2</w:t>
      </w:r>
      <w:r w:rsidR="00007FF0" w:rsidRPr="00EC79CF">
        <w:t>,</w:t>
      </w:r>
      <w:r w:rsidRPr="00EC79CF">
        <w:t xml:space="preserve"> Chapter 20 — </w:t>
      </w:r>
      <w:proofErr w:type="gramStart"/>
      <w:r w:rsidRPr="00EC79CF">
        <w:t>Other</w:t>
      </w:r>
      <w:proofErr w:type="gramEnd"/>
      <w:r w:rsidRPr="00EC79CF">
        <w:t xml:space="preserve"> expenses.</w:t>
      </w:r>
    </w:p>
    <w:p w:rsidR="00A665A9" w:rsidRPr="00EC79CF" w:rsidRDefault="00A665A9" w:rsidP="00C20E52">
      <w:pPr>
        <w:pStyle w:val="CGCNumberedPara"/>
        <w:numPr>
          <w:ilvl w:val="1"/>
          <w:numId w:val="2"/>
        </w:numPr>
      </w:pPr>
      <w:r w:rsidRPr="00EC79CF">
        <w:t>New South Wales, Victoria</w:t>
      </w:r>
      <w:r w:rsidR="00D97786">
        <w:t>,</w:t>
      </w:r>
      <w:r w:rsidRPr="00EC79CF">
        <w:t xml:space="preserve"> South Australia, Tasmania and the ACT did not support the proposed assessment. They said there is no conceptual case that population growth is the driver of needs, and the data are unreliable. South Australia suggested there are a range of other factors that drive needs including population dispersion, the socio-economic status and age profile of residents in a local government area and possibly the proportion of Indigenous residents. Most States opposed to the assessment said that if the Commission implemented it, it should be discounted significantly. Queensland, Western Australia and the Northern Territory supported it.</w:t>
      </w:r>
    </w:p>
    <w:p w:rsidR="00A665A9" w:rsidRPr="00EC79CF" w:rsidRDefault="00A665A9" w:rsidP="00C20E52">
      <w:pPr>
        <w:pStyle w:val="CGCNumberedPara"/>
        <w:numPr>
          <w:ilvl w:val="1"/>
          <w:numId w:val="2"/>
        </w:numPr>
      </w:pPr>
      <w:r w:rsidRPr="00EC79CF">
        <w:t xml:space="preserve">We consider the conceptual case has been demonstrated. The average expenses have been obtained from ABS GFS data and are likely to give an underestimate. Population </w:t>
      </w:r>
      <w:r w:rsidRPr="00EC79CF">
        <w:lastRenderedPageBreak/>
        <w:t xml:space="preserve">growth data and the assessment method are also reliable. </w:t>
      </w:r>
      <w:r w:rsidR="00922480">
        <w:t>As a result, w</w:t>
      </w:r>
      <w:r w:rsidRPr="00EC79CF">
        <w:t>e do not consider a discount necessary</w:t>
      </w:r>
      <w:r w:rsidR="00922480">
        <w:t>.</w:t>
      </w:r>
      <w:r w:rsidR="00D97786">
        <w:t xml:space="preserve"> </w:t>
      </w:r>
    </w:p>
    <w:p w:rsidR="00A665A9" w:rsidRPr="00EC79CF" w:rsidRDefault="00A665A9" w:rsidP="00A665A9">
      <w:pPr>
        <w:pStyle w:val="Heading5"/>
      </w:pPr>
      <w:r w:rsidRPr="00EC79CF">
        <w:t>Other mining related expenditure</w:t>
      </w:r>
    </w:p>
    <w:p w:rsidR="00A665A9" w:rsidRPr="00EC79CF" w:rsidRDefault="00A665A9" w:rsidP="00C20E52">
      <w:pPr>
        <w:pStyle w:val="CGCNumberedPara"/>
        <w:numPr>
          <w:ilvl w:val="1"/>
          <w:numId w:val="2"/>
        </w:numPr>
      </w:pPr>
      <w:r w:rsidRPr="00EC79CF">
        <w:t xml:space="preserve">The two new assessments use broad indicators to measure State needs. In doing so, they are able to capture the needs of States whatever their industrial structure but still capture the higher costs incurred by mining States. We consider that the only expenditure for which a mining specific indicator </w:t>
      </w:r>
      <w:r w:rsidR="00922480">
        <w:t>i</w:t>
      </w:r>
      <w:r w:rsidR="00922480" w:rsidRPr="00EC79CF">
        <w:t xml:space="preserve">s </w:t>
      </w:r>
      <w:r w:rsidRPr="00EC79CF">
        <w:t>warranted is mining industry regulation</w:t>
      </w:r>
      <w:r w:rsidR="00922480">
        <w:t>. However</w:t>
      </w:r>
      <w:r w:rsidRPr="00EC79CF">
        <w:t>, a separate assessment of these expenses using a mining specific indicator was not material. We assessed this expenditure with other industry regulation expenses based on the value of output for other industries which includes mining.</w:t>
      </w:r>
    </w:p>
    <w:p w:rsidR="00A665A9" w:rsidRPr="00EC79CF" w:rsidRDefault="00A665A9" w:rsidP="00C20E52">
      <w:pPr>
        <w:pStyle w:val="CGCNumberedPara"/>
        <w:numPr>
          <w:ilvl w:val="1"/>
          <w:numId w:val="2"/>
        </w:numPr>
      </w:pPr>
      <w:r w:rsidRPr="00EC79CF">
        <w:t>In relation to business development expenditure</w:t>
      </w:r>
      <w:r w:rsidR="00007FF0" w:rsidRPr="00EC79CF">
        <w:t>,</w:t>
      </w:r>
      <w:r w:rsidRPr="00EC79CF">
        <w:t xml:space="preserve"> we remain of the view that the nature of a State’s economy does not determine how actively it attempts to develop its economy. All States spend on developing their industries and the nature of their economy will determine which industries are supported, but we do not consider that States with large or emerging mining sectors need to spend more. This issue is covered in more detail in </w:t>
      </w:r>
      <w:r w:rsidR="00007FF0" w:rsidRPr="00EC79CF">
        <w:t>Volu</w:t>
      </w:r>
      <w:r w:rsidR="00490ECA">
        <w:t>me 2, Chapter 19 — Services to i</w:t>
      </w:r>
      <w:r w:rsidR="00007FF0" w:rsidRPr="00EC79CF">
        <w:t>ndustry.</w:t>
      </w:r>
    </w:p>
    <w:p w:rsidR="00A665A9" w:rsidRPr="00EC79CF" w:rsidRDefault="00A665A9" w:rsidP="00C20E52">
      <w:pPr>
        <w:pStyle w:val="CGCNumberedPara"/>
        <w:numPr>
          <w:ilvl w:val="1"/>
          <w:numId w:val="2"/>
        </w:numPr>
      </w:pPr>
      <w:r w:rsidRPr="00EC79CF">
        <w:t>Western Australia and Queensland identified expenditure on industrial and community infrastructure in mining regions. While States with relatively large mining sectors have been experiencing rapid population growth, including in regional and remote towns, any expenditure on services and associated infrastructure is already recognised in the 2010 Review methodology. For example, the impact of mining development on State population growth and the associated needs for more schools and hospitals, as well as more teachers and hospital services, is recognised through the expenditure assessments. This is because, for example, State spending on schools is determined by the number and location of school children rather than the industry in which their parents are employed. We considered State views on the cost of under</w:t>
      </w:r>
      <w:r w:rsidRPr="00EC79CF">
        <w:noBreakHyphen/>
        <w:t xml:space="preserve">utilised capital, opportunity cost and risk but concluded </w:t>
      </w:r>
      <w:r w:rsidRPr="00EC79CF">
        <w:rPr>
          <w:rFonts w:cstheme="minorHAnsi"/>
        </w:rPr>
        <w:t xml:space="preserve">there are no reliable data for establishing the conceptual case or making an assessment. </w:t>
      </w:r>
      <w:r w:rsidRPr="00EC79CF">
        <w:t xml:space="preserve">This issue is covered in more detail in </w:t>
      </w:r>
      <w:r w:rsidR="00007FF0" w:rsidRPr="00EC79CF">
        <w:t>Volume 2, Chapter 26</w:t>
      </w:r>
      <w:r w:rsidRPr="00EC79CF">
        <w:t xml:space="preserve"> — Population growth.</w:t>
      </w:r>
    </w:p>
    <w:p w:rsidR="00A665A9" w:rsidRPr="00EC79CF" w:rsidRDefault="00A665A9" w:rsidP="00C20E52">
      <w:pPr>
        <w:pStyle w:val="CGCNumberedPara"/>
        <w:numPr>
          <w:ilvl w:val="1"/>
          <w:numId w:val="2"/>
        </w:numPr>
      </w:pPr>
      <w:r w:rsidRPr="00EC79CF">
        <w:t xml:space="preserve">There was some expenditure identified by mining States for which the current assessments may only partially recognise mining related needs but an adjustment to the current assessment proved neither reliable nor material. For example, in roads, we agree that not all mining related roads are included in our </w:t>
      </w:r>
      <w:r w:rsidRPr="00EC79CF">
        <w:rPr>
          <w:rFonts w:cstheme="minorHAnsi"/>
        </w:rPr>
        <w:t xml:space="preserve">policy neutral measure of road length. However, we decided not to adjust our measure of road length to include additional roads related to mining because the best available data are neither reliable nor material. </w:t>
      </w:r>
    </w:p>
    <w:p w:rsidR="00A665A9" w:rsidRPr="00EC79CF" w:rsidRDefault="00A665A9" w:rsidP="00C20E52">
      <w:pPr>
        <w:pStyle w:val="CGCNumberedPara"/>
        <w:numPr>
          <w:ilvl w:val="1"/>
          <w:numId w:val="2"/>
        </w:numPr>
      </w:pPr>
      <w:r w:rsidRPr="00EC79CF">
        <w:rPr>
          <w:rStyle w:val="Heading6Char"/>
        </w:rPr>
        <w:t>Fly-in-fly-out workers.</w:t>
      </w:r>
      <w:r w:rsidRPr="00EC79CF">
        <w:t xml:space="preserve"> We considered if there were unrecognised needs due to fly-in-fly-out (FIFO) workers. We accept a community with a large proportion of FIFO </w:t>
      </w:r>
      <w:r w:rsidRPr="00EC79CF">
        <w:lastRenderedPageBreak/>
        <w:t>residents can have a different impact on the demand for State services than a similar sized community of permanent residents. However, we have no data to suggest they impose greater net costs than a permanent community or different costs, depending on whether they are a mining or other transient community, such as in a tourist town. Nor do we have evidence to show, in relation to fly-out communities, that FIFO workers have a different cost profile than other people. States were unable to provide such data either.</w:t>
      </w:r>
    </w:p>
    <w:p w:rsidR="00A665A9" w:rsidRPr="00EC79CF" w:rsidRDefault="00A665A9" w:rsidP="00C20E52">
      <w:pPr>
        <w:pStyle w:val="CGCNumberedPara"/>
        <w:numPr>
          <w:ilvl w:val="1"/>
          <w:numId w:val="2"/>
        </w:numPr>
      </w:pPr>
      <w:r w:rsidRPr="00EC79CF">
        <w:t xml:space="preserve">We consider unrecognised costs due to FIFO work practices are likely to arise because FIFO workers could be recorded as residents in one State but work and use services in another (the cross border effect). Or they might reside in one part of a State, but work and use services in another part of a State where the cost of service provision is markedly higher. We consider the latter is the most likely source of any additional cost of FIFO workers. However, while the cost of services provided to FIFO workers in remote areas may be higher than we assess, the range of services provided may be lower, as the mining companies provide some services. The net effect of this is difficult to determine without data and in its absence we consider any assessment of higher costs inappropriate. </w:t>
      </w:r>
    </w:p>
    <w:p w:rsidR="00A665A9" w:rsidRPr="00EC79CF" w:rsidRDefault="00A665A9" w:rsidP="00C20E52">
      <w:pPr>
        <w:pStyle w:val="CGCNumberedPara"/>
        <w:numPr>
          <w:ilvl w:val="1"/>
          <w:numId w:val="2"/>
        </w:numPr>
      </w:pPr>
      <w:r w:rsidRPr="00EC79CF">
        <w:t xml:space="preserve">We recognise there is anecdotal evidence which indicates FIFO work arrangements can have negative social impacts, or at least the potential to exacerbate existing problems. How these impact on State service demands in both the resident community and the work location is unclear. For example, some younger FIFO workers might impose higher policing costs in their fly-out times, given the strict behavioural standards imposed in mining operations, but their net cost is unclear. </w:t>
      </w:r>
    </w:p>
    <w:p w:rsidR="00A665A9" w:rsidRPr="00EC79CF" w:rsidRDefault="00A665A9" w:rsidP="00C20E52">
      <w:pPr>
        <w:pStyle w:val="CGCNumberedPara"/>
        <w:numPr>
          <w:ilvl w:val="1"/>
          <w:numId w:val="2"/>
        </w:numPr>
      </w:pPr>
      <w:r w:rsidRPr="00EC79CF">
        <w:t>We are not convinced FIFO workers give rise to duplication of infrastructure and service provision, as argued by Queensland. We consider fly-in communities to have a relatively stable population at any point in time, which determines the level of services required. Having a population of a certain size cycle through an area, rather than permanently living there, does not change the needs for State recurrent or capital expenditure.</w:t>
      </w:r>
    </w:p>
    <w:p w:rsidR="00A665A9" w:rsidRPr="00EC79CF" w:rsidRDefault="00A665A9" w:rsidP="00A665A9">
      <w:pPr>
        <w:pStyle w:val="Caption"/>
      </w:pPr>
      <w:bookmarkStart w:id="428" w:name="_Ref407018502"/>
      <w:r w:rsidRPr="00EC79CF">
        <w:lastRenderedPageBreak/>
        <w:t xml:space="preserve">Table </w:t>
      </w:r>
      <w:fldSimple w:instr=" SEQ Table \* ARABIC ">
        <w:r w:rsidR="003A5DEE">
          <w:rPr>
            <w:noProof/>
          </w:rPr>
          <w:t>3</w:t>
        </w:r>
      </w:fldSimple>
      <w:bookmarkEnd w:id="428"/>
      <w:r w:rsidRPr="00EC79CF">
        <w:tab/>
        <w:t>Mining related expenditure issues raised by States, 2015 Review</w:t>
      </w:r>
    </w:p>
    <w:tbl>
      <w:tblPr>
        <w:tblStyle w:val="TableGrid"/>
        <w:tblW w:w="5007" w:type="pct"/>
        <w:tblLook w:val="04A0" w:firstRow="1" w:lastRow="0" w:firstColumn="1" w:lastColumn="0" w:noHBand="0" w:noVBand="1"/>
        <w:tblDescription w:val=" "/>
      </w:tblPr>
      <w:tblGrid>
        <w:gridCol w:w="3705"/>
        <w:gridCol w:w="1746"/>
        <w:gridCol w:w="3729"/>
      </w:tblGrid>
      <w:tr w:rsidR="00A665A9" w:rsidRPr="00EC79CF" w:rsidTr="005206FE">
        <w:tc>
          <w:tcPr>
            <w:tcW w:w="2018" w:type="pct"/>
            <w:tcBorders>
              <w:top w:val="single" w:sz="4" w:space="0" w:color="auto"/>
              <w:left w:val="nil"/>
              <w:bottom w:val="single" w:sz="4" w:space="0" w:color="auto"/>
              <w:right w:val="nil"/>
            </w:tcBorders>
          </w:tcPr>
          <w:p w:rsidR="00A665A9" w:rsidRPr="00EC79CF" w:rsidRDefault="00A665A9" w:rsidP="00A665A9">
            <w:pPr>
              <w:pStyle w:val="TableColHeadings"/>
              <w:jc w:val="left"/>
              <w:rPr>
                <w:rFonts w:cstheme="minorHAnsi"/>
              </w:rPr>
            </w:pPr>
            <w:r w:rsidRPr="00EC79CF">
              <w:rPr>
                <w:rFonts w:cstheme="minorHAnsi"/>
              </w:rPr>
              <w:t>Issue</w:t>
            </w:r>
          </w:p>
        </w:tc>
        <w:tc>
          <w:tcPr>
            <w:tcW w:w="951" w:type="pct"/>
            <w:tcBorders>
              <w:top w:val="single" w:sz="4" w:space="0" w:color="auto"/>
              <w:left w:val="nil"/>
              <w:bottom w:val="single" w:sz="4" w:space="0" w:color="auto"/>
              <w:right w:val="nil"/>
            </w:tcBorders>
          </w:tcPr>
          <w:p w:rsidR="00A665A9" w:rsidRPr="00EC79CF" w:rsidRDefault="00A665A9" w:rsidP="00A665A9">
            <w:pPr>
              <w:pStyle w:val="TableColHeadings"/>
              <w:jc w:val="left"/>
              <w:rPr>
                <w:rFonts w:cstheme="minorHAnsi"/>
              </w:rPr>
            </w:pPr>
            <w:r w:rsidRPr="00EC79CF">
              <w:rPr>
                <w:rFonts w:cstheme="minorHAnsi"/>
              </w:rPr>
              <w:t>Reference</w:t>
            </w:r>
          </w:p>
        </w:tc>
        <w:tc>
          <w:tcPr>
            <w:tcW w:w="2031" w:type="pct"/>
            <w:tcBorders>
              <w:top w:val="single" w:sz="4" w:space="0" w:color="auto"/>
              <w:left w:val="nil"/>
              <w:bottom w:val="single" w:sz="4" w:space="0" w:color="auto"/>
              <w:right w:val="nil"/>
            </w:tcBorders>
          </w:tcPr>
          <w:p w:rsidR="00A665A9" w:rsidRPr="00EC79CF" w:rsidRDefault="00A665A9" w:rsidP="00A665A9">
            <w:pPr>
              <w:pStyle w:val="TableColHeadings"/>
              <w:jc w:val="left"/>
              <w:rPr>
                <w:rFonts w:cstheme="minorHAnsi"/>
              </w:rPr>
            </w:pPr>
            <w:r w:rsidRPr="00EC79CF">
              <w:rPr>
                <w:rFonts w:cstheme="minorHAnsi"/>
              </w:rPr>
              <w:t>Commission response</w:t>
            </w:r>
          </w:p>
        </w:tc>
      </w:tr>
      <w:tr w:rsidR="00A665A9" w:rsidRPr="00EC79CF" w:rsidTr="005206FE">
        <w:tc>
          <w:tcPr>
            <w:tcW w:w="2018" w:type="pct"/>
            <w:tcBorders>
              <w:top w:val="single" w:sz="4" w:space="0" w:color="auto"/>
              <w:left w:val="nil"/>
              <w:bottom w:val="nil"/>
              <w:right w:val="nil"/>
            </w:tcBorders>
          </w:tcPr>
          <w:p w:rsidR="00A665A9" w:rsidRPr="00EC79CF" w:rsidRDefault="00A665A9" w:rsidP="00E7423D">
            <w:pPr>
              <w:pStyle w:val="CGCTableStub"/>
              <w:ind w:left="142" w:hanging="142"/>
              <w:rPr>
                <w:rFonts w:cstheme="minorHAnsi"/>
              </w:rPr>
            </w:pPr>
            <w:r w:rsidRPr="00EC79CF">
              <w:rPr>
                <w:b/>
              </w:rPr>
              <w:t>Capital costs</w:t>
            </w:r>
            <w:r w:rsidRPr="00490ECA">
              <w:rPr>
                <w:b/>
              </w:rPr>
              <w:t>.</w:t>
            </w:r>
            <w:r w:rsidRPr="00EC79CF">
              <w:t xml:space="preserve"> Actual capital costs should be used instead of the recurrent cost disability proxy to measure infrastructure costs.</w:t>
            </w:r>
          </w:p>
        </w:tc>
        <w:tc>
          <w:tcPr>
            <w:tcW w:w="951" w:type="pct"/>
            <w:tcBorders>
              <w:top w:val="single" w:sz="4" w:space="0" w:color="auto"/>
              <w:left w:val="nil"/>
              <w:bottom w:val="nil"/>
              <w:right w:val="nil"/>
            </w:tcBorders>
          </w:tcPr>
          <w:p w:rsidR="00A665A9" w:rsidRPr="00EC79CF" w:rsidRDefault="005206FE" w:rsidP="00E7423D">
            <w:pPr>
              <w:pStyle w:val="TableRowNormal"/>
              <w:ind w:left="0" w:firstLine="0"/>
              <w:jc w:val="left"/>
              <w:rPr>
                <w:rFonts w:cstheme="minorHAnsi"/>
              </w:rPr>
            </w:pPr>
            <w:r w:rsidRPr="00EC79CF">
              <w:rPr>
                <w:rFonts w:cstheme="minorHAnsi"/>
              </w:rPr>
              <w:t>Volume 2,  C</w:t>
            </w:r>
            <w:r w:rsidR="00A665A9" w:rsidRPr="00EC79CF">
              <w:rPr>
                <w:rFonts w:cstheme="minorHAnsi"/>
              </w:rPr>
              <w:t>hapter 21 — Infrastructure</w:t>
            </w:r>
          </w:p>
        </w:tc>
        <w:tc>
          <w:tcPr>
            <w:tcW w:w="2031" w:type="pct"/>
            <w:tcBorders>
              <w:top w:val="single" w:sz="4" w:space="0" w:color="auto"/>
              <w:left w:val="nil"/>
              <w:bottom w:val="nil"/>
              <w:right w:val="nil"/>
            </w:tcBorders>
          </w:tcPr>
          <w:p w:rsidR="00A665A9" w:rsidRPr="00EC79CF" w:rsidRDefault="00A665A9" w:rsidP="00E7423D">
            <w:pPr>
              <w:pStyle w:val="TableRowNormal"/>
              <w:ind w:left="0" w:firstLine="0"/>
              <w:jc w:val="left"/>
              <w:rPr>
                <w:rFonts w:cstheme="minorHAnsi"/>
              </w:rPr>
            </w:pPr>
            <w:r w:rsidRPr="00EC79CF">
              <w:rPr>
                <w:rFonts w:cstheme="minorHAnsi"/>
              </w:rPr>
              <w:t xml:space="preserve">We have based the capital cost disabilities on an average of the recurrent wage and location cost factors and the </w:t>
            </w:r>
            <w:proofErr w:type="spellStart"/>
            <w:r w:rsidRPr="00EC79CF">
              <w:rPr>
                <w:rFonts w:cstheme="minorHAnsi"/>
              </w:rPr>
              <w:t>Rawlinsons</w:t>
            </w:r>
            <w:proofErr w:type="spellEnd"/>
            <w:r w:rsidRPr="00EC79CF">
              <w:rPr>
                <w:rFonts w:cstheme="minorHAnsi"/>
              </w:rPr>
              <w:t xml:space="preserve"> construction costs indices.</w:t>
            </w:r>
          </w:p>
        </w:tc>
      </w:tr>
      <w:tr w:rsidR="00A665A9" w:rsidRPr="00EC79CF" w:rsidTr="005206FE">
        <w:tc>
          <w:tcPr>
            <w:tcW w:w="2018" w:type="pct"/>
            <w:tcBorders>
              <w:top w:val="nil"/>
              <w:left w:val="nil"/>
              <w:bottom w:val="nil"/>
              <w:right w:val="nil"/>
            </w:tcBorders>
          </w:tcPr>
          <w:p w:rsidR="00A665A9" w:rsidRPr="00EC79CF" w:rsidRDefault="00A665A9" w:rsidP="00E7423D">
            <w:pPr>
              <w:pStyle w:val="CGCTableStub"/>
              <w:ind w:left="142" w:hanging="142"/>
              <w:rPr>
                <w:rFonts w:cstheme="minorHAnsi"/>
              </w:rPr>
            </w:pPr>
            <w:r w:rsidRPr="00EC79CF">
              <w:rPr>
                <w:b/>
              </w:rPr>
              <w:t>Intrastate migration</w:t>
            </w:r>
            <w:r w:rsidRPr="00490ECA">
              <w:rPr>
                <w:b/>
              </w:rPr>
              <w:t>.</w:t>
            </w:r>
            <w:r w:rsidRPr="00EC79CF">
              <w:t xml:space="preserve"> The infrastructure assessments should recognise the impact of intrastate migration on State infrastructure provision.</w:t>
            </w:r>
          </w:p>
        </w:tc>
        <w:tc>
          <w:tcPr>
            <w:tcW w:w="951" w:type="pct"/>
            <w:tcBorders>
              <w:top w:val="nil"/>
              <w:left w:val="nil"/>
              <w:bottom w:val="nil"/>
              <w:right w:val="nil"/>
            </w:tcBorders>
          </w:tcPr>
          <w:p w:rsidR="00A665A9" w:rsidRPr="00EC79CF" w:rsidRDefault="005206FE" w:rsidP="00E7423D">
            <w:pPr>
              <w:pStyle w:val="TableRowNormal"/>
              <w:ind w:left="0" w:firstLine="0"/>
              <w:jc w:val="left"/>
              <w:rPr>
                <w:rFonts w:cstheme="minorHAnsi"/>
              </w:rPr>
            </w:pPr>
            <w:r w:rsidRPr="00EC79CF">
              <w:rPr>
                <w:rFonts w:cstheme="minorHAnsi"/>
              </w:rPr>
              <w:t xml:space="preserve">Volume 2,  </w:t>
            </w:r>
            <w:r w:rsidR="00A665A9" w:rsidRPr="00EC79CF">
              <w:rPr>
                <w:rFonts w:cstheme="minorHAnsi"/>
              </w:rPr>
              <w:t>Chapter 2</w:t>
            </w:r>
            <w:r w:rsidR="00832E48" w:rsidRPr="00EC79CF">
              <w:rPr>
                <w:rFonts w:cstheme="minorHAnsi"/>
              </w:rPr>
              <w:t>6</w:t>
            </w:r>
            <w:r w:rsidR="00A665A9" w:rsidRPr="00EC79CF">
              <w:rPr>
                <w:rFonts w:cstheme="minorHAnsi"/>
              </w:rPr>
              <w:t xml:space="preserve"> — Population growth</w:t>
            </w:r>
          </w:p>
        </w:tc>
        <w:tc>
          <w:tcPr>
            <w:tcW w:w="2031" w:type="pct"/>
            <w:tcBorders>
              <w:top w:val="nil"/>
              <w:left w:val="nil"/>
              <w:bottom w:val="nil"/>
              <w:right w:val="nil"/>
            </w:tcBorders>
          </w:tcPr>
          <w:p w:rsidR="00A665A9" w:rsidRPr="00EC79CF" w:rsidRDefault="00A665A9" w:rsidP="007C19B8">
            <w:pPr>
              <w:pStyle w:val="TableRowNormal"/>
              <w:ind w:left="0" w:firstLine="0"/>
              <w:jc w:val="left"/>
              <w:rPr>
                <w:rFonts w:cstheme="minorHAnsi"/>
              </w:rPr>
            </w:pPr>
            <w:r w:rsidRPr="00EC79CF">
              <w:rPr>
                <w:rFonts w:cstheme="minorHAnsi"/>
              </w:rPr>
              <w:t xml:space="preserve">We have not made an assessment for the impact of intrastate migration on State infrastructure provision because the conceptual case is not </w:t>
            </w:r>
            <w:r w:rsidR="007C19B8">
              <w:rPr>
                <w:rFonts w:cstheme="minorHAnsi"/>
              </w:rPr>
              <w:t>convincing</w:t>
            </w:r>
            <w:r w:rsidRPr="00EC79CF">
              <w:rPr>
                <w:rFonts w:cstheme="minorHAnsi"/>
              </w:rPr>
              <w:t>.</w:t>
            </w:r>
          </w:p>
        </w:tc>
      </w:tr>
      <w:tr w:rsidR="00A665A9" w:rsidRPr="00EC79CF" w:rsidTr="005206FE">
        <w:tc>
          <w:tcPr>
            <w:tcW w:w="2018" w:type="pct"/>
            <w:tcBorders>
              <w:top w:val="nil"/>
              <w:left w:val="nil"/>
              <w:bottom w:val="nil"/>
              <w:right w:val="nil"/>
            </w:tcBorders>
          </w:tcPr>
          <w:p w:rsidR="00A665A9" w:rsidRPr="00EC79CF" w:rsidRDefault="00A665A9" w:rsidP="00E7423D">
            <w:pPr>
              <w:pStyle w:val="CGCTableStub"/>
              <w:ind w:left="142" w:hanging="142"/>
              <w:rPr>
                <w:b/>
              </w:rPr>
            </w:pPr>
            <w:r w:rsidRPr="00EC79CF">
              <w:rPr>
                <w:b/>
              </w:rPr>
              <w:t>Growth investment</w:t>
            </w:r>
            <w:r w:rsidRPr="00490ECA">
              <w:rPr>
                <w:b/>
              </w:rPr>
              <w:t>.</w:t>
            </w:r>
            <w:r w:rsidRPr="00EC79CF">
              <w:t xml:space="preserve"> New asset values should be used to calculate the new investment required. </w:t>
            </w:r>
          </w:p>
        </w:tc>
        <w:tc>
          <w:tcPr>
            <w:tcW w:w="951" w:type="pct"/>
            <w:tcBorders>
              <w:top w:val="nil"/>
              <w:left w:val="nil"/>
              <w:bottom w:val="nil"/>
              <w:right w:val="nil"/>
            </w:tcBorders>
          </w:tcPr>
          <w:p w:rsidR="00A665A9" w:rsidRPr="00EC79CF" w:rsidRDefault="005206FE" w:rsidP="00E7423D">
            <w:pPr>
              <w:pStyle w:val="TableRowNormal"/>
              <w:ind w:left="0" w:firstLine="0"/>
              <w:jc w:val="left"/>
              <w:rPr>
                <w:rFonts w:cstheme="minorHAnsi"/>
              </w:rPr>
            </w:pPr>
            <w:r w:rsidRPr="00EC79CF">
              <w:rPr>
                <w:rFonts w:cstheme="minorHAnsi"/>
              </w:rPr>
              <w:t xml:space="preserve">Volume 2,  </w:t>
            </w:r>
            <w:r w:rsidR="00A665A9" w:rsidRPr="00EC79CF">
              <w:rPr>
                <w:rFonts w:cstheme="minorHAnsi"/>
              </w:rPr>
              <w:t>Chapter 2</w:t>
            </w:r>
            <w:r w:rsidR="00832E48" w:rsidRPr="00EC79CF">
              <w:rPr>
                <w:rFonts w:cstheme="minorHAnsi"/>
              </w:rPr>
              <w:t>6</w:t>
            </w:r>
            <w:r w:rsidR="00A665A9" w:rsidRPr="00EC79CF">
              <w:rPr>
                <w:rFonts w:cstheme="minorHAnsi"/>
              </w:rPr>
              <w:t xml:space="preserve"> — Population growth</w:t>
            </w:r>
          </w:p>
        </w:tc>
        <w:tc>
          <w:tcPr>
            <w:tcW w:w="2031" w:type="pct"/>
            <w:tcBorders>
              <w:top w:val="nil"/>
              <w:left w:val="nil"/>
              <w:bottom w:val="nil"/>
              <w:right w:val="nil"/>
            </w:tcBorders>
          </w:tcPr>
          <w:p w:rsidR="00A665A9" w:rsidRPr="00EC79CF" w:rsidRDefault="00A665A9" w:rsidP="00E7423D">
            <w:pPr>
              <w:pStyle w:val="TableRowNormal"/>
              <w:ind w:left="0" w:firstLine="0"/>
              <w:jc w:val="left"/>
              <w:rPr>
                <w:rFonts w:cstheme="minorHAnsi"/>
              </w:rPr>
            </w:pPr>
            <w:r w:rsidRPr="00EC79CF">
              <w:rPr>
                <w:rFonts w:cstheme="minorHAnsi"/>
              </w:rPr>
              <w:t>We have not made an assessment because, on balance, the conceptual case is not clear and there is no reliable data to measure the relevant costs or the benefits arising from new assets.</w:t>
            </w:r>
          </w:p>
        </w:tc>
      </w:tr>
      <w:tr w:rsidR="00A665A9" w:rsidRPr="00EC79CF" w:rsidTr="005206FE">
        <w:tc>
          <w:tcPr>
            <w:tcW w:w="2018" w:type="pct"/>
            <w:tcBorders>
              <w:top w:val="nil"/>
              <w:left w:val="nil"/>
              <w:bottom w:val="nil"/>
              <w:right w:val="nil"/>
            </w:tcBorders>
          </w:tcPr>
          <w:p w:rsidR="00A665A9" w:rsidRPr="00EC79CF" w:rsidRDefault="00A665A9" w:rsidP="00E7423D">
            <w:pPr>
              <w:pStyle w:val="CGCTableStub"/>
              <w:ind w:left="142" w:hanging="142"/>
              <w:rPr>
                <w:rFonts w:cstheme="minorHAnsi"/>
              </w:rPr>
            </w:pPr>
            <w:r w:rsidRPr="00EC79CF">
              <w:rPr>
                <w:b/>
              </w:rPr>
              <w:t>Underutilised capital, opportunity cost and risk</w:t>
            </w:r>
            <w:r w:rsidRPr="00490ECA">
              <w:rPr>
                <w:b/>
              </w:rPr>
              <w:t>.</w:t>
            </w:r>
            <w:r w:rsidRPr="00EC79CF">
              <w:t xml:space="preserve"> The assessment should recognise the opportunity cost and risk linked to mining related activity and economic development more generally.</w:t>
            </w:r>
          </w:p>
        </w:tc>
        <w:tc>
          <w:tcPr>
            <w:tcW w:w="951" w:type="pct"/>
            <w:tcBorders>
              <w:top w:val="nil"/>
              <w:left w:val="nil"/>
              <w:bottom w:val="nil"/>
              <w:right w:val="nil"/>
            </w:tcBorders>
          </w:tcPr>
          <w:p w:rsidR="00A665A9" w:rsidRPr="00EC79CF" w:rsidRDefault="005206FE" w:rsidP="00E7423D">
            <w:pPr>
              <w:pStyle w:val="TableRowNormal"/>
              <w:ind w:left="0" w:firstLine="0"/>
              <w:jc w:val="left"/>
              <w:rPr>
                <w:rFonts w:cstheme="minorHAnsi"/>
              </w:rPr>
            </w:pPr>
            <w:r w:rsidRPr="00EC79CF">
              <w:rPr>
                <w:rFonts w:cstheme="minorHAnsi"/>
              </w:rPr>
              <w:t xml:space="preserve">Volume 2,  </w:t>
            </w:r>
            <w:r w:rsidR="00A665A9" w:rsidRPr="00EC79CF">
              <w:rPr>
                <w:rFonts w:cstheme="minorHAnsi"/>
              </w:rPr>
              <w:t>Chapter 2</w:t>
            </w:r>
            <w:r w:rsidR="00832E48" w:rsidRPr="00EC79CF">
              <w:rPr>
                <w:rFonts w:cstheme="minorHAnsi"/>
              </w:rPr>
              <w:t>6</w:t>
            </w:r>
            <w:r w:rsidR="00A665A9" w:rsidRPr="00EC79CF">
              <w:rPr>
                <w:rFonts w:cstheme="minorHAnsi"/>
              </w:rPr>
              <w:t xml:space="preserve"> — Population growth</w:t>
            </w:r>
          </w:p>
        </w:tc>
        <w:tc>
          <w:tcPr>
            <w:tcW w:w="2031" w:type="pct"/>
            <w:tcBorders>
              <w:top w:val="nil"/>
              <w:left w:val="nil"/>
              <w:bottom w:val="nil"/>
              <w:right w:val="nil"/>
            </w:tcBorders>
          </w:tcPr>
          <w:p w:rsidR="00A665A9" w:rsidRPr="00EC79CF" w:rsidRDefault="00A665A9" w:rsidP="00E7423D">
            <w:pPr>
              <w:pStyle w:val="TableRowNormal"/>
              <w:ind w:left="0" w:firstLine="0"/>
              <w:jc w:val="left"/>
              <w:rPr>
                <w:rFonts w:cstheme="minorHAnsi"/>
              </w:rPr>
            </w:pPr>
            <w:r w:rsidRPr="00EC79CF">
              <w:rPr>
                <w:rFonts w:cstheme="minorHAnsi"/>
              </w:rPr>
              <w:t xml:space="preserve">We have not made an assessment because there are no reliable data for establishing the conceptual case or making an assessment. </w:t>
            </w:r>
          </w:p>
        </w:tc>
      </w:tr>
      <w:tr w:rsidR="00A665A9" w:rsidRPr="00EC79CF" w:rsidTr="00FF62CB">
        <w:tc>
          <w:tcPr>
            <w:tcW w:w="2018" w:type="pct"/>
            <w:tcBorders>
              <w:top w:val="nil"/>
              <w:left w:val="nil"/>
              <w:bottom w:val="nil"/>
              <w:right w:val="nil"/>
            </w:tcBorders>
          </w:tcPr>
          <w:p w:rsidR="00A665A9" w:rsidRPr="00EC79CF" w:rsidRDefault="00A665A9" w:rsidP="00E7423D">
            <w:pPr>
              <w:pStyle w:val="CGCTableStub"/>
              <w:ind w:left="142" w:hanging="142"/>
              <w:rPr>
                <w:b/>
              </w:rPr>
            </w:pPr>
            <w:r w:rsidRPr="00EC79CF">
              <w:rPr>
                <w:b/>
              </w:rPr>
              <w:t xml:space="preserve">Housing for non-government service workers. </w:t>
            </w:r>
            <w:r w:rsidRPr="00EC79CF">
              <w:t xml:space="preserve">There should be recognition of Western Australia’s spending to increase land supply and affordable housing in remote mining towns. </w:t>
            </w:r>
          </w:p>
        </w:tc>
        <w:tc>
          <w:tcPr>
            <w:tcW w:w="951" w:type="pct"/>
            <w:tcBorders>
              <w:top w:val="nil"/>
              <w:left w:val="nil"/>
              <w:bottom w:val="nil"/>
              <w:right w:val="nil"/>
            </w:tcBorders>
          </w:tcPr>
          <w:p w:rsidR="00A665A9" w:rsidRPr="00EC79CF" w:rsidRDefault="005206FE" w:rsidP="00E7423D">
            <w:pPr>
              <w:pStyle w:val="TableRowNormal"/>
              <w:ind w:left="0" w:firstLine="0"/>
              <w:jc w:val="left"/>
              <w:rPr>
                <w:rFonts w:cstheme="minorHAnsi"/>
              </w:rPr>
            </w:pPr>
            <w:r w:rsidRPr="00EC79CF">
              <w:rPr>
                <w:rFonts w:cstheme="minorHAnsi"/>
              </w:rPr>
              <w:t xml:space="preserve">Volume 2,  </w:t>
            </w:r>
            <w:r w:rsidR="00A665A9" w:rsidRPr="00EC79CF">
              <w:rPr>
                <w:rFonts w:cstheme="minorHAnsi"/>
              </w:rPr>
              <w:t>Chapter 2</w:t>
            </w:r>
            <w:r w:rsidR="00832E48" w:rsidRPr="00EC79CF">
              <w:rPr>
                <w:rFonts w:cstheme="minorHAnsi"/>
              </w:rPr>
              <w:t>6</w:t>
            </w:r>
            <w:r w:rsidR="00A665A9" w:rsidRPr="00EC79CF">
              <w:rPr>
                <w:rFonts w:cstheme="minorHAnsi"/>
              </w:rPr>
              <w:t xml:space="preserve"> — Population growth</w:t>
            </w:r>
          </w:p>
        </w:tc>
        <w:tc>
          <w:tcPr>
            <w:tcW w:w="2031" w:type="pct"/>
            <w:tcBorders>
              <w:top w:val="nil"/>
              <w:left w:val="nil"/>
              <w:bottom w:val="nil"/>
              <w:right w:val="nil"/>
            </w:tcBorders>
          </w:tcPr>
          <w:p w:rsidR="00A665A9" w:rsidRPr="00EC79CF" w:rsidRDefault="00A665A9" w:rsidP="00E7423D">
            <w:pPr>
              <w:pStyle w:val="TableRowNormal"/>
              <w:ind w:left="0" w:firstLine="0"/>
              <w:jc w:val="left"/>
              <w:rPr>
                <w:rFonts w:cstheme="minorHAnsi"/>
              </w:rPr>
            </w:pPr>
            <w:r w:rsidRPr="00EC79CF">
              <w:rPr>
                <w:rFonts w:cstheme="minorHAnsi"/>
              </w:rPr>
              <w:t xml:space="preserve">We considered but did not assess any additional disabilities for State spending on affordable housing in remote communities. Population growth needs and regional costs are already assessed, and any additional assessment to capture the unique economic circumstances was unlikely to be material.  </w:t>
            </w:r>
          </w:p>
        </w:tc>
      </w:tr>
      <w:tr w:rsidR="00FF62CB" w:rsidRPr="00EC79CF" w:rsidTr="00FF62CB">
        <w:tc>
          <w:tcPr>
            <w:tcW w:w="2018" w:type="pct"/>
            <w:tcBorders>
              <w:top w:val="nil"/>
              <w:left w:val="nil"/>
              <w:bottom w:val="nil"/>
              <w:right w:val="nil"/>
            </w:tcBorders>
          </w:tcPr>
          <w:p w:rsidR="00FF62CB" w:rsidRPr="00EC79CF" w:rsidRDefault="00FF62CB" w:rsidP="005558EE">
            <w:pPr>
              <w:pStyle w:val="CGCTableStub"/>
              <w:ind w:left="142" w:hanging="142"/>
              <w:rPr>
                <w:rFonts w:cstheme="minorHAnsi"/>
              </w:rPr>
            </w:pPr>
            <w:r w:rsidRPr="00EC79CF">
              <w:rPr>
                <w:b/>
              </w:rPr>
              <w:t>Roads</w:t>
            </w:r>
            <w:r w:rsidRPr="00490ECA">
              <w:rPr>
                <w:b/>
              </w:rPr>
              <w:t>.</w:t>
            </w:r>
            <w:r w:rsidRPr="00EC79CF">
              <w:t xml:space="preserve"> There is inadequate recognition of road maintenance and construction for mining related roads.</w:t>
            </w:r>
          </w:p>
        </w:tc>
        <w:tc>
          <w:tcPr>
            <w:tcW w:w="951" w:type="pct"/>
            <w:tcBorders>
              <w:top w:val="nil"/>
              <w:left w:val="nil"/>
              <w:bottom w:val="nil"/>
              <w:right w:val="nil"/>
            </w:tcBorders>
          </w:tcPr>
          <w:p w:rsidR="00FF62CB" w:rsidRPr="00EC79CF" w:rsidRDefault="00FF62CB" w:rsidP="005558EE">
            <w:pPr>
              <w:pStyle w:val="TableRowNormal"/>
              <w:ind w:left="0" w:firstLine="0"/>
              <w:jc w:val="left"/>
              <w:rPr>
                <w:rFonts w:cstheme="minorHAnsi"/>
              </w:rPr>
            </w:pPr>
            <w:r w:rsidRPr="00EC79CF">
              <w:rPr>
                <w:rFonts w:cstheme="minorHAnsi"/>
              </w:rPr>
              <w:t>Volume 2,  Chapter 17 — Roads</w:t>
            </w:r>
          </w:p>
        </w:tc>
        <w:tc>
          <w:tcPr>
            <w:tcW w:w="2031" w:type="pct"/>
            <w:tcBorders>
              <w:top w:val="nil"/>
              <w:left w:val="nil"/>
              <w:bottom w:val="nil"/>
              <w:right w:val="nil"/>
            </w:tcBorders>
          </w:tcPr>
          <w:p w:rsidR="00FF62CB" w:rsidRPr="00EC79CF" w:rsidRDefault="00FF62CB" w:rsidP="005558EE">
            <w:pPr>
              <w:pStyle w:val="TableRowNormal"/>
              <w:ind w:left="0" w:firstLine="0"/>
              <w:jc w:val="left"/>
              <w:rPr>
                <w:rFonts w:cstheme="minorHAnsi"/>
              </w:rPr>
            </w:pPr>
            <w:r w:rsidRPr="00EC79CF">
              <w:rPr>
                <w:rFonts w:cstheme="minorHAnsi"/>
              </w:rPr>
              <w:t xml:space="preserve">We have not adjusted our policy neutral measure of road length to include additional roads related to mining because the best available data are neither reliable nor material. Differences in road use are already captured. </w:t>
            </w:r>
          </w:p>
        </w:tc>
      </w:tr>
      <w:tr w:rsidR="00FF62CB" w:rsidRPr="00EC79CF" w:rsidTr="00FF62CB">
        <w:tc>
          <w:tcPr>
            <w:tcW w:w="2018" w:type="pct"/>
            <w:tcBorders>
              <w:top w:val="nil"/>
              <w:left w:val="nil"/>
              <w:bottom w:val="nil"/>
              <w:right w:val="nil"/>
            </w:tcBorders>
          </w:tcPr>
          <w:p w:rsidR="00FF62CB" w:rsidRPr="00EC79CF" w:rsidRDefault="00FF62CB" w:rsidP="005558EE">
            <w:pPr>
              <w:pStyle w:val="CGCTableStub"/>
              <w:ind w:left="142" w:hanging="142"/>
              <w:rPr>
                <w:rFonts w:cstheme="minorHAnsi"/>
              </w:rPr>
            </w:pPr>
            <w:r w:rsidRPr="00EC79CF">
              <w:rPr>
                <w:b/>
              </w:rPr>
              <w:t>State specific remoteness costs</w:t>
            </w:r>
            <w:r w:rsidRPr="00490ECA">
              <w:rPr>
                <w:b/>
              </w:rPr>
              <w:t>.</w:t>
            </w:r>
            <w:r w:rsidRPr="00EC79CF">
              <w:t xml:space="preserve"> The very high remote costs in Western Australia are not recognised in the location assessments.</w:t>
            </w:r>
          </w:p>
        </w:tc>
        <w:tc>
          <w:tcPr>
            <w:tcW w:w="951" w:type="pct"/>
            <w:tcBorders>
              <w:top w:val="nil"/>
              <w:left w:val="nil"/>
              <w:bottom w:val="nil"/>
              <w:right w:val="nil"/>
            </w:tcBorders>
          </w:tcPr>
          <w:p w:rsidR="00FF62CB" w:rsidRPr="00EC79CF" w:rsidRDefault="00FF62CB" w:rsidP="005558EE">
            <w:pPr>
              <w:pStyle w:val="TableRowNormal"/>
              <w:ind w:left="0" w:firstLine="0"/>
              <w:jc w:val="left"/>
              <w:rPr>
                <w:rFonts w:cstheme="minorHAnsi"/>
              </w:rPr>
            </w:pPr>
            <w:r w:rsidRPr="00EC79CF">
              <w:rPr>
                <w:rFonts w:cstheme="minorHAnsi"/>
              </w:rPr>
              <w:t>Volume 2, Chapters 22 and 23 —Wage and Regional costs</w:t>
            </w:r>
          </w:p>
        </w:tc>
        <w:tc>
          <w:tcPr>
            <w:tcW w:w="2031" w:type="pct"/>
            <w:tcBorders>
              <w:top w:val="nil"/>
              <w:left w:val="nil"/>
              <w:bottom w:val="nil"/>
              <w:right w:val="nil"/>
            </w:tcBorders>
          </w:tcPr>
          <w:p w:rsidR="00FF62CB" w:rsidRPr="00EC79CF" w:rsidRDefault="00FF62CB" w:rsidP="005558EE">
            <w:pPr>
              <w:pStyle w:val="TableRowNormal"/>
              <w:ind w:left="0" w:firstLine="0"/>
              <w:jc w:val="left"/>
              <w:rPr>
                <w:rFonts w:cstheme="minorHAnsi"/>
              </w:rPr>
            </w:pPr>
            <w:r w:rsidRPr="00EC79CF">
              <w:rPr>
                <w:rFonts w:cstheme="minorHAnsi"/>
              </w:rPr>
              <w:t>We considered but did not assess a State specific regional loading for States with high regional wages. We consider the regional costs gradient adequately captures the higher costs faced by Western Australia in remote areas.</w:t>
            </w:r>
          </w:p>
        </w:tc>
      </w:tr>
      <w:tr w:rsidR="00FF62CB" w:rsidRPr="00EC79CF" w:rsidTr="00FF62CB">
        <w:tc>
          <w:tcPr>
            <w:tcW w:w="2018" w:type="pct"/>
            <w:tcBorders>
              <w:top w:val="nil"/>
              <w:left w:val="nil"/>
              <w:bottom w:val="single" w:sz="4" w:space="0" w:color="auto"/>
              <w:right w:val="nil"/>
            </w:tcBorders>
          </w:tcPr>
          <w:p w:rsidR="00FF62CB" w:rsidRPr="00EC79CF" w:rsidRDefault="00FF62CB" w:rsidP="005558EE">
            <w:pPr>
              <w:pStyle w:val="CGCTableStub"/>
              <w:ind w:left="142" w:hanging="142"/>
              <w:rPr>
                <w:rFonts w:cstheme="minorHAnsi"/>
              </w:rPr>
            </w:pPr>
            <w:r w:rsidRPr="00EC79CF">
              <w:rPr>
                <w:b/>
              </w:rPr>
              <w:t>Mining regulation</w:t>
            </w:r>
            <w:r w:rsidRPr="00490ECA">
              <w:rPr>
                <w:b/>
              </w:rPr>
              <w:t>.</w:t>
            </w:r>
            <w:r w:rsidRPr="00EC79CF">
              <w:t xml:space="preserve"> There should be explicit recognition of mining industry regulation costs.</w:t>
            </w:r>
          </w:p>
        </w:tc>
        <w:tc>
          <w:tcPr>
            <w:tcW w:w="951" w:type="pct"/>
            <w:tcBorders>
              <w:top w:val="nil"/>
              <w:left w:val="nil"/>
              <w:bottom w:val="single" w:sz="4" w:space="0" w:color="auto"/>
              <w:right w:val="nil"/>
            </w:tcBorders>
          </w:tcPr>
          <w:p w:rsidR="00FF62CB" w:rsidRPr="00EC79CF" w:rsidRDefault="00FF62CB" w:rsidP="005558EE">
            <w:pPr>
              <w:pStyle w:val="TableRowNormal"/>
              <w:ind w:left="0" w:firstLine="0"/>
              <w:jc w:val="left"/>
              <w:rPr>
                <w:rFonts w:cstheme="minorHAnsi"/>
              </w:rPr>
            </w:pPr>
            <w:r w:rsidRPr="00EC79CF">
              <w:rPr>
                <w:rFonts w:cstheme="minorHAnsi"/>
              </w:rPr>
              <w:t>Volume 2,  Chapter 19 — Services to industry</w:t>
            </w:r>
          </w:p>
        </w:tc>
        <w:tc>
          <w:tcPr>
            <w:tcW w:w="2031" w:type="pct"/>
            <w:tcBorders>
              <w:top w:val="nil"/>
              <w:left w:val="nil"/>
              <w:bottom w:val="single" w:sz="4" w:space="0" w:color="auto"/>
              <w:right w:val="nil"/>
            </w:tcBorders>
          </w:tcPr>
          <w:p w:rsidR="00FF62CB" w:rsidRPr="00EC79CF" w:rsidRDefault="00FF62CB" w:rsidP="005558EE">
            <w:pPr>
              <w:pStyle w:val="TableRowNormal"/>
              <w:ind w:left="0" w:firstLine="0"/>
              <w:jc w:val="left"/>
              <w:rPr>
                <w:rFonts w:cstheme="minorHAnsi"/>
              </w:rPr>
            </w:pPr>
            <w:r w:rsidRPr="00EC79CF">
              <w:rPr>
                <w:rFonts w:cstheme="minorHAnsi"/>
              </w:rPr>
              <w:t xml:space="preserve">We have assessed these expenses with other industry regulation costs. We did not assess them in a separate component because the drivers of these expenses (size of the mining industry and number of mines) are not material across categories. </w:t>
            </w:r>
          </w:p>
        </w:tc>
      </w:tr>
    </w:tbl>
    <w:p w:rsidR="00A665A9" w:rsidRPr="00EC79CF" w:rsidRDefault="00A665A9" w:rsidP="00A665A9">
      <w:r w:rsidRPr="00EC79CF">
        <w:br w:type="page"/>
      </w:r>
    </w:p>
    <w:p w:rsidR="00A665A9" w:rsidRPr="00EC79CF" w:rsidRDefault="00A665A9" w:rsidP="00A665A9">
      <w:pPr>
        <w:pStyle w:val="CGCTableHeading"/>
        <w:ind w:left="0" w:firstLine="0"/>
      </w:pPr>
      <w:r w:rsidRPr="00EC79CF">
        <w:lastRenderedPageBreak/>
        <w:t>Table 3</w:t>
      </w:r>
      <w:r w:rsidRPr="00EC79CF">
        <w:tab/>
        <w:t>Mining related expenditure issues raised by States, 2015 Review (</w:t>
      </w:r>
      <w:proofErr w:type="spellStart"/>
      <w:r w:rsidRPr="00EC79CF">
        <w:t>cont</w:t>
      </w:r>
      <w:proofErr w:type="spellEnd"/>
      <w:r w:rsidRPr="00EC79CF">
        <w:t>)</w:t>
      </w:r>
    </w:p>
    <w:tbl>
      <w:tblPr>
        <w:tblStyle w:val="TableGrid"/>
        <w:tblW w:w="5007" w:type="pct"/>
        <w:tblLook w:val="04A0" w:firstRow="1" w:lastRow="0" w:firstColumn="1" w:lastColumn="0" w:noHBand="0" w:noVBand="1"/>
        <w:tblDescription w:val=" "/>
      </w:tblPr>
      <w:tblGrid>
        <w:gridCol w:w="3705"/>
        <w:gridCol w:w="1746"/>
        <w:gridCol w:w="3729"/>
      </w:tblGrid>
      <w:tr w:rsidR="00E14C7F" w:rsidRPr="00EC79CF" w:rsidTr="007C3093">
        <w:tc>
          <w:tcPr>
            <w:tcW w:w="2018" w:type="pct"/>
            <w:tcBorders>
              <w:top w:val="single" w:sz="4" w:space="0" w:color="auto"/>
              <w:left w:val="nil"/>
              <w:bottom w:val="single" w:sz="4" w:space="0" w:color="auto"/>
              <w:right w:val="nil"/>
            </w:tcBorders>
          </w:tcPr>
          <w:p w:rsidR="00E14C7F" w:rsidRPr="00EC79CF" w:rsidRDefault="00E14C7F" w:rsidP="007C3093">
            <w:pPr>
              <w:pStyle w:val="TableColHeadings"/>
              <w:jc w:val="left"/>
              <w:rPr>
                <w:rFonts w:cstheme="minorHAnsi"/>
              </w:rPr>
            </w:pPr>
            <w:r w:rsidRPr="00EC79CF">
              <w:rPr>
                <w:rFonts w:cstheme="minorHAnsi"/>
              </w:rPr>
              <w:t>Issue</w:t>
            </w:r>
          </w:p>
        </w:tc>
        <w:tc>
          <w:tcPr>
            <w:tcW w:w="951" w:type="pct"/>
            <w:tcBorders>
              <w:top w:val="single" w:sz="4" w:space="0" w:color="auto"/>
              <w:left w:val="nil"/>
              <w:bottom w:val="single" w:sz="4" w:space="0" w:color="auto"/>
              <w:right w:val="nil"/>
            </w:tcBorders>
          </w:tcPr>
          <w:p w:rsidR="00E14C7F" w:rsidRPr="00EC79CF" w:rsidRDefault="00E14C7F" w:rsidP="007C3093">
            <w:pPr>
              <w:pStyle w:val="TableColHeadings"/>
              <w:jc w:val="left"/>
              <w:rPr>
                <w:rFonts w:cstheme="minorHAnsi"/>
              </w:rPr>
            </w:pPr>
            <w:r w:rsidRPr="00EC79CF">
              <w:rPr>
                <w:rFonts w:cstheme="minorHAnsi"/>
              </w:rPr>
              <w:t>Reference</w:t>
            </w:r>
          </w:p>
        </w:tc>
        <w:tc>
          <w:tcPr>
            <w:tcW w:w="2031" w:type="pct"/>
            <w:tcBorders>
              <w:top w:val="single" w:sz="4" w:space="0" w:color="auto"/>
              <w:left w:val="nil"/>
              <w:bottom w:val="single" w:sz="4" w:space="0" w:color="auto"/>
              <w:right w:val="nil"/>
            </w:tcBorders>
          </w:tcPr>
          <w:p w:rsidR="00E14C7F" w:rsidRPr="00EC79CF" w:rsidRDefault="00E14C7F" w:rsidP="007C3093">
            <w:pPr>
              <w:pStyle w:val="TableColHeadings"/>
              <w:jc w:val="left"/>
              <w:rPr>
                <w:rFonts w:cstheme="minorHAnsi"/>
              </w:rPr>
            </w:pPr>
            <w:r w:rsidRPr="00EC79CF">
              <w:rPr>
                <w:rFonts w:cstheme="minorHAnsi"/>
              </w:rPr>
              <w:t>Commission response</w:t>
            </w:r>
          </w:p>
        </w:tc>
      </w:tr>
      <w:tr w:rsidR="00A665A9" w:rsidRPr="00EC79CF" w:rsidTr="005206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18" w:type="pct"/>
          </w:tcPr>
          <w:p w:rsidR="00A665A9" w:rsidRPr="00EC79CF" w:rsidRDefault="00A665A9" w:rsidP="00E7423D">
            <w:pPr>
              <w:pStyle w:val="CGCTableStub"/>
              <w:ind w:left="142" w:hanging="142"/>
              <w:rPr>
                <w:rFonts w:cstheme="minorHAnsi"/>
              </w:rPr>
            </w:pPr>
            <w:r w:rsidRPr="00EC79CF">
              <w:rPr>
                <w:b/>
              </w:rPr>
              <w:t>Local government and community amenities</w:t>
            </w:r>
            <w:r w:rsidRPr="00490ECA">
              <w:rPr>
                <w:b/>
              </w:rPr>
              <w:t>.</w:t>
            </w:r>
            <w:r w:rsidRPr="00EC79CF">
              <w:t xml:space="preserve"> There is inadequate recognition of support for local governments and community amenities in mining regions.</w:t>
            </w:r>
          </w:p>
        </w:tc>
        <w:tc>
          <w:tcPr>
            <w:tcW w:w="951" w:type="pct"/>
          </w:tcPr>
          <w:p w:rsidR="00A665A9" w:rsidRPr="00EC79CF" w:rsidRDefault="005206FE" w:rsidP="00E7423D">
            <w:pPr>
              <w:pStyle w:val="TableRowNormal"/>
              <w:ind w:left="0" w:firstLine="0"/>
              <w:jc w:val="left"/>
              <w:rPr>
                <w:rFonts w:cstheme="minorHAnsi"/>
              </w:rPr>
            </w:pPr>
            <w:r w:rsidRPr="00EC79CF">
              <w:rPr>
                <w:rFonts w:cstheme="minorHAnsi"/>
              </w:rPr>
              <w:t xml:space="preserve">Volume 2,  </w:t>
            </w:r>
            <w:r w:rsidR="00A665A9" w:rsidRPr="00EC79CF">
              <w:rPr>
                <w:rFonts w:cstheme="minorHAnsi"/>
              </w:rPr>
              <w:t>Chapter 20 — Other expenses</w:t>
            </w:r>
          </w:p>
        </w:tc>
        <w:tc>
          <w:tcPr>
            <w:tcW w:w="2031" w:type="pct"/>
          </w:tcPr>
          <w:p w:rsidR="00A665A9" w:rsidRPr="00EC79CF" w:rsidRDefault="00A665A9" w:rsidP="00E7423D">
            <w:pPr>
              <w:pStyle w:val="TableRowNormal"/>
              <w:ind w:left="0" w:firstLine="0"/>
              <w:jc w:val="left"/>
              <w:rPr>
                <w:rFonts w:cstheme="minorHAnsi"/>
              </w:rPr>
            </w:pPr>
            <w:r w:rsidRPr="00EC79CF">
              <w:rPr>
                <w:rFonts w:cstheme="minorHAnsi"/>
              </w:rPr>
              <w:t xml:space="preserve">We have made an assessment for these expenses using population growth as the disability. </w:t>
            </w:r>
          </w:p>
        </w:tc>
      </w:tr>
      <w:tr w:rsidR="00A665A9" w:rsidRPr="00EC79CF" w:rsidTr="005206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18" w:type="pct"/>
          </w:tcPr>
          <w:p w:rsidR="00A665A9" w:rsidRPr="00EC79CF" w:rsidRDefault="00A665A9" w:rsidP="00E7423D">
            <w:pPr>
              <w:pStyle w:val="CGCTableStub"/>
              <w:ind w:left="142" w:hanging="142"/>
              <w:rPr>
                <w:rFonts w:cstheme="minorHAnsi"/>
              </w:rPr>
            </w:pPr>
            <w:r w:rsidRPr="00EC79CF">
              <w:rPr>
                <w:b/>
              </w:rPr>
              <w:t>Fly-in fly-out workers</w:t>
            </w:r>
            <w:r w:rsidRPr="00490ECA">
              <w:rPr>
                <w:b/>
              </w:rPr>
              <w:t>.</w:t>
            </w:r>
            <w:r w:rsidRPr="00EC79CF">
              <w:t xml:space="preserve"> There is no recognition of the impact of fly-in/fly-out (FIFO) and drive in/drive out (DIDO) workers on services and infrastructure in mining regions.</w:t>
            </w:r>
          </w:p>
        </w:tc>
        <w:tc>
          <w:tcPr>
            <w:tcW w:w="951" w:type="pct"/>
          </w:tcPr>
          <w:p w:rsidR="00A665A9" w:rsidRPr="00EC79CF" w:rsidRDefault="00A665A9" w:rsidP="00E7423D">
            <w:pPr>
              <w:pStyle w:val="TableRowNormal"/>
              <w:ind w:left="0" w:firstLine="0"/>
              <w:jc w:val="left"/>
              <w:rPr>
                <w:rFonts w:cstheme="minorHAnsi"/>
              </w:rPr>
            </w:pPr>
            <w:r w:rsidRPr="00EC79CF">
              <w:rPr>
                <w:rFonts w:cstheme="minorHAnsi"/>
              </w:rPr>
              <w:t xml:space="preserve">See this chapter </w:t>
            </w:r>
          </w:p>
        </w:tc>
        <w:tc>
          <w:tcPr>
            <w:tcW w:w="2031" w:type="pct"/>
          </w:tcPr>
          <w:p w:rsidR="00A665A9" w:rsidRPr="00EC79CF" w:rsidRDefault="00A665A9" w:rsidP="00E7423D">
            <w:pPr>
              <w:pStyle w:val="TableRowNormal"/>
              <w:ind w:left="0" w:firstLine="0"/>
              <w:jc w:val="left"/>
              <w:rPr>
                <w:rFonts w:cstheme="minorHAnsi"/>
              </w:rPr>
            </w:pPr>
            <w:r w:rsidRPr="00EC79CF">
              <w:rPr>
                <w:rFonts w:cstheme="minorHAnsi"/>
              </w:rPr>
              <w:t>The States were unable to provide reliable data to demonstrate the conceptual case for making an assessment.</w:t>
            </w:r>
          </w:p>
        </w:tc>
      </w:tr>
      <w:tr w:rsidR="00A665A9" w:rsidRPr="00EC79CF" w:rsidTr="005206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18" w:type="pct"/>
          </w:tcPr>
          <w:p w:rsidR="00A665A9" w:rsidRPr="00EC79CF" w:rsidRDefault="00A665A9" w:rsidP="00E7423D">
            <w:pPr>
              <w:pStyle w:val="CGCTableStub"/>
              <w:ind w:left="142" w:hanging="142"/>
              <w:rPr>
                <w:b/>
              </w:rPr>
            </w:pPr>
            <w:r w:rsidRPr="00EC79CF">
              <w:rPr>
                <w:b/>
              </w:rPr>
              <w:t xml:space="preserve">Planning and regulation costs for investment projects. </w:t>
            </w:r>
            <w:r w:rsidRPr="00EC79CF">
              <w:t>There is no recognition of the higher regulatory costs of investment projects in States with relatively high levels of investment including private sector mining investment.</w:t>
            </w:r>
          </w:p>
        </w:tc>
        <w:tc>
          <w:tcPr>
            <w:tcW w:w="951" w:type="pct"/>
          </w:tcPr>
          <w:p w:rsidR="00A665A9" w:rsidRPr="00EC79CF" w:rsidRDefault="005206FE" w:rsidP="00E7423D">
            <w:pPr>
              <w:pStyle w:val="TableRowNormal"/>
              <w:ind w:left="0" w:firstLine="0"/>
              <w:jc w:val="left"/>
              <w:rPr>
                <w:rFonts w:cstheme="minorHAnsi"/>
              </w:rPr>
            </w:pPr>
            <w:r w:rsidRPr="00EC79CF">
              <w:rPr>
                <w:rFonts w:cstheme="minorHAnsi"/>
              </w:rPr>
              <w:t xml:space="preserve">Volume 2,  </w:t>
            </w:r>
            <w:r w:rsidR="00A665A9" w:rsidRPr="00EC79CF">
              <w:rPr>
                <w:rFonts w:cstheme="minorHAnsi"/>
              </w:rPr>
              <w:t>Chapter 19 — Services to industry</w:t>
            </w:r>
          </w:p>
        </w:tc>
        <w:tc>
          <w:tcPr>
            <w:tcW w:w="2031" w:type="pct"/>
          </w:tcPr>
          <w:p w:rsidR="00A665A9" w:rsidRPr="00EC79CF" w:rsidRDefault="00A665A9" w:rsidP="00E7423D">
            <w:pPr>
              <w:pStyle w:val="TableRowNormal"/>
              <w:ind w:left="0" w:firstLine="0"/>
              <w:jc w:val="left"/>
              <w:rPr>
                <w:rFonts w:cstheme="minorHAnsi"/>
              </w:rPr>
            </w:pPr>
            <w:r w:rsidRPr="00EC79CF">
              <w:rPr>
                <w:rFonts w:cstheme="minorHAnsi"/>
              </w:rPr>
              <w:t>We have made an assessment for these expenses using the level of private non</w:t>
            </w:r>
            <w:r w:rsidRPr="00EC79CF">
              <w:rPr>
                <w:rFonts w:cstheme="minorHAnsi"/>
              </w:rPr>
              <w:noBreakHyphen/>
              <w:t xml:space="preserve">dwelling construction expenditure as the disability. </w:t>
            </w:r>
          </w:p>
        </w:tc>
      </w:tr>
      <w:tr w:rsidR="00A665A9" w:rsidRPr="00EC79CF" w:rsidTr="005206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18" w:type="pct"/>
            <w:tcBorders>
              <w:bottom w:val="single" w:sz="4" w:space="0" w:color="auto"/>
            </w:tcBorders>
          </w:tcPr>
          <w:p w:rsidR="00A665A9" w:rsidRPr="00EC79CF" w:rsidRDefault="00A665A9" w:rsidP="00E7423D">
            <w:pPr>
              <w:pStyle w:val="CGCTableStub"/>
              <w:ind w:left="142" w:hanging="142"/>
              <w:rPr>
                <w:rFonts w:cstheme="minorHAnsi"/>
              </w:rPr>
            </w:pPr>
            <w:r w:rsidRPr="00EC79CF">
              <w:rPr>
                <w:b/>
              </w:rPr>
              <w:t>Past policy influences</w:t>
            </w:r>
            <w:r w:rsidRPr="00490ECA">
              <w:rPr>
                <w:b/>
              </w:rPr>
              <w:t>.</w:t>
            </w:r>
            <w:r w:rsidRPr="00EC79CF">
              <w:t xml:space="preserve"> The mining revenue assessment should recognise the contribution of past and present State policies on the development of revenue bases, for example, the North West Shelf.</w:t>
            </w:r>
          </w:p>
        </w:tc>
        <w:tc>
          <w:tcPr>
            <w:tcW w:w="951" w:type="pct"/>
            <w:tcBorders>
              <w:bottom w:val="single" w:sz="4" w:space="0" w:color="auto"/>
            </w:tcBorders>
          </w:tcPr>
          <w:p w:rsidR="00A665A9" w:rsidRPr="00EC79CF" w:rsidRDefault="00A665A9" w:rsidP="00E7423D">
            <w:pPr>
              <w:pStyle w:val="TableRowNormal"/>
              <w:ind w:left="0" w:firstLine="0"/>
              <w:jc w:val="left"/>
              <w:rPr>
                <w:rFonts w:cstheme="minorHAnsi"/>
              </w:rPr>
            </w:pPr>
            <w:r w:rsidRPr="00EC79CF">
              <w:rPr>
                <w:rFonts w:cstheme="minorHAnsi"/>
              </w:rPr>
              <w:t>See this chapter</w:t>
            </w:r>
          </w:p>
        </w:tc>
        <w:tc>
          <w:tcPr>
            <w:tcW w:w="2031" w:type="pct"/>
            <w:tcBorders>
              <w:bottom w:val="single" w:sz="4" w:space="0" w:color="auto"/>
            </w:tcBorders>
            <w:shd w:val="clear" w:color="auto" w:fill="FFFFFF" w:themeFill="background1"/>
          </w:tcPr>
          <w:p w:rsidR="00A665A9" w:rsidRPr="00EC79CF" w:rsidRDefault="00A665A9" w:rsidP="00E7423D">
            <w:pPr>
              <w:pStyle w:val="TableRowNormal"/>
              <w:ind w:left="0" w:firstLine="0"/>
              <w:jc w:val="left"/>
              <w:rPr>
                <w:rFonts w:cstheme="minorHAnsi"/>
              </w:rPr>
            </w:pPr>
            <w:r w:rsidRPr="00EC79CF">
              <w:rPr>
                <w:rFonts w:cstheme="minorHAnsi"/>
              </w:rPr>
              <w:t xml:space="preserve">We have decided not to adjust current mining revenue bases for past policy because we do not accept there have been previously unequalised expenditures </w:t>
            </w:r>
            <w:r w:rsidRPr="00EC79CF">
              <w:rPr>
                <w:rFonts w:cstheme="minorHAnsi"/>
                <w:shd w:val="clear" w:color="auto" w:fill="FFFFFF" w:themeFill="background1"/>
              </w:rPr>
              <w:t>and we do not consider there is sufficient evidence to conclude that State assistance has significantly affected mining revenue bases.</w:t>
            </w:r>
          </w:p>
        </w:tc>
      </w:tr>
    </w:tbl>
    <w:p w:rsidR="00CE0C60" w:rsidRPr="00EC79CF" w:rsidRDefault="00CE0C60" w:rsidP="00CE0C60">
      <w:pPr>
        <w:pStyle w:val="Heading4"/>
      </w:pPr>
      <w:r w:rsidRPr="00EC79CF">
        <w:t>Previously unequalised expenditure</w:t>
      </w:r>
    </w:p>
    <w:p w:rsidR="00A665A9" w:rsidRPr="00EC79CF" w:rsidRDefault="00A665A9" w:rsidP="00C20E52">
      <w:pPr>
        <w:pStyle w:val="CGCNumberedPara"/>
        <w:numPr>
          <w:ilvl w:val="1"/>
          <w:numId w:val="2"/>
        </w:numPr>
      </w:pPr>
      <w:r w:rsidRPr="00EC79CF">
        <w:t xml:space="preserve">Queensland and Western Australia have asked for the equalisation process to recognise that they incurred costs in developing their mining industries which were </w:t>
      </w:r>
      <w:r w:rsidR="00B167FA">
        <w:t xml:space="preserve">not accounted for at the time. </w:t>
      </w:r>
      <w:r w:rsidRPr="00EC79CF">
        <w:t xml:space="preserve">Western Australia raised the particular case of the costs it incurred in the development of the North West </w:t>
      </w:r>
      <w:r w:rsidR="00B167FA">
        <w:t xml:space="preserve">(NW) </w:t>
      </w:r>
      <w:r w:rsidRPr="00EC79CF">
        <w:t>Shelf which it considered to be essential to the project but have never been recognised while revenues from the project are subject to equalisation.</w:t>
      </w:r>
    </w:p>
    <w:p w:rsidR="00A665A9" w:rsidRPr="00EC79CF" w:rsidRDefault="00A665A9" w:rsidP="00C20E52">
      <w:pPr>
        <w:pStyle w:val="CGCNumberedPara"/>
        <w:numPr>
          <w:ilvl w:val="1"/>
          <w:numId w:val="2"/>
        </w:numPr>
      </w:pPr>
      <w:r w:rsidRPr="00EC79CF">
        <w:t>The Commission has considered past mining development expenditures in this and previous reviews and decided not to assess those expenditures. In part</w:t>
      </w:r>
      <w:r w:rsidR="00B167FA">
        <w:t>,</w:t>
      </w:r>
      <w:r w:rsidRPr="00EC79CF">
        <w:t xml:space="preserve"> that decision reflects conceptual issues, especially the merit of considering mining related expenditures in isolation from other industry development expenditures which may also have been incurred by States in the past. It also re</w:t>
      </w:r>
      <w:r w:rsidR="00B167FA">
        <w:t xml:space="preserve">flects </w:t>
      </w:r>
      <w:r w:rsidRPr="00EC79CF">
        <w:t>practical issues</w:t>
      </w:r>
      <w:r w:rsidR="004656E8">
        <w:t>,</w:t>
      </w:r>
      <w:r w:rsidRPr="00EC79CF">
        <w:t xml:space="preserve"> such as adjusting observed State expenditures to remove above average spending by individual States</w:t>
      </w:r>
      <w:r w:rsidR="00B167FA">
        <w:t xml:space="preserve"> on past industry development. </w:t>
      </w:r>
      <w:r w:rsidRPr="00EC79CF">
        <w:t>Such an adjustment is needed because</w:t>
      </w:r>
      <w:r w:rsidR="004656E8">
        <w:t>,</w:t>
      </w:r>
      <w:r w:rsidRPr="00EC79CF">
        <w:t xml:space="preserve"> on policy neutrality grounds</w:t>
      </w:r>
      <w:r w:rsidR="004656E8">
        <w:t>,</w:t>
      </w:r>
      <w:r w:rsidRPr="00EC79CF">
        <w:t xml:space="preserve"> above average spending should not form part of any adjustment to State revenues. Queensland conceded it would be difficult to </w:t>
      </w:r>
      <w:r w:rsidRPr="00EC79CF">
        <w:lastRenderedPageBreak/>
        <w:t>explicitly define the level of past unrecognised expenditure need or revenue derived from above average effort and it has so far been unable to do so.</w:t>
      </w:r>
    </w:p>
    <w:p w:rsidR="00A665A9" w:rsidRPr="00EC79CF" w:rsidRDefault="00A665A9" w:rsidP="00C20E52">
      <w:pPr>
        <w:pStyle w:val="CGCNumberedPara"/>
        <w:numPr>
          <w:ilvl w:val="1"/>
          <w:numId w:val="2"/>
        </w:numPr>
      </w:pPr>
      <w:r w:rsidRPr="00EC79CF">
        <w:t>It has also been difficult to consider such an assessment because States themselves have not been able to identify past expenses on mining or mining related activities in a comprehensive or consistent manner in this and recent reviews</w:t>
      </w:r>
      <w:r w:rsidR="00B167FA">
        <w:t>.</w:t>
      </w:r>
    </w:p>
    <w:p w:rsidR="00A665A9" w:rsidRPr="00EC79CF" w:rsidRDefault="00A665A9" w:rsidP="00C20E52">
      <w:pPr>
        <w:pStyle w:val="CGCNumberedPara"/>
        <w:numPr>
          <w:ilvl w:val="1"/>
          <w:numId w:val="2"/>
        </w:numPr>
      </w:pPr>
      <w:r w:rsidRPr="00EC79CF">
        <w:t>Despite not being able to make a material assessment of these expenditures for the reasons identified above we have been asked instead to make a broad judgment based allowance of their impact on State fiscal capacities, either through a discount of mining revenues or an explicit allowance to recognise past mining related expenditures.</w:t>
      </w:r>
    </w:p>
    <w:p w:rsidR="00A665A9" w:rsidRPr="00EC79CF" w:rsidRDefault="00A665A9" w:rsidP="00C20E52">
      <w:pPr>
        <w:pStyle w:val="CGCNumberedPara"/>
        <w:numPr>
          <w:ilvl w:val="1"/>
          <w:numId w:val="2"/>
        </w:numPr>
      </w:pPr>
      <w:r w:rsidRPr="00EC79CF">
        <w:t>W</w:t>
      </w:r>
      <w:r w:rsidR="00B167FA">
        <w:t>e do not propose to make a judg</w:t>
      </w:r>
      <w:r w:rsidRPr="00EC79CF">
        <w:t>ment based allowance for several reasons:</w:t>
      </w:r>
    </w:p>
    <w:p w:rsidR="00A665A9" w:rsidRPr="00EC79CF" w:rsidRDefault="00A665A9" w:rsidP="00C20E52">
      <w:pPr>
        <w:pStyle w:val="CGCBulletlist"/>
        <w:numPr>
          <w:ilvl w:val="0"/>
          <w:numId w:val="1"/>
        </w:numPr>
        <w:tabs>
          <w:tab w:val="clear" w:pos="927"/>
          <w:tab w:val="left" w:pos="1134"/>
        </w:tabs>
        <w:ind w:left="1134" w:hanging="567"/>
      </w:pPr>
      <w:r w:rsidRPr="00EC79CF">
        <w:t>Conceptually HFE would only be improved if similar considerations were made for past expenditures made by other States which str</w:t>
      </w:r>
      <w:r w:rsidR="00397F91">
        <w:t xml:space="preserve">engthened their revenue bases. </w:t>
      </w:r>
      <w:r w:rsidRPr="00EC79CF">
        <w:t>As noted above, it would be impractical for us to do so.</w:t>
      </w:r>
    </w:p>
    <w:p w:rsidR="00A665A9" w:rsidRPr="00EC79CF" w:rsidRDefault="00A665A9" w:rsidP="00C20E52">
      <w:pPr>
        <w:pStyle w:val="CGCBulletlist"/>
        <w:numPr>
          <w:ilvl w:val="0"/>
          <w:numId w:val="1"/>
        </w:numPr>
        <w:tabs>
          <w:tab w:val="clear" w:pos="927"/>
          <w:tab w:val="left" w:pos="1134"/>
        </w:tabs>
        <w:ind w:left="1134" w:hanging="567"/>
      </w:pPr>
      <w:r w:rsidRPr="00EC79CF">
        <w:t>We seek to equalise State fiscal capacities and it is unclear to what extent any past expenditures still affect the relative fiscal capacities of States in 2015-16 and beyond, especially as it has not been possible to identify data which suggests a material difference existed when those expenditures occurred.</w:t>
      </w:r>
    </w:p>
    <w:p w:rsidR="00A665A9" w:rsidRPr="00EC79CF" w:rsidRDefault="00A665A9" w:rsidP="00C20E52">
      <w:pPr>
        <w:pStyle w:val="CGCBulletlist"/>
        <w:numPr>
          <w:ilvl w:val="0"/>
          <w:numId w:val="1"/>
        </w:numPr>
        <w:tabs>
          <w:tab w:val="clear" w:pos="927"/>
          <w:tab w:val="left" w:pos="1134"/>
        </w:tabs>
        <w:ind w:left="1134" w:hanging="567"/>
      </w:pPr>
      <w:r w:rsidRPr="00EC79CF">
        <w:t>There is no basis on which to decide an appropriate differential allowance across States especially for all relevant industry development expenditures.</w:t>
      </w:r>
    </w:p>
    <w:p w:rsidR="00A665A9" w:rsidRPr="00EC79CF" w:rsidRDefault="00A665A9" w:rsidP="00C20E52">
      <w:pPr>
        <w:pStyle w:val="CGCNumberedPara"/>
        <w:numPr>
          <w:ilvl w:val="1"/>
          <w:numId w:val="2"/>
        </w:numPr>
        <w:shd w:val="clear" w:color="auto" w:fill="FFFFFF" w:themeFill="background1"/>
      </w:pPr>
      <w:r w:rsidRPr="00EC79CF">
        <w:t>With respect to the particular case of the NW Shelf, Western Australia considers the Commission should assess the net revenue it receives (by recognising its expenditure amortized over the life of the project) or alternatively</w:t>
      </w:r>
      <w:r w:rsidR="00646D3F">
        <w:t>,</w:t>
      </w:r>
      <w:r w:rsidRPr="00EC79CF">
        <w:t xml:space="preserve"> that none of the revenue should be assessed as the project would not have proceeded in the absence of the State's investment.</w:t>
      </w:r>
    </w:p>
    <w:p w:rsidR="00A665A9" w:rsidRPr="00EC79CF" w:rsidRDefault="00A665A9" w:rsidP="00C20E52">
      <w:pPr>
        <w:pStyle w:val="CGCNumberedPara"/>
        <w:numPr>
          <w:ilvl w:val="1"/>
          <w:numId w:val="2"/>
        </w:numPr>
        <w:shd w:val="clear" w:color="auto" w:fill="FFFFFF" w:themeFill="background1"/>
      </w:pPr>
      <w:r w:rsidRPr="00EC79CF">
        <w:t>We have set out our views on the case for assessing past mining related expenditures above. In the Commission's view</w:t>
      </w:r>
      <w:r w:rsidR="00646D3F">
        <w:t>,</w:t>
      </w:r>
      <w:r w:rsidRPr="00EC79CF">
        <w:t xml:space="preserve"> they also apply to the suggestion of assessing only net revenues from the </w:t>
      </w:r>
      <w:r w:rsidR="00646D3F">
        <w:t xml:space="preserve">NW Shelf. </w:t>
      </w:r>
      <w:r w:rsidRPr="00EC79CF">
        <w:t xml:space="preserve">In particular, we do not think it is possible to assess what was done in relation to this project in isolation from all that may, or may not, have been undertaken in relation to innumerable and similar projects across Australia in the past. </w:t>
      </w:r>
    </w:p>
    <w:p w:rsidR="00A665A9" w:rsidRPr="00EC79CF" w:rsidRDefault="00A665A9" w:rsidP="00C20E52">
      <w:pPr>
        <w:pStyle w:val="CGCNumberedPara"/>
        <w:numPr>
          <w:ilvl w:val="1"/>
          <w:numId w:val="2"/>
        </w:numPr>
        <w:shd w:val="clear" w:color="auto" w:fill="FFFFFF" w:themeFill="background1"/>
      </w:pPr>
      <w:r w:rsidRPr="00EC79CF">
        <w:t>Having said this</w:t>
      </w:r>
      <w:r w:rsidR="00E56F29" w:rsidRPr="00EC79CF">
        <w:t>,</w:t>
      </w:r>
      <w:r w:rsidRPr="00EC79CF">
        <w:t xml:space="preserve"> we do not seek to debate Western Australia’s position that the intervention they made played a critical role in the development of the NW Shelf. However, accepting Western Australia’s alternate proposal would be to accept that without their intervention the </w:t>
      </w:r>
      <w:r w:rsidR="00646D3F">
        <w:t>NW</w:t>
      </w:r>
      <w:r w:rsidRPr="00EC79CF">
        <w:t xml:space="preserve"> Shelf would not have been developed or that revenues today</w:t>
      </w:r>
      <w:r w:rsidR="00646D3F">
        <w:t xml:space="preserve"> would be significantly lower. </w:t>
      </w:r>
      <w:r w:rsidRPr="00EC79CF">
        <w:t>For the reasons set out above</w:t>
      </w:r>
      <w:r w:rsidR="00646D3F">
        <w:t>,</w:t>
      </w:r>
      <w:r w:rsidRPr="00EC79CF">
        <w:t xml:space="preserve"> we are not able to accept such a view and doubt that it would ever be possible to reliably demonstrate how much lower today’s revenues would be had the State’s past intervention not occurred</w:t>
      </w:r>
      <w:r w:rsidR="00056A51">
        <w:t xml:space="preserve"> when it did, or taken a different form</w:t>
      </w:r>
      <w:r w:rsidRPr="00EC79CF">
        <w:t>.</w:t>
      </w:r>
    </w:p>
    <w:p w:rsidR="00A665A9" w:rsidRPr="00EC79CF" w:rsidRDefault="00A665A9" w:rsidP="00C20E52">
      <w:pPr>
        <w:pStyle w:val="CGCNumberedPara"/>
        <w:numPr>
          <w:ilvl w:val="1"/>
          <w:numId w:val="2"/>
        </w:numPr>
      </w:pPr>
      <w:r w:rsidRPr="00EC79CF">
        <w:lastRenderedPageBreak/>
        <w:t>After giving full consideration to the matter, the Commission is of the view that revenue from the NW Shelf should continue to be pa</w:t>
      </w:r>
      <w:r w:rsidR="00646D3F">
        <w:t>rt of the equalisation process.</w:t>
      </w:r>
    </w:p>
    <w:p w:rsidR="00A665A9" w:rsidRPr="00EC79CF" w:rsidRDefault="00A665A9" w:rsidP="00A665A9">
      <w:pPr>
        <w:pStyle w:val="Heading3"/>
        <w:shd w:val="clear" w:color="auto" w:fill="FFFFFF" w:themeFill="background1"/>
      </w:pPr>
      <w:bookmarkStart w:id="429" w:name="_Toc410741666"/>
      <w:bookmarkStart w:id="430" w:name="_Toc410744217"/>
      <w:bookmarkStart w:id="431" w:name="_Toc411511206"/>
      <w:bookmarkStart w:id="432" w:name="_Toc411511659"/>
      <w:bookmarkStart w:id="433" w:name="_Toc411924599"/>
      <w:r w:rsidRPr="00EC79CF">
        <w:t>National Education Reform Agreement</w:t>
      </w:r>
      <w:bookmarkEnd w:id="424"/>
      <w:bookmarkEnd w:id="429"/>
      <w:bookmarkEnd w:id="430"/>
      <w:bookmarkEnd w:id="431"/>
      <w:bookmarkEnd w:id="432"/>
      <w:bookmarkEnd w:id="433"/>
    </w:p>
    <w:p w:rsidR="00A665A9" w:rsidRPr="00EC79CF" w:rsidRDefault="00A665A9" w:rsidP="00A665A9">
      <w:pPr>
        <w:pStyle w:val="Heading4"/>
      </w:pPr>
      <w:r w:rsidRPr="00EC79CF">
        <w:t>Background</w:t>
      </w:r>
    </w:p>
    <w:p w:rsidR="00A665A9" w:rsidRPr="00EC79CF" w:rsidRDefault="00A665A9" w:rsidP="00C20E52">
      <w:pPr>
        <w:pStyle w:val="CGCNumberedPara"/>
        <w:numPr>
          <w:ilvl w:val="1"/>
          <w:numId w:val="2"/>
        </w:numPr>
      </w:pPr>
      <w:r w:rsidRPr="00EC79CF">
        <w:t>The terms of reference ask the Commission to:</w:t>
      </w:r>
    </w:p>
    <w:p w:rsidR="00A665A9" w:rsidRPr="00EC79CF" w:rsidRDefault="00A665A9" w:rsidP="00A665A9">
      <w:pPr>
        <w:pStyle w:val="CGCQuotation"/>
      </w:pPr>
      <w:r w:rsidRPr="00EC79CF">
        <w:t xml:space="preserve">… </w:t>
      </w:r>
      <w:proofErr w:type="gramStart"/>
      <w:r w:rsidRPr="00EC79CF">
        <w:t>ensure</w:t>
      </w:r>
      <w:proofErr w:type="gramEnd"/>
      <w:r w:rsidRPr="00EC79CF">
        <w:t xml:space="preserve"> that the GST distribution process will not have the effect of unwinding the recognition of educational disadvantage embedded in the National Education Reform Agreement (NERA) funding arrangements. The Commission will also ensure that no State or Territory receives a windfall gain through the GST distribution from non-participation in NERA funding arrangements.</w:t>
      </w:r>
    </w:p>
    <w:p w:rsidR="00A665A9" w:rsidRPr="00EC79CF" w:rsidRDefault="00A665A9" w:rsidP="00C20E52">
      <w:pPr>
        <w:pStyle w:val="CGCNumberedPara"/>
        <w:numPr>
          <w:ilvl w:val="1"/>
          <w:numId w:val="2"/>
        </w:numPr>
      </w:pPr>
      <w:r w:rsidRPr="00EC79CF">
        <w:t>NERA funding arrangements commenced on 1 January 2014.</w:t>
      </w:r>
      <w:r w:rsidRPr="00EC79CF">
        <w:rPr>
          <w:rStyle w:val="FootnoteReference"/>
        </w:rPr>
        <w:footnoteReference w:id="4"/>
      </w:r>
      <w:r w:rsidRPr="00EC79CF">
        <w:t xml:space="preserve"> </w:t>
      </w:r>
    </w:p>
    <w:p w:rsidR="00A665A9" w:rsidRPr="00EC79CF" w:rsidRDefault="00A665A9" w:rsidP="00A665A9">
      <w:pPr>
        <w:pStyle w:val="Heading4"/>
      </w:pPr>
      <w:r w:rsidRPr="00EC79CF">
        <w:t>Commission response</w:t>
      </w:r>
    </w:p>
    <w:p w:rsidR="00A665A9" w:rsidRPr="00EC79CF" w:rsidRDefault="00A665A9" w:rsidP="00C20E52">
      <w:pPr>
        <w:pStyle w:val="CGCNumberedPara"/>
        <w:numPr>
          <w:ilvl w:val="1"/>
          <w:numId w:val="2"/>
        </w:numPr>
      </w:pPr>
      <w:r w:rsidRPr="00EC79CF">
        <w:t>Our treatment of the Commonwealth NERA funding is based on our understanding of how Commonwealth funding for each State is determined.</w:t>
      </w:r>
    </w:p>
    <w:p w:rsidR="00A665A9" w:rsidRPr="00EC79CF" w:rsidRDefault="00A665A9" w:rsidP="00C20E52">
      <w:pPr>
        <w:pStyle w:val="CGCNumberedPara"/>
        <w:numPr>
          <w:ilvl w:val="1"/>
          <w:numId w:val="2"/>
        </w:numPr>
      </w:pPr>
      <w:r w:rsidRPr="00EC79CF">
        <w:t>In the 2014</w:t>
      </w:r>
      <w:r w:rsidRPr="00EC79CF">
        <w:noBreakHyphen/>
        <w:t xml:space="preserve">15 budget, the Commonwealth announced changes to schools funding from 2018. We will need to discuss consequential changes to the methodology </w:t>
      </w:r>
      <w:r w:rsidR="00B84981">
        <w:t>outlined</w:t>
      </w:r>
      <w:r w:rsidR="00B84981" w:rsidRPr="00EC79CF">
        <w:t xml:space="preserve"> </w:t>
      </w:r>
      <w:r w:rsidRPr="00EC79CF">
        <w:t>below with the States and Commonwealth in subsequent updates when the new funding arrangements become effective, or if our terms of reference require it. Queensland said that the changes announced in the 2014</w:t>
      </w:r>
      <w:r w:rsidRPr="00EC79CF">
        <w:noBreakHyphen/>
        <w:t xml:space="preserve">15 budget mean that the terms of reference relating to NERA can no longer be applied. We do not agree. We will ensure that our assessments do not unwind the recognition of educational disadvantage contained in the NERA payments until otherwise instructed by terms of reference. </w:t>
      </w:r>
    </w:p>
    <w:p w:rsidR="00A665A9" w:rsidRPr="00EC79CF" w:rsidRDefault="00A665A9" w:rsidP="00C20E52">
      <w:pPr>
        <w:pStyle w:val="CGCNumberedPara"/>
        <w:numPr>
          <w:ilvl w:val="1"/>
          <w:numId w:val="2"/>
        </w:numPr>
      </w:pPr>
      <w:r w:rsidRPr="00EC79CF">
        <w:t>Under the current NERA funding arrangements the Commonwealth is providing schools funding determined by a base amount per student and loadings for educational disadvantage for particular groups of students; for example, Indigenous students. Commonwealth funding of the base amounts varies among States and loadings are calculated as a percentage of this funded amount.</w:t>
      </w:r>
    </w:p>
    <w:p w:rsidR="00A665A9" w:rsidRPr="00EC79CF" w:rsidRDefault="00A665A9" w:rsidP="00A665A9">
      <w:pPr>
        <w:pStyle w:val="Heading5"/>
      </w:pPr>
      <w:r w:rsidRPr="00EC79CF">
        <w:lastRenderedPageBreak/>
        <w:t>Unwinding</w:t>
      </w:r>
    </w:p>
    <w:p w:rsidR="00A665A9" w:rsidRPr="00EC79CF" w:rsidRDefault="00A665A9" w:rsidP="00C20E52">
      <w:pPr>
        <w:pStyle w:val="CGCNumberedPara"/>
        <w:numPr>
          <w:ilvl w:val="1"/>
          <w:numId w:val="2"/>
        </w:numPr>
      </w:pPr>
      <w:r w:rsidRPr="00EC79CF">
        <w:t>We consider unwinding occurs when the net financial impact of a Commonwealth payment on State budgets differs materially from the direct impact because of the way the equalisation process deals with the payment and its expenditure. Some unwinding occurs in the case of most payments unless terms of reference direct the Commission to ensure this does not occur.</w:t>
      </w:r>
    </w:p>
    <w:p w:rsidR="00A665A9" w:rsidRPr="00EC79CF" w:rsidRDefault="00A665A9" w:rsidP="00A665A9">
      <w:pPr>
        <w:pStyle w:val="Heading5"/>
      </w:pPr>
      <w:r w:rsidRPr="00EC79CF">
        <w:t>Scope of the no unwinding instruction</w:t>
      </w:r>
    </w:p>
    <w:p w:rsidR="00A665A9" w:rsidRPr="00EC79CF" w:rsidRDefault="00A665A9" w:rsidP="00C20E52">
      <w:pPr>
        <w:pStyle w:val="CGCNumberedPara"/>
        <w:numPr>
          <w:ilvl w:val="1"/>
          <w:numId w:val="2"/>
        </w:numPr>
      </w:pPr>
      <w:r w:rsidRPr="00EC79CF">
        <w:t>In this case, we have been directed to ensure there should be no unwinding of measures of educational disadvantage embedded in funding arrangements. We consider that requires us to ensure the impact on State budgets of loadings for educational disadvantage contained in Commonwealth payments for both government and non-government is not unwound.</w:t>
      </w:r>
    </w:p>
    <w:p w:rsidR="00A665A9" w:rsidRPr="00EC79CF" w:rsidRDefault="00A665A9" w:rsidP="00C20E52">
      <w:pPr>
        <w:pStyle w:val="CGCNumberedPara"/>
        <w:numPr>
          <w:ilvl w:val="1"/>
          <w:numId w:val="2"/>
        </w:numPr>
      </w:pPr>
      <w:r w:rsidRPr="00EC79CF">
        <w:t xml:space="preserve">We consider the terms of reference contain no direction on how the equalisation process should deal with States’ own funding </w:t>
      </w:r>
      <w:proofErr w:type="gramStart"/>
      <w:r w:rsidRPr="00EC79CF">
        <w:t>of government</w:t>
      </w:r>
      <w:proofErr w:type="gramEnd"/>
      <w:r w:rsidRPr="00EC79CF">
        <w:t xml:space="preserve"> and non-government schools, nor that part of the interstate distribution of Commonwealth payments which is not based on measures of educational disadvantage. </w:t>
      </w:r>
      <w:r w:rsidR="00A40D84">
        <w:t>T</w:t>
      </w:r>
      <w:r w:rsidRPr="00EC79CF">
        <w:t>he normal equalisation treatment appl</w:t>
      </w:r>
      <w:r w:rsidR="00A40D84">
        <w:t>ies</w:t>
      </w:r>
      <w:r w:rsidRPr="00EC79CF">
        <w:t xml:space="preserve"> in these areas. </w:t>
      </w:r>
    </w:p>
    <w:p w:rsidR="00CE0C60" w:rsidRPr="00EC79CF" w:rsidRDefault="00CE0C60" w:rsidP="00CE0C60">
      <w:pPr>
        <w:pStyle w:val="CGCNumberedPara"/>
      </w:pPr>
      <w:r w:rsidRPr="00EC79CF">
        <w:t xml:space="preserve">Some States consider unwinding should have a broader meaning. Some consider the equalisation process should provide States with the capacity to apply the NERA educational loadings to States’ own funding for schools (mirroring the support provided by the Commonwealth) and not to do so would unwind the loadings embedded in NERA funding arrangements. However, as States appear to remain free to fund schools with their own money on their own criteria, we do not consider NERA’s recognition of educational disadvantage is ‘embedded’ in State own source funding and as a consequence </w:t>
      </w:r>
      <w:r w:rsidR="00A40D84">
        <w:t>we have</w:t>
      </w:r>
      <w:r w:rsidR="00A40D84" w:rsidRPr="00EC79CF">
        <w:t xml:space="preserve"> </w:t>
      </w:r>
      <w:r w:rsidRPr="00EC79CF">
        <w:t>limit</w:t>
      </w:r>
      <w:r w:rsidR="00A40D84">
        <w:t>ed</w:t>
      </w:r>
      <w:r w:rsidRPr="00EC79CF">
        <w:t xml:space="preserve"> the direction to Commonwealth payments.</w:t>
      </w:r>
    </w:p>
    <w:p w:rsidR="00CE0C60" w:rsidRPr="00EC79CF" w:rsidRDefault="00CE0C60" w:rsidP="00CE0C60">
      <w:pPr>
        <w:pStyle w:val="CGCNumberedPara"/>
      </w:pPr>
      <w:r w:rsidRPr="00EC79CF">
        <w:t>Other States consider the Commonwealth has provided funding for disadvantage and the equalisation process does not need to do more in relation to States’ own spending. Doing so would unwind the Commonwealth’s intent. However, as Commonwealth and States’ own funding of disadvantage appear to be complementary in NERA, we consider that equalisation applied to States own funding does not constitute unwinding.</w:t>
      </w:r>
    </w:p>
    <w:p w:rsidR="00A665A9" w:rsidRPr="00EC79CF" w:rsidRDefault="00A665A9" w:rsidP="00A665A9">
      <w:pPr>
        <w:pStyle w:val="Heading5"/>
      </w:pPr>
      <w:r w:rsidRPr="00EC79CF">
        <w:t xml:space="preserve">Relevance of the no windfall gain instruction </w:t>
      </w:r>
    </w:p>
    <w:p w:rsidR="00A665A9" w:rsidRPr="00EC79CF" w:rsidRDefault="00A665A9" w:rsidP="00C20E52">
      <w:pPr>
        <w:pStyle w:val="CGCNumberedPara"/>
        <w:numPr>
          <w:ilvl w:val="1"/>
          <w:numId w:val="2"/>
        </w:numPr>
      </w:pPr>
      <w:r w:rsidRPr="00EC79CF">
        <w:t xml:space="preserve">We have concluded the ‘no windfall gain’ instruction is no longer relevant. This follows the December 2013 announcement of agreements between the Commonwealth, and the Queensland, Western Australia and Northern Territory </w:t>
      </w:r>
      <w:r w:rsidRPr="00EC79CF">
        <w:lastRenderedPageBreak/>
        <w:t>Governments. There is no longer any potential for windfall gains because the funding amounts for all States are determined on the same basis. No State disagreed.</w:t>
      </w:r>
    </w:p>
    <w:p w:rsidR="00A665A9" w:rsidRPr="00EC79CF" w:rsidRDefault="00A665A9" w:rsidP="00A665A9">
      <w:pPr>
        <w:pStyle w:val="Heading5"/>
      </w:pPr>
      <w:r w:rsidRPr="00EC79CF">
        <w:t>Implications for the Schools assessment</w:t>
      </w:r>
    </w:p>
    <w:p w:rsidR="00A665A9" w:rsidRPr="00EC79CF" w:rsidRDefault="00A665A9" w:rsidP="00C20E52">
      <w:pPr>
        <w:pStyle w:val="CGCNumberedPara"/>
        <w:numPr>
          <w:ilvl w:val="1"/>
          <w:numId w:val="2"/>
        </w:numPr>
      </w:pPr>
      <w:r w:rsidRPr="00EC79CF">
        <w:t xml:space="preserve">Commonwealth payments to States for non-government schools have no impact on the GST distribution because we assess that every State has to spend exactly what it receives from the Commonwealth. As a result, there is no impact on State fiscal capacities. We are, therefore, not unwinding any of the educational </w:t>
      </w:r>
      <w:proofErr w:type="gramStart"/>
      <w:r w:rsidRPr="00EC79CF">
        <w:t>disadvantage</w:t>
      </w:r>
      <w:proofErr w:type="gramEnd"/>
      <w:r w:rsidRPr="00EC79CF">
        <w:t xml:space="preserve"> embedded in the payments for these schools.</w:t>
      </w:r>
    </w:p>
    <w:p w:rsidR="00A665A9" w:rsidRPr="00EC79CF" w:rsidRDefault="00A665A9" w:rsidP="00C20E52">
      <w:pPr>
        <w:pStyle w:val="CGCNumberedPara"/>
        <w:numPr>
          <w:ilvl w:val="1"/>
          <w:numId w:val="2"/>
        </w:numPr>
      </w:pPr>
      <w:r w:rsidRPr="00EC79CF">
        <w:t xml:space="preserve">Our assessments are built so that the impact on State fiscal capacities of Commonwealth payments for government schools will be the difference between what States actually receive and what they would have received had the Commonwealth funds been distributed among States only on the basis of loadings for educational disadvantage. The difference reflects factors such as different base funding negotiated between the Commonwealth and States, which should be the subject of equalisation. </w:t>
      </w:r>
    </w:p>
    <w:p w:rsidR="00A665A9" w:rsidRPr="00EC79CF" w:rsidRDefault="00A665A9" w:rsidP="00C20E52">
      <w:pPr>
        <w:pStyle w:val="CGCNumberedPara"/>
        <w:numPr>
          <w:ilvl w:val="1"/>
          <w:numId w:val="2"/>
        </w:numPr>
      </w:pPr>
      <w:r w:rsidRPr="00EC79CF">
        <w:t>We consider this approach ensures the impact of funding for educational disadvantage on State budgets is not unwound by the GST distribution.</w:t>
      </w:r>
    </w:p>
    <w:p w:rsidR="00A665A9" w:rsidRPr="00EC79CF" w:rsidRDefault="00A665A9" w:rsidP="00C20E52">
      <w:pPr>
        <w:pStyle w:val="CGCNumberedPara"/>
        <w:numPr>
          <w:ilvl w:val="1"/>
          <w:numId w:val="2"/>
        </w:numPr>
      </w:pPr>
      <w:r w:rsidRPr="00EC79CF">
        <w:t xml:space="preserve">While we ensure that funding for educational disadvantage embedded in Commonwealth funding is not unwound, we recognise other cost influences affecting what States need to spend to deliver school services, such as the impact of interstate wage cost differentials. Victoria said this </w:t>
      </w:r>
      <w:r w:rsidR="00A40D84">
        <w:t>would</w:t>
      </w:r>
      <w:r w:rsidR="00A40D84" w:rsidRPr="00EC79CF">
        <w:t xml:space="preserve"> </w:t>
      </w:r>
      <w:r w:rsidRPr="00EC79CF">
        <w:t>result in some unwinding. We consider that recognising these cost differences does not unwind the impact of loadings for educational disadvantage because they are independent influences determining the allocation of a pool of untied funding.</w:t>
      </w:r>
    </w:p>
    <w:p w:rsidR="00FF62CB" w:rsidRDefault="00A665A9" w:rsidP="00C20E52">
      <w:pPr>
        <w:pStyle w:val="CGCNumberedPara"/>
        <w:numPr>
          <w:ilvl w:val="1"/>
          <w:numId w:val="2"/>
        </w:numPr>
      </w:pPr>
      <w:r w:rsidRPr="00EC79CF">
        <w:t xml:space="preserve">Because we base our recommendations on historical data, to give effect to the no unwinding direction, we </w:t>
      </w:r>
      <w:r w:rsidR="00A40D84">
        <w:t xml:space="preserve">have </w:t>
      </w:r>
      <w:r w:rsidRPr="00EC79CF">
        <w:t>modif</w:t>
      </w:r>
      <w:r w:rsidR="00A40D84">
        <w:t>ied</w:t>
      </w:r>
      <w:r w:rsidRPr="00EC79CF">
        <w:t xml:space="preserve"> the relevant historical data to reflect changed funding arrangements and the assessment approach outlined above. New South Wales said it </w:t>
      </w:r>
      <w:r w:rsidR="00A40D84">
        <w:t>would</w:t>
      </w:r>
      <w:r w:rsidR="00A40D84" w:rsidRPr="00EC79CF">
        <w:t xml:space="preserve"> </w:t>
      </w:r>
      <w:r w:rsidRPr="00EC79CF">
        <w:t xml:space="preserve">be simpler not to </w:t>
      </w:r>
      <w:proofErr w:type="spellStart"/>
      <w:r w:rsidRPr="00EC79CF">
        <w:t>backcast</w:t>
      </w:r>
      <w:proofErr w:type="spellEnd"/>
      <w:r w:rsidRPr="00EC79CF">
        <w:t xml:space="preserve"> the arrangements given the announced changes to funding from 2018. We agree it would be simpler but this would entail some unwinding.</w:t>
      </w:r>
    </w:p>
    <w:p w:rsidR="00FF62CB" w:rsidRDefault="00FF62CB">
      <w:pPr>
        <w:tabs>
          <w:tab w:val="clear" w:pos="567"/>
        </w:tabs>
        <w:rPr>
          <w:szCs w:val="24"/>
        </w:rPr>
      </w:pPr>
      <w:r>
        <w:br w:type="page"/>
      </w:r>
    </w:p>
    <w:p w:rsidR="00A665A9" w:rsidRPr="00EC79CF" w:rsidRDefault="00A665A9" w:rsidP="00A665A9">
      <w:pPr>
        <w:pStyle w:val="Heading3"/>
      </w:pPr>
      <w:bookmarkStart w:id="434" w:name="_Toc391023241"/>
      <w:bookmarkStart w:id="435" w:name="_Toc410741667"/>
      <w:bookmarkStart w:id="436" w:name="_Toc410744218"/>
      <w:bookmarkStart w:id="437" w:name="_Toc411511207"/>
      <w:bookmarkStart w:id="438" w:name="_Toc411511660"/>
      <w:bookmarkStart w:id="439" w:name="_Toc411924600"/>
      <w:r w:rsidRPr="00EC79CF">
        <w:lastRenderedPageBreak/>
        <w:t>National Disability Insurance Scheme</w:t>
      </w:r>
      <w:bookmarkEnd w:id="434"/>
      <w:bookmarkEnd w:id="435"/>
      <w:bookmarkEnd w:id="436"/>
      <w:bookmarkEnd w:id="437"/>
      <w:bookmarkEnd w:id="438"/>
      <w:bookmarkEnd w:id="439"/>
    </w:p>
    <w:p w:rsidR="00A665A9" w:rsidRPr="00EC79CF" w:rsidRDefault="00A665A9" w:rsidP="00A665A9">
      <w:pPr>
        <w:pStyle w:val="Heading4"/>
      </w:pPr>
      <w:r w:rsidRPr="00EC79CF">
        <w:t>Background</w:t>
      </w:r>
    </w:p>
    <w:p w:rsidR="00A665A9" w:rsidRPr="00EC79CF" w:rsidRDefault="00A665A9" w:rsidP="00C20E52">
      <w:pPr>
        <w:pStyle w:val="CGCNumberedPara"/>
        <w:numPr>
          <w:ilvl w:val="1"/>
          <w:numId w:val="2"/>
        </w:numPr>
      </w:pPr>
      <w:r w:rsidRPr="00EC79CF">
        <w:t>The terms of reference ask the Commission to:</w:t>
      </w:r>
    </w:p>
    <w:p w:rsidR="00A665A9" w:rsidRPr="00EC79CF" w:rsidRDefault="00A665A9" w:rsidP="00A665A9">
      <w:pPr>
        <w:pStyle w:val="CGCQuotation"/>
      </w:pPr>
      <w:r w:rsidRPr="00EC79CF">
        <w:t xml:space="preserve">…consider the most appropriate treatment of disability services during the transition to </w:t>
      </w:r>
      <w:proofErr w:type="spellStart"/>
      <w:r w:rsidRPr="00EC79CF">
        <w:t>DisabilityCare</w:t>
      </w:r>
      <w:proofErr w:type="spellEnd"/>
      <w:r w:rsidRPr="00EC79CF">
        <w:t xml:space="preserve"> Australia (the National Disability Insurance Scheme) and once the full scheme is operating nationally. </w:t>
      </w:r>
    </w:p>
    <w:p w:rsidR="00A665A9" w:rsidRPr="00EC79CF" w:rsidRDefault="00A665A9" w:rsidP="00C20E52">
      <w:pPr>
        <w:pStyle w:val="CGCNumberedPara"/>
        <w:numPr>
          <w:ilvl w:val="1"/>
          <w:numId w:val="2"/>
        </w:numPr>
        <w:spacing w:after="360"/>
      </w:pPr>
      <w:r w:rsidRPr="00EC79CF">
        <w:t xml:space="preserve">The process for implementation of the National Disability Insurance Scheme (NDIS) involves three phases: trials, transition and full implementation. All States have signed on to the NDIS and the timelines of the </w:t>
      </w:r>
      <w:r w:rsidR="00A97D21">
        <w:t>trial</w:t>
      </w:r>
      <w:r w:rsidR="00A97D21" w:rsidRPr="00EC79CF">
        <w:t xml:space="preserve"> </w:t>
      </w:r>
      <w:r w:rsidRPr="00EC79CF">
        <w:t xml:space="preserve">phase, transition periods and full implementation dates in each State have been agreed. The </w:t>
      </w:r>
      <w:r w:rsidR="00A97D21">
        <w:t>trial</w:t>
      </w:r>
      <w:r w:rsidR="00A97D21" w:rsidRPr="00EC79CF">
        <w:t xml:space="preserve"> </w:t>
      </w:r>
      <w:r w:rsidRPr="00EC79CF">
        <w:t>phase has already started. We currently expect that the transition phase will start in 2016-17 (the application year of a 2016 Update) and full implementation to be achieved by 2019</w:t>
      </w:r>
      <w:r w:rsidRPr="00EC79CF">
        <w:noBreakHyphen/>
        <w:t xml:space="preserve">20. </w:t>
      </w:r>
    </w:p>
    <w:p w:rsidR="00A665A9" w:rsidRPr="00EC79CF" w:rsidRDefault="00A665A9" w:rsidP="00A665A9">
      <w:pPr>
        <w:pStyle w:val="Heading4"/>
      </w:pPr>
      <w:r w:rsidRPr="00EC79CF">
        <w:t>Commission response</w:t>
      </w:r>
    </w:p>
    <w:p w:rsidR="0001060B" w:rsidRPr="006E2535" w:rsidRDefault="0001060B" w:rsidP="0001060B">
      <w:pPr>
        <w:pStyle w:val="CGCNumberedPara"/>
        <w:numPr>
          <w:ilvl w:val="1"/>
          <w:numId w:val="22"/>
        </w:numPr>
      </w:pPr>
      <w:r w:rsidRPr="006E2535">
        <w:t xml:space="preserve">We have adopted a different treatment of State disability services expenses in each phase, based on our current understanding of how NDIS will be implemented. </w:t>
      </w:r>
    </w:p>
    <w:p w:rsidR="0001060B" w:rsidRPr="006E2535" w:rsidRDefault="0001060B" w:rsidP="0001060B">
      <w:pPr>
        <w:pStyle w:val="CGCBulletlist"/>
        <w:numPr>
          <w:ilvl w:val="0"/>
          <w:numId w:val="1"/>
        </w:numPr>
        <w:tabs>
          <w:tab w:val="clear" w:pos="927"/>
          <w:tab w:val="left" w:pos="1134"/>
        </w:tabs>
        <w:ind w:left="1134" w:hanging="567"/>
      </w:pPr>
      <w:r w:rsidRPr="006E2535">
        <w:t>In the trial phase, State expenses and associated Commonwealth payments have no impact on the relativities.</w:t>
      </w:r>
    </w:p>
    <w:p w:rsidR="0001060B" w:rsidRPr="006E2535" w:rsidRDefault="0001060B" w:rsidP="0001060B">
      <w:pPr>
        <w:pStyle w:val="CGCBulletlist"/>
        <w:numPr>
          <w:ilvl w:val="0"/>
          <w:numId w:val="1"/>
        </w:numPr>
        <w:tabs>
          <w:tab w:val="clear" w:pos="927"/>
          <w:tab w:val="left" w:pos="1134"/>
        </w:tabs>
        <w:ind w:left="1134" w:hanging="567"/>
      </w:pPr>
      <w:r w:rsidRPr="006E2535">
        <w:t>In the transition phase, dual assessments of State expenses on disability services and NDIS contributions will be undertaken on the basis of State proportions of the total number of people eligible in a year to be covered by NDIS when fully operational. Other disabilities will continue to be recognised for existing disability services expenses but not in relation to the NDIS contributions.</w:t>
      </w:r>
    </w:p>
    <w:p w:rsidR="0001060B" w:rsidRPr="006E2535" w:rsidRDefault="0001060B" w:rsidP="0001060B">
      <w:pPr>
        <w:pStyle w:val="CGCBulletlist"/>
        <w:numPr>
          <w:ilvl w:val="0"/>
          <w:numId w:val="1"/>
        </w:numPr>
        <w:tabs>
          <w:tab w:val="clear" w:pos="927"/>
          <w:tab w:val="left" w:pos="1134"/>
        </w:tabs>
        <w:ind w:left="1134" w:hanging="567"/>
      </w:pPr>
      <w:r w:rsidRPr="006E2535">
        <w:t>After full implementation, State NDIS contributions will be assessed on an actual per capita (APC) basis. The existing State disability services assessment will continue until it becomes immaterial.</w:t>
      </w:r>
    </w:p>
    <w:p w:rsidR="0001060B" w:rsidRPr="006E2535" w:rsidRDefault="0001060B" w:rsidP="0001060B">
      <w:pPr>
        <w:pStyle w:val="CGCBulletlist"/>
        <w:numPr>
          <w:ilvl w:val="0"/>
          <w:numId w:val="1"/>
        </w:numPr>
        <w:tabs>
          <w:tab w:val="clear" w:pos="927"/>
          <w:tab w:val="left" w:pos="1134"/>
        </w:tabs>
        <w:ind w:left="1134" w:hanging="567"/>
      </w:pPr>
      <w:r w:rsidRPr="006E2535">
        <w:t xml:space="preserve">In both transition and full implementation phases we will treat any associated Commonwealth payments to States, excluding State draw-downs of the Medicare Levy from the </w:t>
      </w:r>
      <w:proofErr w:type="spellStart"/>
      <w:r w:rsidRPr="006E2535">
        <w:t>DisabilityCare</w:t>
      </w:r>
      <w:proofErr w:type="spellEnd"/>
      <w:r w:rsidRPr="006E2535">
        <w:t xml:space="preserve"> Australia Fund, as having an impact on the GST distribution.</w:t>
      </w:r>
    </w:p>
    <w:p w:rsidR="0001060B" w:rsidRPr="006E2535" w:rsidRDefault="0001060B" w:rsidP="0001060B">
      <w:pPr>
        <w:pStyle w:val="CGCBulletlist"/>
        <w:numPr>
          <w:ilvl w:val="0"/>
          <w:numId w:val="1"/>
        </w:numPr>
        <w:tabs>
          <w:tab w:val="clear" w:pos="927"/>
          <w:tab w:val="left" w:pos="1134"/>
        </w:tabs>
        <w:ind w:left="1134" w:hanging="567"/>
      </w:pPr>
      <w:r w:rsidRPr="006E2535">
        <w:t xml:space="preserve">The changes in State service delivery and associated Commonwealth payments due to the NDIS will be </w:t>
      </w:r>
      <w:proofErr w:type="spellStart"/>
      <w:r w:rsidRPr="006E2535">
        <w:t>backcast</w:t>
      </w:r>
      <w:proofErr w:type="spellEnd"/>
      <w:r w:rsidRPr="006E2535">
        <w:t xml:space="preserve"> into the historical years to ensure this major change in Commonwealth-State arrangements reflects the circumstances in the application year.</w:t>
      </w:r>
    </w:p>
    <w:p w:rsidR="0001060B" w:rsidRPr="006E2535" w:rsidRDefault="0001060B" w:rsidP="0001060B">
      <w:pPr>
        <w:pStyle w:val="CGCNumberedPara"/>
        <w:numPr>
          <w:ilvl w:val="1"/>
          <w:numId w:val="22"/>
        </w:numPr>
      </w:pPr>
      <w:r w:rsidRPr="006E2535">
        <w:lastRenderedPageBreak/>
        <w:t>We explain below why we have reached this position and address State concerns. If how the NDIS is implemented changes, we may need to adapt our proposals in updates, after consultation with the States and Commonwealth.</w:t>
      </w:r>
    </w:p>
    <w:p w:rsidR="00A665A9" w:rsidRPr="00EC79CF" w:rsidRDefault="00A665A9" w:rsidP="00A665A9">
      <w:pPr>
        <w:pStyle w:val="Heading5"/>
      </w:pPr>
      <w:r w:rsidRPr="00EC79CF">
        <w:t>Trial phase</w:t>
      </w:r>
    </w:p>
    <w:p w:rsidR="00A665A9" w:rsidRPr="00E14C7F" w:rsidRDefault="00A665A9" w:rsidP="00E14C7F">
      <w:pPr>
        <w:pStyle w:val="CGCNumberedPara"/>
      </w:pPr>
      <w:r w:rsidRPr="00E14C7F">
        <w:t xml:space="preserve">The first stage of the implementation began in July 2013. As directed by the 2014 Update terms of reference (and consistent with the terms of reference for this review where treatments have previously been directed), we have treated the Commonwealth payments and expenses associated with the trials as having no impact on the relativities. </w:t>
      </w:r>
    </w:p>
    <w:p w:rsidR="00A665A9" w:rsidRPr="00EC79CF" w:rsidRDefault="00A665A9" w:rsidP="00A665A9">
      <w:pPr>
        <w:pStyle w:val="Heading5"/>
      </w:pPr>
      <w:r w:rsidRPr="00EC79CF">
        <w:t>Transition phase</w:t>
      </w:r>
    </w:p>
    <w:p w:rsidR="00A665A9" w:rsidRPr="00EC79CF" w:rsidRDefault="00A665A9" w:rsidP="00C20E52">
      <w:pPr>
        <w:pStyle w:val="CGCNumberedPara"/>
        <w:numPr>
          <w:ilvl w:val="1"/>
          <w:numId w:val="2"/>
        </w:numPr>
      </w:pPr>
      <w:r w:rsidRPr="00EC79CF">
        <w:t>During transition, disability services will be provided and funded in two separate ways: each State will make a contribution to the NDIS reflecting an agreed number of people covered by the NDIS in the State in the year and they will fund their own existing disability services for other State residents. The relative importance of the two service delivery methods will adjust over time as the coverage of NDIS and State contributions to it rise and their direct service delivery expenditures fall. In each transition year</w:t>
      </w:r>
      <w:r w:rsidR="00E56F29" w:rsidRPr="00EC79CF">
        <w:t>,</w:t>
      </w:r>
      <w:r w:rsidRPr="00EC79CF">
        <w:t xml:space="preserve"> the proportion of services provided through the NDIS is likely to </w:t>
      </w:r>
      <w:proofErr w:type="gramStart"/>
      <w:r w:rsidRPr="00EC79CF">
        <w:t>differ</w:t>
      </w:r>
      <w:proofErr w:type="gramEnd"/>
      <w:r w:rsidRPr="00EC79CF">
        <w:t xml:space="preserve"> State by State as they have different transition schedules. The ACT is expected to have taken on its eventual number of participants by the beginning of the transition phase, whereas other States will not do so until the end of the period.</w:t>
      </w:r>
    </w:p>
    <w:p w:rsidR="00A665A9" w:rsidRPr="00EC79CF" w:rsidRDefault="00A665A9" w:rsidP="00C20E52">
      <w:pPr>
        <w:pStyle w:val="CGCNumberedPara"/>
        <w:numPr>
          <w:ilvl w:val="1"/>
          <w:numId w:val="2"/>
        </w:numPr>
      </w:pPr>
      <w:r w:rsidRPr="00EC79CF">
        <w:t xml:space="preserve">To reflect the changing service delivery modes, the Commission has decided to introduce a ‘dual’ assessment approach, with concurrent assessments of State needs in relation to the NDIS and current disability services. </w:t>
      </w:r>
    </w:p>
    <w:p w:rsidR="00A665A9" w:rsidRPr="00EC79CF" w:rsidRDefault="00A665A9" w:rsidP="00C20E52">
      <w:pPr>
        <w:pStyle w:val="CGCBulletlist"/>
        <w:numPr>
          <w:ilvl w:val="0"/>
          <w:numId w:val="1"/>
        </w:numPr>
        <w:tabs>
          <w:tab w:val="clear" w:pos="927"/>
          <w:tab w:val="left" w:pos="1134"/>
        </w:tabs>
        <w:ind w:left="1134" w:hanging="567"/>
      </w:pPr>
      <w:r w:rsidRPr="00EC79CF">
        <w:t>State contributions to NDIS in a transition year will be assessed assuming that the NDIS provides the observed national average coverage of NDIS eligible populations in each State (the average transition).</w:t>
      </w:r>
      <w:r w:rsidRPr="00EC79CF">
        <w:rPr>
          <w:rStyle w:val="FootnoteReference"/>
        </w:rPr>
        <w:footnoteReference w:id="5"/>
      </w:r>
      <w:r w:rsidRPr="00EC79CF">
        <w:t xml:space="preserve"> Assessments will be based on a State’s proportion of the total number of people eligible in a year to be covered by NDIS when fully operational. The alternative of using actual numbers of people covered in transition years, whether set out in the bilateral agreements or not, would not be policy neutral. For example, if a State were to move at a relatively fast rate towards full implementation, this would be considered a matter of policy choice which should not be taken into account in the equalisation process. </w:t>
      </w:r>
    </w:p>
    <w:p w:rsidR="00A665A9" w:rsidRPr="00EC79CF" w:rsidRDefault="00A665A9" w:rsidP="00C20E52">
      <w:pPr>
        <w:pStyle w:val="CGCBulletlist"/>
        <w:numPr>
          <w:ilvl w:val="0"/>
          <w:numId w:val="1"/>
        </w:numPr>
        <w:tabs>
          <w:tab w:val="clear" w:pos="927"/>
          <w:tab w:val="left" w:pos="1134"/>
        </w:tabs>
        <w:ind w:left="1134" w:hanging="567"/>
      </w:pPr>
      <w:r w:rsidRPr="00EC79CF">
        <w:t xml:space="preserve">The existing disability services assessment for State spending on current State disability services has been modified. We have applied the assessment of NDIS </w:t>
      </w:r>
      <w:r w:rsidRPr="00EC79CF">
        <w:lastRenderedPageBreak/>
        <w:t xml:space="preserve">services to the existing disability services. Both services are now assessed in the same way. This is discussed further in </w:t>
      </w:r>
      <w:r w:rsidR="00A97D21">
        <w:t xml:space="preserve">Volume 2, Chapter 13 – </w:t>
      </w:r>
      <w:r w:rsidRPr="00EC79CF">
        <w:t>Welfare.</w:t>
      </w:r>
    </w:p>
    <w:p w:rsidR="00A665A9" w:rsidRPr="00EC79CF" w:rsidRDefault="00A665A9" w:rsidP="00C20E52">
      <w:pPr>
        <w:pStyle w:val="CGCNumberedPara"/>
        <w:numPr>
          <w:ilvl w:val="1"/>
          <w:numId w:val="2"/>
        </w:numPr>
      </w:pPr>
      <w:r w:rsidRPr="00EC79CF">
        <w:t xml:space="preserve">We did not adopt a ‘switch’ approach, as suggested by New South Wales and South Australia. Under this approach, the current assessment would switch to an assessment of needs under NDIS arrangements at the point when the NDIS is judged to cover the majority of users or when it has been fully implemented in most States. South Australia considered this approach would better deal with the uncertainty as to when full implementation would happen and the unreliability of the current NDIS eligibility projections. </w:t>
      </w:r>
    </w:p>
    <w:p w:rsidR="00A665A9" w:rsidRPr="00EC79CF" w:rsidRDefault="00A665A9" w:rsidP="00C20E52">
      <w:pPr>
        <w:pStyle w:val="CGCNumberedPara"/>
        <w:numPr>
          <w:ilvl w:val="1"/>
          <w:numId w:val="2"/>
        </w:numPr>
      </w:pPr>
      <w:r w:rsidRPr="00EC79CF">
        <w:t xml:space="preserve">We have not adopted a ‘switch’ approach because this will not reflect what States are doing during the transition years. We consider the transitional approach is more flexible and will recognise what States will be doing, and for as long as necessary to get to full implementation, whenever that is. It is consistent with our approach to average policy. </w:t>
      </w:r>
    </w:p>
    <w:p w:rsidR="00A665A9" w:rsidRPr="00EC79CF" w:rsidRDefault="00A665A9" w:rsidP="00C20E52">
      <w:pPr>
        <w:pStyle w:val="CGCNumberedPara"/>
        <w:numPr>
          <w:ilvl w:val="1"/>
          <w:numId w:val="2"/>
        </w:numPr>
      </w:pPr>
      <w:r w:rsidRPr="00EC79CF">
        <w:t>We understand that there is still some uncertainty surrounding the estimates of the NDIS eligible population. However, we note considerable effort has been made to develop a comparable set of data on the numbers of potential users in each State. We consider this the best policy neutral measure of the level of disability in each State which exists at present and that it will continue to be refined.</w:t>
      </w:r>
    </w:p>
    <w:p w:rsidR="00A665A9" w:rsidRPr="00EC79CF" w:rsidRDefault="00A665A9" w:rsidP="00C20E52">
      <w:pPr>
        <w:pStyle w:val="CGCNumberedPara"/>
        <w:numPr>
          <w:ilvl w:val="1"/>
          <w:numId w:val="2"/>
        </w:numPr>
      </w:pPr>
      <w:r w:rsidRPr="00EC79CF">
        <w:t xml:space="preserve">We note the ACT’s concerns that it will be disadvantaged by its more rapid movement to the full scheme because it will have taken on its eventual number of participants by the beginning of the transition period. It argued for an actual per capita assessment during transition. However, while the ACT will incur relatively higher costs in moving from the existing disability services arrangements to the NDIS more quickly than the other States, it will be delivering a higher standard of service than the other States during the initial stages of transition. </w:t>
      </w:r>
    </w:p>
    <w:p w:rsidR="00A665A9" w:rsidRPr="00EC79CF" w:rsidRDefault="00A665A9" w:rsidP="00C20E52">
      <w:pPr>
        <w:pStyle w:val="CGCNumberedPara"/>
        <w:numPr>
          <w:ilvl w:val="1"/>
          <w:numId w:val="2"/>
        </w:numPr>
      </w:pPr>
      <w:r w:rsidRPr="00EC79CF">
        <w:t>Our assessment will not recognise these higher costs. However, the ACT’s share of the GST will allow it to deliver the same average level of service provided in all States. We note that while the Commonwealth encouraged all States to participate in trials of about 5 000, not all States committed to doing so; some opting not to participate at all; others opting to trial much smaller sites. This suggests the ACT’s commitment to the full scheme at the commencement of transition is the result of its policy choice.</w:t>
      </w:r>
    </w:p>
    <w:p w:rsidR="00A665A9" w:rsidRPr="00EC79CF" w:rsidRDefault="00A665A9" w:rsidP="00C20E52">
      <w:pPr>
        <w:pStyle w:val="CGCNumberedPara"/>
        <w:numPr>
          <w:ilvl w:val="1"/>
          <w:numId w:val="2"/>
        </w:numPr>
      </w:pPr>
      <w:r w:rsidRPr="00EC79CF">
        <w:t>We also note the ACT’s view that the supplementary terms of reference</w:t>
      </w:r>
      <w:r w:rsidRPr="00EC79CF">
        <w:rPr>
          <w:rFonts w:ascii="Calibri" w:eastAsia="Calibri" w:hAnsi="Calibri" w:cs="Times New Roman"/>
          <w:color w:val="000000"/>
        </w:rPr>
        <w:t xml:space="preserve"> requiring that State drawdowns </w:t>
      </w:r>
      <w:r w:rsidRPr="00EC79CF">
        <w:rPr>
          <w:rFonts w:ascii="Calibri" w:eastAsia="Calibri" w:hAnsi="Calibri" w:cs="Times New Roman"/>
        </w:rPr>
        <w:t xml:space="preserve">of the </w:t>
      </w:r>
      <w:proofErr w:type="spellStart"/>
      <w:r w:rsidRPr="00EC79CF">
        <w:rPr>
          <w:rFonts w:ascii="Calibri" w:eastAsia="Calibri" w:hAnsi="Calibri" w:cs="Times New Roman"/>
        </w:rPr>
        <w:t>DisabilityCare</w:t>
      </w:r>
      <w:proofErr w:type="spellEnd"/>
      <w:r w:rsidRPr="00EC79CF">
        <w:rPr>
          <w:rFonts w:ascii="Calibri" w:eastAsia="Calibri" w:hAnsi="Calibri" w:cs="Times New Roman"/>
        </w:rPr>
        <w:t xml:space="preserve"> Australia Fund </w:t>
      </w:r>
      <w:r w:rsidRPr="00EC79CF">
        <w:rPr>
          <w:rFonts w:ascii="Calibri" w:eastAsia="Calibri" w:hAnsi="Calibri" w:cs="Times New Roman"/>
          <w:color w:val="000000"/>
        </w:rPr>
        <w:t xml:space="preserve">have no impact on the GST relativities reinforces its view that an actual per capita assessment of all NDIS expenses is necessary to take account of </w:t>
      </w:r>
      <w:r w:rsidRPr="00EC79CF">
        <w:rPr>
          <w:rFonts w:ascii="Calibri" w:eastAsia="Calibri" w:hAnsi="Calibri" w:cs="Times New Roman"/>
        </w:rPr>
        <w:t xml:space="preserve">differences between States in the pace, and hence cost, of the transition process. We do not consider this to be the case. The supplementary terms of reference require the Commission to ensure State </w:t>
      </w:r>
      <w:r w:rsidRPr="00EC79CF">
        <w:rPr>
          <w:rFonts w:ascii="Calibri" w:eastAsia="Calibri" w:hAnsi="Calibri" w:cs="Times New Roman"/>
        </w:rPr>
        <w:lastRenderedPageBreak/>
        <w:t>drawdowns have no impact on the GST relativities, but this has no implications for the rest of the assessment.</w:t>
      </w:r>
    </w:p>
    <w:p w:rsidR="00A665A9" w:rsidRPr="00EC79CF" w:rsidRDefault="00A665A9" w:rsidP="00A665A9">
      <w:pPr>
        <w:pStyle w:val="Heading5"/>
      </w:pPr>
      <w:r w:rsidRPr="00EC79CF">
        <w:t>Full implementation</w:t>
      </w:r>
    </w:p>
    <w:p w:rsidR="00A665A9" w:rsidRPr="00EC79CF" w:rsidRDefault="00A665A9" w:rsidP="00C20E52">
      <w:pPr>
        <w:pStyle w:val="CGCNumberedPara"/>
        <w:numPr>
          <w:ilvl w:val="1"/>
          <w:numId w:val="2"/>
        </w:numPr>
      </w:pPr>
      <w:r w:rsidRPr="00EC79CF">
        <w:t>When the NDIS becomes fully operational, anticipated to be in 2019-20, State contributions will change from payments which recognise the number of people covered by the scheme in each State to contributions based on State population shares at Census time. Because at that time, State policies will have no influence on their NDIS expenses, we have decided to assess State contributions APC</w:t>
      </w:r>
      <w:r w:rsidR="00B95E12">
        <w:t>.</w:t>
      </w:r>
    </w:p>
    <w:p w:rsidR="00A665A9" w:rsidRPr="00EC79CF" w:rsidRDefault="00A665A9" w:rsidP="00C20E52">
      <w:pPr>
        <w:pStyle w:val="CGCNumberedPara"/>
        <w:numPr>
          <w:ilvl w:val="1"/>
          <w:numId w:val="2"/>
        </w:numPr>
      </w:pPr>
      <w:r w:rsidRPr="00EC79CF">
        <w:t>In both transition and full implementation phases</w:t>
      </w:r>
      <w:r w:rsidR="00B95E12">
        <w:t>,</w:t>
      </w:r>
      <w:r w:rsidRPr="00EC79CF">
        <w:t xml:space="preserve"> we will treat any associated Commonwealth payments to States, excluding State draw-downs of the Medicare Levy from the </w:t>
      </w:r>
      <w:proofErr w:type="spellStart"/>
      <w:r w:rsidRPr="00EC79CF">
        <w:t>DisabilityCare</w:t>
      </w:r>
      <w:proofErr w:type="spellEnd"/>
      <w:r w:rsidRPr="00EC79CF">
        <w:t xml:space="preserve"> Australia Fund which have been quarantined by the terms of reference, as affecting State fiscal capacities and therefore as having an impact on the GST distribution. Commonwealth contributions to NDIS funding will have no effect on State budgets and will be ignored. Similarly, any purchases by the NDIS of State services would have no impact on the relativities.</w:t>
      </w:r>
    </w:p>
    <w:p w:rsidR="00A665A9" w:rsidRPr="00EC79CF" w:rsidRDefault="00A665A9" w:rsidP="00C20E52">
      <w:pPr>
        <w:pStyle w:val="CGCNumberedPara"/>
        <w:numPr>
          <w:ilvl w:val="1"/>
          <w:numId w:val="2"/>
        </w:numPr>
      </w:pPr>
      <w:r w:rsidRPr="00EC79CF">
        <w:t xml:space="preserve">It remains to be seen whether States will continue to operate their own disability services once the NDIS is fully operational. Western Australia, Tasmania and the ACT have indicated that there may be some residual service delivery expenses. We </w:t>
      </w:r>
      <w:r w:rsidR="00B84981">
        <w:t>will</w:t>
      </w:r>
      <w:r w:rsidRPr="00EC79CF">
        <w:t xml:space="preserve"> continue the dual approach until the non-NDIS service provision assessment is no longer material. On current indications, this is likely to happen in 2019</w:t>
      </w:r>
      <w:r w:rsidRPr="00EC79CF">
        <w:noBreakHyphen/>
        <w:t xml:space="preserve">20 – the year in which most jurisdictions are currently expected to have fully implemented the NDIS. </w:t>
      </w:r>
    </w:p>
    <w:p w:rsidR="00A665A9" w:rsidRPr="00EC79CF" w:rsidRDefault="00A665A9" w:rsidP="00A665A9">
      <w:pPr>
        <w:pStyle w:val="Heading5"/>
      </w:pPr>
      <w:proofErr w:type="spellStart"/>
      <w:r w:rsidRPr="00EC79CF">
        <w:t>Backcasting</w:t>
      </w:r>
      <w:proofErr w:type="spellEnd"/>
    </w:p>
    <w:p w:rsidR="00A665A9" w:rsidRPr="00EC79CF" w:rsidRDefault="00A665A9" w:rsidP="00C20E52">
      <w:pPr>
        <w:pStyle w:val="CGCNumberedPara"/>
        <w:numPr>
          <w:ilvl w:val="1"/>
          <w:numId w:val="2"/>
        </w:numPr>
      </w:pPr>
      <w:r w:rsidRPr="00EC79CF">
        <w:t xml:space="preserve">The Commission has decided to </w:t>
      </w:r>
      <w:proofErr w:type="spellStart"/>
      <w:r w:rsidRPr="00EC79CF">
        <w:t>backcast</w:t>
      </w:r>
      <w:proofErr w:type="spellEnd"/>
      <w:r w:rsidRPr="00EC79CF">
        <w:t xml:space="preserve"> the introduction of the NDIS because it considers </w:t>
      </w:r>
      <w:r w:rsidR="00BC6419">
        <w:t>this</w:t>
      </w:r>
      <w:r w:rsidR="00BC6419" w:rsidRPr="00EC79CF">
        <w:t xml:space="preserve"> </w:t>
      </w:r>
      <w:r w:rsidRPr="00EC79CF">
        <w:t xml:space="preserve">to be a major change in Commonwealth-State financial relations and </w:t>
      </w:r>
      <w:proofErr w:type="spellStart"/>
      <w:r w:rsidR="00BC6419">
        <w:t>backcasting</w:t>
      </w:r>
      <w:proofErr w:type="spellEnd"/>
      <w:r w:rsidRPr="00EC79CF">
        <w:t xml:space="preserve"> will improve the contemporaneity of the assessment. </w:t>
      </w:r>
    </w:p>
    <w:p w:rsidR="00A665A9" w:rsidRPr="00EC79CF" w:rsidRDefault="00A665A9" w:rsidP="00C20E52">
      <w:pPr>
        <w:pStyle w:val="CGCNumberedPara"/>
        <w:numPr>
          <w:ilvl w:val="1"/>
          <w:numId w:val="2"/>
        </w:numPr>
      </w:pPr>
      <w:r w:rsidRPr="00EC79CF">
        <w:t>This requires the State policies operating in the year GST shares are to be used to be retrospectively applied in the historical years used to calculate those shares. To do this, the Commission would require the prospective ratios of State NDIS and non</w:t>
      </w:r>
      <w:r w:rsidRPr="00EC79CF">
        <w:noBreakHyphen/>
        <w:t>NDIS expenses in the application year. That data would need to be provided by States and based on their own expense forecasts.</w:t>
      </w:r>
    </w:p>
    <w:p w:rsidR="00A665A9" w:rsidRPr="00EC79CF" w:rsidRDefault="00A665A9" w:rsidP="00C20E52">
      <w:pPr>
        <w:pStyle w:val="CGCNumberedPara"/>
        <w:numPr>
          <w:ilvl w:val="1"/>
          <w:numId w:val="2"/>
        </w:numPr>
      </w:pPr>
      <w:r w:rsidRPr="00EC79CF">
        <w:t>With a dual system commencing in 2016</w:t>
      </w:r>
      <w:r w:rsidRPr="00EC79CF">
        <w:noBreakHyphen/>
        <w:t>17, this would require the incorporation of such projections beginning in the 2016 Update. At that time, we will review the availability and reliability of the uptake and expenses projections. If data are not considered reliable, we will need to consider an alternative, such as using the data for the latest available year.</w:t>
      </w:r>
    </w:p>
    <w:p w:rsidR="00A665A9" w:rsidRPr="00EC79CF" w:rsidRDefault="00A665A9" w:rsidP="00A665A9">
      <w:pPr>
        <w:pStyle w:val="Heading3"/>
      </w:pPr>
      <w:bookmarkStart w:id="440" w:name="_Toc391023242"/>
      <w:bookmarkStart w:id="441" w:name="_Toc410741668"/>
      <w:bookmarkStart w:id="442" w:name="_Toc410744219"/>
      <w:bookmarkStart w:id="443" w:name="_Toc411511208"/>
      <w:bookmarkStart w:id="444" w:name="_Toc411511661"/>
      <w:bookmarkStart w:id="445" w:name="_Toc411924601"/>
      <w:bookmarkStart w:id="446" w:name="_Toc391023243"/>
      <w:r w:rsidRPr="00EC79CF">
        <w:lastRenderedPageBreak/>
        <w:t>Transport infrastructure</w:t>
      </w:r>
      <w:bookmarkEnd w:id="440"/>
      <w:bookmarkEnd w:id="441"/>
      <w:bookmarkEnd w:id="442"/>
      <w:bookmarkEnd w:id="443"/>
      <w:bookmarkEnd w:id="444"/>
      <w:bookmarkEnd w:id="445"/>
    </w:p>
    <w:p w:rsidR="00A665A9" w:rsidRPr="00EC79CF" w:rsidRDefault="00A665A9" w:rsidP="00A665A9">
      <w:pPr>
        <w:pStyle w:val="Heading4"/>
      </w:pPr>
      <w:r w:rsidRPr="00EC79CF">
        <w:t>Background</w:t>
      </w:r>
    </w:p>
    <w:p w:rsidR="00A665A9" w:rsidRPr="00056A51" w:rsidRDefault="00A665A9" w:rsidP="00056A51">
      <w:pPr>
        <w:pStyle w:val="CGCNumberedPara"/>
      </w:pPr>
      <w:r w:rsidRPr="00056A51">
        <w:t xml:space="preserve">The terms of reference ask the Commission to have regard to the recommendations of the GST Distribution Review (October 2012) to: </w:t>
      </w:r>
    </w:p>
    <w:p w:rsidR="00A665A9" w:rsidRPr="00EC79CF" w:rsidRDefault="00A665A9" w:rsidP="00A665A9">
      <w:pPr>
        <w:pStyle w:val="CGCQuotation"/>
      </w:pPr>
      <w:r w:rsidRPr="00EC79CF">
        <w:t xml:space="preserve">… </w:t>
      </w:r>
      <w:proofErr w:type="gramStart"/>
      <w:r w:rsidRPr="00EC79CF">
        <w:t>develop</w:t>
      </w:r>
      <w:proofErr w:type="gramEnd"/>
      <w:r w:rsidRPr="00EC79CF">
        <w:t xml:space="preserve"> a new transport infrastructure assessment. This should include, if appropriate, a framework to identify payments for nationally significant transport infrastructure projects which should affect the relativities only in part and options for providing that treatment (Recommendation 6.1).</w:t>
      </w:r>
    </w:p>
    <w:p w:rsidR="00A665A9" w:rsidRPr="00EC79CF" w:rsidRDefault="00A665A9" w:rsidP="00C20E52">
      <w:pPr>
        <w:pStyle w:val="CGCNumberedPara"/>
        <w:numPr>
          <w:ilvl w:val="1"/>
          <w:numId w:val="2"/>
        </w:numPr>
      </w:pPr>
      <w:r w:rsidRPr="00EC79CF">
        <w:t xml:space="preserve">The GST Distribution Review report said the Commission’s decision to equalise States’ net financial worth in the net lending assessment imposed a constraint on the recognition of capital needs for subsidised </w:t>
      </w:r>
      <w:r w:rsidR="00E56F29" w:rsidRPr="00EC79CF">
        <w:t>p</w:t>
      </w:r>
      <w:r w:rsidRPr="00EC79CF">
        <w:t xml:space="preserve">ublic </w:t>
      </w:r>
      <w:r w:rsidR="00E56F29" w:rsidRPr="00EC79CF">
        <w:t>non-f</w:t>
      </w:r>
      <w:r w:rsidRPr="00EC79CF">
        <w:t xml:space="preserve">inancial </w:t>
      </w:r>
      <w:r w:rsidR="00E56F29" w:rsidRPr="00EC79CF">
        <w:t>c</w:t>
      </w:r>
      <w:r w:rsidRPr="00EC79CF">
        <w:t xml:space="preserve">orporations (PNFCs). The report suggested the Commission review its approach so capital needs for subsidised PNFCs could be fully recognised. </w:t>
      </w:r>
    </w:p>
    <w:p w:rsidR="00A665A9" w:rsidRPr="00EC79CF" w:rsidRDefault="00A665A9" w:rsidP="00C20E52">
      <w:pPr>
        <w:pStyle w:val="CGCNumberedPara"/>
        <w:numPr>
          <w:ilvl w:val="1"/>
          <w:numId w:val="2"/>
        </w:numPr>
      </w:pPr>
      <w:r w:rsidRPr="00EC79CF">
        <w:t xml:space="preserve">The GST Distribution Review report also noted that, while all States supported the general principle of </w:t>
      </w:r>
      <w:r w:rsidRPr="00EC79CF">
        <w:rPr>
          <w:i/>
          <w:iCs/>
        </w:rPr>
        <w:t xml:space="preserve">including </w:t>
      </w:r>
      <w:r w:rsidRPr="00EC79CF">
        <w:t xml:space="preserve">Commonwealth payments for capital purposes in the equalisation process, there were concerns about the treatment of large payments for infrastructure purposes. It said that Commonwealth payments for road and </w:t>
      </w:r>
      <w:r w:rsidR="00A97D21">
        <w:t>rail</w:t>
      </w:r>
      <w:r w:rsidR="00A97D21" w:rsidRPr="00EC79CF">
        <w:t xml:space="preserve"> </w:t>
      </w:r>
      <w:r w:rsidRPr="00EC79CF">
        <w:t xml:space="preserve">infrastructure should not be treated differently. Therefore, it recommended only 50% of nationally significant payments for road and rail infrastructure be recognised in the equalisation process, because of their dual national and State purposes. </w:t>
      </w:r>
    </w:p>
    <w:p w:rsidR="00A665A9" w:rsidRPr="00EC79CF" w:rsidRDefault="00A665A9" w:rsidP="00A665A9">
      <w:pPr>
        <w:pStyle w:val="Heading4"/>
      </w:pPr>
      <w:r w:rsidRPr="00EC79CF">
        <w:t>Commission response</w:t>
      </w:r>
    </w:p>
    <w:p w:rsidR="00A665A9" w:rsidRPr="00EC79CF" w:rsidRDefault="00A665A9" w:rsidP="00A665A9">
      <w:pPr>
        <w:pStyle w:val="Heading5"/>
      </w:pPr>
      <w:r w:rsidRPr="00EC79CF">
        <w:t>A transport infrastructure assessment</w:t>
      </w:r>
    </w:p>
    <w:p w:rsidR="00A665A9" w:rsidRPr="00EC79CF" w:rsidRDefault="00A665A9" w:rsidP="00C20E52">
      <w:pPr>
        <w:pStyle w:val="CGCNumberedPara"/>
        <w:numPr>
          <w:ilvl w:val="1"/>
          <w:numId w:val="2"/>
        </w:numPr>
      </w:pPr>
      <w:r w:rsidRPr="00EC79CF">
        <w:t>In this review</w:t>
      </w:r>
      <w:r w:rsidR="003D4B37">
        <w:t>,</w:t>
      </w:r>
      <w:r w:rsidRPr="00EC79CF">
        <w:t xml:space="preserve"> we considered developing a single transport infrastructure assessment. However, we decided it was more appropriate to separately recognise the differences among States driving investment in roads and urban public transport.</w:t>
      </w:r>
    </w:p>
    <w:p w:rsidR="00A665A9" w:rsidRPr="00EC79CF" w:rsidRDefault="00A665A9" w:rsidP="00C20E52">
      <w:pPr>
        <w:pStyle w:val="CGCNumberedPara"/>
        <w:numPr>
          <w:ilvl w:val="1"/>
          <w:numId w:val="2"/>
        </w:numPr>
      </w:pPr>
      <w:r w:rsidRPr="00EC79CF">
        <w:t xml:space="preserve">We consider the existing assessment </w:t>
      </w:r>
      <w:r w:rsidR="00D749E2">
        <w:t xml:space="preserve">method </w:t>
      </w:r>
      <w:r w:rsidRPr="00EC79CF">
        <w:t>for investment in road infrastructure should continue unchanged, but be augmented by an assessment of urban transport investment. This will allow the different drivers of roads and urban transport infrastructure to be recognised in a transparent way. We do not consider there is a conceptual case for, or data to support, a separate assessment relating to other transport infrastructure, such as ports or freight rail.</w:t>
      </w:r>
    </w:p>
    <w:p w:rsidR="00A665A9" w:rsidRPr="00EC79CF" w:rsidRDefault="00A665A9" w:rsidP="00C20E52">
      <w:pPr>
        <w:pStyle w:val="CGCNumberedPara"/>
        <w:numPr>
          <w:ilvl w:val="1"/>
          <w:numId w:val="2"/>
        </w:numPr>
      </w:pPr>
      <w:r w:rsidRPr="00EC79CF">
        <w:t xml:space="preserve">While road related expenditure and investment are general government activities, the same is not true of urban transport which is provided </w:t>
      </w:r>
      <w:r w:rsidR="00E56F29" w:rsidRPr="00EC79CF">
        <w:t>by</w:t>
      </w:r>
      <w:r w:rsidRPr="00EC79CF">
        <w:t xml:space="preserve"> a mixture of PNFCs</w:t>
      </w:r>
      <w:r w:rsidR="00E56F29" w:rsidRPr="00EC79CF">
        <w:t>, the private sector and local governments</w:t>
      </w:r>
      <w:r w:rsidRPr="00EC79CF">
        <w:t xml:space="preserve"> (with </w:t>
      </w:r>
      <w:r w:rsidR="00E56F29" w:rsidRPr="00EC79CF">
        <w:t>g</w:t>
      </w:r>
      <w:r w:rsidRPr="00EC79CF">
        <w:t xml:space="preserve">eneral government subsidies) and directly by general government. </w:t>
      </w:r>
    </w:p>
    <w:p w:rsidR="00A665A9" w:rsidRPr="00EC79CF" w:rsidRDefault="00A665A9" w:rsidP="00C20E52">
      <w:pPr>
        <w:pStyle w:val="CGCNumberedPara"/>
        <w:numPr>
          <w:ilvl w:val="1"/>
          <w:numId w:val="2"/>
        </w:numPr>
      </w:pPr>
      <w:r w:rsidRPr="00EC79CF">
        <w:lastRenderedPageBreak/>
        <w:t xml:space="preserve">In this review, we have decided, for equalisation purposes, to treat all urban transport </w:t>
      </w:r>
      <w:r w:rsidR="00E56F29" w:rsidRPr="00EC79CF">
        <w:t xml:space="preserve">delivered by PNFCs </w:t>
      </w:r>
      <w:r w:rsidRPr="00EC79CF">
        <w:t xml:space="preserve">as a general government activity. This is because a number of States have further integrated their urban transport services into their general government sectors and all services have strong similarities to the services provided by general government agencies, even when they are delivered by PNFCs. They are not fully commercial and depend on government funds to meet recurrent costs and pay for major investment; the services stem from social policy objectives; and government departments make the policy on service delivery and charges. This is unlike other </w:t>
      </w:r>
      <w:r w:rsidR="00A97D21">
        <w:t xml:space="preserve">transport </w:t>
      </w:r>
      <w:r w:rsidRPr="00EC79CF">
        <w:t xml:space="preserve">PNFCs, such as ports or freight railways, which operate on a commercial basis and often return a dividend to the </w:t>
      </w:r>
      <w:r w:rsidR="00E56F29" w:rsidRPr="00EC79CF">
        <w:t>g</w:t>
      </w:r>
      <w:r w:rsidRPr="00EC79CF">
        <w:t xml:space="preserve">eneral </w:t>
      </w:r>
      <w:r w:rsidR="00E56F29" w:rsidRPr="00EC79CF">
        <w:t>g</w:t>
      </w:r>
      <w:r w:rsidRPr="00EC79CF">
        <w:t>overnment budget.</w:t>
      </w:r>
    </w:p>
    <w:p w:rsidR="00A665A9" w:rsidRPr="00EC79CF" w:rsidRDefault="00A665A9" w:rsidP="00C20E52">
      <w:pPr>
        <w:pStyle w:val="CGCNumberedPara"/>
        <w:numPr>
          <w:ilvl w:val="1"/>
          <w:numId w:val="2"/>
        </w:numPr>
      </w:pPr>
      <w:r w:rsidRPr="00EC79CF">
        <w:t>We have developed a new assessment of urban transport stock requirements which will be undertaken as a separate component of the investment assessment. The assessment is undertaken in the same way as other components of investment and recognises in a simplified way that:</w:t>
      </w:r>
    </w:p>
    <w:p w:rsidR="00A665A9" w:rsidRPr="00EC79CF" w:rsidRDefault="00A665A9" w:rsidP="00C20E52">
      <w:pPr>
        <w:pStyle w:val="CGCBulletlist"/>
        <w:numPr>
          <w:ilvl w:val="0"/>
          <w:numId w:val="1"/>
        </w:numPr>
        <w:tabs>
          <w:tab w:val="clear" w:pos="927"/>
          <w:tab w:val="left" w:pos="1134"/>
        </w:tabs>
        <w:ind w:left="1134" w:hanging="567"/>
      </w:pPr>
      <w:r w:rsidRPr="00EC79CF">
        <w:t xml:space="preserve">larger cities require more urban transport infrastructure per capita than smaller cities to deal with the transport task they face </w:t>
      </w:r>
    </w:p>
    <w:p w:rsidR="00A665A9" w:rsidRPr="00EC79CF" w:rsidRDefault="00A665A9" w:rsidP="00C20E52">
      <w:pPr>
        <w:pStyle w:val="CGCBulletlist"/>
        <w:numPr>
          <w:ilvl w:val="0"/>
          <w:numId w:val="1"/>
        </w:numPr>
        <w:tabs>
          <w:tab w:val="clear" w:pos="927"/>
          <w:tab w:val="left" w:pos="1134"/>
        </w:tabs>
        <w:ind w:left="1134" w:hanging="567"/>
      </w:pPr>
      <w:r w:rsidRPr="00EC79CF">
        <w:t>urban population growth is an important driver of State investment in urban transport infrastructure</w:t>
      </w:r>
    </w:p>
    <w:p w:rsidR="00A665A9" w:rsidRPr="00EC79CF" w:rsidRDefault="00A665A9" w:rsidP="00C20E52">
      <w:pPr>
        <w:pStyle w:val="CGCBulletlist"/>
        <w:numPr>
          <w:ilvl w:val="0"/>
          <w:numId w:val="1"/>
        </w:numPr>
        <w:tabs>
          <w:tab w:val="clear" w:pos="927"/>
          <w:tab w:val="left" w:pos="1134"/>
        </w:tabs>
        <w:ind w:left="1134" w:hanging="567"/>
      </w:pPr>
      <w:proofErr w:type="gramStart"/>
      <w:r w:rsidRPr="00EC79CF">
        <w:t>relative</w:t>
      </w:r>
      <w:proofErr w:type="gramEnd"/>
      <w:r w:rsidRPr="00EC79CF">
        <w:t xml:space="preserve"> interstate differences in the cost of infrastructure affect investment requirements.</w:t>
      </w:r>
    </w:p>
    <w:p w:rsidR="00CE0C60" w:rsidRPr="00EC79CF" w:rsidRDefault="00CE0C60" w:rsidP="00CE0C60">
      <w:pPr>
        <w:pStyle w:val="CGCNumberedPara"/>
      </w:pPr>
      <w:r w:rsidRPr="00EC79CF">
        <w:t>Details of the</w:t>
      </w:r>
      <w:r w:rsidR="00A97D21">
        <w:t xml:space="preserve"> assessment are provided in Volume 2, Chapter 21 – Infrastructure</w:t>
      </w:r>
      <w:r w:rsidRPr="00EC79CF">
        <w:t>.</w:t>
      </w:r>
    </w:p>
    <w:p w:rsidR="00A665A9" w:rsidRPr="00EC79CF" w:rsidRDefault="00A665A9" w:rsidP="00A665A9">
      <w:pPr>
        <w:pStyle w:val="Heading5"/>
      </w:pPr>
      <w:r w:rsidRPr="00EC79CF">
        <w:t>Nationally significant transport infrastructure projects</w:t>
      </w:r>
    </w:p>
    <w:p w:rsidR="00A665A9" w:rsidRPr="00EC79CF" w:rsidRDefault="00A665A9" w:rsidP="00C20E52">
      <w:pPr>
        <w:pStyle w:val="CGCNumberedPara"/>
        <w:numPr>
          <w:ilvl w:val="1"/>
          <w:numId w:val="2"/>
        </w:numPr>
        <w:rPr>
          <w:lang w:val="en-US"/>
        </w:rPr>
      </w:pPr>
      <w:r w:rsidRPr="00EC79CF">
        <w:t xml:space="preserve">The Commission has concluded it would be conceptually and practically difficult to develop and implement a framework to identify payments for nationally significant transport infrastructure projects. </w:t>
      </w:r>
      <w:r w:rsidRPr="00EC79CF">
        <w:rPr>
          <w:lang w:val="en-US"/>
        </w:rPr>
        <w:t xml:space="preserve">All States agreed that </w:t>
      </w:r>
      <w:r w:rsidRPr="00EC79CF">
        <w:t xml:space="preserve">deciding which projects are nationally significant would be difficult, even arbitrary and contentious. </w:t>
      </w:r>
    </w:p>
    <w:p w:rsidR="00A665A9" w:rsidRPr="00EC79CF" w:rsidRDefault="00A665A9" w:rsidP="00C20E52">
      <w:pPr>
        <w:pStyle w:val="CGCNumberedPara"/>
        <w:numPr>
          <w:ilvl w:val="1"/>
          <w:numId w:val="2"/>
        </w:numPr>
      </w:pPr>
      <w:r w:rsidRPr="00EC79CF">
        <w:t>We were not attracted to using Infrastructure Australia’s (IA’s) list of priority projects to determine payments relating to projects of ‘national significance’. IA undertakes technical assessments of projects submitted for inclusion on the list. A project is not only evaluated in terms of its strategic fit and how it addresses national infrastructure priorities</w:t>
      </w:r>
      <w:r w:rsidR="00A97D21">
        <w:t>;</w:t>
      </w:r>
      <w:r w:rsidRPr="00EC79CF">
        <w:t xml:space="preserve"> it must be economically viable (its benefits must outweigh its costs) and it must demonstrate it is deliverable (it has a clear and robust delivery plan). A number of States did not accept that the list included only projects of national significance. They argued the list could include projects which were of considerable benefit to only one State and could exclude projects of national significance which did not meet the other criteria.</w:t>
      </w:r>
    </w:p>
    <w:p w:rsidR="00A665A9" w:rsidRPr="00EC79CF" w:rsidRDefault="00A665A9" w:rsidP="00C20E52">
      <w:pPr>
        <w:pStyle w:val="CGCNumberedPara"/>
        <w:numPr>
          <w:ilvl w:val="1"/>
          <w:numId w:val="2"/>
        </w:numPr>
      </w:pPr>
      <w:r w:rsidRPr="00EC79CF">
        <w:t xml:space="preserve">South Australia and the ACT proposed criteria relating to spill over benefits to other States or where there are </w:t>
      </w:r>
      <w:r w:rsidRPr="00EC79CF">
        <w:rPr>
          <w:rFonts w:ascii="Calibri" w:eastAsia="Calibri" w:hAnsi="Calibri" w:cs="Times New Roman"/>
        </w:rPr>
        <w:t xml:space="preserve">direct economic benefits extended to other States. </w:t>
      </w:r>
      <w:r w:rsidRPr="00EC79CF">
        <w:lastRenderedPageBreak/>
        <w:t xml:space="preserve">Queensland suggested a nationally significant rail project was one which would facilitate national economic growth and productivity gains in the long term. </w:t>
      </w:r>
    </w:p>
    <w:p w:rsidR="00A665A9" w:rsidRPr="00EC79CF" w:rsidRDefault="00A665A9" w:rsidP="00C20E52">
      <w:pPr>
        <w:pStyle w:val="CGCNumberedPara"/>
        <w:numPr>
          <w:ilvl w:val="1"/>
          <w:numId w:val="2"/>
        </w:numPr>
      </w:pPr>
      <w:r w:rsidRPr="00EC79CF">
        <w:t>We can see conceptually how identifying the ‘interstate spill over benefits’ of projects could form the basis of treating part of Commonwealth projects so that they have no effect on the GST distribution. However, we doubt we would be able to quantify the size of such benefits or apportion project expenditure to that outcome. No State was able to propose a methodology which would solve this problem.</w:t>
      </w:r>
    </w:p>
    <w:p w:rsidR="00A665A9" w:rsidRPr="00EC79CF" w:rsidRDefault="00A665A9" w:rsidP="00C20E52">
      <w:pPr>
        <w:pStyle w:val="CGCNumberedPara"/>
        <w:numPr>
          <w:ilvl w:val="1"/>
          <w:numId w:val="2"/>
        </w:numPr>
        <w:tabs>
          <w:tab w:val="clear" w:pos="567"/>
        </w:tabs>
      </w:pPr>
      <w:r w:rsidRPr="00EC79CF">
        <w:t xml:space="preserve">In addition, we do not accept New South Wales’ suggestion that all infrastructure grants to the States might be treated as having no impact on the relativities or Western Australia’s proposal to apply a general discount to all State revenues, including Commonwealth payments. We do not consider these proposals to be consistent with HFE. Both appear too broad brush, capturing some projects of only State significance. </w:t>
      </w:r>
    </w:p>
    <w:p w:rsidR="00A665A9" w:rsidRPr="00EC79CF" w:rsidRDefault="00A665A9" w:rsidP="00A665A9">
      <w:pPr>
        <w:pStyle w:val="Heading5"/>
      </w:pPr>
      <w:r w:rsidRPr="00EC79CF">
        <w:t>Treatment of Commonwealth payments for transport infrastructure</w:t>
      </w:r>
    </w:p>
    <w:p w:rsidR="00A665A9" w:rsidRPr="00EC79CF" w:rsidRDefault="00A665A9" w:rsidP="00C20E52">
      <w:pPr>
        <w:pStyle w:val="CGCNumberedPara"/>
        <w:numPr>
          <w:ilvl w:val="1"/>
          <w:numId w:val="2"/>
        </w:numPr>
      </w:pPr>
      <w:r w:rsidRPr="00EC79CF">
        <w:t xml:space="preserve">The appropriate treatment of Commonwealth payments for transport infrastructure has been an issue of </w:t>
      </w:r>
      <w:r w:rsidR="00BC6419">
        <w:t>considerable</w:t>
      </w:r>
      <w:r w:rsidR="00BC6419" w:rsidRPr="00EC79CF">
        <w:t xml:space="preserve"> </w:t>
      </w:r>
      <w:r w:rsidRPr="00EC79CF">
        <w:t>interest to States.</w:t>
      </w:r>
    </w:p>
    <w:p w:rsidR="00A665A9" w:rsidRPr="00EC79CF" w:rsidRDefault="00A665A9" w:rsidP="00C20E52">
      <w:pPr>
        <w:pStyle w:val="CGCNumberedPara"/>
        <w:numPr>
          <w:ilvl w:val="1"/>
          <w:numId w:val="2"/>
        </w:numPr>
      </w:pPr>
      <w:r w:rsidRPr="00EC79CF">
        <w:t xml:space="preserve">We assess State investment in roads and urban transport based on factors such as the growth in population, road usage and city size. Commonwealth payments which fund this infrastructure reduce the investment we assess States need to make. In this way, they have an impact on the GST distribution. </w:t>
      </w:r>
    </w:p>
    <w:p w:rsidR="00A665A9" w:rsidRPr="00EC79CF" w:rsidRDefault="00A665A9" w:rsidP="00C20E52">
      <w:pPr>
        <w:pStyle w:val="CGCNumberedPara"/>
        <w:numPr>
          <w:ilvl w:val="1"/>
          <w:numId w:val="2"/>
        </w:numPr>
      </w:pPr>
      <w:r w:rsidRPr="00EC79CF">
        <w:t xml:space="preserve">However, there are national networks for roads and rail. We accept that projects relating to these may be, at least in part, in the national interest. We also note there is no relationship between State shares of the payments and the currently assessed State-based drivers of road and rail investment. Since the investment is intended to improve the national networks as a whole to facilitate national economic development and the interstate movement of passengers and freight, it is in part driven by benefits or needs in States other than those in which the investment is made. </w:t>
      </w:r>
    </w:p>
    <w:p w:rsidR="00A665A9" w:rsidRPr="00EC79CF" w:rsidRDefault="00A665A9" w:rsidP="00C20E52">
      <w:pPr>
        <w:pStyle w:val="CGCNumberedPara"/>
        <w:numPr>
          <w:ilvl w:val="1"/>
          <w:numId w:val="2"/>
        </w:numPr>
      </w:pPr>
      <w:r w:rsidRPr="00EC79CF">
        <w:t>That part of these Commonwealth payments should not affect the GST distribution. As in the 2010 Review, there are no data which allow us to apportion Commonwealth payments, even those earmarked for national networks into that part driven by national needs and that part driven by the needs in the State where the project is located. We have had to exercise judgment, believing that some recognition improves the HFE outcome. We have decided to retain the judgment we made in 2010 and treat 50% of these Commonwealth payments so they have no impact on the GST distribution.</w:t>
      </w:r>
    </w:p>
    <w:p w:rsidR="00E56F29" w:rsidRPr="00EC79CF" w:rsidRDefault="00E56F29" w:rsidP="00E56F29">
      <w:pPr>
        <w:pStyle w:val="CGCNumberedPara"/>
        <w:numPr>
          <w:ilvl w:val="1"/>
          <w:numId w:val="2"/>
        </w:numPr>
      </w:pPr>
      <w:r w:rsidRPr="00EC79CF">
        <w:t xml:space="preserve">In the 2010 Review, we applied this treatment to 50% of payments for projects affecting National Network Roads (NNR) only. In this review, we have continued to </w:t>
      </w:r>
      <w:r w:rsidRPr="00EC79CF">
        <w:lastRenderedPageBreak/>
        <w:t>apply that treatment to NNR payments but extended it to payments for projects on the National Rail Network. We implement the treatment by excluding 50% of the payments and the expenditure they fund.</w:t>
      </w:r>
    </w:p>
    <w:p w:rsidR="00E56F29" w:rsidRPr="00EC79CF" w:rsidRDefault="00E56F29" w:rsidP="00E56F29">
      <w:pPr>
        <w:pStyle w:val="CGCNumberedPara"/>
        <w:numPr>
          <w:ilvl w:val="1"/>
          <w:numId w:val="2"/>
        </w:numPr>
      </w:pPr>
      <w:r w:rsidRPr="00EC79CF">
        <w:t xml:space="preserve">While some States supported this approach, others argued it was not justified because the needs were assessed for these payments using measures of road length and use in each State and differences in city size and population growth. Others said if national needs were assessed in relation to NNR, they should be assessed more broadly. Not doing so, particularly in relation to rail, was said to distort investment decisions. </w:t>
      </w:r>
      <w:r w:rsidR="00ED59A1">
        <w:t>Victoria</w:t>
      </w:r>
      <w:r w:rsidRPr="00EC79CF">
        <w:t xml:space="preserve"> said NNR funding should be subject to the same level of equalisation as Commonwealth rail funding. </w:t>
      </w:r>
      <w:r w:rsidR="00ED59A1">
        <w:t>Queensland</w:t>
      </w:r>
      <w:r w:rsidRPr="00EC79CF">
        <w:t xml:space="preserve"> did not support extending the treatment to rail payments because nationally significant rail infrastructure cannot be identified reliably. </w:t>
      </w:r>
      <w:r w:rsidR="00ED59A1">
        <w:t>Victoria</w:t>
      </w:r>
      <w:r w:rsidR="00ED59A1" w:rsidRPr="00EC79CF">
        <w:t xml:space="preserve"> </w:t>
      </w:r>
      <w:r w:rsidRPr="00EC79CF">
        <w:t>said the Commission should examine each rail project to decide the extent to which the Commonwealth funding is affected by national considerations not captured in the State-based disability measures.</w:t>
      </w:r>
    </w:p>
    <w:p w:rsidR="00E56F29" w:rsidRPr="00EC79CF" w:rsidRDefault="00E56F29" w:rsidP="00E56F29">
      <w:pPr>
        <w:pStyle w:val="CGCNumberedPara"/>
        <w:numPr>
          <w:ilvl w:val="1"/>
          <w:numId w:val="2"/>
        </w:numPr>
      </w:pPr>
      <w:r w:rsidRPr="00EC79CF">
        <w:t>We do not consider it feasible to undertake our own examination of road and rail projects to determine the extent of national influence on each. We consider it more reliable and appropriate for us to use advice from the Department of Infrastructure and Regional Development on which payments relate to projects on the national road and rail networks. The Department has provided advice in the past in relation to projects relating to the national road network and will continue to do so. It is now providing advice on national rail network projects</w:t>
      </w:r>
      <w:r w:rsidRPr="00EC79CF">
        <w:rPr>
          <w:rStyle w:val="FootnoteReference"/>
        </w:rPr>
        <w:footnoteReference w:id="6"/>
      </w:r>
      <w:r w:rsidRPr="00EC79CF">
        <w:t xml:space="preserve"> and has recently identified relevant payments.</w:t>
      </w:r>
      <w:r w:rsidRPr="00EC79CF">
        <w:rPr>
          <w:rStyle w:val="FootnoteReference"/>
        </w:rPr>
        <w:t xml:space="preserve"> </w:t>
      </w:r>
      <w:r w:rsidRPr="00EC79CF">
        <w:t>We will also treat Commonwealth payments for roads identified in the supplementary terms of reference in the same way.</w:t>
      </w:r>
    </w:p>
    <w:p w:rsidR="00E56F29" w:rsidRPr="00EC79CF" w:rsidRDefault="00E56F29" w:rsidP="00E56F29">
      <w:pPr>
        <w:pStyle w:val="CGCNumberedPara"/>
        <w:numPr>
          <w:ilvl w:val="1"/>
          <w:numId w:val="2"/>
        </w:numPr>
      </w:pPr>
      <w:r w:rsidRPr="00EC79CF">
        <w:t xml:space="preserve">We do not consider that a similar approach should be extended to other Commonwealth payments for infrastructure because they do not have the same network features as road and rail. We consider the other investment assessments appropriately allow for the main factors driving on-going and relatively divisible investment needs of States (such as for schools and hospitals). </w:t>
      </w:r>
    </w:p>
    <w:p w:rsidR="00A665A9" w:rsidRPr="00EC79CF" w:rsidRDefault="00A665A9" w:rsidP="00C20E52">
      <w:pPr>
        <w:pStyle w:val="CGCNumberedPara"/>
        <w:numPr>
          <w:ilvl w:val="1"/>
          <w:numId w:val="2"/>
        </w:numPr>
      </w:pPr>
      <w:r w:rsidRPr="00EC79CF">
        <w:t>Attachment 2 of Volume 2 sets out the treatment of all transport infrastructure payments.</w:t>
      </w:r>
    </w:p>
    <w:p w:rsidR="00A665A9" w:rsidRPr="00EC79CF" w:rsidRDefault="00A665A9" w:rsidP="00A665A9">
      <w:pPr>
        <w:pStyle w:val="Heading3"/>
      </w:pPr>
      <w:bookmarkStart w:id="447" w:name="_Toc410741669"/>
      <w:bookmarkStart w:id="448" w:name="_Toc410744220"/>
      <w:bookmarkStart w:id="449" w:name="_Toc411511209"/>
      <w:bookmarkStart w:id="450" w:name="_Toc411511662"/>
      <w:bookmarkStart w:id="451" w:name="_Toc411924602"/>
      <w:r w:rsidRPr="00EC79CF">
        <w:lastRenderedPageBreak/>
        <w:t>Indigenous status</w:t>
      </w:r>
      <w:bookmarkEnd w:id="447"/>
      <w:bookmarkEnd w:id="448"/>
      <w:bookmarkEnd w:id="449"/>
      <w:bookmarkEnd w:id="450"/>
      <w:bookmarkEnd w:id="451"/>
    </w:p>
    <w:p w:rsidR="00A665A9" w:rsidRPr="00EC79CF" w:rsidRDefault="00A665A9" w:rsidP="00A665A9">
      <w:pPr>
        <w:pStyle w:val="Heading4"/>
      </w:pPr>
      <w:r w:rsidRPr="00EC79CF">
        <w:t>Background</w:t>
      </w:r>
    </w:p>
    <w:p w:rsidR="00A665A9" w:rsidRPr="00EC79CF" w:rsidRDefault="00A665A9" w:rsidP="00C20E52">
      <w:pPr>
        <w:pStyle w:val="CGCNumberedPara"/>
        <w:numPr>
          <w:ilvl w:val="1"/>
          <w:numId w:val="2"/>
        </w:numPr>
      </w:pPr>
      <w:r w:rsidRPr="00EC79CF">
        <w:t>The terms of reference require us to ‘develop methods to appropriately capture the changing characteristics of the Indigenous population’. This was in response to concerns, raised by Western Australia and the North</w:t>
      </w:r>
      <w:r w:rsidR="00716C5E" w:rsidRPr="00EC79CF">
        <w:t>ern Territory, that in the 2011 </w:t>
      </w:r>
      <w:r w:rsidRPr="00EC79CF">
        <w:t xml:space="preserve">Census, some people who had not previously identified as Indigenous were now doing so. It was not clear that both groups placed the same fiscal pressure on State governments. </w:t>
      </w:r>
    </w:p>
    <w:p w:rsidR="00A665A9" w:rsidRPr="00EC79CF" w:rsidRDefault="00A665A9" w:rsidP="00A665A9">
      <w:pPr>
        <w:pStyle w:val="Heading4"/>
      </w:pPr>
      <w:r w:rsidRPr="00EC79CF">
        <w:t>Commission response</w:t>
      </w:r>
    </w:p>
    <w:p w:rsidR="00A665A9" w:rsidRPr="00EC79CF" w:rsidRDefault="00A665A9" w:rsidP="00C20E52">
      <w:pPr>
        <w:pStyle w:val="CGCNumberedPara"/>
        <w:numPr>
          <w:ilvl w:val="1"/>
          <w:numId w:val="2"/>
        </w:numPr>
      </w:pPr>
      <w:r w:rsidRPr="00EC79CF">
        <w:t>In response</w:t>
      </w:r>
      <w:r w:rsidR="00716C5E" w:rsidRPr="00EC79CF">
        <w:t>,</w:t>
      </w:r>
      <w:r w:rsidRPr="00EC79CF">
        <w:t xml:space="preserve"> we have changed the way we assess the costs of providing services to Indigenous people. </w:t>
      </w:r>
    </w:p>
    <w:p w:rsidR="00A665A9" w:rsidRPr="00EC79CF" w:rsidRDefault="00A665A9" w:rsidP="00C20E52">
      <w:pPr>
        <w:pStyle w:val="CGCNumberedPara"/>
        <w:numPr>
          <w:ilvl w:val="1"/>
          <w:numId w:val="2"/>
        </w:numPr>
        <w:tabs>
          <w:tab w:val="clear" w:pos="567"/>
        </w:tabs>
      </w:pPr>
      <w:r w:rsidRPr="00EC79CF">
        <w:t>Like non-Indigenous people, Indigenous people are not homogenous and different groups of Indigenous people use State services at different rates. To appropriately capture the characteristics of the Indigenous population, we consider it is necessary to identify attributes of Indigenous people that we can use to disaggregate them into those who use State services at a higher or lower than average rate. For example, those with a higher socio-economic status might use services less intensively.</w:t>
      </w:r>
    </w:p>
    <w:p w:rsidR="00A665A9" w:rsidRPr="00EC79CF" w:rsidRDefault="00A665A9" w:rsidP="00C20E52">
      <w:pPr>
        <w:pStyle w:val="CGCNumberedPara"/>
        <w:numPr>
          <w:ilvl w:val="1"/>
          <w:numId w:val="2"/>
        </w:numPr>
        <w:tabs>
          <w:tab w:val="clear" w:pos="567"/>
        </w:tabs>
      </w:pPr>
      <w:r w:rsidRPr="00EC79CF">
        <w:t xml:space="preserve">Since the 2010 Review, we have used area based measures as our primary </w:t>
      </w:r>
      <w:r w:rsidR="00716C5E" w:rsidRPr="00EC79CF">
        <w:t>way of distinguishing</w:t>
      </w:r>
      <w:r w:rsidRPr="00EC79CF">
        <w:t xml:space="preserve"> socio-economic status. We classify different areas as high or low socio</w:t>
      </w:r>
      <w:r w:rsidRPr="00EC79CF">
        <w:noBreakHyphen/>
        <w:t xml:space="preserve">economic status and use State administrative data to determine what States spend on services in these areas. We then use this to measure the national average spending on groups of different socio-economic status. </w:t>
      </w:r>
    </w:p>
    <w:p w:rsidR="00922480" w:rsidRDefault="00A665A9" w:rsidP="00C20E52">
      <w:pPr>
        <w:pStyle w:val="CGCNumberedPara"/>
        <w:numPr>
          <w:ilvl w:val="1"/>
          <w:numId w:val="2"/>
        </w:numPr>
        <w:tabs>
          <w:tab w:val="clear" w:pos="567"/>
        </w:tabs>
      </w:pPr>
      <w:r w:rsidRPr="00EC79CF">
        <w:t xml:space="preserve">In the 2010 Review, we determined the socio-economic status of a region without distinguishing between its Indigenous and non-Indigenous residents. To do this we used the ABS </w:t>
      </w:r>
      <w:r w:rsidR="002F7724" w:rsidRPr="002F7724">
        <w:t>Socio-Economic Indexes for Areas (SEIFA)</w:t>
      </w:r>
      <w:r w:rsidRPr="00EC79CF">
        <w:t xml:space="preserve">. The average status </w:t>
      </w:r>
      <w:r w:rsidR="00716C5E" w:rsidRPr="00EC79CF">
        <w:t xml:space="preserve">of each region </w:t>
      </w:r>
      <w:r w:rsidRPr="00EC79CF">
        <w:t xml:space="preserve">was ascribed to both Indigenous and non-Indigenous residents. However, because Indigenous people generally represent a very small proportion of the population in any area, the socio-economic status of the Indigenous population does not make a significant contribution to the measured status of that area. Therefore, it may not be representative of the socio-economic status of the Indigenous population in each area. </w:t>
      </w:r>
    </w:p>
    <w:p w:rsidR="00A665A9" w:rsidRDefault="00A665A9" w:rsidP="00C20E52">
      <w:pPr>
        <w:pStyle w:val="CGCNumberedPara"/>
        <w:numPr>
          <w:ilvl w:val="1"/>
          <w:numId w:val="2"/>
        </w:numPr>
        <w:tabs>
          <w:tab w:val="clear" w:pos="567"/>
        </w:tabs>
      </w:pPr>
      <w:r w:rsidRPr="00EC79CF">
        <w:t>In this review, we have decided to use a geographic socio-economic index designed specifically for Indigenous people, and another specifically designed for non</w:t>
      </w:r>
      <w:r w:rsidRPr="00EC79CF">
        <w:noBreakHyphen/>
        <w:t>Indigenous people.</w:t>
      </w:r>
    </w:p>
    <w:p w:rsidR="00A665A9" w:rsidRPr="00EC79CF" w:rsidRDefault="00A665A9" w:rsidP="00C20E52">
      <w:pPr>
        <w:pStyle w:val="CGCNumberedPara"/>
        <w:numPr>
          <w:ilvl w:val="1"/>
          <w:numId w:val="2"/>
        </w:numPr>
        <w:tabs>
          <w:tab w:val="clear" w:pos="567"/>
        </w:tabs>
      </w:pPr>
      <w:r w:rsidRPr="00EC79CF">
        <w:t xml:space="preserve">As a result, we determine a region’s Indigenous socio-economic status using an Indigenous specific indicator based on the socio-economic status of its Indigenous </w:t>
      </w:r>
      <w:r w:rsidRPr="00EC79CF">
        <w:lastRenderedPageBreak/>
        <w:t>residents. Separately, we determine the same region’s non-Indigenous status using a non-Indigenous specific indicator, based on the socio-economic status of its non-Indigenous residents.</w:t>
      </w:r>
    </w:p>
    <w:p w:rsidR="00A665A9" w:rsidRPr="00EC79CF" w:rsidRDefault="00A665A9" w:rsidP="00C20E52">
      <w:pPr>
        <w:pStyle w:val="CGCNumberedPara"/>
        <w:numPr>
          <w:ilvl w:val="1"/>
          <w:numId w:val="2"/>
        </w:numPr>
        <w:tabs>
          <w:tab w:val="clear" w:pos="567"/>
        </w:tabs>
      </w:pPr>
      <w:r w:rsidRPr="00EC79CF">
        <w:t>In this way we can better identify average State spending on Indigenous residents of different socio-economic status and average State spending on non-Indigenous residents of different socio-economic status.</w:t>
      </w:r>
    </w:p>
    <w:p w:rsidR="00A665A9" w:rsidRPr="00EC79CF" w:rsidRDefault="00A665A9" w:rsidP="00C20E52">
      <w:pPr>
        <w:pStyle w:val="CGCNumberedPara"/>
        <w:numPr>
          <w:ilvl w:val="1"/>
          <w:numId w:val="2"/>
        </w:numPr>
        <w:tabs>
          <w:tab w:val="clear" w:pos="567"/>
        </w:tabs>
      </w:pPr>
      <w:r w:rsidRPr="00EC79CF">
        <w:t>After consulting with the States, we have decided to use the Indigenous Relative Socio-Economic Outcomes (IRSEO)</w:t>
      </w:r>
      <w:r w:rsidR="0066009F">
        <w:t xml:space="preserve"> index</w:t>
      </w:r>
      <w:r w:rsidRPr="00EC79CF">
        <w:rPr>
          <w:rStyle w:val="FootnoteReference"/>
        </w:rPr>
        <w:footnoteReference w:id="7"/>
      </w:r>
      <w:r w:rsidRPr="00EC79CF">
        <w:t xml:space="preserve"> to measure the socio</w:t>
      </w:r>
      <w:r w:rsidRPr="00EC79CF">
        <w:noBreakHyphen/>
        <w:t>economic impact for the Indigenous population, and a non-Indigenous socio-economic index of areas (NISEIFA)</w:t>
      </w:r>
      <w:r w:rsidRPr="00EC79CF">
        <w:rPr>
          <w:rStyle w:val="FootnoteReference"/>
        </w:rPr>
        <w:footnoteReference w:id="8"/>
      </w:r>
      <w:r w:rsidRPr="00EC79CF">
        <w:t xml:space="preserve"> </w:t>
      </w:r>
      <w:r w:rsidR="00A97D21">
        <w:t>developed for the Commission by</w:t>
      </w:r>
      <w:r w:rsidRPr="00EC79CF">
        <w:t xml:space="preserve"> the ABS to measure the socio-economic impact of the non-Indigenous population. We are taking the same approach that we have used in </w:t>
      </w:r>
      <w:r w:rsidR="00646D3F">
        <w:t xml:space="preserve">the </w:t>
      </w:r>
      <w:r w:rsidRPr="00EC79CF">
        <w:t xml:space="preserve">2010 Review to the measurement of different levels of service provided to each group of Indigenous and non-Indigenous people. We have merely changed how we define such groups. </w:t>
      </w:r>
    </w:p>
    <w:p w:rsidR="00A665A9" w:rsidRPr="00EC79CF" w:rsidRDefault="00A665A9" w:rsidP="00C20E52">
      <w:pPr>
        <w:pStyle w:val="CGCNumberedPara"/>
        <w:numPr>
          <w:ilvl w:val="1"/>
          <w:numId w:val="2"/>
        </w:numPr>
        <w:tabs>
          <w:tab w:val="clear" w:pos="567"/>
        </w:tabs>
      </w:pPr>
      <w:r w:rsidRPr="00EC79CF">
        <w:t>Because our Indigenous measure better captures where Indigenous people of different socio-economic status reside, we consider it will better capture how this changes over</w:t>
      </w:r>
      <w:r w:rsidR="00646D3F">
        <w:t xml:space="preserve"> </w:t>
      </w:r>
      <w:r w:rsidRPr="00EC79CF">
        <w:t>time, and within the constraints of available data, appropriately capture the changing characteristics of the Indigenous population.</w:t>
      </w:r>
    </w:p>
    <w:p w:rsidR="00A665A9" w:rsidRPr="00EC79CF" w:rsidRDefault="00A665A9" w:rsidP="00C20E52">
      <w:pPr>
        <w:pStyle w:val="CGCNumberedPara"/>
        <w:numPr>
          <w:ilvl w:val="1"/>
          <w:numId w:val="2"/>
        </w:numPr>
      </w:pPr>
      <w:r w:rsidRPr="00EC79CF">
        <w:t>Western Australia and the Northern Territory consider this to be a significant improvement to the way we measure Indigenous costs. Other States were more cautious, expressing concerns that it would add complexity</w:t>
      </w:r>
      <w:r w:rsidR="000522B5">
        <w:t>;</w:t>
      </w:r>
      <w:r w:rsidRPr="00EC79CF">
        <w:t xml:space="preserve"> that the Indigenous socio-economic status index was a measure of advantage</w:t>
      </w:r>
      <w:r w:rsidR="000522B5">
        <w:t>,</w:t>
      </w:r>
      <w:r w:rsidRPr="00EC79CF">
        <w:t xml:space="preserve"> not disadvantage</w:t>
      </w:r>
      <w:r w:rsidR="000522B5">
        <w:t>;</w:t>
      </w:r>
      <w:r w:rsidRPr="00EC79CF">
        <w:t xml:space="preserve"> that it was constructed at too broad a level of geography</w:t>
      </w:r>
      <w:r w:rsidR="000522B5">
        <w:t>;</w:t>
      </w:r>
      <w:r w:rsidRPr="00EC79CF">
        <w:t xml:space="preserve"> and that administrative data may not be reliable enough to allow a detailed disaggregation of the Indigenous population. However, all States agreed this is an appropriate approach to addressing the terms of reference requirement, given the short time frame for the review. </w:t>
      </w:r>
    </w:p>
    <w:p w:rsidR="00A665A9" w:rsidRPr="00EC79CF" w:rsidRDefault="00A665A9" w:rsidP="00D01233">
      <w:pPr>
        <w:pStyle w:val="CGCNumberedPara"/>
      </w:pPr>
      <w:r w:rsidRPr="00EC79CF">
        <w:t xml:space="preserve">We agree that using two indexes increases complexity, particularly for analysis. It is also true that the Indigenous index is created by aggregating aspects of advantage rather than disadvantage and that the size of the geographic areas for which it is calculated can hide a level of heterogeneity. Despite these issues, using two indexes allows a better identification of how States spending varies with socio-economic status for both Indigenous and non-Indigenous residents (see </w:t>
      </w:r>
      <w:r w:rsidR="00D01233" w:rsidRPr="00D01233">
        <w:t xml:space="preserve">Box </w:t>
      </w:r>
      <w:r w:rsidR="00597C19">
        <w:t>2</w:t>
      </w:r>
      <w:r w:rsidRPr="00EC79CF">
        <w:t>). It makes a material difference compared with using the combined index.</w:t>
      </w:r>
    </w:p>
    <w:p w:rsidR="00A665A9" w:rsidRPr="00EC79CF" w:rsidRDefault="00A665A9" w:rsidP="00C20E52">
      <w:pPr>
        <w:pStyle w:val="CGCNumberedPara"/>
        <w:numPr>
          <w:ilvl w:val="1"/>
          <w:numId w:val="2"/>
        </w:numPr>
      </w:pPr>
      <w:r w:rsidRPr="00EC79CF">
        <w:lastRenderedPageBreak/>
        <w:t xml:space="preserve">Following our guidelines, we would normally make all material adjustments that we can reliably make. Therefore, it would be difficult to justify not making a material change to improve the way we assess Indigenous characteristics. </w:t>
      </w:r>
    </w:p>
    <w:p w:rsidR="00A665A9" w:rsidRPr="00EC79CF" w:rsidRDefault="00D01233" w:rsidP="00A665A9">
      <w:pPr>
        <w:pStyle w:val="Caption"/>
      </w:pPr>
      <w:r w:rsidRPr="00D01233">
        <w:t xml:space="preserve">Box </w:t>
      </w:r>
      <w:r w:rsidR="00597C19">
        <w:t>2</w:t>
      </w:r>
      <w:r w:rsidR="00A665A9" w:rsidRPr="00EC79CF">
        <w:tab/>
        <w:t>Validation of IRSEO in inpatient services</w:t>
      </w:r>
    </w:p>
    <w:tbl>
      <w:tblPr>
        <w:tblStyle w:val="TableGrid"/>
        <w:tblW w:w="0" w:type="auto"/>
        <w:tblLook w:val="04A0" w:firstRow="1" w:lastRow="0" w:firstColumn="1" w:lastColumn="0" w:noHBand="0" w:noVBand="1"/>
        <w:tblDescription w:val=" "/>
      </w:tblPr>
      <w:tblGrid>
        <w:gridCol w:w="9167"/>
      </w:tblGrid>
      <w:tr w:rsidR="00311385" w:rsidRPr="00EC79CF" w:rsidTr="00A32D40">
        <w:trPr>
          <w:cantSplit/>
        </w:trPr>
        <w:tc>
          <w:tcPr>
            <w:tcW w:w="9167" w:type="dxa"/>
            <w:tcBorders>
              <w:top w:val="nil"/>
              <w:left w:val="nil"/>
              <w:bottom w:val="nil"/>
              <w:right w:val="nil"/>
            </w:tcBorders>
            <w:shd w:val="clear" w:color="auto" w:fill="D9F3E6"/>
          </w:tcPr>
          <w:p w:rsidR="00311385" w:rsidRPr="00EC79CF" w:rsidRDefault="00311385" w:rsidP="00311385">
            <w:pPr>
              <w:pStyle w:val="CGCNumberedPara"/>
              <w:numPr>
                <w:ilvl w:val="0"/>
                <w:numId w:val="0"/>
              </w:numPr>
              <w:spacing w:after="80"/>
            </w:pPr>
            <w:r w:rsidRPr="00EC79CF">
              <w:t xml:space="preserve">Using a combined index of socio-economic status (the ABS SEIFA indexes) shows a weak relationship between socio-economic status and per capita spending on Indigenous hospitalisation, as is shown in </w:t>
            </w:r>
            <w:r w:rsidR="00333D58">
              <w:t>the figure below</w:t>
            </w:r>
            <w:r w:rsidRPr="00EC79CF">
              <w:t xml:space="preserve">. For example, in major cities, Indigenous people in both the most disadvantaged and least disadvantaged </w:t>
            </w:r>
            <w:r w:rsidR="0066009F">
              <w:t xml:space="preserve">quintiles </w:t>
            </w:r>
            <w:r w:rsidRPr="00EC79CF">
              <w:t>have low per capita spending on hospital services. The relationship in inner regional areas is very different to that in outer regional areas.</w:t>
            </w:r>
          </w:p>
          <w:p w:rsidR="00311385" w:rsidRDefault="00311385" w:rsidP="00A32D40">
            <w:pPr>
              <w:pStyle w:val="CGCNumberedPara"/>
              <w:numPr>
                <w:ilvl w:val="0"/>
                <w:numId w:val="0"/>
              </w:numPr>
              <w:spacing w:after="80"/>
            </w:pPr>
            <w:r w:rsidRPr="00EC79CF">
              <w:t xml:space="preserve">In total, there is a general upward relationship. However it is very weak, indicating that SEIFA explains very little of the difference between Indigenous groups in their use of hospital services. </w:t>
            </w:r>
          </w:p>
          <w:p w:rsidR="00AD6F27" w:rsidRPr="00EC79CF" w:rsidRDefault="00AD6F27" w:rsidP="00AD6F27">
            <w:pPr>
              <w:pStyle w:val="Caption"/>
            </w:pPr>
            <w:r w:rsidRPr="00EC79CF">
              <w:t>Indigenous inpatient spending per capita by SEIFA and remoteness</w:t>
            </w:r>
          </w:p>
          <w:p w:rsidR="00AD6F27" w:rsidRPr="00EC79CF" w:rsidRDefault="00AD6F27" w:rsidP="00AD6F27">
            <w:pPr>
              <w:pStyle w:val="CGCTableStub"/>
            </w:pPr>
            <w:r>
              <w:rPr>
                <w:noProof/>
                <w:lang w:eastAsia="en-AU"/>
              </w:rPr>
              <w:drawing>
                <wp:inline distT="0" distB="0" distL="0" distR="0" wp14:anchorId="5D521B27" wp14:editId="31E882A8">
                  <wp:extent cx="5657215" cy="3562350"/>
                  <wp:effectExtent l="0" t="0" r="635" b="0"/>
                  <wp:docPr id="12" name="Picture 12" descr="This figure shows Indigenous inpatient spending per capita by remotenees and SEI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57215" cy="3562350"/>
                          </a:xfrm>
                          <a:prstGeom prst="rect">
                            <a:avLst/>
                          </a:prstGeom>
                          <a:noFill/>
                          <a:ln>
                            <a:noFill/>
                          </a:ln>
                        </pic:spPr>
                      </pic:pic>
                    </a:graphicData>
                  </a:graphic>
                </wp:inline>
              </w:drawing>
            </w:r>
          </w:p>
          <w:p w:rsidR="00AD6F27" w:rsidRPr="00EC79CF" w:rsidRDefault="00AD6F27" w:rsidP="00AD6F27">
            <w:pPr>
              <w:pStyle w:val="CGCTableFootnote"/>
              <w:keepNext/>
              <w:keepLines/>
            </w:pPr>
            <w:r w:rsidRPr="00EC79CF">
              <w:t>Source:</w:t>
            </w:r>
            <w:r w:rsidRPr="00EC79CF">
              <w:tab/>
              <w:t>Commission calculation using IHPA and ABS population data.</w:t>
            </w:r>
          </w:p>
          <w:p w:rsidR="00AD6F27" w:rsidRPr="00EC79CF" w:rsidRDefault="00AD6F27" w:rsidP="00AD6F27">
            <w:pPr>
              <w:pStyle w:val="CGCNumberedPara"/>
              <w:numPr>
                <w:ilvl w:val="0"/>
                <w:numId w:val="0"/>
              </w:numPr>
              <w:spacing w:after="80"/>
            </w:pPr>
            <w:r w:rsidRPr="00EC79CF">
              <w:t>However, when we undert</w:t>
            </w:r>
            <w:bookmarkStart w:id="452" w:name="_GoBack"/>
            <w:bookmarkEnd w:id="452"/>
            <w:r w:rsidRPr="00EC79CF">
              <w:t xml:space="preserve">ake the same analysis using an Indigenous specific measure of socio-economic status, we see a much stronger and more consistent relationship. Across non-remote regions, there is a strong relationship between IRSEO quintiles and hospital spending. This can be seen in </w:t>
            </w:r>
            <w:r>
              <w:t>the figure below.</w:t>
            </w:r>
            <w:r w:rsidRPr="00EC79CF">
              <w:t xml:space="preserve"> </w:t>
            </w:r>
          </w:p>
          <w:p w:rsidR="00AD6F27" w:rsidRPr="00EC79CF" w:rsidRDefault="00AD6F27" w:rsidP="00AD6F27">
            <w:pPr>
              <w:pStyle w:val="CGCNumberedPara"/>
              <w:numPr>
                <w:ilvl w:val="0"/>
                <w:numId w:val="0"/>
              </w:numPr>
              <w:spacing w:after="80"/>
            </w:pPr>
            <w:r w:rsidRPr="00EC79CF">
              <w:t xml:space="preserve">In remote Australia, the number of people in the least and 2nd least disadvantaged quintiles is very small, leading to greater volatility and we do not consider using the indexes in these regions is appropriate. </w:t>
            </w:r>
          </w:p>
        </w:tc>
      </w:tr>
      <w:tr w:rsidR="00A665A9" w:rsidRPr="00EC79CF" w:rsidTr="00A32D40">
        <w:trPr>
          <w:cantSplit/>
        </w:trPr>
        <w:tc>
          <w:tcPr>
            <w:tcW w:w="9167" w:type="dxa"/>
            <w:tcBorders>
              <w:top w:val="nil"/>
              <w:left w:val="nil"/>
              <w:bottom w:val="nil"/>
              <w:right w:val="nil"/>
            </w:tcBorders>
            <w:shd w:val="clear" w:color="auto" w:fill="D9F3E6"/>
          </w:tcPr>
          <w:p w:rsidR="00716C5E" w:rsidRDefault="00716C5E" w:rsidP="00B22908">
            <w:pPr>
              <w:pStyle w:val="CGCNumberedPara"/>
              <w:numPr>
                <w:ilvl w:val="0"/>
                <w:numId w:val="0"/>
              </w:numPr>
              <w:spacing w:after="80"/>
            </w:pPr>
            <w:bookmarkStart w:id="453" w:name="_Ref405556423"/>
            <w:r w:rsidRPr="00EC79CF">
              <w:lastRenderedPageBreak/>
              <w:t xml:space="preserve">The Northern Territory considers that there is heterogeneity within the remote Indigenous population that we should capture. While we accept that such heterogeneity exists, we cannot measure it reliably. </w:t>
            </w:r>
          </w:p>
          <w:p w:rsidR="00B22908" w:rsidRPr="00EC79CF" w:rsidRDefault="00B22908" w:rsidP="00B22908">
            <w:pPr>
              <w:pStyle w:val="CGCNumberedPara"/>
              <w:numPr>
                <w:ilvl w:val="0"/>
                <w:numId w:val="0"/>
              </w:numPr>
              <w:spacing w:after="80"/>
            </w:pPr>
            <w:r w:rsidRPr="00EC79CF">
              <w:t>For the non-Indigenous population, SEIFA scores are generally very closely related to NISEIFA scores, and the relationship with hospital spending is very similar using the two indexes. This is because the Indigenous population is generally a very small proportion of the total population.</w:t>
            </w:r>
          </w:p>
          <w:p w:rsidR="00A665A9" w:rsidRPr="00EC79CF" w:rsidRDefault="00B22908" w:rsidP="00A32D40">
            <w:pPr>
              <w:pStyle w:val="CGCNumberedPara"/>
              <w:numPr>
                <w:ilvl w:val="0"/>
                <w:numId w:val="0"/>
              </w:numPr>
              <w:spacing w:after="80"/>
            </w:pPr>
            <w:r w:rsidRPr="00EC79CF">
              <w:t>Both indexes are reasonably robust in measuring differences in use of inpatient services in non-remote areas. However, neither index is particularly strong at explaining differences in inpatient spending per capita.</w:t>
            </w:r>
            <w:bookmarkEnd w:id="453"/>
          </w:p>
        </w:tc>
      </w:tr>
      <w:tr w:rsidR="00311385" w:rsidRPr="00EC79CF" w:rsidTr="00A32D40">
        <w:trPr>
          <w:cantSplit/>
        </w:trPr>
        <w:tc>
          <w:tcPr>
            <w:tcW w:w="9167" w:type="dxa"/>
            <w:tcBorders>
              <w:top w:val="nil"/>
              <w:left w:val="nil"/>
              <w:bottom w:val="nil"/>
              <w:right w:val="nil"/>
            </w:tcBorders>
            <w:shd w:val="clear" w:color="auto" w:fill="D9F3E6"/>
          </w:tcPr>
          <w:p w:rsidR="00311385" w:rsidRPr="00EC79CF" w:rsidRDefault="00311385" w:rsidP="00311385">
            <w:pPr>
              <w:pStyle w:val="Caption"/>
            </w:pPr>
            <w:r w:rsidRPr="00EC79CF">
              <w:t>Indigenous inpatient spending per capita by IRSEO and remoteness</w:t>
            </w:r>
          </w:p>
          <w:p w:rsidR="00311385" w:rsidRPr="00EC79CF" w:rsidRDefault="00311385" w:rsidP="00311385">
            <w:r>
              <w:rPr>
                <w:noProof/>
                <w:lang w:eastAsia="en-AU"/>
              </w:rPr>
              <w:drawing>
                <wp:inline distT="0" distB="0" distL="0" distR="0" wp14:anchorId="03574579" wp14:editId="4610D80C">
                  <wp:extent cx="5657215" cy="3562350"/>
                  <wp:effectExtent l="0" t="0" r="635" b="0"/>
                  <wp:docPr id="34" name="Picture 34" descr="This figure shows Indigenous inpatient spending per capita by remotenees and an Indigenous specific measure of 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57215" cy="3562350"/>
                          </a:xfrm>
                          <a:prstGeom prst="rect">
                            <a:avLst/>
                          </a:prstGeom>
                          <a:noFill/>
                          <a:ln>
                            <a:noFill/>
                          </a:ln>
                        </pic:spPr>
                      </pic:pic>
                    </a:graphicData>
                  </a:graphic>
                </wp:inline>
              </w:drawing>
            </w:r>
          </w:p>
          <w:p w:rsidR="00311385" w:rsidRPr="00EC79CF" w:rsidRDefault="00311385" w:rsidP="00311385">
            <w:pPr>
              <w:pStyle w:val="CGCTableFootnote"/>
              <w:keepNext/>
            </w:pPr>
            <w:r w:rsidRPr="00EC79CF">
              <w:t>Source:</w:t>
            </w:r>
            <w:r w:rsidRPr="00EC79CF">
              <w:tab/>
              <w:t>Commission calculation using IHPA and ABS population data.</w:t>
            </w:r>
          </w:p>
          <w:p w:rsidR="00311385" w:rsidRPr="00311385" w:rsidRDefault="00311385" w:rsidP="006E2535">
            <w:pPr>
              <w:spacing w:before="120" w:after="120"/>
            </w:pPr>
            <w:r w:rsidRPr="000522B5">
              <w:rPr>
                <w:rStyle w:val="Heading6Char"/>
              </w:rPr>
              <w:t>Conclusions.</w:t>
            </w:r>
            <w:r w:rsidRPr="00EC79CF">
              <w:t xml:space="preserve"> </w:t>
            </w:r>
            <w:r w:rsidRPr="00EC79CF">
              <w:rPr>
                <w:rStyle w:val="CGCParaNoChar"/>
              </w:rPr>
              <w:t>In non-remote areas, separate indexes are highly effective at grouping Indigenous and non</w:t>
            </w:r>
            <w:r w:rsidRPr="00EC79CF">
              <w:rPr>
                <w:rStyle w:val="CGCParaNoChar"/>
              </w:rPr>
              <w:noBreakHyphen/>
              <w:t>Indigenous people into groups that reflect their use of hospital services. Using two indexes represents a significant improvement in defining comparable communities of Indigenous people in different States. However, in remote areas, these measures of socio-economic status add little.</w:t>
            </w:r>
          </w:p>
        </w:tc>
      </w:tr>
    </w:tbl>
    <w:p w:rsidR="008C01A9" w:rsidRPr="00EC79CF" w:rsidRDefault="008C01A9" w:rsidP="008C01A9">
      <w:pPr>
        <w:pStyle w:val="CGCNumberedPara"/>
      </w:pPr>
      <w:r w:rsidRPr="00EC79CF">
        <w:t xml:space="preserve">Some States were concerned that the Indigenous population was too small to disaggregate reliably. However, using an Indigenous specific index, with equal Indigenous populations in each quintile, means that we have fewer very small Indigenous cells than using the combined index. The patterns shown in </w:t>
      </w:r>
      <w:r w:rsidRPr="00D01233">
        <w:t xml:space="preserve">Box </w:t>
      </w:r>
      <w:r>
        <w:t>2</w:t>
      </w:r>
      <w:r w:rsidRPr="00EC79CF">
        <w:t xml:space="preserve"> indicate that the data are sufficiently reliable for our purposes. In categories where it does not </w:t>
      </w:r>
      <w:r w:rsidRPr="00EC79CF">
        <w:lastRenderedPageBreak/>
        <w:t>appear sufficiently reliable, we have aggregated groups to ensure we use data in a manner fit for our purposes.</w:t>
      </w:r>
    </w:p>
    <w:p w:rsidR="008C01A9" w:rsidRPr="00EC79CF" w:rsidRDefault="008C01A9" w:rsidP="008C01A9">
      <w:pPr>
        <w:pStyle w:val="CGCNumberedPara"/>
        <w:numPr>
          <w:ilvl w:val="1"/>
          <w:numId w:val="2"/>
        </w:numPr>
        <w:tabs>
          <w:tab w:val="clear" w:pos="567"/>
        </w:tabs>
      </w:pPr>
      <w:r w:rsidRPr="00EC79CF">
        <w:t>The ACT is concerned with the use of geographic based measures of socio-economic status generally, but has not identified a viable alternative, or evidence of any bias from those assessments using it.</w:t>
      </w:r>
    </w:p>
    <w:p w:rsidR="008C01A9" w:rsidRDefault="008C01A9" w:rsidP="008C01A9">
      <w:pPr>
        <w:pStyle w:val="CGCNumberedPara"/>
        <w:numPr>
          <w:ilvl w:val="1"/>
          <w:numId w:val="2"/>
        </w:numPr>
        <w:tabs>
          <w:tab w:val="clear" w:pos="567"/>
        </w:tabs>
      </w:pPr>
      <w:r w:rsidRPr="00EC79CF">
        <w:t xml:space="preserve">On balance, we consider using IRSEO, which </w:t>
      </w:r>
      <w:r>
        <w:t>is</w:t>
      </w:r>
      <w:r w:rsidRPr="00EC79CF">
        <w:t xml:space="preserve"> already available, </w:t>
      </w:r>
      <w:r>
        <w:t>meets</w:t>
      </w:r>
      <w:r w:rsidRPr="00EC79CF">
        <w:t xml:space="preserve"> the short timeframe for the review, is suitable for our purposes and improves how we capture the characteristics of the Indigenous population. However, we also consider it a priority to work with States to see if a better index can be found for our purposes in the future.</w:t>
      </w:r>
    </w:p>
    <w:p w:rsidR="00A665A9" w:rsidRPr="00EC79CF" w:rsidRDefault="00A665A9" w:rsidP="00A665A9">
      <w:pPr>
        <w:pStyle w:val="Heading4"/>
      </w:pPr>
      <w:r w:rsidRPr="00EC79CF">
        <w:t>Socio-economic profiles of States</w:t>
      </w:r>
    </w:p>
    <w:p w:rsidR="00A665A9" w:rsidRPr="00EC79CF" w:rsidRDefault="00A665A9" w:rsidP="00C20E52">
      <w:pPr>
        <w:pStyle w:val="CGCNumberedPara"/>
        <w:numPr>
          <w:ilvl w:val="1"/>
          <w:numId w:val="2"/>
        </w:numPr>
      </w:pPr>
      <w:r w:rsidRPr="00EC79CF">
        <w:fldChar w:fldCharType="begin"/>
      </w:r>
      <w:r w:rsidRPr="00EC79CF">
        <w:instrText xml:space="preserve"> REF _Ref405983036 \h  \* MERGEFORMAT </w:instrText>
      </w:r>
      <w:r w:rsidRPr="00EC79CF">
        <w:fldChar w:fldCharType="separate"/>
      </w:r>
      <w:r w:rsidR="003A5DEE" w:rsidRPr="00EC79CF">
        <w:t xml:space="preserve">Table </w:t>
      </w:r>
      <w:r w:rsidR="003A5DEE">
        <w:rPr>
          <w:noProof/>
        </w:rPr>
        <w:t>4</w:t>
      </w:r>
      <w:r w:rsidRPr="00EC79CF">
        <w:fldChar w:fldCharType="end"/>
      </w:r>
      <w:r w:rsidRPr="00EC79CF">
        <w:t xml:space="preserve"> shows the socio-economic profile of Indigenous people in each State using a combined and an Indigenous specific index are quite different. While Tasmania has 2% of the most disadvantaged Indigenous people using a combined index, using an Indigenous specific index suggests it has none. Correspondingly, it had 2% of the least disadvantaged people using a combined index, but 6% using an Indigenous specific index. </w:t>
      </w:r>
    </w:p>
    <w:p w:rsidR="00A665A9" w:rsidRPr="00EC79CF" w:rsidRDefault="00A665A9" w:rsidP="00C20E52">
      <w:pPr>
        <w:pStyle w:val="CGCNumberedPara"/>
        <w:numPr>
          <w:ilvl w:val="1"/>
          <w:numId w:val="2"/>
        </w:numPr>
      </w:pPr>
      <w:r w:rsidRPr="00EC79CF">
        <w:t xml:space="preserve">The shares of the most disadvantaged Indigenous people in Western Australia and the Northern Territory increase considerably. </w:t>
      </w:r>
    </w:p>
    <w:p w:rsidR="00A665A9" w:rsidRPr="00EC79CF" w:rsidRDefault="00A665A9" w:rsidP="00A665A9">
      <w:pPr>
        <w:pStyle w:val="Caption"/>
      </w:pPr>
      <w:bookmarkStart w:id="454" w:name="_Ref405983036"/>
      <w:r w:rsidRPr="00EC79CF">
        <w:t xml:space="preserve">Table </w:t>
      </w:r>
      <w:fldSimple w:instr=" SEQ Table \* ARABIC ">
        <w:r w:rsidR="003A5DEE">
          <w:rPr>
            <w:noProof/>
          </w:rPr>
          <w:t>4</w:t>
        </w:r>
      </w:fldSimple>
      <w:bookmarkEnd w:id="454"/>
      <w:r w:rsidRPr="00EC79CF">
        <w:tab/>
        <w:t>Distribution of Indigenous population by SEIFA and IRSEO</w:t>
      </w:r>
    </w:p>
    <w:tbl>
      <w:tblPr>
        <w:tblW w:w="8960" w:type="dxa"/>
        <w:tblLayout w:type="fixed"/>
        <w:tblCellMar>
          <w:left w:w="0" w:type="dxa"/>
          <w:right w:w="0" w:type="dxa"/>
        </w:tblCellMar>
        <w:tblLook w:val="04A0" w:firstRow="1" w:lastRow="0" w:firstColumn="1" w:lastColumn="0" w:noHBand="0" w:noVBand="1"/>
      </w:tblPr>
      <w:tblGrid>
        <w:gridCol w:w="2660"/>
        <w:gridCol w:w="800"/>
        <w:gridCol w:w="660"/>
        <w:gridCol w:w="700"/>
        <w:gridCol w:w="700"/>
        <w:gridCol w:w="600"/>
        <w:gridCol w:w="700"/>
        <w:gridCol w:w="700"/>
        <w:gridCol w:w="620"/>
        <w:gridCol w:w="820"/>
      </w:tblGrid>
      <w:tr w:rsidR="00A665A9" w:rsidRPr="00EC79CF" w:rsidTr="00A665A9">
        <w:trPr>
          <w:trHeight w:val="315"/>
        </w:trPr>
        <w:tc>
          <w:tcPr>
            <w:tcW w:w="2660" w:type="dxa"/>
            <w:tcBorders>
              <w:top w:val="single" w:sz="4" w:space="0" w:color="auto"/>
              <w:left w:val="nil"/>
              <w:bottom w:val="single" w:sz="4" w:space="0" w:color="auto"/>
              <w:right w:val="nil"/>
            </w:tcBorders>
            <w:shd w:val="clear" w:color="auto" w:fill="auto"/>
            <w:noWrap/>
            <w:vAlign w:val="center"/>
            <w:hideMark/>
          </w:tcPr>
          <w:p w:rsidR="00A665A9" w:rsidRPr="00EC79CF" w:rsidRDefault="00A665A9" w:rsidP="00A665A9">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Socio-economic quintile</w:t>
            </w:r>
          </w:p>
        </w:tc>
        <w:tc>
          <w:tcPr>
            <w:tcW w:w="800" w:type="dxa"/>
            <w:tcBorders>
              <w:top w:val="single" w:sz="4" w:space="0" w:color="auto"/>
              <w:left w:val="nil"/>
              <w:bottom w:val="single" w:sz="4" w:space="0" w:color="auto"/>
              <w:right w:val="nil"/>
            </w:tcBorders>
            <w:shd w:val="clear" w:color="auto" w:fill="auto"/>
            <w:noWrap/>
            <w:vAlign w:val="center"/>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NSW</w:t>
            </w:r>
          </w:p>
        </w:tc>
        <w:tc>
          <w:tcPr>
            <w:tcW w:w="660" w:type="dxa"/>
            <w:tcBorders>
              <w:top w:val="single" w:sz="4" w:space="0" w:color="auto"/>
              <w:left w:val="nil"/>
              <w:bottom w:val="single" w:sz="4" w:space="0" w:color="auto"/>
              <w:right w:val="nil"/>
            </w:tcBorders>
            <w:shd w:val="clear" w:color="auto" w:fill="auto"/>
            <w:noWrap/>
            <w:vAlign w:val="center"/>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Vic</w:t>
            </w:r>
          </w:p>
        </w:tc>
        <w:tc>
          <w:tcPr>
            <w:tcW w:w="700" w:type="dxa"/>
            <w:tcBorders>
              <w:top w:val="single" w:sz="4" w:space="0" w:color="auto"/>
              <w:left w:val="nil"/>
              <w:bottom w:val="single" w:sz="4" w:space="0" w:color="auto"/>
              <w:right w:val="nil"/>
            </w:tcBorders>
            <w:shd w:val="clear" w:color="auto" w:fill="auto"/>
            <w:noWrap/>
            <w:vAlign w:val="center"/>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Qld</w:t>
            </w:r>
          </w:p>
        </w:tc>
        <w:tc>
          <w:tcPr>
            <w:tcW w:w="700" w:type="dxa"/>
            <w:tcBorders>
              <w:top w:val="single" w:sz="4" w:space="0" w:color="auto"/>
              <w:left w:val="nil"/>
              <w:bottom w:val="single" w:sz="4" w:space="0" w:color="auto"/>
              <w:right w:val="nil"/>
            </w:tcBorders>
            <w:shd w:val="clear" w:color="auto" w:fill="auto"/>
            <w:noWrap/>
            <w:vAlign w:val="center"/>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WA</w:t>
            </w:r>
          </w:p>
        </w:tc>
        <w:tc>
          <w:tcPr>
            <w:tcW w:w="600" w:type="dxa"/>
            <w:tcBorders>
              <w:top w:val="single" w:sz="4" w:space="0" w:color="auto"/>
              <w:left w:val="nil"/>
              <w:bottom w:val="single" w:sz="4" w:space="0" w:color="auto"/>
              <w:right w:val="nil"/>
            </w:tcBorders>
            <w:shd w:val="clear" w:color="auto" w:fill="auto"/>
            <w:noWrap/>
            <w:vAlign w:val="center"/>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SA</w:t>
            </w:r>
          </w:p>
        </w:tc>
        <w:tc>
          <w:tcPr>
            <w:tcW w:w="700" w:type="dxa"/>
            <w:tcBorders>
              <w:top w:val="single" w:sz="4" w:space="0" w:color="auto"/>
              <w:left w:val="nil"/>
              <w:bottom w:val="single" w:sz="4" w:space="0" w:color="auto"/>
              <w:right w:val="nil"/>
            </w:tcBorders>
            <w:shd w:val="clear" w:color="auto" w:fill="auto"/>
            <w:noWrap/>
            <w:vAlign w:val="center"/>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proofErr w:type="spellStart"/>
            <w:r w:rsidRPr="00EC79CF">
              <w:rPr>
                <w:rFonts w:ascii="Calibri" w:eastAsia="Times New Roman" w:hAnsi="Calibri" w:cs="Times New Roman"/>
                <w:color w:val="000000"/>
                <w:sz w:val="20"/>
                <w:szCs w:val="20"/>
                <w:lang w:eastAsia="en-AU"/>
              </w:rPr>
              <w:t>Tas</w:t>
            </w:r>
            <w:proofErr w:type="spellEnd"/>
          </w:p>
        </w:tc>
        <w:tc>
          <w:tcPr>
            <w:tcW w:w="700" w:type="dxa"/>
            <w:tcBorders>
              <w:top w:val="single" w:sz="4" w:space="0" w:color="auto"/>
              <w:left w:val="nil"/>
              <w:bottom w:val="single" w:sz="4" w:space="0" w:color="auto"/>
              <w:right w:val="nil"/>
            </w:tcBorders>
            <w:shd w:val="clear" w:color="auto" w:fill="auto"/>
            <w:noWrap/>
            <w:vAlign w:val="center"/>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ACT</w:t>
            </w:r>
          </w:p>
        </w:tc>
        <w:tc>
          <w:tcPr>
            <w:tcW w:w="620" w:type="dxa"/>
            <w:tcBorders>
              <w:top w:val="single" w:sz="4" w:space="0" w:color="auto"/>
              <w:left w:val="nil"/>
              <w:bottom w:val="single" w:sz="4" w:space="0" w:color="auto"/>
              <w:right w:val="nil"/>
            </w:tcBorders>
            <w:shd w:val="clear" w:color="auto" w:fill="auto"/>
            <w:noWrap/>
            <w:vAlign w:val="center"/>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NT</w:t>
            </w:r>
          </w:p>
        </w:tc>
        <w:tc>
          <w:tcPr>
            <w:tcW w:w="820" w:type="dxa"/>
            <w:tcBorders>
              <w:top w:val="single" w:sz="4" w:space="0" w:color="auto"/>
              <w:left w:val="nil"/>
              <w:bottom w:val="single" w:sz="4" w:space="0" w:color="auto"/>
              <w:right w:val="nil"/>
            </w:tcBorders>
            <w:shd w:val="clear" w:color="auto" w:fill="auto"/>
            <w:noWrap/>
            <w:vAlign w:val="center"/>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Total</w:t>
            </w:r>
          </w:p>
        </w:tc>
      </w:tr>
      <w:tr w:rsidR="00A665A9" w:rsidRPr="00EC79CF" w:rsidTr="00A665A9">
        <w:trPr>
          <w:trHeight w:val="259"/>
        </w:trPr>
        <w:tc>
          <w:tcPr>
            <w:tcW w:w="266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SEIFA</w:t>
            </w:r>
          </w:p>
        </w:tc>
        <w:tc>
          <w:tcPr>
            <w:tcW w:w="8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w:t>
            </w:r>
          </w:p>
        </w:tc>
        <w:tc>
          <w:tcPr>
            <w:tcW w:w="66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w:t>
            </w: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w:t>
            </w: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w:t>
            </w:r>
          </w:p>
        </w:tc>
        <w:tc>
          <w:tcPr>
            <w:tcW w:w="6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w:t>
            </w: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w:t>
            </w: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w:t>
            </w:r>
          </w:p>
        </w:tc>
        <w:tc>
          <w:tcPr>
            <w:tcW w:w="62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w:t>
            </w:r>
          </w:p>
        </w:tc>
        <w:tc>
          <w:tcPr>
            <w:tcW w:w="82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w:t>
            </w:r>
          </w:p>
        </w:tc>
      </w:tr>
      <w:tr w:rsidR="00A665A9" w:rsidRPr="00EC79CF" w:rsidTr="00A665A9">
        <w:trPr>
          <w:trHeight w:val="315"/>
        </w:trPr>
        <w:tc>
          <w:tcPr>
            <w:tcW w:w="266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ind w:left="193" w:firstLineChars="100" w:firstLine="200"/>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Least disadvantaged</w:t>
            </w:r>
          </w:p>
        </w:tc>
        <w:tc>
          <w:tcPr>
            <w:tcW w:w="8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30.9</w:t>
            </w:r>
          </w:p>
        </w:tc>
        <w:tc>
          <w:tcPr>
            <w:tcW w:w="66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9.7</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27.9</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15.8</w:t>
            </w:r>
          </w:p>
        </w:tc>
        <w:tc>
          <w:tcPr>
            <w:tcW w:w="6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3.7</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2.4</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3.4</w:t>
            </w:r>
          </w:p>
        </w:tc>
        <w:tc>
          <w:tcPr>
            <w:tcW w:w="62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6.1</w:t>
            </w:r>
          </w:p>
        </w:tc>
        <w:tc>
          <w:tcPr>
            <w:tcW w:w="82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100.0</w:t>
            </w:r>
          </w:p>
        </w:tc>
      </w:tr>
      <w:tr w:rsidR="00A665A9" w:rsidRPr="00EC79CF" w:rsidTr="00A665A9">
        <w:trPr>
          <w:trHeight w:val="315"/>
        </w:trPr>
        <w:tc>
          <w:tcPr>
            <w:tcW w:w="266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ind w:left="193" w:firstLineChars="100" w:firstLine="200"/>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2nd least disadvantaged</w:t>
            </w:r>
          </w:p>
        </w:tc>
        <w:tc>
          <w:tcPr>
            <w:tcW w:w="8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31.5</w:t>
            </w:r>
          </w:p>
        </w:tc>
        <w:tc>
          <w:tcPr>
            <w:tcW w:w="66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8.4</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30.8</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13.7</w:t>
            </w:r>
          </w:p>
        </w:tc>
        <w:tc>
          <w:tcPr>
            <w:tcW w:w="6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5.0</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4.4</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0.7</w:t>
            </w:r>
          </w:p>
        </w:tc>
        <w:tc>
          <w:tcPr>
            <w:tcW w:w="62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5.6</w:t>
            </w:r>
          </w:p>
        </w:tc>
        <w:tc>
          <w:tcPr>
            <w:tcW w:w="82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100.0</w:t>
            </w:r>
          </w:p>
        </w:tc>
      </w:tr>
      <w:tr w:rsidR="00A665A9" w:rsidRPr="00EC79CF" w:rsidTr="00A665A9">
        <w:trPr>
          <w:trHeight w:val="315"/>
        </w:trPr>
        <w:tc>
          <w:tcPr>
            <w:tcW w:w="266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ind w:left="193" w:firstLineChars="100" w:firstLine="200"/>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Middle quintile</w:t>
            </w:r>
          </w:p>
        </w:tc>
        <w:tc>
          <w:tcPr>
            <w:tcW w:w="8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33.7</w:t>
            </w:r>
          </w:p>
        </w:tc>
        <w:tc>
          <w:tcPr>
            <w:tcW w:w="66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7.6</w:t>
            </w: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30.4</w:t>
            </w: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13.0</w:t>
            </w:r>
          </w:p>
        </w:tc>
        <w:tc>
          <w:tcPr>
            <w:tcW w:w="6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6.8</w:t>
            </w: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4.3</w:t>
            </w: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0.3</w:t>
            </w:r>
          </w:p>
        </w:tc>
        <w:tc>
          <w:tcPr>
            <w:tcW w:w="62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3.8</w:t>
            </w:r>
          </w:p>
        </w:tc>
        <w:tc>
          <w:tcPr>
            <w:tcW w:w="82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100.0</w:t>
            </w:r>
          </w:p>
        </w:tc>
      </w:tr>
      <w:tr w:rsidR="00A665A9" w:rsidRPr="00EC79CF" w:rsidTr="00A665A9">
        <w:trPr>
          <w:trHeight w:val="315"/>
        </w:trPr>
        <w:tc>
          <w:tcPr>
            <w:tcW w:w="266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ind w:left="193" w:firstLineChars="100" w:firstLine="200"/>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2nd most disadvantaged</w:t>
            </w:r>
          </w:p>
        </w:tc>
        <w:tc>
          <w:tcPr>
            <w:tcW w:w="8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37.0</w:t>
            </w:r>
          </w:p>
        </w:tc>
        <w:tc>
          <w:tcPr>
            <w:tcW w:w="66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7.2</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28.0</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12.4</w:t>
            </w:r>
          </w:p>
        </w:tc>
        <w:tc>
          <w:tcPr>
            <w:tcW w:w="6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6.8</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4.5</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0.1</w:t>
            </w:r>
          </w:p>
        </w:tc>
        <w:tc>
          <w:tcPr>
            <w:tcW w:w="62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4.1</w:t>
            </w:r>
          </w:p>
        </w:tc>
        <w:tc>
          <w:tcPr>
            <w:tcW w:w="82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100.0</w:t>
            </w:r>
          </w:p>
        </w:tc>
      </w:tr>
      <w:tr w:rsidR="00A665A9" w:rsidRPr="00EC79CF" w:rsidTr="00A665A9">
        <w:trPr>
          <w:trHeight w:val="315"/>
        </w:trPr>
        <w:tc>
          <w:tcPr>
            <w:tcW w:w="266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ind w:left="193" w:firstLineChars="100" w:firstLine="200"/>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Most disadvantaged</w:t>
            </w:r>
          </w:p>
        </w:tc>
        <w:tc>
          <w:tcPr>
            <w:tcW w:w="8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22.7</w:t>
            </w:r>
          </w:p>
        </w:tc>
        <w:tc>
          <w:tcPr>
            <w:tcW w:w="66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2.5</w:t>
            </w: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24.0</w:t>
            </w: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10.9</w:t>
            </w:r>
          </w:p>
        </w:tc>
        <w:tc>
          <w:tcPr>
            <w:tcW w:w="6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5.7</w:t>
            </w: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2.4</w:t>
            </w: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0.0</w:t>
            </w:r>
          </w:p>
        </w:tc>
        <w:tc>
          <w:tcPr>
            <w:tcW w:w="62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31.6</w:t>
            </w:r>
          </w:p>
        </w:tc>
        <w:tc>
          <w:tcPr>
            <w:tcW w:w="82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100.0</w:t>
            </w:r>
          </w:p>
        </w:tc>
      </w:tr>
      <w:tr w:rsidR="00A665A9" w:rsidRPr="00EC79CF" w:rsidTr="00A665A9">
        <w:trPr>
          <w:trHeight w:val="315"/>
        </w:trPr>
        <w:tc>
          <w:tcPr>
            <w:tcW w:w="266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ind w:left="193" w:firstLineChars="100" w:firstLine="200"/>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Total</w:t>
            </w:r>
          </w:p>
        </w:tc>
        <w:tc>
          <w:tcPr>
            <w:tcW w:w="800" w:type="dxa"/>
            <w:tcBorders>
              <w:top w:val="single" w:sz="4" w:space="0" w:color="auto"/>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31.1</w:t>
            </w:r>
          </w:p>
        </w:tc>
        <w:tc>
          <w:tcPr>
            <w:tcW w:w="660" w:type="dxa"/>
            <w:tcBorders>
              <w:top w:val="single" w:sz="4" w:space="0" w:color="auto"/>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7.1</w:t>
            </w:r>
          </w:p>
        </w:tc>
        <w:tc>
          <w:tcPr>
            <w:tcW w:w="700" w:type="dxa"/>
            <w:tcBorders>
              <w:top w:val="single" w:sz="4" w:space="0" w:color="auto"/>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28.2</w:t>
            </w:r>
          </w:p>
        </w:tc>
        <w:tc>
          <w:tcPr>
            <w:tcW w:w="700" w:type="dxa"/>
            <w:tcBorders>
              <w:top w:val="single" w:sz="4" w:space="0" w:color="auto"/>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13.2</w:t>
            </w:r>
          </w:p>
        </w:tc>
        <w:tc>
          <w:tcPr>
            <w:tcW w:w="600" w:type="dxa"/>
            <w:tcBorders>
              <w:top w:val="single" w:sz="4" w:space="0" w:color="auto"/>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5.6</w:t>
            </w:r>
          </w:p>
        </w:tc>
        <w:tc>
          <w:tcPr>
            <w:tcW w:w="700" w:type="dxa"/>
            <w:tcBorders>
              <w:top w:val="single" w:sz="4" w:space="0" w:color="auto"/>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3.6</w:t>
            </w:r>
          </w:p>
        </w:tc>
        <w:tc>
          <w:tcPr>
            <w:tcW w:w="700" w:type="dxa"/>
            <w:tcBorders>
              <w:top w:val="single" w:sz="4" w:space="0" w:color="auto"/>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0.9</w:t>
            </w:r>
          </w:p>
        </w:tc>
        <w:tc>
          <w:tcPr>
            <w:tcW w:w="620" w:type="dxa"/>
            <w:tcBorders>
              <w:top w:val="single" w:sz="4" w:space="0" w:color="auto"/>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10.3</w:t>
            </w:r>
          </w:p>
        </w:tc>
        <w:tc>
          <w:tcPr>
            <w:tcW w:w="820" w:type="dxa"/>
            <w:tcBorders>
              <w:top w:val="single" w:sz="4" w:space="0" w:color="auto"/>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100.0</w:t>
            </w:r>
          </w:p>
        </w:tc>
      </w:tr>
      <w:tr w:rsidR="00A665A9" w:rsidRPr="00EC79CF" w:rsidTr="00A665A9">
        <w:trPr>
          <w:trHeight w:val="259"/>
        </w:trPr>
        <w:tc>
          <w:tcPr>
            <w:tcW w:w="266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IRSEO</w:t>
            </w:r>
          </w:p>
        </w:tc>
        <w:tc>
          <w:tcPr>
            <w:tcW w:w="8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66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6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62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c>
          <w:tcPr>
            <w:tcW w:w="82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p>
        </w:tc>
      </w:tr>
      <w:tr w:rsidR="00A665A9" w:rsidRPr="00EC79CF" w:rsidTr="00A665A9">
        <w:trPr>
          <w:trHeight w:val="315"/>
        </w:trPr>
        <w:tc>
          <w:tcPr>
            <w:tcW w:w="266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ind w:left="193" w:firstLineChars="100" w:firstLine="200"/>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Least disadvantaged</w:t>
            </w:r>
          </w:p>
        </w:tc>
        <w:tc>
          <w:tcPr>
            <w:tcW w:w="8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33.6</w:t>
            </w:r>
          </w:p>
        </w:tc>
        <w:tc>
          <w:tcPr>
            <w:tcW w:w="66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17.8</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29.8</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2.5</w:t>
            </w:r>
          </w:p>
        </w:tc>
        <w:tc>
          <w:tcPr>
            <w:tcW w:w="6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2.3</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6.5</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4.5</w:t>
            </w:r>
          </w:p>
        </w:tc>
        <w:tc>
          <w:tcPr>
            <w:tcW w:w="62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3.1</w:t>
            </w:r>
          </w:p>
        </w:tc>
        <w:tc>
          <w:tcPr>
            <w:tcW w:w="82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100.0</w:t>
            </w:r>
          </w:p>
        </w:tc>
      </w:tr>
      <w:tr w:rsidR="00A665A9" w:rsidRPr="00EC79CF" w:rsidTr="00A665A9">
        <w:trPr>
          <w:trHeight w:val="315"/>
        </w:trPr>
        <w:tc>
          <w:tcPr>
            <w:tcW w:w="266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ind w:left="193" w:firstLineChars="100" w:firstLine="200"/>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2nd least disadvantaged</w:t>
            </w:r>
          </w:p>
        </w:tc>
        <w:tc>
          <w:tcPr>
            <w:tcW w:w="8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41.5</w:t>
            </w:r>
          </w:p>
        </w:tc>
        <w:tc>
          <w:tcPr>
            <w:tcW w:w="66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4.5</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26.5</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6.2</w:t>
            </w:r>
          </w:p>
        </w:tc>
        <w:tc>
          <w:tcPr>
            <w:tcW w:w="6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6.4</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9.5</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0.0</w:t>
            </w:r>
          </w:p>
        </w:tc>
        <w:tc>
          <w:tcPr>
            <w:tcW w:w="62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5.3</w:t>
            </w:r>
          </w:p>
        </w:tc>
        <w:tc>
          <w:tcPr>
            <w:tcW w:w="82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100.0</w:t>
            </w:r>
          </w:p>
        </w:tc>
      </w:tr>
      <w:tr w:rsidR="00A665A9" w:rsidRPr="00EC79CF" w:rsidTr="00A665A9">
        <w:trPr>
          <w:trHeight w:val="315"/>
        </w:trPr>
        <w:tc>
          <w:tcPr>
            <w:tcW w:w="266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ind w:left="193" w:firstLineChars="100" w:firstLine="200"/>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Middle quintile</w:t>
            </w:r>
          </w:p>
        </w:tc>
        <w:tc>
          <w:tcPr>
            <w:tcW w:w="8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24.3</w:t>
            </w:r>
          </w:p>
        </w:tc>
        <w:tc>
          <w:tcPr>
            <w:tcW w:w="66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8.8</w:t>
            </w: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40.3</w:t>
            </w: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17.8</w:t>
            </w:r>
          </w:p>
        </w:tc>
        <w:tc>
          <w:tcPr>
            <w:tcW w:w="6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3.3</w:t>
            </w: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1.0</w:t>
            </w: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0.0</w:t>
            </w:r>
          </w:p>
        </w:tc>
        <w:tc>
          <w:tcPr>
            <w:tcW w:w="62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4.5</w:t>
            </w:r>
          </w:p>
        </w:tc>
        <w:tc>
          <w:tcPr>
            <w:tcW w:w="82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100.0</w:t>
            </w:r>
          </w:p>
        </w:tc>
      </w:tr>
      <w:tr w:rsidR="00A665A9" w:rsidRPr="00EC79CF" w:rsidTr="00A665A9">
        <w:trPr>
          <w:trHeight w:val="315"/>
        </w:trPr>
        <w:tc>
          <w:tcPr>
            <w:tcW w:w="266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ind w:left="193" w:firstLineChars="100" w:firstLine="200"/>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2nd most disadvantaged</w:t>
            </w:r>
          </w:p>
        </w:tc>
        <w:tc>
          <w:tcPr>
            <w:tcW w:w="8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39.0</w:t>
            </w:r>
          </w:p>
        </w:tc>
        <w:tc>
          <w:tcPr>
            <w:tcW w:w="66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4.1</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27.9</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18.3</w:t>
            </w:r>
          </w:p>
        </w:tc>
        <w:tc>
          <w:tcPr>
            <w:tcW w:w="6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8.9</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0.8</w:t>
            </w:r>
          </w:p>
        </w:tc>
        <w:tc>
          <w:tcPr>
            <w:tcW w:w="70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0.0</w:t>
            </w:r>
          </w:p>
        </w:tc>
        <w:tc>
          <w:tcPr>
            <w:tcW w:w="62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1.0</w:t>
            </w:r>
          </w:p>
        </w:tc>
        <w:tc>
          <w:tcPr>
            <w:tcW w:w="820" w:type="dxa"/>
            <w:tcBorders>
              <w:top w:val="nil"/>
              <w:left w:val="nil"/>
              <w:bottom w:val="nil"/>
              <w:right w:val="nil"/>
            </w:tcBorders>
            <w:shd w:val="clear" w:color="auto" w:fill="auto"/>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100.0</w:t>
            </w:r>
          </w:p>
        </w:tc>
      </w:tr>
      <w:tr w:rsidR="00A665A9" w:rsidRPr="00EC79CF" w:rsidTr="00A665A9">
        <w:trPr>
          <w:trHeight w:val="315"/>
        </w:trPr>
        <w:tc>
          <w:tcPr>
            <w:tcW w:w="266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ind w:left="193" w:firstLineChars="100" w:firstLine="200"/>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Most disadvantaged</w:t>
            </w:r>
          </w:p>
        </w:tc>
        <w:tc>
          <w:tcPr>
            <w:tcW w:w="8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17.0</w:t>
            </w:r>
          </w:p>
        </w:tc>
        <w:tc>
          <w:tcPr>
            <w:tcW w:w="66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0.0</w:t>
            </w: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16.8</w:t>
            </w: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21.6</w:t>
            </w:r>
          </w:p>
        </w:tc>
        <w:tc>
          <w:tcPr>
            <w:tcW w:w="6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7.0</w:t>
            </w: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0.0</w:t>
            </w:r>
          </w:p>
        </w:tc>
        <w:tc>
          <w:tcPr>
            <w:tcW w:w="70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0.0</w:t>
            </w:r>
          </w:p>
        </w:tc>
        <w:tc>
          <w:tcPr>
            <w:tcW w:w="62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37.5</w:t>
            </w:r>
          </w:p>
        </w:tc>
        <w:tc>
          <w:tcPr>
            <w:tcW w:w="820" w:type="dxa"/>
            <w:tcBorders>
              <w:top w:val="nil"/>
              <w:left w:val="nil"/>
              <w:bottom w:val="nil"/>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100.0</w:t>
            </w:r>
          </w:p>
        </w:tc>
      </w:tr>
      <w:tr w:rsidR="00A665A9" w:rsidRPr="00EC79CF" w:rsidTr="00A665A9">
        <w:trPr>
          <w:trHeight w:val="315"/>
        </w:trPr>
        <w:tc>
          <w:tcPr>
            <w:tcW w:w="2660" w:type="dxa"/>
            <w:tcBorders>
              <w:top w:val="nil"/>
              <w:left w:val="nil"/>
              <w:bottom w:val="single" w:sz="4" w:space="0" w:color="auto"/>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ind w:left="193" w:firstLineChars="100" w:firstLine="200"/>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Total</w:t>
            </w:r>
          </w:p>
        </w:tc>
        <w:tc>
          <w:tcPr>
            <w:tcW w:w="800" w:type="dxa"/>
            <w:tcBorders>
              <w:top w:val="single" w:sz="4" w:space="0" w:color="auto"/>
              <w:left w:val="nil"/>
              <w:bottom w:val="single" w:sz="4" w:space="0" w:color="auto"/>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31.1</w:t>
            </w:r>
          </w:p>
        </w:tc>
        <w:tc>
          <w:tcPr>
            <w:tcW w:w="660" w:type="dxa"/>
            <w:tcBorders>
              <w:top w:val="single" w:sz="4" w:space="0" w:color="auto"/>
              <w:left w:val="nil"/>
              <w:bottom w:val="single" w:sz="4" w:space="0" w:color="auto"/>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7.1</w:t>
            </w:r>
          </w:p>
        </w:tc>
        <w:tc>
          <w:tcPr>
            <w:tcW w:w="700" w:type="dxa"/>
            <w:tcBorders>
              <w:top w:val="single" w:sz="4" w:space="0" w:color="auto"/>
              <w:left w:val="nil"/>
              <w:bottom w:val="single" w:sz="4" w:space="0" w:color="auto"/>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28.2</w:t>
            </w:r>
          </w:p>
        </w:tc>
        <w:tc>
          <w:tcPr>
            <w:tcW w:w="700" w:type="dxa"/>
            <w:tcBorders>
              <w:top w:val="single" w:sz="4" w:space="0" w:color="auto"/>
              <w:left w:val="nil"/>
              <w:bottom w:val="single" w:sz="4" w:space="0" w:color="auto"/>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13.2</w:t>
            </w:r>
          </w:p>
        </w:tc>
        <w:tc>
          <w:tcPr>
            <w:tcW w:w="600" w:type="dxa"/>
            <w:tcBorders>
              <w:top w:val="single" w:sz="4" w:space="0" w:color="auto"/>
              <w:left w:val="nil"/>
              <w:bottom w:val="single" w:sz="4" w:space="0" w:color="auto"/>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5.6</w:t>
            </w:r>
          </w:p>
        </w:tc>
        <w:tc>
          <w:tcPr>
            <w:tcW w:w="700" w:type="dxa"/>
            <w:tcBorders>
              <w:top w:val="single" w:sz="4" w:space="0" w:color="auto"/>
              <w:left w:val="nil"/>
              <w:bottom w:val="single" w:sz="4" w:space="0" w:color="auto"/>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3.6</w:t>
            </w:r>
          </w:p>
        </w:tc>
        <w:tc>
          <w:tcPr>
            <w:tcW w:w="700" w:type="dxa"/>
            <w:tcBorders>
              <w:top w:val="single" w:sz="4" w:space="0" w:color="auto"/>
              <w:left w:val="nil"/>
              <w:bottom w:val="single" w:sz="4" w:space="0" w:color="auto"/>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0.9</w:t>
            </w:r>
          </w:p>
        </w:tc>
        <w:tc>
          <w:tcPr>
            <w:tcW w:w="620" w:type="dxa"/>
            <w:tcBorders>
              <w:top w:val="single" w:sz="4" w:space="0" w:color="auto"/>
              <w:left w:val="nil"/>
              <w:bottom w:val="single" w:sz="4" w:space="0" w:color="auto"/>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10.3</w:t>
            </w:r>
          </w:p>
        </w:tc>
        <w:tc>
          <w:tcPr>
            <w:tcW w:w="820" w:type="dxa"/>
            <w:tcBorders>
              <w:top w:val="single" w:sz="4" w:space="0" w:color="auto"/>
              <w:left w:val="nil"/>
              <w:bottom w:val="single" w:sz="4" w:space="0" w:color="auto"/>
              <w:right w:val="nil"/>
            </w:tcBorders>
            <w:shd w:val="clear" w:color="auto" w:fill="auto"/>
            <w:noWrap/>
            <w:vAlign w:val="bottom"/>
            <w:hideMark/>
          </w:tcPr>
          <w:p w:rsidR="00A665A9" w:rsidRPr="00EC79CF" w:rsidRDefault="00A665A9" w:rsidP="00A665A9">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100.0</w:t>
            </w:r>
          </w:p>
        </w:tc>
      </w:tr>
    </w:tbl>
    <w:p w:rsidR="00A665A9" w:rsidRPr="00EC79CF" w:rsidRDefault="00A665A9" w:rsidP="00A665A9">
      <w:pPr>
        <w:pStyle w:val="CGCDataCaption"/>
      </w:pPr>
      <w:r w:rsidRPr="00EC79CF">
        <w:t>Source:</w:t>
      </w:r>
      <w:r w:rsidRPr="00EC79CF">
        <w:tab/>
        <w:t>ABS ERP and CAEPR.</w:t>
      </w:r>
    </w:p>
    <w:p w:rsidR="00AD6F27" w:rsidRDefault="00A665A9" w:rsidP="00C20E52">
      <w:pPr>
        <w:pStyle w:val="CGCNumberedPara"/>
        <w:numPr>
          <w:ilvl w:val="1"/>
          <w:numId w:val="2"/>
        </w:numPr>
      </w:pPr>
      <w:r w:rsidRPr="00EC79CF">
        <w:lastRenderedPageBreak/>
        <w:t>As the non-Indigenous population has a very similar distribution to the total population, there is generally little difference in State non-Indigenous population shares when a combined or non-Ind</w:t>
      </w:r>
      <w:r w:rsidR="00AD6F27">
        <w:t>igenous specific index is used.</w:t>
      </w:r>
    </w:p>
    <w:p w:rsidR="00A665A9" w:rsidRPr="00C4696B" w:rsidRDefault="00C4696B" w:rsidP="00C4696B">
      <w:pPr>
        <w:pStyle w:val="Heading3"/>
      </w:pPr>
      <w:bookmarkStart w:id="455" w:name="_Toc410741670"/>
      <w:bookmarkStart w:id="456" w:name="_Toc410744221"/>
      <w:bookmarkStart w:id="457" w:name="_Toc411511210"/>
      <w:bookmarkStart w:id="458" w:name="_Toc411511663"/>
      <w:bookmarkStart w:id="459" w:name="_Toc411924603"/>
      <w:r w:rsidRPr="00C4696B">
        <w:t>More contemporaneous assessments</w:t>
      </w:r>
      <w:bookmarkEnd w:id="455"/>
      <w:bookmarkEnd w:id="456"/>
      <w:bookmarkEnd w:id="457"/>
      <w:bookmarkEnd w:id="458"/>
      <w:bookmarkEnd w:id="459"/>
    </w:p>
    <w:p w:rsidR="00A665A9" w:rsidRPr="00EC79CF" w:rsidRDefault="00A665A9" w:rsidP="00A665A9">
      <w:pPr>
        <w:pStyle w:val="Heading4"/>
      </w:pPr>
      <w:r w:rsidRPr="00EC79CF">
        <w:t>Background</w:t>
      </w:r>
    </w:p>
    <w:p w:rsidR="005A721F" w:rsidRPr="00C21EF9" w:rsidRDefault="00944784" w:rsidP="005A721F">
      <w:pPr>
        <w:pStyle w:val="CGCNumberedPara"/>
      </w:pPr>
      <w:r>
        <w:t xml:space="preserve">Western Australia </w:t>
      </w:r>
      <w:r w:rsidR="00A665A9" w:rsidRPr="00EC79CF">
        <w:t>raised issues relating to the contemporaneity of the as</w:t>
      </w:r>
      <w:r>
        <w:t>sessment of iron ore revenues</w:t>
      </w:r>
      <w:r w:rsidR="005A721F" w:rsidRPr="005A721F">
        <w:t xml:space="preserve"> </w:t>
      </w:r>
      <w:r w:rsidR="005A721F" w:rsidRPr="003F3AE3">
        <w:t>and its payments from the Commonwealth in relation to the North</w:t>
      </w:r>
      <w:r w:rsidR="005A721F">
        <w:noBreakHyphen/>
        <w:t>West Shelf oil and gas reserves.</w:t>
      </w:r>
    </w:p>
    <w:p w:rsidR="00A665A9" w:rsidRPr="00EC79CF" w:rsidRDefault="00A665A9" w:rsidP="00C20E52">
      <w:pPr>
        <w:pStyle w:val="CGCNumberedPara"/>
        <w:numPr>
          <w:ilvl w:val="1"/>
          <w:numId w:val="2"/>
        </w:numPr>
      </w:pPr>
      <w:r w:rsidRPr="00EC79CF">
        <w:t xml:space="preserve">We consider this represents an additional main issue for this </w:t>
      </w:r>
      <w:r w:rsidR="00716C5E" w:rsidRPr="00EC79CF">
        <w:t>r</w:t>
      </w:r>
      <w:r w:rsidR="00944784">
        <w:t>eview.</w:t>
      </w:r>
    </w:p>
    <w:p w:rsidR="00A665A9" w:rsidRPr="00EC79CF" w:rsidRDefault="00A665A9" w:rsidP="00A665A9">
      <w:pPr>
        <w:pStyle w:val="Heading4"/>
      </w:pPr>
      <w:r w:rsidRPr="00EC79CF">
        <w:t>Consultation</w:t>
      </w:r>
    </w:p>
    <w:p w:rsidR="00A665A9" w:rsidRPr="00EC79CF" w:rsidRDefault="00A665A9" w:rsidP="00C20E52">
      <w:pPr>
        <w:pStyle w:val="CGCNumberedPara"/>
        <w:numPr>
          <w:ilvl w:val="1"/>
          <w:numId w:val="2"/>
        </w:numPr>
      </w:pPr>
      <w:r w:rsidRPr="00EC79CF">
        <w:t xml:space="preserve">This issue was raised late in the review processes after the Commission had issued its draft report. Given its significance, the Commission undertook special, additional consultations with </w:t>
      </w:r>
      <w:r w:rsidR="00716C5E" w:rsidRPr="00EC79CF">
        <w:t>S</w:t>
      </w:r>
      <w:r w:rsidRPr="00EC79CF">
        <w:t>tates on the matters raised and possible options.</w:t>
      </w:r>
    </w:p>
    <w:p w:rsidR="00A665A9" w:rsidRPr="00EC79CF" w:rsidRDefault="00A665A9" w:rsidP="00C20E52">
      <w:pPr>
        <w:pStyle w:val="CGCNumberedPara"/>
        <w:numPr>
          <w:ilvl w:val="1"/>
          <w:numId w:val="2"/>
        </w:numPr>
      </w:pPr>
      <w:r w:rsidRPr="00EC79CF">
        <w:t>In both its submission on the draft report and during its Head of Treasury (</w:t>
      </w:r>
      <w:proofErr w:type="spellStart"/>
      <w:r w:rsidRPr="00EC79CF">
        <w:t>HoT</w:t>
      </w:r>
      <w:proofErr w:type="spellEnd"/>
      <w:r w:rsidRPr="00EC79CF">
        <w:t xml:space="preserve">) meeting with the Commission, Western Australia raised the impact averaging historical data had on achieving contemporaneous HFE for volatile revenue assessments, in particular iron ore royalties. State views were initially sought in relation to this issue in </w:t>
      </w:r>
      <w:proofErr w:type="spellStart"/>
      <w:r w:rsidRPr="00EC79CF">
        <w:t>HoTs</w:t>
      </w:r>
      <w:proofErr w:type="spellEnd"/>
      <w:r w:rsidRPr="00EC79CF">
        <w:t xml:space="preserve"> discussions with the other States.</w:t>
      </w:r>
    </w:p>
    <w:p w:rsidR="00A665A9" w:rsidRPr="00EC79CF" w:rsidRDefault="00A665A9" w:rsidP="00C20E52">
      <w:pPr>
        <w:pStyle w:val="CGCNumberedPara"/>
        <w:numPr>
          <w:ilvl w:val="1"/>
          <w:numId w:val="2"/>
        </w:numPr>
      </w:pPr>
      <w:r w:rsidRPr="00EC79CF">
        <w:t>The Commission subsequently considered whether a different method to its usual lagged three year average approach may be more appropriate in some situations. The aim of any change would be to better reflect States’ fiscal capacities in the application year (2015-16)</w:t>
      </w:r>
      <w:r w:rsidR="00716C5E" w:rsidRPr="00EC79CF">
        <w:t>;</w:t>
      </w:r>
      <w:r w:rsidRPr="00EC79CF">
        <w:t xml:space="preserve"> that is, to be more contemporaneous and </w:t>
      </w:r>
      <w:r w:rsidR="00BC6419">
        <w:t xml:space="preserve">possibly </w:t>
      </w:r>
      <w:r w:rsidRPr="00EC79CF">
        <w:t>achieve an improved equalisation outcome.</w:t>
      </w:r>
    </w:p>
    <w:p w:rsidR="00A665A9" w:rsidRPr="00EC79CF" w:rsidRDefault="00A665A9" w:rsidP="00C20E52">
      <w:pPr>
        <w:pStyle w:val="CGCNumberedPara"/>
        <w:numPr>
          <w:ilvl w:val="1"/>
          <w:numId w:val="2"/>
        </w:numPr>
      </w:pPr>
      <w:r w:rsidRPr="00EC79CF">
        <w:t>In December, the Commission provided Discussion Paper 2014-04 (</w:t>
      </w:r>
      <w:r w:rsidRPr="00EC79CF">
        <w:rPr>
          <w:i/>
        </w:rPr>
        <w:t>Significant Changes since the Draft Report</w:t>
      </w:r>
      <w:r w:rsidRPr="00EC79CF">
        <w:t xml:space="preserve">) to States, which included asking for comment on the issue raised by Western Australia and contemporaneity adjustments more generally. </w:t>
      </w:r>
    </w:p>
    <w:p w:rsidR="00A665A9" w:rsidRPr="00EC79CF" w:rsidRDefault="00A665A9" w:rsidP="00A665A9">
      <w:pPr>
        <w:pStyle w:val="Heading4"/>
      </w:pPr>
      <w:r w:rsidRPr="00EC79CF">
        <w:t>State views</w:t>
      </w:r>
    </w:p>
    <w:p w:rsidR="00A665A9" w:rsidRPr="00EC79CF" w:rsidRDefault="001E023E" w:rsidP="00C20E52">
      <w:pPr>
        <w:pStyle w:val="CGCNumberedPara"/>
        <w:numPr>
          <w:ilvl w:val="1"/>
          <w:numId w:val="2"/>
        </w:numPr>
      </w:pPr>
      <w:r>
        <w:t xml:space="preserve">New South Wales, Victoria, Queensland, South Australia and the ACT </w:t>
      </w:r>
      <w:r w:rsidR="00A665A9" w:rsidRPr="00EC79CF">
        <w:t xml:space="preserve">considered that it was too late in the review to properly address this issue. They said there were risks with changes that were partial and piecemeal, and that any improvements to contemporaneity should be undertaken on a comprehensive and considered basis, as part of the next review. Two States noted that as the HFE system is explicitly addressed in the terms of reference for the White Paper on Reform of the Federation, </w:t>
      </w:r>
      <w:r w:rsidR="00A665A9" w:rsidRPr="00EC79CF">
        <w:lastRenderedPageBreak/>
        <w:t>major changes to the current HFE system should not be implemented in advance of this process.</w:t>
      </w:r>
    </w:p>
    <w:p w:rsidR="00A665A9" w:rsidRPr="00EC79CF" w:rsidRDefault="001E023E" w:rsidP="00C20E52">
      <w:pPr>
        <w:pStyle w:val="CGCNumberedPara"/>
        <w:numPr>
          <w:ilvl w:val="1"/>
          <w:numId w:val="2"/>
        </w:numPr>
      </w:pPr>
      <w:r>
        <w:t>Queensland, South Australia, Tasmania, ACT and the Northern Territory</w:t>
      </w:r>
      <w:r w:rsidR="00A665A9" w:rsidRPr="00EC79CF">
        <w:t xml:space="preserve"> believe the lagged three year average assessments achieve HFE and provide the best balance between supporting principles, with some noting that this approach was the outcome of an extensive canva</w:t>
      </w:r>
      <w:r w:rsidR="00C378D8">
        <w:t>ssing of this issue in the 2010 R</w:t>
      </w:r>
      <w:r w:rsidR="00A665A9" w:rsidRPr="00EC79CF">
        <w:t>eview.</w:t>
      </w:r>
    </w:p>
    <w:p w:rsidR="00A665A9" w:rsidRPr="00EC79CF" w:rsidRDefault="001E023E" w:rsidP="00C20E52">
      <w:pPr>
        <w:pStyle w:val="CGCNumberedPara"/>
        <w:numPr>
          <w:ilvl w:val="1"/>
          <w:numId w:val="2"/>
        </w:numPr>
      </w:pPr>
      <w:r>
        <w:t xml:space="preserve">New South Wales, Victoria, Queensland and Tasmania </w:t>
      </w:r>
      <w:r w:rsidR="00A665A9" w:rsidRPr="00EC79CF">
        <w:t>said that any improvement in contemporaneity would come at the expense of one or more of</w:t>
      </w:r>
      <w:r w:rsidR="00716C5E" w:rsidRPr="00EC79CF">
        <w:t xml:space="preserve"> the following</w:t>
      </w:r>
      <w:r w:rsidR="00A665A9" w:rsidRPr="00EC79CF">
        <w:t>:</w:t>
      </w:r>
    </w:p>
    <w:p w:rsidR="00A665A9" w:rsidRPr="00EC79CF" w:rsidRDefault="00A665A9" w:rsidP="00C20E52">
      <w:pPr>
        <w:pStyle w:val="CGCBulletlist"/>
        <w:numPr>
          <w:ilvl w:val="0"/>
          <w:numId w:val="1"/>
        </w:numPr>
        <w:tabs>
          <w:tab w:val="clear" w:pos="927"/>
          <w:tab w:val="left" w:pos="1134"/>
        </w:tabs>
        <w:ind w:left="1134" w:hanging="567"/>
      </w:pPr>
      <w:r w:rsidRPr="00EC79CF">
        <w:t xml:space="preserve">Reliability and practicality — as data are not available for the application year, including this year in the Commission’s assessment would entail it having to use projections or forecasts of State circumstances, and that these would be </w:t>
      </w:r>
      <w:r w:rsidR="00BC6419">
        <w:t>un</w:t>
      </w:r>
      <w:r w:rsidRPr="00EC79CF">
        <w:t>reliable.</w:t>
      </w:r>
    </w:p>
    <w:p w:rsidR="00A665A9" w:rsidRPr="00EC79CF" w:rsidRDefault="00A665A9" w:rsidP="00C20E52">
      <w:pPr>
        <w:pStyle w:val="CGCBulletlist"/>
        <w:numPr>
          <w:ilvl w:val="0"/>
          <w:numId w:val="1"/>
        </w:numPr>
        <w:tabs>
          <w:tab w:val="clear" w:pos="927"/>
          <w:tab w:val="left" w:pos="1134"/>
        </w:tabs>
        <w:ind w:left="1134" w:hanging="567"/>
      </w:pPr>
      <w:r w:rsidRPr="00EC79CF">
        <w:t xml:space="preserve">Simplicity — there would be grant design issues associated with using unaudited State provided data, and that in any case the use of forecasts and estimates would necessitate subsequent adjustments for actual outcomes to ensure that HFE </w:t>
      </w:r>
      <w:r w:rsidR="00BC6419">
        <w:t>i</w:t>
      </w:r>
      <w:r w:rsidR="00BC6419" w:rsidRPr="00EC79CF">
        <w:t xml:space="preserve">s </w:t>
      </w:r>
      <w:r w:rsidRPr="00EC79CF">
        <w:t>achieved.</w:t>
      </w:r>
    </w:p>
    <w:p w:rsidR="00A665A9" w:rsidRPr="00EC79CF" w:rsidRDefault="00A665A9" w:rsidP="00C20E52">
      <w:pPr>
        <w:pStyle w:val="CGCBulletlist"/>
        <w:numPr>
          <w:ilvl w:val="0"/>
          <w:numId w:val="1"/>
        </w:numPr>
        <w:tabs>
          <w:tab w:val="clear" w:pos="927"/>
          <w:tab w:val="left" w:pos="1134"/>
        </w:tabs>
        <w:ind w:left="1134" w:hanging="567"/>
      </w:pPr>
      <w:r w:rsidRPr="00EC79CF">
        <w:t>Predictability of GST revenue — more contemporaneous assessments would lead to States having less certainty about their GST entitlements, increasing the volatility of GST revenue for all States and making budget management more difficult.</w:t>
      </w:r>
    </w:p>
    <w:p w:rsidR="00A665A9" w:rsidRPr="00EC79CF" w:rsidRDefault="001E023E" w:rsidP="00C20E52">
      <w:pPr>
        <w:pStyle w:val="CGCNumberedPara"/>
        <w:numPr>
          <w:ilvl w:val="1"/>
          <w:numId w:val="2"/>
        </w:numPr>
      </w:pPr>
      <w:r>
        <w:t xml:space="preserve">Queensland, South Australia and the </w:t>
      </w:r>
      <w:r w:rsidR="00E42B89">
        <w:t>Northern Territory</w:t>
      </w:r>
      <w:r w:rsidRPr="00EC79CF">
        <w:t xml:space="preserve"> </w:t>
      </w:r>
      <w:r w:rsidR="00A665A9" w:rsidRPr="00EC79CF">
        <w:t xml:space="preserve">did not consider the fall in iron ore prices to be an exceptional circumstance warranting a departure from the current lagged three year average approach. </w:t>
      </w:r>
      <w:r>
        <w:t>South Australia</w:t>
      </w:r>
      <w:r w:rsidR="00A665A9" w:rsidRPr="00EC79CF">
        <w:t xml:space="preserve"> said that given the extraordinary growth in iron ore prices over the past decade, current price falls should be viewed more as a correction to what could be considered unsustainable growth. States noted that other revenues, such as stamp duties on conveyances, and some expenses, such as natural disaster costs, were also volatile. States also expressed a concern Western </w:t>
      </w:r>
      <w:r w:rsidR="00C378D8">
        <w:t>Australia benefitted from a non</w:t>
      </w:r>
      <w:r w:rsidR="00C378D8">
        <w:noBreakHyphen/>
      </w:r>
      <w:r w:rsidR="00A665A9" w:rsidRPr="00EC79CF">
        <w:t>contemporaneous assessment in the up-cycle swing and would benefit further if the Commission applied a contemporaneous assessment in the down-cycle. They said that there needed to be symmetry in treatment during both up and down cycles.</w:t>
      </w:r>
    </w:p>
    <w:p w:rsidR="00A665A9" w:rsidRPr="00EC79CF" w:rsidRDefault="00E42B89" w:rsidP="00C20E52">
      <w:pPr>
        <w:pStyle w:val="CGCNumberedPara"/>
        <w:numPr>
          <w:ilvl w:val="1"/>
          <w:numId w:val="2"/>
        </w:numPr>
      </w:pPr>
      <w:r>
        <w:t>New South Wales, South Australia and the Northern Territory</w:t>
      </w:r>
      <w:r w:rsidR="00A665A9" w:rsidRPr="00EC79CF">
        <w:t xml:space="preserve"> were concerned at the implications for HFE of any special treatment of particular revenues. If a change were to be made however, Queensland said the Commission could consider smoothing the GST impacts of particularly high revenue years over a longer time. South Australia said it would support further examination of a reduction in the averaging period to two years. The ACT said that any large changes for States under a new approach compared with the current approach should be phased in.</w:t>
      </w:r>
    </w:p>
    <w:p w:rsidR="00A665A9" w:rsidRDefault="00A665A9" w:rsidP="00C20E52">
      <w:pPr>
        <w:pStyle w:val="CGCNumberedPara"/>
        <w:numPr>
          <w:ilvl w:val="1"/>
          <w:numId w:val="2"/>
        </w:numPr>
      </w:pPr>
      <w:r w:rsidRPr="00EC79CF">
        <w:t>Western Australia disagree</w:t>
      </w:r>
      <w:r w:rsidR="00716C5E" w:rsidRPr="00EC79CF">
        <w:t>d</w:t>
      </w:r>
      <w:r w:rsidRPr="00EC79CF">
        <w:t>. It argue</w:t>
      </w:r>
      <w:r w:rsidR="00716C5E" w:rsidRPr="00EC79CF">
        <w:t>d</w:t>
      </w:r>
      <w:r w:rsidRPr="00EC79CF">
        <w:t xml:space="preserve"> the lags in the HFE system affect it more than other States. It point</w:t>
      </w:r>
      <w:r w:rsidR="00716C5E" w:rsidRPr="00EC79CF">
        <w:t>ed</w:t>
      </w:r>
      <w:r w:rsidRPr="00EC79CF">
        <w:t xml:space="preserve"> to big differences in fiscal capacity between the assessment </w:t>
      </w:r>
      <w:r w:rsidRPr="00EC79CF">
        <w:lastRenderedPageBreak/>
        <w:t>period and application year for both iron ore and its North West Shelf payment. It sa</w:t>
      </w:r>
      <w:r w:rsidR="00716C5E" w:rsidRPr="00EC79CF">
        <w:t>id</w:t>
      </w:r>
      <w:r w:rsidRPr="00EC79CF">
        <w:t xml:space="preserve"> these are sufficiently large to warrant a contemporaneous assessment. </w:t>
      </w:r>
    </w:p>
    <w:p w:rsidR="00A665A9" w:rsidRPr="00EC79CF" w:rsidRDefault="00A665A9" w:rsidP="00C20E52">
      <w:pPr>
        <w:pStyle w:val="CGCNumberedPara"/>
        <w:numPr>
          <w:ilvl w:val="1"/>
          <w:numId w:val="2"/>
        </w:numPr>
      </w:pPr>
      <w:r w:rsidRPr="00EC79CF">
        <w:t>Western Australia said that the benefits of a more contemporaneous assessment are that it:</w:t>
      </w:r>
    </w:p>
    <w:p w:rsidR="00A665A9" w:rsidRPr="00EC79CF" w:rsidRDefault="00A665A9" w:rsidP="00C20E52">
      <w:pPr>
        <w:pStyle w:val="CGCBulletlist"/>
        <w:numPr>
          <w:ilvl w:val="0"/>
          <w:numId w:val="1"/>
        </w:numPr>
        <w:tabs>
          <w:tab w:val="clear" w:pos="927"/>
          <w:tab w:val="left" w:pos="1134"/>
        </w:tabs>
        <w:ind w:left="1134" w:hanging="567"/>
      </w:pPr>
      <w:r w:rsidRPr="00EC79CF">
        <w:t>is consistent with achieving full HFE</w:t>
      </w:r>
    </w:p>
    <w:p w:rsidR="00A665A9" w:rsidRPr="00EC79CF" w:rsidRDefault="00A665A9" w:rsidP="00C20E52">
      <w:pPr>
        <w:pStyle w:val="CGCBulletlist"/>
        <w:numPr>
          <w:ilvl w:val="0"/>
          <w:numId w:val="1"/>
        </w:numPr>
        <w:tabs>
          <w:tab w:val="clear" w:pos="927"/>
          <w:tab w:val="left" w:pos="1134"/>
        </w:tabs>
        <w:ind w:left="1134" w:hanging="567"/>
      </w:pPr>
      <w:r w:rsidRPr="00EC79CF">
        <w:t>captures structural or long period cyclical shifts in a timely manner</w:t>
      </w:r>
    </w:p>
    <w:p w:rsidR="00A665A9" w:rsidRPr="00EC79CF" w:rsidRDefault="00A665A9" w:rsidP="00C20E52">
      <w:pPr>
        <w:pStyle w:val="CGCBulletlist"/>
        <w:numPr>
          <w:ilvl w:val="0"/>
          <w:numId w:val="1"/>
        </w:numPr>
        <w:tabs>
          <w:tab w:val="clear" w:pos="927"/>
          <w:tab w:val="left" w:pos="1134"/>
        </w:tabs>
        <w:ind w:left="1134" w:hanging="567"/>
      </w:pPr>
      <w:r w:rsidRPr="00EC79CF">
        <w:t>eliminates inefficient State budgeting due to fiscal illusion created by time lags</w:t>
      </w:r>
    </w:p>
    <w:p w:rsidR="00A665A9" w:rsidRPr="00EC79CF" w:rsidRDefault="00A665A9" w:rsidP="00C20E52">
      <w:pPr>
        <w:pStyle w:val="CGCBulletlist"/>
        <w:numPr>
          <w:ilvl w:val="0"/>
          <w:numId w:val="1"/>
        </w:numPr>
        <w:tabs>
          <w:tab w:val="clear" w:pos="927"/>
          <w:tab w:val="left" w:pos="1134"/>
        </w:tabs>
        <w:ind w:left="1134" w:hanging="567"/>
      </w:pPr>
      <w:r w:rsidRPr="00EC79CF">
        <w:t>allows HFE to stabilise rather than destabilise State finances (currently relativities often exaggerate revenue cycles)</w:t>
      </w:r>
    </w:p>
    <w:p w:rsidR="00A665A9" w:rsidRPr="00EC79CF" w:rsidRDefault="00A665A9" w:rsidP="00C20E52">
      <w:pPr>
        <w:pStyle w:val="CGCBulletlist"/>
        <w:numPr>
          <w:ilvl w:val="0"/>
          <w:numId w:val="1"/>
        </w:numPr>
        <w:tabs>
          <w:tab w:val="clear" w:pos="927"/>
          <w:tab w:val="left" w:pos="1134"/>
        </w:tabs>
        <w:ind w:left="1134" w:hanging="567"/>
      </w:pPr>
      <w:proofErr w:type="gramStart"/>
      <w:r w:rsidRPr="00EC79CF">
        <w:t>equitably</w:t>
      </w:r>
      <w:proofErr w:type="gramEnd"/>
      <w:r w:rsidRPr="00EC79CF">
        <w:t xml:space="preserve"> shares revenue volatility, as well as revenues, across States.</w:t>
      </w:r>
    </w:p>
    <w:p w:rsidR="00A665A9" w:rsidRPr="00EC79CF" w:rsidRDefault="00A665A9" w:rsidP="00A665A9">
      <w:pPr>
        <w:pStyle w:val="Heading4"/>
      </w:pPr>
      <w:r w:rsidRPr="00EC79CF">
        <w:t>Commission response</w:t>
      </w:r>
    </w:p>
    <w:p w:rsidR="00A665A9" w:rsidRPr="00EC79CF" w:rsidRDefault="00A665A9" w:rsidP="00A665A9">
      <w:pPr>
        <w:pStyle w:val="Heading5"/>
      </w:pPr>
      <w:r w:rsidRPr="00EC79CF">
        <w:t>The circumstances</w:t>
      </w:r>
    </w:p>
    <w:p w:rsidR="00A665A9" w:rsidRDefault="00A665A9" w:rsidP="00C20E52">
      <w:pPr>
        <w:pStyle w:val="CGCNumberedPara"/>
        <w:numPr>
          <w:ilvl w:val="1"/>
          <w:numId w:val="2"/>
        </w:numPr>
      </w:pPr>
      <w:r w:rsidRPr="00EC79CF">
        <w:t>Western Australia’s iron ore royalty revenue has grown from around $</w:t>
      </w:r>
      <w:r w:rsidR="002243E1">
        <w:t>465</w:t>
      </w:r>
      <w:r w:rsidR="002243E1" w:rsidRPr="00EC79CF">
        <w:t xml:space="preserve"> </w:t>
      </w:r>
      <w:r w:rsidRPr="00EC79CF">
        <w:t xml:space="preserve">million in 2004-05 to a </w:t>
      </w:r>
      <w:r w:rsidR="002243E1">
        <w:t>projected</w:t>
      </w:r>
      <w:r w:rsidR="002243E1" w:rsidRPr="00EC79CF">
        <w:t xml:space="preserve"> </w:t>
      </w:r>
      <w:r w:rsidRPr="00EC79CF">
        <w:t>$3.8</w:t>
      </w:r>
      <w:r w:rsidR="002243E1">
        <w:t> </w:t>
      </w:r>
      <w:r w:rsidRPr="00EC79CF">
        <w:t xml:space="preserve">billion in 2014-15, with a peak of $5.3 billion in 2013-14. </w:t>
      </w:r>
      <w:r w:rsidR="00B0143D">
        <w:fldChar w:fldCharType="begin"/>
      </w:r>
      <w:r w:rsidR="00B0143D">
        <w:instrText xml:space="preserve"> REF _Ref412103945 \h </w:instrText>
      </w:r>
      <w:r w:rsidR="00B0143D">
        <w:fldChar w:fldCharType="separate"/>
      </w:r>
      <w:r w:rsidR="003A5DEE" w:rsidRPr="00EC79CF">
        <w:t xml:space="preserve">Figure </w:t>
      </w:r>
      <w:r w:rsidR="003A5DEE">
        <w:rPr>
          <w:noProof/>
        </w:rPr>
        <w:t>1</w:t>
      </w:r>
      <w:r w:rsidR="00B0143D">
        <w:fldChar w:fldCharType="end"/>
      </w:r>
      <w:r w:rsidR="00B0143D">
        <w:t xml:space="preserve"> </w:t>
      </w:r>
      <w:r w:rsidRPr="00EC79CF">
        <w:t xml:space="preserve">shows Western Australia’s royalties during this time, along with its most recent </w:t>
      </w:r>
      <w:r w:rsidR="005A5DDF">
        <w:t>projections</w:t>
      </w:r>
      <w:r w:rsidR="005A5DDF" w:rsidRPr="00EC79CF">
        <w:t xml:space="preserve"> </w:t>
      </w:r>
      <w:r w:rsidRPr="00EC79CF">
        <w:t>for future years. During this time iron ore royalties have increased from 3% of Western Australian government revenues in 2004-05 to an estimated 14% in 2014-15.</w:t>
      </w:r>
    </w:p>
    <w:p w:rsidR="00AD6F27" w:rsidRPr="00EC79CF" w:rsidRDefault="00AD6F27" w:rsidP="00AD6F27">
      <w:pPr>
        <w:pStyle w:val="CGCNumberedPara"/>
        <w:numPr>
          <w:ilvl w:val="1"/>
          <w:numId w:val="2"/>
        </w:numPr>
      </w:pPr>
      <w:r w:rsidRPr="00EC79CF">
        <w:t>Western Australia has said that the change from growth to collapse in iron ore prices has shown that a lagged average approach to HFE can cause significant distortions in State budgeting when either sudden or gradual structural changes occur. It suggests that for the 2015 Review, a distribution based on prospective 2015-16 conditions would be preferable.</w:t>
      </w:r>
    </w:p>
    <w:p w:rsidR="00AD6F27" w:rsidRPr="00EC79CF" w:rsidRDefault="00AD6F27" w:rsidP="00C20E52">
      <w:pPr>
        <w:pStyle w:val="CGCNumberedPara"/>
        <w:numPr>
          <w:ilvl w:val="1"/>
          <w:numId w:val="2"/>
        </w:numPr>
      </w:pPr>
      <w:r w:rsidRPr="00EC79CF">
        <w:t xml:space="preserve">However, from </w:t>
      </w:r>
      <w:r>
        <w:fldChar w:fldCharType="begin"/>
      </w:r>
      <w:r>
        <w:instrText xml:space="preserve"> REF _Ref412103945 \h </w:instrText>
      </w:r>
      <w:r>
        <w:fldChar w:fldCharType="separate"/>
      </w:r>
      <w:r w:rsidR="003A5DEE" w:rsidRPr="00EC79CF">
        <w:t xml:space="preserve">Figure </w:t>
      </w:r>
      <w:r w:rsidR="003A5DEE">
        <w:rPr>
          <w:noProof/>
        </w:rPr>
        <w:t>1</w:t>
      </w:r>
      <w:r>
        <w:fldChar w:fldCharType="end"/>
      </w:r>
      <w:r>
        <w:t xml:space="preserve"> </w:t>
      </w:r>
      <w:r w:rsidRPr="00EC79CF">
        <w:t xml:space="preserve">we observe that the reduction in iron ore royalties from the high in 2013-14 is to a level consistent with the revenues from 2011-12 and 2012-13. We also observe that Western Australia </w:t>
      </w:r>
      <w:r>
        <w:t>projects</w:t>
      </w:r>
      <w:r w:rsidRPr="00EC79CF">
        <w:t xml:space="preserve"> a return to growth in iron ore royalties post 2014-15. In addition, we note that while iron ore prices have dropped substantially, increases in volumes and downward movements in the value of the Australian dollar may at least partially offset these price effects.</w:t>
      </w:r>
      <w:r w:rsidRPr="00EC79CF">
        <w:rPr>
          <w:rStyle w:val="FootnoteReference"/>
        </w:rPr>
        <w:footnoteReference w:id="9"/>
      </w:r>
      <w:r w:rsidRPr="00EC79CF">
        <w:t xml:space="preserve"> </w:t>
      </w:r>
    </w:p>
    <w:p w:rsidR="00A665A9" w:rsidRDefault="00A665A9" w:rsidP="00A665A9">
      <w:pPr>
        <w:pStyle w:val="CGCTableHeading"/>
      </w:pPr>
      <w:bookmarkStart w:id="460" w:name="_Ref410384895"/>
      <w:bookmarkStart w:id="461" w:name="_Ref412103945"/>
      <w:r w:rsidRPr="00EC79CF">
        <w:lastRenderedPageBreak/>
        <w:t xml:space="preserve">Figure </w:t>
      </w:r>
      <w:bookmarkEnd w:id="460"/>
      <w:r w:rsidR="00B0143D">
        <w:fldChar w:fldCharType="begin"/>
      </w:r>
      <w:r w:rsidR="00B0143D">
        <w:instrText xml:space="preserve"> SEQ Figure \* ARABIC \r1 </w:instrText>
      </w:r>
      <w:r w:rsidR="00B0143D">
        <w:fldChar w:fldCharType="separate"/>
      </w:r>
      <w:r w:rsidR="003A5DEE">
        <w:rPr>
          <w:noProof/>
        </w:rPr>
        <w:t>1</w:t>
      </w:r>
      <w:r w:rsidR="00B0143D">
        <w:fldChar w:fldCharType="end"/>
      </w:r>
      <w:bookmarkEnd w:id="461"/>
      <w:r w:rsidRPr="00EC79CF">
        <w:tab/>
        <w:t xml:space="preserve">Western Australia iron ore royalties, actual and </w:t>
      </w:r>
      <w:r w:rsidR="001E4199">
        <w:t xml:space="preserve">projected </w:t>
      </w:r>
      <w:r w:rsidR="00140DC7">
        <w:t>from 2014-15</w:t>
      </w:r>
    </w:p>
    <w:p w:rsidR="002A3388" w:rsidRDefault="000336A3" w:rsidP="000336A3">
      <w:r w:rsidRPr="000336A3">
        <w:rPr>
          <w:noProof/>
          <w:lang w:eastAsia="en-AU"/>
        </w:rPr>
        <w:drawing>
          <wp:inline distT="0" distB="0" distL="0" distR="0">
            <wp:extent cx="5656580" cy="3561715"/>
            <wp:effectExtent l="0" t="0" r="1270" b="635"/>
            <wp:docPr id="21" name="Picture 21" descr="This figure shows that the reduction in iron ore royalties from the high in 2013-14 is to a level consistent with the revenues from 2011-12 and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56580" cy="3561715"/>
                    </a:xfrm>
                    <a:prstGeom prst="rect">
                      <a:avLst/>
                    </a:prstGeom>
                    <a:noFill/>
                    <a:ln>
                      <a:noFill/>
                    </a:ln>
                  </pic:spPr>
                </pic:pic>
              </a:graphicData>
            </a:graphic>
          </wp:inline>
        </w:drawing>
      </w:r>
    </w:p>
    <w:p w:rsidR="003639B9" w:rsidRDefault="00A665A9" w:rsidP="00A665A9">
      <w:pPr>
        <w:pStyle w:val="CGCTableFootnote"/>
      </w:pPr>
      <w:r w:rsidRPr="00EC79CF">
        <w:t xml:space="preserve">Source: </w:t>
      </w:r>
      <w:r w:rsidRPr="00EC79CF">
        <w:tab/>
        <w:t>Statistics Digest, WA Department of Mines and Petroleum</w:t>
      </w:r>
      <w:r w:rsidR="003639B9">
        <w:t>.</w:t>
      </w:r>
    </w:p>
    <w:p w:rsidR="00A665A9" w:rsidRPr="00EC79CF" w:rsidRDefault="003639B9" w:rsidP="00A665A9">
      <w:pPr>
        <w:pStyle w:val="CGCTableFootnote"/>
      </w:pPr>
      <w:r>
        <w:tab/>
      </w:r>
      <w:r w:rsidR="00A665A9" w:rsidRPr="00EC79CF">
        <w:t>Western Australia Mid-Year Financial Projections Statement, December 2014.</w:t>
      </w:r>
    </w:p>
    <w:p w:rsidR="00A665A9" w:rsidRDefault="00A665A9" w:rsidP="00C20E52">
      <w:pPr>
        <w:pStyle w:val="CGCNumberedPara"/>
        <w:numPr>
          <w:ilvl w:val="1"/>
          <w:numId w:val="2"/>
        </w:numPr>
      </w:pPr>
      <w:r w:rsidRPr="00EC79CF">
        <w:fldChar w:fldCharType="begin"/>
      </w:r>
      <w:r w:rsidRPr="00EC79CF">
        <w:instrText xml:space="preserve"> REF _Ref405451453 \h  \* MERGEFORMAT </w:instrText>
      </w:r>
      <w:r w:rsidRPr="00EC79CF">
        <w:fldChar w:fldCharType="separate"/>
      </w:r>
      <w:r w:rsidR="003A5DEE" w:rsidRPr="00EC79CF">
        <w:t xml:space="preserve">Table </w:t>
      </w:r>
      <w:r w:rsidR="003A5DEE">
        <w:rPr>
          <w:noProof/>
        </w:rPr>
        <w:t>5</w:t>
      </w:r>
      <w:r w:rsidRPr="00EC79CF">
        <w:fldChar w:fldCharType="end"/>
      </w:r>
      <w:r w:rsidRPr="00EC79CF">
        <w:t xml:space="preserve"> shows our lagged three year average approach would assess Western Australia’s iron ore royalty capacity to be $5.2 billion in 2015-16 (the application year), $</w:t>
      </w:r>
      <w:r w:rsidR="002243E1">
        <w:t>836</w:t>
      </w:r>
      <w:r w:rsidR="002243E1" w:rsidRPr="00EC79CF">
        <w:t xml:space="preserve"> </w:t>
      </w:r>
      <w:r w:rsidRPr="00EC79CF">
        <w:t>million (</w:t>
      </w:r>
      <w:r w:rsidR="005A5DDF">
        <w:t>$308 per capita), 1</w:t>
      </w:r>
      <w:r w:rsidRPr="00EC79CF">
        <w:t xml:space="preserve">9% above its latest </w:t>
      </w:r>
      <w:r w:rsidR="005A5DDF">
        <w:t>projection</w:t>
      </w:r>
      <w:r w:rsidRPr="00EC79CF">
        <w:t>.</w:t>
      </w:r>
      <w:r w:rsidR="005A5DDF">
        <w:rPr>
          <w:rStyle w:val="FootnoteReference"/>
        </w:rPr>
        <w:footnoteReference w:id="10"/>
      </w:r>
      <w:r w:rsidRPr="00EC79CF">
        <w:t xml:space="preserve"> A contemporaneous assessment </w:t>
      </w:r>
      <w:r w:rsidR="00922480">
        <w:t>c</w:t>
      </w:r>
      <w:r w:rsidR="00922480" w:rsidRPr="00EC79CF">
        <w:t xml:space="preserve">ould </w:t>
      </w:r>
      <w:r w:rsidRPr="00EC79CF">
        <w:t>be based on Western Australia’s $4.4</w:t>
      </w:r>
      <w:r w:rsidR="00922480">
        <w:t> </w:t>
      </w:r>
      <w:r w:rsidRPr="00EC79CF">
        <w:t xml:space="preserve">billion </w:t>
      </w:r>
      <w:r w:rsidR="005A5DDF">
        <w:t>projection</w:t>
      </w:r>
      <w:r w:rsidRPr="00EC79CF">
        <w:t>. Basing our iron ore assessment on this lower figure would reduce Western Australia’s assessed capacity and increase its GST distribution</w:t>
      </w:r>
      <w:r w:rsidR="003639B9">
        <w:t xml:space="preserve"> for 2015-16</w:t>
      </w:r>
      <w:r w:rsidR="00AD6F27">
        <w:t>.</w:t>
      </w:r>
    </w:p>
    <w:p w:rsidR="00AD6F27" w:rsidRPr="00C21EF9" w:rsidRDefault="00AD6F27" w:rsidP="00AD6F27">
      <w:pPr>
        <w:pStyle w:val="CGCNumberedPara"/>
      </w:pPr>
      <w:r w:rsidRPr="003F3AE3">
        <w:t>Western Australia’s North-West Shelf payments from the Commonwealth reached their apex in 2013-14 and are projected to decline from 2014-15. However</w:t>
      </w:r>
      <w:r>
        <w:t>, the per </w:t>
      </w:r>
      <w:r w:rsidRPr="003F3AE3">
        <w:t>capita decline in the payment is much less than the projected decline in iron ore revenues. In the following section</w:t>
      </w:r>
      <w:r>
        <w:t>,</w:t>
      </w:r>
      <w:r w:rsidRPr="003F3AE3">
        <w:t xml:space="preserve"> we focus on iron ore</w:t>
      </w:r>
      <w:r>
        <w:t>.</w:t>
      </w:r>
      <w:r w:rsidRPr="003F3AE3">
        <w:t xml:space="preserve"> </w:t>
      </w:r>
      <w:r>
        <w:t>H</w:t>
      </w:r>
      <w:r w:rsidRPr="003F3AE3">
        <w:t>owever</w:t>
      </w:r>
      <w:r>
        <w:t>,</w:t>
      </w:r>
      <w:r w:rsidRPr="003F3AE3">
        <w:t xml:space="preserve"> the discussion equally applies to the North-West Shelf payments and any other volatile revenues.</w:t>
      </w:r>
    </w:p>
    <w:p w:rsidR="00A665A9" w:rsidRPr="00EC79CF" w:rsidRDefault="00A665A9" w:rsidP="00A665A9">
      <w:pPr>
        <w:pStyle w:val="CGCTableHeading"/>
      </w:pPr>
      <w:bookmarkStart w:id="462" w:name="_Ref405451453"/>
      <w:r w:rsidRPr="00EC79CF">
        <w:lastRenderedPageBreak/>
        <w:t xml:space="preserve">Table </w:t>
      </w:r>
      <w:fldSimple w:instr=" SEQ Table \* ARABIC ">
        <w:r w:rsidR="003A5DEE">
          <w:rPr>
            <w:noProof/>
          </w:rPr>
          <w:t>5</w:t>
        </w:r>
      </w:fldSimple>
      <w:bookmarkEnd w:id="462"/>
      <w:r w:rsidRPr="00EC79CF">
        <w:tab/>
      </w:r>
      <w:r w:rsidR="00C378D8">
        <w:t>Comparison of Western Australia</w:t>
      </w:r>
      <w:r w:rsidRPr="00EC79CF">
        <w:t xml:space="preserve"> and Commission iron ore royalty data, actual, forecast and assessed</w:t>
      </w:r>
    </w:p>
    <w:tbl>
      <w:tblPr>
        <w:tblW w:w="5000" w:type="pct"/>
        <w:tblCellMar>
          <w:left w:w="85" w:type="dxa"/>
          <w:right w:w="85" w:type="dxa"/>
        </w:tblCellMar>
        <w:tblLook w:val="0000" w:firstRow="0" w:lastRow="0" w:firstColumn="0" w:lastColumn="0" w:noHBand="0" w:noVBand="0"/>
      </w:tblPr>
      <w:tblGrid>
        <w:gridCol w:w="1787"/>
        <w:gridCol w:w="1466"/>
        <w:gridCol w:w="1467"/>
        <w:gridCol w:w="1467"/>
        <w:gridCol w:w="1467"/>
        <w:gridCol w:w="1467"/>
      </w:tblGrid>
      <w:tr w:rsidR="00A665A9" w:rsidRPr="00EC79CF" w:rsidTr="00A665A9">
        <w:tc>
          <w:tcPr>
            <w:tcW w:w="980" w:type="pct"/>
            <w:tcBorders>
              <w:top w:val="single" w:sz="4" w:space="0" w:color="auto"/>
            </w:tcBorders>
            <w:vAlign w:val="bottom"/>
          </w:tcPr>
          <w:p w:rsidR="00A665A9" w:rsidRPr="00EC79CF" w:rsidRDefault="00A665A9" w:rsidP="00A665A9">
            <w:pPr>
              <w:pStyle w:val="TableColHeadings"/>
              <w:jc w:val="left"/>
              <w:rPr>
                <w:rFonts w:cstheme="minorHAnsi"/>
              </w:rPr>
            </w:pPr>
          </w:p>
        </w:tc>
        <w:tc>
          <w:tcPr>
            <w:tcW w:w="2412" w:type="pct"/>
            <w:gridSpan w:val="3"/>
            <w:tcBorders>
              <w:top w:val="single" w:sz="4" w:space="0" w:color="auto"/>
              <w:bottom w:val="single" w:sz="4" w:space="0" w:color="auto"/>
            </w:tcBorders>
            <w:vAlign w:val="bottom"/>
          </w:tcPr>
          <w:p w:rsidR="00A665A9" w:rsidRPr="00EC79CF" w:rsidRDefault="00A665A9" w:rsidP="00A665A9">
            <w:pPr>
              <w:pStyle w:val="TableColHeadings"/>
              <w:jc w:val="center"/>
              <w:rPr>
                <w:rFonts w:cstheme="minorHAnsi"/>
              </w:rPr>
            </w:pPr>
            <w:r w:rsidRPr="00EC79CF">
              <w:rPr>
                <w:rFonts w:cstheme="minorHAnsi"/>
              </w:rPr>
              <w:t>Assessment period</w:t>
            </w:r>
          </w:p>
        </w:tc>
        <w:tc>
          <w:tcPr>
            <w:tcW w:w="804" w:type="pct"/>
            <w:tcBorders>
              <w:top w:val="single" w:sz="4" w:space="0" w:color="auto"/>
            </w:tcBorders>
            <w:vAlign w:val="bottom"/>
          </w:tcPr>
          <w:p w:rsidR="00A665A9" w:rsidRPr="00EC79CF" w:rsidRDefault="00A665A9" w:rsidP="00A665A9">
            <w:pPr>
              <w:pStyle w:val="TableColHeadings"/>
              <w:rPr>
                <w:rFonts w:cstheme="minorHAnsi"/>
              </w:rPr>
            </w:pPr>
          </w:p>
        </w:tc>
        <w:tc>
          <w:tcPr>
            <w:tcW w:w="804" w:type="pct"/>
            <w:vMerge w:val="restart"/>
            <w:tcBorders>
              <w:top w:val="single" w:sz="4" w:space="0" w:color="auto"/>
            </w:tcBorders>
            <w:vAlign w:val="bottom"/>
          </w:tcPr>
          <w:p w:rsidR="00A665A9" w:rsidRPr="00EC79CF" w:rsidRDefault="00A665A9" w:rsidP="00A665A9">
            <w:pPr>
              <w:pStyle w:val="TableColHeadings"/>
              <w:rPr>
                <w:rFonts w:cstheme="minorHAnsi"/>
              </w:rPr>
            </w:pPr>
            <w:r w:rsidRPr="00EC79CF">
              <w:rPr>
                <w:rFonts w:cstheme="minorHAnsi"/>
              </w:rPr>
              <w:t>Assessed application year (a)</w:t>
            </w:r>
          </w:p>
        </w:tc>
      </w:tr>
      <w:tr w:rsidR="00A665A9" w:rsidRPr="00EC79CF" w:rsidTr="00A665A9">
        <w:tc>
          <w:tcPr>
            <w:tcW w:w="980" w:type="pct"/>
            <w:tcBorders>
              <w:bottom w:val="single" w:sz="6" w:space="0" w:color="auto"/>
            </w:tcBorders>
            <w:vAlign w:val="bottom"/>
          </w:tcPr>
          <w:p w:rsidR="00A665A9" w:rsidRPr="00EC79CF" w:rsidRDefault="00A665A9" w:rsidP="00A665A9">
            <w:pPr>
              <w:pStyle w:val="TableColHeadings"/>
              <w:jc w:val="left"/>
              <w:rPr>
                <w:rFonts w:cstheme="minorHAnsi"/>
              </w:rPr>
            </w:pPr>
          </w:p>
        </w:tc>
        <w:tc>
          <w:tcPr>
            <w:tcW w:w="804" w:type="pct"/>
            <w:tcBorders>
              <w:top w:val="single" w:sz="4" w:space="0" w:color="auto"/>
              <w:bottom w:val="single" w:sz="6" w:space="0" w:color="auto"/>
            </w:tcBorders>
            <w:vAlign w:val="bottom"/>
          </w:tcPr>
          <w:p w:rsidR="00A665A9" w:rsidRPr="00EC79CF" w:rsidRDefault="00A665A9" w:rsidP="00A665A9">
            <w:pPr>
              <w:pStyle w:val="TableColHeadings"/>
              <w:rPr>
                <w:rFonts w:cstheme="minorHAnsi"/>
              </w:rPr>
            </w:pPr>
            <w:r w:rsidRPr="00EC79CF">
              <w:rPr>
                <w:rFonts w:cstheme="minorHAnsi"/>
              </w:rPr>
              <w:t>2011-12</w:t>
            </w:r>
          </w:p>
        </w:tc>
        <w:tc>
          <w:tcPr>
            <w:tcW w:w="804" w:type="pct"/>
            <w:tcBorders>
              <w:top w:val="single" w:sz="4" w:space="0" w:color="auto"/>
              <w:bottom w:val="single" w:sz="6" w:space="0" w:color="auto"/>
            </w:tcBorders>
            <w:vAlign w:val="bottom"/>
          </w:tcPr>
          <w:p w:rsidR="00A665A9" w:rsidRPr="00EC79CF" w:rsidRDefault="00A665A9" w:rsidP="00A665A9">
            <w:pPr>
              <w:pStyle w:val="TableColHeadings"/>
              <w:rPr>
                <w:rFonts w:cstheme="minorHAnsi"/>
              </w:rPr>
            </w:pPr>
            <w:r w:rsidRPr="00EC79CF">
              <w:rPr>
                <w:rFonts w:cstheme="minorHAnsi"/>
              </w:rPr>
              <w:t>2012-13</w:t>
            </w:r>
          </w:p>
        </w:tc>
        <w:tc>
          <w:tcPr>
            <w:tcW w:w="804" w:type="pct"/>
            <w:tcBorders>
              <w:top w:val="single" w:sz="4" w:space="0" w:color="auto"/>
              <w:bottom w:val="single" w:sz="6" w:space="0" w:color="auto"/>
            </w:tcBorders>
            <w:vAlign w:val="bottom"/>
          </w:tcPr>
          <w:p w:rsidR="00A665A9" w:rsidRPr="00EC79CF" w:rsidRDefault="00A665A9" w:rsidP="00A665A9">
            <w:pPr>
              <w:pStyle w:val="TableColHeadings"/>
              <w:rPr>
                <w:rFonts w:cstheme="minorHAnsi"/>
              </w:rPr>
            </w:pPr>
            <w:r w:rsidRPr="00EC79CF">
              <w:rPr>
                <w:rFonts w:cstheme="minorHAnsi"/>
              </w:rPr>
              <w:t>2013-14</w:t>
            </w:r>
          </w:p>
        </w:tc>
        <w:tc>
          <w:tcPr>
            <w:tcW w:w="804" w:type="pct"/>
            <w:tcBorders>
              <w:bottom w:val="single" w:sz="6" w:space="0" w:color="auto"/>
            </w:tcBorders>
            <w:vAlign w:val="bottom"/>
          </w:tcPr>
          <w:p w:rsidR="00A665A9" w:rsidRPr="00EC79CF" w:rsidRDefault="00A665A9" w:rsidP="00A665A9">
            <w:pPr>
              <w:pStyle w:val="TableColHeadings"/>
              <w:rPr>
                <w:rFonts w:cstheme="minorHAnsi"/>
              </w:rPr>
            </w:pPr>
          </w:p>
        </w:tc>
        <w:tc>
          <w:tcPr>
            <w:tcW w:w="804" w:type="pct"/>
            <w:vMerge/>
            <w:tcBorders>
              <w:bottom w:val="single" w:sz="6" w:space="0" w:color="auto"/>
            </w:tcBorders>
            <w:vAlign w:val="bottom"/>
          </w:tcPr>
          <w:p w:rsidR="00A665A9" w:rsidRPr="00EC79CF" w:rsidRDefault="00A665A9" w:rsidP="00A665A9">
            <w:pPr>
              <w:pStyle w:val="TableColHeadings"/>
              <w:rPr>
                <w:rFonts w:cstheme="minorHAnsi"/>
              </w:rPr>
            </w:pPr>
          </w:p>
        </w:tc>
      </w:tr>
      <w:tr w:rsidR="00A665A9" w:rsidRPr="00EC79CF" w:rsidTr="00A665A9">
        <w:tc>
          <w:tcPr>
            <w:tcW w:w="980" w:type="pct"/>
            <w:tcMar>
              <w:top w:w="0" w:type="dxa"/>
              <w:bottom w:w="0" w:type="dxa"/>
            </w:tcMar>
            <w:vAlign w:val="bottom"/>
          </w:tcPr>
          <w:p w:rsidR="00A665A9" w:rsidRPr="00EC79CF" w:rsidRDefault="00A665A9" w:rsidP="00A665A9">
            <w:pPr>
              <w:pStyle w:val="TableRowUnits"/>
              <w:rPr>
                <w:rFonts w:cstheme="minorHAnsi"/>
              </w:rPr>
            </w:pPr>
          </w:p>
        </w:tc>
        <w:tc>
          <w:tcPr>
            <w:tcW w:w="804" w:type="pct"/>
            <w:tcMar>
              <w:top w:w="0" w:type="dxa"/>
              <w:bottom w:w="0" w:type="dxa"/>
            </w:tcMar>
            <w:vAlign w:val="bottom"/>
          </w:tcPr>
          <w:p w:rsidR="00A665A9" w:rsidRPr="00EC79CF" w:rsidRDefault="00A665A9" w:rsidP="00A665A9">
            <w:pPr>
              <w:pStyle w:val="TableRowUnits"/>
              <w:rPr>
                <w:rFonts w:cstheme="minorHAnsi"/>
              </w:rPr>
            </w:pPr>
            <w:r w:rsidRPr="00EC79CF">
              <w:rPr>
                <w:rFonts w:cstheme="minorHAnsi"/>
              </w:rPr>
              <w:t>$m</w:t>
            </w:r>
          </w:p>
        </w:tc>
        <w:tc>
          <w:tcPr>
            <w:tcW w:w="804" w:type="pct"/>
            <w:tcMar>
              <w:top w:w="0" w:type="dxa"/>
              <w:bottom w:w="0" w:type="dxa"/>
            </w:tcMar>
            <w:vAlign w:val="bottom"/>
          </w:tcPr>
          <w:p w:rsidR="00A665A9" w:rsidRPr="00EC79CF" w:rsidRDefault="00A665A9" w:rsidP="00A665A9">
            <w:pPr>
              <w:pStyle w:val="TableRowUnits"/>
              <w:rPr>
                <w:rFonts w:cstheme="minorHAnsi"/>
              </w:rPr>
            </w:pPr>
            <w:r w:rsidRPr="00EC79CF">
              <w:rPr>
                <w:rFonts w:cstheme="minorHAnsi"/>
              </w:rPr>
              <w:t>$m</w:t>
            </w:r>
          </w:p>
        </w:tc>
        <w:tc>
          <w:tcPr>
            <w:tcW w:w="804" w:type="pct"/>
            <w:tcMar>
              <w:top w:w="0" w:type="dxa"/>
              <w:bottom w:w="0" w:type="dxa"/>
            </w:tcMar>
            <w:vAlign w:val="bottom"/>
          </w:tcPr>
          <w:p w:rsidR="00A665A9" w:rsidRPr="00EC79CF" w:rsidRDefault="00A665A9" w:rsidP="00A665A9">
            <w:pPr>
              <w:pStyle w:val="TableRowUnits"/>
              <w:rPr>
                <w:rFonts w:cstheme="minorHAnsi"/>
              </w:rPr>
            </w:pPr>
            <w:r w:rsidRPr="00EC79CF">
              <w:rPr>
                <w:rFonts w:cstheme="minorHAnsi"/>
              </w:rPr>
              <w:t>$m</w:t>
            </w:r>
          </w:p>
        </w:tc>
        <w:tc>
          <w:tcPr>
            <w:tcW w:w="804" w:type="pct"/>
            <w:tcMar>
              <w:top w:w="0" w:type="dxa"/>
              <w:bottom w:w="0" w:type="dxa"/>
            </w:tcMar>
            <w:vAlign w:val="bottom"/>
          </w:tcPr>
          <w:p w:rsidR="00A665A9" w:rsidRPr="00EC79CF" w:rsidRDefault="00A665A9" w:rsidP="00A665A9">
            <w:pPr>
              <w:pStyle w:val="TableRowUnits"/>
              <w:rPr>
                <w:rFonts w:cstheme="minorHAnsi"/>
              </w:rPr>
            </w:pPr>
          </w:p>
        </w:tc>
        <w:tc>
          <w:tcPr>
            <w:tcW w:w="804" w:type="pct"/>
            <w:tcMar>
              <w:top w:w="0" w:type="dxa"/>
              <w:bottom w:w="0" w:type="dxa"/>
            </w:tcMar>
            <w:vAlign w:val="bottom"/>
          </w:tcPr>
          <w:p w:rsidR="00A665A9" w:rsidRPr="00EC79CF" w:rsidRDefault="00A665A9" w:rsidP="00A665A9">
            <w:pPr>
              <w:pStyle w:val="TableRowUnits"/>
              <w:rPr>
                <w:rFonts w:cstheme="minorHAnsi"/>
              </w:rPr>
            </w:pPr>
            <w:r w:rsidRPr="00EC79CF">
              <w:rPr>
                <w:rFonts w:cstheme="minorHAnsi"/>
              </w:rPr>
              <w:t>$m</w:t>
            </w:r>
          </w:p>
        </w:tc>
      </w:tr>
      <w:tr w:rsidR="00A665A9" w:rsidRPr="00EC79CF" w:rsidTr="00A665A9">
        <w:tc>
          <w:tcPr>
            <w:tcW w:w="980" w:type="pct"/>
            <w:vAlign w:val="bottom"/>
          </w:tcPr>
          <w:p w:rsidR="00A665A9" w:rsidRPr="00EC79CF" w:rsidRDefault="00A665A9" w:rsidP="00A665A9">
            <w:pPr>
              <w:pStyle w:val="CGCTableStub"/>
              <w:tabs>
                <w:tab w:val="left" w:pos="142"/>
                <w:tab w:val="left" w:pos="425"/>
                <w:tab w:val="left" w:pos="709"/>
                <w:tab w:val="left" w:pos="851"/>
              </w:tabs>
              <w:ind w:left="142" w:hanging="142"/>
              <w:rPr>
                <w:rFonts w:cstheme="minorHAnsi"/>
              </w:rPr>
            </w:pPr>
            <w:r w:rsidRPr="00EC79CF">
              <w:rPr>
                <w:rFonts w:cstheme="minorHAnsi"/>
              </w:rPr>
              <w:t>2015 Review</w:t>
            </w:r>
          </w:p>
        </w:tc>
        <w:tc>
          <w:tcPr>
            <w:tcW w:w="804" w:type="pct"/>
            <w:vAlign w:val="bottom"/>
          </w:tcPr>
          <w:p w:rsidR="00A665A9" w:rsidRPr="00EC79CF" w:rsidRDefault="00A665A9" w:rsidP="00A665A9">
            <w:pPr>
              <w:pStyle w:val="TableRowNormal"/>
              <w:ind w:left="0" w:firstLine="0"/>
              <w:rPr>
                <w:rFonts w:cstheme="minorHAnsi"/>
              </w:rPr>
            </w:pPr>
            <w:r w:rsidRPr="00EC79CF">
              <w:rPr>
                <w:rFonts w:cstheme="minorHAnsi"/>
              </w:rPr>
              <w:t>3</w:t>
            </w:r>
            <w:r w:rsidR="00C378D8">
              <w:rPr>
                <w:rFonts w:cstheme="minorHAnsi"/>
              </w:rPr>
              <w:t xml:space="preserve"> </w:t>
            </w:r>
            <w:r w:rsidRPr="00EC79CF">
              <w:rPr>
                <w:rFonts w:cstheme="minorHAnsi"/>
              </w:rPr>
              <w:t>708</w:t>
            </w:r>
          </w:p>
        </w:tc>
        <w:tc>
          <w:tcPr>
            <w:tcW w:w="804" w:type="pct"/>
            <w:vAlign w:val="bottom"/>
          </w:tcPr>
          <w:p w:rsidR="00A665A9" w:rsidRPr="00EC79CF" w:rsidRDefault="00C378D8" w:rsidP="00A665A9">
            <w:pPr>
              <w:pStyle w:val="TableRowNormal"/>
              <w:ind w:left="0" w:firstLine="0"/>
              <w:rPr>
                <w:rFonts w:cstheme="minorHAnsi"/>
              </w:rPr>
            </w:pPr>
            <w:r>
              <w:rPr>
                <w:rFonts w:cstheme="minorHAnsi"/>
              </w:rPr>
              <w:t xml:space="preserve">3 </w:t>
            </w:r>
            <w:r w:rsidR="00A665A9" w:rsidRPr="00EC79CF">
              <w:rPr>
                <w:rFonts w:cstheme="minorHAnsi"/>
              </w:rPr>
              <w:t>767</w:t>
            </w:r>
          </w:p>
        </w:tc>
        <w:tc>
          <w:tcPr>
            <w:tcW w:w="804" w:type="pct"/>
            <w:vAlign w:val="bottom"/>
          </w:tcPr>
          <w:p w:rsidR="00A665A9" w:rsidRPr="00EC79CF" w:rsidRDefault="00C378D8" w:rsidP="00A665A9">
            <w:pPr>
              <w:pStyle w:val="TableRowNormal"/>
              <w:ind w:left="0" w:firstLine="0"/>
              <w:rPr>
                <w:rFonts w:cstheme="minorHAnsi"/>
              </w:rPr>
            </w:pPr>
            <w:r>
              <w:rPr>
                <w:rFonts w:cstheme="minorHAnsi"/>
              </w:rPr>
              <w:t xml:space="preserve">5 </w:t>
            </w:r>
            <w:r w:rsidR="00A665A9" w:rsidRPr="00EC79CF">
              <w:rPr>
                <w:rFonts w:cstheme="minorHAnsi"/>
              </w:rPr>
              <w:t>328</w:t>
            </w:r>
          </w:p>
        </w:tc>
        <w:tc>
          <w:tcPr>
            <w:tcW w:w="804" w:type="pct"/>
            <w:vAlign w:val="bottom"/>
          </w:tcPr>
          <w:p w:rsidR="00A665A9" w:rsidRPr="00EC79CF" w:rsidRDefault="00A665A9" w:rsidP="00A665A9">
            <w:pPr>
              <w:pStyle w:val="TableRowNormal"/>
              <w:ind w:left="0" w:firstLine="0"/>
              <w:rPr>
                <w:rFonts w:cstheme="minorHAnsi"/>
              </w:rPr>
            </w:pPr>
          </w:p>
        </w:tc>
        <w:tc>
          <w:tcPr>
            <w:tcW w:w="804" w:type="pct"/>
            <w:vAlign w:val="bottom"/>
          </w:tcPr>
          <w:p w:rsidR="00A665A9" w:rsidRPr="00EC79CF" w:rsidRDefault="00A665A9" w:rsidP="00C378D8">
            <w:pPr>
              <w:pStyle w:val="TableRowNormal"/>
              <w:ind w:left="0" w:firstLine="0"/>
              <w:rPr>
                <w:rFonts w:cstheme="minorHAnsi"/>
              </w:rPr>
            </w:pPr>
            <w:r w:rsidRPr="00EC79CF">
              <w:rPr>
                <w:rFonts w:cstheme="minorHAnsi"/>
              </w:rPr>
              <w:t>5</w:t>
            </w:r>
            <w:r w:rsidR="00C378D8">
              <w:rPr>
                <w:rFonts w:cstheme="minorHAnsi"/>
              </w:rPr>
              <w:t xml:space="preserve"> 238</w:t>
            </w:r>
          </w:p>
        </w:tc>
      </w:tr>
      <w:tr w:rsidR="00A665A9" w:rsidRPr="00EC79CF" w:rsidTr="00A665A9">
        <w:tc>
          <w:tcPr>
            <w:tcW w:w="980" w:type="pct"/>
            <w:tcBorders>
              <w:bottom w:val="single" w:sz="4" w:space="0" w:color="auto"/>
            </w:tcBorders>
            <w:vAlign w:val="bottom"/>
          </w:tcPr>
          <w:p w:rsidR="00A665A9" w:rsidRPr="00EC79CF" w:rsidRDefault="00A665A9" w:rsidP="00A665A9">
            <w:pPr>
              <w:pStyle w:val="CGCTableStub"/>
              <w:tabs>
                <w:tab w:val="left" w:pos="142"/>
                <w:tab w:val="left" w:pos="425"/>
                <w:tab w:val="left" w:pos="709"/>
                <w:tab w:val="left" w:pos="851"/>
              </w:tabs>
              <w:ind w:left="142" w:hanging="142"/>
              <w:rPr>
                <w:rFonts w:cstheme="minorHAnsi"/>
              </w:rPr>
            </w:pPr>
            <w:r w:rsidRPr="00EC79CF">
              <w:rPr>
                <w:rFonts w:cstheme="minorHAnsi"/>
              </w:rPr>
              <w:t>Western Australia budget data</w:t>
            </w:r>
          </w:p>
        </w:tc>
        <w:tc>
          <w:tcPr>
            <w:tcW w:w="804" w:type="pct"/>
            <w:tcBorders>
              <w:bottom w:val="single" w:sz="4" w:space="0" w:color="auto"/>
            </w:tcBorders>
            <w:vAlign w:val="bottom"/>
          </w:tcPr>
          <w:p w:rsidR="00A665A9" w:rsidRPr="00EC79CF" w:rsidRDefault="00A665A9" w:rsidP="00A665A9">
            <w:pPr>
              <w:pStyle w:val="TableColHeadings"/>
              <w:rPr>
                <w:rFonts w:cstheme="minorHAnsi"/>
              </w:rPr>
            </w:pPr>
            <w:r w:rsidRPr="00EC79CF">
              <w:rPr>
                <w:rFonts w:cstheme="minorHAnsi"/>
              </w:rPr>
              <w:t>2011-12</w:t>
            </w:r>
            <w:r w:rsidRPr="00EC79CF">
              <w:rPr>
                <w:rFonts w:cstheme="minorHAnsi"/>
              </w:rPr>
              <w:br/>
              <w:t>Actual</w:t>
            </w:r>
          </w:p>
        </w:tc>
        <w:tc>
          <w:tcPr>
            <w:tcW w:w="804" w:type="pct"/>
            <w:tcBorders>
              <w:bottom w:val="single" w:sz="4" w:space="0" w:color="auto"/>
            </w:tcBorders>
            <w:vAlign w:val="bottom"/>
          </w:tcPr>
          <w:p w:rsidR="00A665A9" w:rsidRPr="00EC79CF" w:rsidRDefault="00A665A9" w:rsidP="00A665A9">
            <w:pPr>
              <w:pStyle w:val="TableColHeadings"/>
              <w:rPr>
                <w:rFonts w:cstheme="minorHAnsi"/>
              </w:rPr>
            </w:pPr>
            <w:r w:rsidRPr="00EC79CF">
              <w:rPr>
                <w:rFonts w:cstheme="minorHAnsi"/>
              </w:rPr>
              <w:t>2012-13</w:t>
            </w:r>
            <w:r w:rsidRPr="00EC79CF">
              <w:rPr>
                <w:rFonts w:cstheme="minorHAnsi"/>
              </w:rPr>
              <w:br/>
              <w:t>Actual</w:t>
            </w:r>
          </w:p>
        </w:tc>
        <w:tc>
          <w:tcPr>
            <w:tcW w:w="804" w:type="pct"/>
            <w:tcBorders>
              <w:bottom w:val="single" w:sz="4" w:space="0" w:color="auto"/>
            </w:tcBorders>
            <w:vAlign w:val="bottom"/>
          </w:tcPr>
          <w:p w:rsidR="00A665A9" w:rsidRPr="00EC79CF" w:rsidRDefault="00A665A9" w:rsidP="00A665A9">
            <w:pPr>
              <w:pStyle w:val="TableColHeadings"/>
              <w:rPr>
                <w:rFonts w:cstheme="minorHAnsi"/>
              </w:rPr>
            </w:pPr>
            <w:r w:rsidRPr="00EC79CF">
              <w:rPr>
                <w:rFonts w:cstheme="minorHAnsi"/>
              </w:rPr>
              <w:t>2013-14</w:t>
            </w:r>
            <w:r w:rsidRPr="00EC79CF">
              <w:rPr>
                <w:rFonts w:cstheme="minorHAnsi"/>
              </w:rPr>
              <w:br/>
              <w:t>Estimated actual</w:t>
            </w:r>
          </w:p>
        </w:tc>
        <w:tc>
          <w:tcPr>
            <w:tcW w:w="804" w:type="pct"/>
            <w:tcBorders>
              <w:bottom w:val="single" w:sz="4" w:space="0" w:color="auto"/>
            </w:tcBorders>
            <w:vAlign w:val="bottom"/>
          </w:tcPr>
          <w:p w:rsidR="00A665A9" w:rsidRPr="00EC79CF" w:rsidRDefault="00A665A9" w:rsidP="00A665A9">
            <w:pPr>
              <w:pStyle w:val="TableColHeadings"/>
              <w:rPr>
                <w:rFonts w:cstheme="minorHAnsi"/>
              </w:rPr>
            </w:pPr>
            <w:r w:rsidRPr="00EC79CF">
              <w:rPr>
                <w:rFonts w:cstheme="minorHAnsi"/>
              </w:rPr>
              <w:t>2014-15</w:t>
            </w:r>
            <w:r w:rsidRPr="00EC79CF">
              <w:rPr>
                <w:rFonts w:cstheme="minorHAnsi"/>
              </w:rPr>
              <w:br/>
              <w:t>Forward estimate</w:t>
            </w:r>
          </w:p>
        </w:tc>
        <w:tc>
          <w:tcPr>
            <w:tcW w:w="804" w:type="pct"/>
            <w:tcBorders>
              <w:bottom w:val="single" w:sz="4" w:space="0" w:color="auto"/>
            </w:tcBorders>
            <w:vAlign w:val="bottom"/>
          </w:tcPr>
          <w:p w:rsidR="00A665A9" w:rsidRPr="00EC79CF" w:rsidRDefault="00A665A9" w:rsidP="00A665A9">
            <w:pPr>
              <w:pStyle w:val="TableColHeadings"/>
              <w:rPr>
                <w:rFonts w:cstheme="minorHAnsi"/>
              </w:rPr>
            </w:pPr>
            <w:r w:rsidRPr="00EC79CF">
              <w:rPr>
                <w:rFonts w:cstheme="minorHAnsi"/>
              </w:rPr>
              <w:t>2015-16</w:t>
            </w:r>
            <w:r w:rsidRPr="00EC79CF">
              <w:rPr>
                <w:rFonts w:cstheme="minorHAnsi"/>
              </w:rPr>
              <w:br/>
              <w:t>Forward estimate</w:t>
            </w:r>
          </w:p>
        </w:tc>
      </w:tr>
      <w:tr w:rsidR="00A665A9" w:rsidRPr="00EC79CF" w:rsidTr="00A665A9">
        <w:tc>
          <w:tcPr>
            <w:tcW w:w="980" w:type="pct"/>
            <w:tcBorders>
              <w:top w:val="single" w:sz="4" w:space="0" w:color="auto"/>
            </w:tcBorders>
            <w:tcMar>
              <w:top w:w="0" w:type="dxa"/>
              <w:bottom w:w="0" w:type="dxa"/>
            </w:tcMar>
            <w:vAlign w:val="bottom"/>
          </w:tcPr>
          <w:p w:rsidR="00A665A9" w:rsidRPr="00EC79CF" w:rsidRDefault="00A665A9" w:rsidP="00A665A9">
            <w:pPr>
              <w:pStyle w:val="TableRowUnits"/>
              <w:rPr>
                <w:rFonts w:cstheme="minorHAnsi"/>
              </w:rPr>
            </w:pPr>
          </w:p>
        </w:tc>
        <w:tc>
          <w:tcPr>
            <w:tcW w:w="804" w:type="pct"/>
            <w:tcBorders>
              <w:top w:val="single" w:sz="4" w:space="0" w:color="auto"/>
            </w:tcBorders>
            <w:tcMar>
              <w:top w:w="0" w:type="dxa"/>
              <w:bottom w:w="0" w:type="dxa"/>
            </w:tcMar>
            <w:vAlign w:val="bottom"/>
          </w:tcPr>
          <w:p w:rsidR="00A665A9" w:rsidRPr="00EC79CF" w:rsidRDefault="00A665A9" w:rsidP="00A665A9">
            <w:pPr>
              <w:pStyle w:val="TableRowUnits"/>
              <w:rPr>
                <w:rFonts w:cstheme="minorHAnsi"/>
              </w:rPr>
            </w:pPr>
            <w:r w:rsidRPr="00EC79CF">
              <w:rPr>
                <w:rFonts w:cstheme="minorHAnsi"/>
              </w:rPr>
              <w:t>$m</w:t>
            </w:r>
          </w:p>
        </w:tc>
        <w:tc>
          <w:tcPr>
            <w:tcW w:w="804" w:type="pct"/>
            <w:tcBorders>
              <w:top w:val="single" w:sz="4" w:space="0" w:color="auto"/>
            </w:tcBorders>
            <w:tcMar>
              <w:top w:w="0" w:type="dxa"/>
              <w:bottom w:w="0" w:type="dxa"/>
            </w:tcMar>
            <w:vAlign w:val="bottom"/>
          </w:tcPr>
          <w:p w:rsidR="00A665A9" w:rsidRPr="00EC79CF" w:rsidRDefault="00A665A9" w:rsidP="00A665A9">
            <w:pPr>
              <w:pStyle w:val="TableRowUnits"/>
              <w:rPr>
                <w:rFonts w:cstheme="minorHAnsi"/>
              </w:rPr>
            </w:pPr>
            <w:r w:rsidRPr="00EC79CF">
              <w:rPr>
                <w:rFonts w:cstheme="minorHAnsi"/>
              </w:rPr>
              <w:t>$m</w:t>
            </w:r>
          </w:p>
        </w:tc>
        <w:tc>
          <w:tcPr>
            <w:tcW w:w="804" w:type="pct"/>
            <w:tcBorders>
              <w:top w:val="single" w:sz="4" w:space="0" w:color="auto"/>
            </w:tcBorders>
            <w:tcMar>
              <w:top w:w="0" w:type="dxa"/>
              <w:bottom w:w="0" w:type="dxa"/>
            </w:tcMar>
            <w:vAlign w:val="bottom"/>
          </w:tcPr>
          <w:p w:rsidR="00A665A9" w:rsidRPr="00EC79CF" w:rsidRDefault="00A665A9" w:rsidP="00A665A9">
            <w:pPr>
              <w:pStyle w:val="TableRowUnits"/>
              <w:rPr>
                <w:rFonts w:cstheme="minorHAnsi"/>
              </w:rPr>
            </w:pPr>
            <w:r w:rsidRPr="00EC79CF">
              <w:rPr>
                <w:rFonts w:cstheme="minorHAnsi"/>
              </w:rPr>
              <w:t>$m</w:t>
            </w:r>
          </w:p>
        </w:tc>
        <w:tc>
          <w:tcPr>
            <w:tcW w:w="804" w:type="pct"/>
            <w:tcBorders>
              <w:top w:val="single" w:sz="4" w:space="0" w:color="auto"/>
            </w:tcBorders>
            <w:tcMar>
              <w:top w:w="0" w:type="dxa"/>
              <w:bottom w:w="0" w:type="dxa"/>
            </w:tcMar>
            <w:vAlign w:val="bottom"/>
          </w:tcPr>
          <w:p w:rsidR="00A665A9" w:rsidRPr="00EC79CF" w:rsidRDefault="00A665A9" w:rsidP="00A665A9">
            <w:pPr>
              <w:pStyle w:val="TableRowUnits"/>
              <w:rPr>
                <w:rFonts w:cstheme="minorHAnsi"/>
              </w:rPr>
            </w:pPr>
            <w:r w:rsidRPr="00EC79CF">
              <w:rPr>
                <w:rFonts w:cstheme="minorHAnsi"/>
              </w:rPr>
              <w:t>$m</w:t>
            </w:r>
          </w:p>
        </w:tc>
        <w:tc>
          <w:tcPr>
            <w:tcW w:w="804" w:type="pct"/>
            <w:tcBorders>
              <w:top w:val="single" w:sz="4" w:space="0" w:color="auto"/>
            </w:tcBorders>
            <w:tcMar>
              <w:top w:w="0" w:type="dxa"/>
              <w:bottom w:w="0" w:type="dxa"/>
            </w:tcMar>
            <w:vAlign w:val="bottom"/>
          </w:tcPr>
          <w:p w:rsidR="00A665A9" w:rsidRPr="00EC79CF" w:rsidRDefault="00A665A9" w:rsidP="00A665A9">
            <w:pPr>
              <w:pStyle w:val="TableRowUnits"/>
              <w:rPr>
                <w:rFonts w:cstheme="minorHAnsi"/>
              </w:rPr>
            </w:pPr>
            <w:r w:rsidRPr="00EC79CF">
              <w:rPr>
                <w:rFonts w:cstheme="minorHAnsi"/>
              </w:rPr>
              <w:t>$m</w:t>
            </w:r>
          </w:p>
        </w:tc>
      </w:tr>
      <w:tr w:rsidR="00A665A9" w:rsidRPr="00EC79CF" w:rsidTr="00A665A9">
        <w:tc>
          <w:tcPr>
            <w:tcW w:w="980" w:type="pct"/>
            <w:vAlign w:val="bottom"/>
          </w:tcPr>
          <w:p w:rsidR="00A665A9" w:rsidRPr="00EC79CF" w:rsidRDefault="00A665A9" w:rsidP="00A665A9">
            <w:pPr>
              <w:pStyle w:val="CGCTableStub"/>
              <w:tabs>
                <w:tab w:val="left" w:pos="142"/>
                <w:tab w:val="left" w:pos="425"/>
                <w:tab w:val="left" w:pos="709"/>
                <w:tab w:val="left" w:pos="851"/>
              </w:tabs>
              <w:ind w:left="142" w:hanging="142"/>
              <w:rPr>
                <w:rFonts w:cstheme="minorHAnsi"/>
              </w:rPr>
            </w:pPr>
            <w:r w:rsidRPr="00EC79CF">
              <w:rPr>
                <w:rFonts w:cstheme="minorHAnsi"/>
              </w:rPr>
              <w:t>December MYFPS</w:t>
            </w:r>
          </w:p>
        </w:tc>
        <w:tc>
          <w:tcPr>
            <w:tcW w:w="804" w:type="pct"/>
            <w:vAlign w:val="bottom"/>
          </w:tcPr>
          <w:p w:rsidR="00A665A9" w:rsidRPr="00EC79CF" w:rsidRDefault="00A665A9" w:rsidP="00A665A9">
            <w:pPr>
              <w:pStyle w:val="TableRowNormal"/>
              <w:ind w:left="0" w:firstLine="0"/>
              <w:rPr>
                <w:rFonts w:cstheme="minorHAnsi"/>
              </w:rPr>
            </w:pPr>
            <w:r w:rsidRPr="00EC79CF">
              <w:rPr>
                <w:rFonts w:cstheme="minorHAnsi"/>
              </w:rPr>
              <w:t>3</w:t>
            </w:r>
            <w:r w:rsidR="00C378D8">
              <w:rPr>
                <w:rFonts w:cstheme="minorHAnsi"/>
              </w:rPr>
              <w:t xml:space="preserve"> </w:t>
            </w:r>
            <w:r w:rsidRPr="00EC79CF">
              <w:rPr>
                <w:rFonts w:cstheme="minorHAnsi"/>
              </w:rPr>
              <w:t>776</w:t>
            </w:r>
          </w:p>
        </w:tc>
        <w:tc>
          <w:tcPr>
            <w:tcW w:w="804" w:type="pct"/>
            <w:vAlign w:val="bottom"/>
          </w:tcPr>
          <w:p w:rsidR="00A665A9" w:rsidRPr="00EC79CF" w:rsidRDefault="00A665A9" w:rsidP="00A665A9">
            <w:pPr>
              <w:pStyle w:val="TableRowNormal"/>
              <w:ind w:left="0" w:firstLine="0"/>
              <w:rPr>
                <w:rFonts w:cstheme="minorHAnsi"/>
              </w:rPr>
            </w:pPr>
            <w:r w:rsidRPr="00EC79CF">
              <w:rPr>
                <w:rFonts w:cstheme="minorHAnsi"/>
              </w:rPr>
              <w:t>3</w:t>
            </w:r>
            <w:r w:rsidR="00C378D8">
              <w:rPr>
                <w:rFonts w:cstheme="minorHAnsi"/>
              </w:rPr>
              <w:t xml:space="preserve"> </w:t>
            </w:r>
            <w:r w:rsidRPr="00EC79CF">
              <w:rPr>
                <w:rFonts w:cstheme="minorHAnsi"/>
              </w:rPr>
              <w:t>853</w:t>
            </w:r>
          </w:p>
        </w:tc>
        <w:tc>
          <w:tcPr>
            <w:tcW w:w="804" w:type="pct"/>
            <w:vAlign w:val="bottom"/>
          </w:tcPr>
          <w:p w:rsidR="00A665A9" w:rsidRPr="00EC79CF" w:rsidRDefault="00A665A9" w:rsidP="00A665A9">
            <w:pPr>
              <w:pStyle w:val="TableRowNormal"/>
              <w:ind w:left="0" w:firstLine="0"/>
              <w:rPr>
                <w:rFonts w:cstheme="minorHAnsi"/>
              </w:rPr>
            </w:pPr>
            <w:r w:rsidRPr="00EC79CF">
              <w:rPr>
                <w:rFonts w:cstheme="minorHAnsi"/>
              </w:rPr>
              <w:t>5</w:t>
            </w:r>
            <w:r w:rsidR="00C378D8">
              <w:rPr>
                <w:rFonts w:cstheme="minorHAnsi"/>
              </w:rPr>
              <w:t xml:space="preserve"> </w:t>
            </w:r>
            <w:r w:rsidRPr="00EC79CF">
              <w:rPr>
                <w:rFonts w:cstheme="minorHAnsi"/>
              </w:rPr>
              <w:t>337</w:t>
            </w:r>
          </w:p>
        </w:tc>
        <w:tc>
          <w:tcPr>
            <w:tcW w:w="804" w:type="pct"/>
            <w:vAlign w:val="bottom"/>
          </w:tcPr>
          <w:p w:rsidR="00A665A9" w:rsidRPr="00EC79CF" w:rsidRDefault="00A665A9" w:rsidP="00A665A9">
            <w:pPr>
              <w:pStyle w:val="TableRowNormal"/>
              <w:ind w:left="0" w:firstLine="0"/>
              <w:rPr>
                <w:rFonts w:cstheme="minorHAnsi"/>
              </w:rPr>
            </w:pPr>
            <w:r w:rsidRPr="00EC79CF">
              <w:rPr>
                <w:rFonts w:cstheme="minorHAnsi"/>
              </w:rPr>
              <w:t>3</w:t>
            </w:r>
            <w:r w:rsidR="00C378D8">
              <w:rPr>
                <w:rFonts w:cstheme="minorHAnsi"/>
              </w:rPr>
              <w:t xml:space="preserve"> </w:t>
            </w:r>
            <w:r w:rsidRPr="00EC79CF">
              <w:rPr>
                <w:rFonts w:cstheme="minorHAnsi"/>
              </w:rPr>
              <w:t>773</w:t>
            </w:r>
          </w:p>
        </w:tc>
        <w:tc>
          <w:tcPr>
            <w:tcW w:w="804" w:type="pct"/>
            <w:vAlign w:val="bottom"/>
          </w:tcPr>
          <w:p w:rsidR="00A665A9" w:rsidRPr="00EC79CF" w:rsidRDefault="00A665A9" w:rsidP="00C378D8">
            <w:pPr>
              <w:pStyle w:val="TableRowNormal"/>
              <w:ind w:left="0" w:firstLine="0"/>
              <w:rPr>
                <w:rFonts w:cstheme="minorHAnsi"/>
              </w:rPr>
            </w:pPr>
            <w:r w:rsidRPr="00EC79CF">
              <w:rPr>
                <w:rFonts w:cstheme="minorHAnsi"/>
              </w:rPr>
              <w:t>4</w:t>
            </w:r>
            <w:r w:rsidR="00C378D8">
              <w:rPr>
                <w:rFonts w:cstheme="minorHAnsi"/>
              </w:rPr>
              <w:t xml:space="preserve"> </w:t>
            </w:r>
            <w:r w:rsidRPr="00EC79CF">
              <w:rPr>
                <w:rFonts w:cstheme="minorHAnsi"/>
              </w:rPr>
              <w:t>40</w:t>
            </w:r>
            <w:r w:rsidR="00C378D8">
              <w:rPr>
                <w:rFonts w:cstheme="minorHAnsi"/>
              </w:rPr>
              <w:t>3</w:t>
            </w:r>
          </w:p>
        </w:tc>
      </w:tr>
      <w:tr w:rsidR="00A665A9" w:rsidRPr="00EC79CF" w:rsidTr="00A665A9">
        <w:tc>
          <w:tcPr>
            <w:tcW w:w="980" w:type="pct"/>
            <w:tcBorders>
              <w:bottom w:val="single" w:sz="6" w:space="0" w:color="auto"/>
            </w:tcBorders>
            <w:vAlign w:val="bottom"/>
          </w:tcPr>
          <w:p w:rsidR="00A665A9" w:rsidRPr="00EC79CF" w:rsidRDefault="00A665A9" w:rsidP="00A665A9">
            <w:pPr>
              <w:pStyle w:val="CGCTableStub"/>
              <w:tabs>
                <w:tab w:val="left" w:pos="142"/>
                <w:tab w:val="left" w:pos="425"/>
                <w:tab w:val="left" w:pos="709"/>
                <w:tab w:val="left" w:pos="851"/>
              </w:tabs>
              <w:ind w:left="142" w:hanging="142"/>
              <w:rPr>
                <w:rFonts w:cstheme="minorHAnsi"/>
              </w:rPr>
            </w:pPr>
            <w:r w:rsidRPr="00EC79CF">
              <w:rPr>
                <w:rFonts w:cstheme="minorHAnsi"/>
              </w:rPr>
              <w:t>Difference</w:t>
            </w:r>
          </w:p>
        </w:tc>
        <w:tc>
          <w:tcPr>
            <w:tcW w:w="804" w:type="pct"/>
            <w:tcBorders>
              <w:bottom w:val="single" w:sz="6" w:space="0" w:color="auto"/>
            </w:tcBorders>
            <w:vAlign w:val="bottom"/>
          </w:tcPr>
          <w:p w:rsidR="00A665A9" w:rsidRPr="00EC79CF" w:rsidRDefault="00A665A9" w:rsidP="00A665A9">
            <w:pPr>
              <w:pStyle w:val="TableRowNormal"/>
              <w:ind w:left="0" w:firstLine="0"/>
              <w:rPr>
                <w:rFonts w:cstheme="minorHAnsi"/>
              </w:rPr>
            </w:pPr>
            <w:r w:rsidRPr="00EC79CF">
              <w:rPr>
                <w:rFonts w:cstheme="minorHAnsi"/>
              </w:rPr>
              <w:t>68</w:t>
            </w:r>
          </w:p>
        </w:tc>
        <w:tc>
          <w:tcPr>
            <w:tcW w:w="804" w:type="pct"/>
            <w:tcBorders>
              <w:bottom w:val="single" w:sz="6" w:space="0" w:color="auto"/>
            </w:tcBorders>
            <w:vAlign w:val="bottom"/>
          </w:tcPr>
          <w:p w:rsidR="00A665A9" w:rsidRPr="00EC79CF" w:rsidRDefault="00A665A9" w:rsidP="00A665A9">
            <w:pPr>
              <w:pStyle w:val="TableRowNormal"/>
              <w:ind w:left="0" w:firstLine="0"/>
              <w:rPr>
                <w:rFonts w:cstheme="minorHAnsi"/>
              </w:rPr>
            </w:pPr>
            <w:r w:rsidRPr="00EC79CF">
              <w:rPr>
                <w:rFonts w:cstheme="minorHAnsi"/>
              </w:rPr>
              <w:t>86</w:t>
            </w:r>
          </w:p>
        </w:tc>
        <w:tc>
          <w:tcPr>
            <w:tcW w:w="804" w:type="pct"/>
            <w:tcBorders>
              <w:bottom w:val="single" w:sz="6" w:space="0" w:color="auto"/>
            </w:tcBorders>
            <w:vAlign w:val="bottom"/>
          </w:tcPr>
          <w:p w:rsidR="00A665A9" w:rsidRPr="00EC79CF" w:rsidRDefault="00A665A9" w:rsidP="00A665A9">
            <w:pPr>
              <w:pStyle w:val="TableRowNormal"/>
              <w:ind w:left="0" w:firstLine="0"/>
              <w:rPr>
                <w:rFonts w:cstheme="minorHAnsi"/>
              </w:rPr>
            </w:pPr>
            <w:r w:rsidRPr="00EC79CF">
              <w:rPr>
                <w:rFonts w:cstheme="minorHAnsi"/>
              </w:rPr>
              <w:t>9</w:t>
            </w:r>
          </w:p>
        </w:tc>
        <w:tc>
          <w:tcPr>
            <w:tcW w:w="804" w:type="pct"/>
            <w:tcBorders>
              <w:bottom w:val="single" w:sz="6" w:space="0" w:color="auto"/>
            </w:tcBorders>
            <w:vAlign w:val="bottom"/>
          </w:tcPr>
          <w:p w:rsidR="00A665A9" w:rsidRPr="00EC79CF" w:rsidRDefault="00A665A9" w:rsidP="00A665A9">
            <w:pPr>
              <w:pStyle w:val="TableRowNormal"/>
              <w:ind w:left="0" w:firstLine="0"/>
              <w:rPr>
                <w:rFonts w:cstheme="minorHAnsi"/>
              </w:rPr>
            </w:pPr>
          </w:p>
        </w:tc>
        <w:tc>
          <w:tcPr>
            <w:tcW w:w="804" w:type="pct"/>
            <w:tcBorders>
              <w:bottom w:val="single" w:sz="6" w:space="0" w:color="auto"/>
            </w:tcBorders>
            <w:vAlign w:val="bottom"/>
          </w:tcPr>
          <w:p w:rsidR="00A665A9" w:rsidRPr="00EC79CF" w:rsidRDefault="00A665A9" w:rsidP="00C378D8">
            <w:pPr>
              <w:pStyle w:val="TableRowNormal"/>
              <w:ind w:left="0" w:firstLine="0"/>
              <w:rPr>
                <w:rFonts w:cstheme="minorHAnsi"/>
              </w:rPr>
            </w:pPr>
            <w:r w:rsidRPr="00EC79CF">
              <w:rPr>
                <w:rFonts w:cstheme="minorHAnsi"/>
              </w:rPr>
              <w:t>-8</w:t>
            </w:r>
            <w:r w:rsidR="00C378D8">
              <w:rPr>
                <w:rFonts w:cstheme="minorHAnsi"/>
              </w:rPr>
              <w:t>36</w:t>
            </w:r>
          </w:p>
        </w:tc>
      </w:tr>
    </w:tbl>
    <w:p w:rsidR="00A665A9" w:rsidRPr="00EC79CF" w:rsidRDefault="00A665A9" w:rsidP="00A665A9">
      <w:pPr>
        <w:pStyle w:val="CGCTableFootnote"/>
      </w:pPr>
      <w:r w:rsidRPr="00EC79CF">
        <w:t>(a)</w:t>
      </w:r>
      <w:r w:rsidRPr="00EC79CF">
        <w:tab/>
        <w:t>This is Western Australia’s assessed iron ore capacity for 2015-16 based on the lagged three year average 2015 Review assessment.</w:t>
      </w:r>
    </w:p>
    <w:p w:rsidR="00B95E12" w:rsidRDefault="00A665A9" w:rsidP="00A665A9">
      <w:pPr>
        <w:pStyle w:val="CGCTableFootnote"/>
      </w:pPr>
      <w:r w:rsidRPr="00EC79CF">
        <w:t>Source:</w:t>
      </w:r>
      <w:r w:rsidRPr="00EC79CF">
        <w:tab/>
        <w:t xml:space="preserve">Western Australia </w:t>
      </w:r>
      <w:r w:rsidR="00C378D8">
        <w:t xml:space="preserve">2013-14 and </w:t>
      </w:r>
      <w:r w:rsidRPr="00EC79CF">
        <w:t>2014-15 Budget Papers, Budget Paper No 3, Table 17, Page 112.</w:t>
      </w:r>
    </w:p>
    <w:p w:rsidR="00C378D8" w:rsidRPr="00C378D8" w:rsidRDefault="00C378D8" w:rsidP="00C378D8">
      <w:pPr>
        <w:pStyle w:val="CGCTableFootnote"/>
      </w:pPr>
      <w:r>
        <w:tab/>
        <w:t>Western Australia 2014-15 Mid-Year Financial Projections Statement (MYFPS), Table 5, Page 13.</w:t>
      </w:r>
    </w:p>
    <w:p w:rsidR="00A665A9" w:rsidRDefault="00B95E12" w:rsidP="00A665A9">
      <w:pPr>
        <w:pStyle w:val="CGCTableFootnote"/>
      </w:pPr>
      <w:r>
        <w:tab/>
      </w:r>
      <w:proofErr w:type="gramStart"/>
      <w:r w:rsidR="00A665A9" w:rsidRPr="00EC79CF">
        <w:t>Commission assessments for the 2015 Review.</w:t>
      </w:r>
      <w:proofErr w:type="gramEnd"/>
    </w:p>
    <w:p w:rsidR="00A665A9" w:rsidRPr="00EC79CF" w:rsidRDefault="00A665A9" w:rsidP="00A665A9">
      <w:pPr>
        <w:pStyle w:val="Heading5"/>
      </w:pPr>
      <w:r w:rsidRPr="00EC79CF">
        <w:t>The Commission’s approach and position</w:t>
      </w:r>
    </w:p>
    <w:p w:rsidR="00A665A9" w:rsidRPr="00EC79CF" w:rsidRDefault="00A665A9" w:rsidP="00C20E52">
      <w:pPr>
        <w:pStyle w:val="CGCNumberedPara"/>
        <w:numPr>
          <w:ilvl w:val="1"/>
          <w:numId w:val="2"/>
        </w:numPr>
      </w:pPr>
      <w:r w:rsidRPr="00EC79CF">
        <w:t xml:space="preserve">The Commission’s only objective in recommending relativities is to achieve HFE. Our supporting principles for the development of assessment methods are always to be read in the light of that single objective. We also draw a distinction between the operation of HFE which relates to the fiscal capacities of States, based </w:t>
      </w:r>
      <w:r w:rsidRPr="00EC79CF">
        <w:rPr>
          <w:i/>
        </w:rPr>
        <w:t>inter alia</w:t>
      </w:r>
      <w:r w:rsidRPr="00EC79CF">
        <w:t xml:space="preserve"> on a view of the average policy of States, and the budgetary circumstances of States, which reflect how their individual policy choices affect their revenues and expenditures. From an HFE perspective the GST distribution seeks to equalise fiscal capacities, not States’ budgetary circumstances which include their policy choices.</w:t>
      </w:r>
    </w:p>
    <w:p w:rsidR="00A665A9" w:rsidRPr="00EC79CF" w:rsidRDefault="00A665A9" w:rsidP="00C20E52">
      <w:pPr>
        <w:pStyle w:val="CGCNumberedPara"/>
        <w:numPr>
          <w:ilvl w:val="1"/>
          <w:numId w:val="2"/>
        </w:numPr>
      </w:pPr>
      <w:r w:rsidRPr="00EC79CF">
        <w:t xml:space="preserve">We have adopted a contemporaneity supporting principle which means that, bearing in mind our objective and other supporting principles such as policy neutrality and practicality, the distribution of GST provided to States in a year should reflect State circumstances in that year as far as possible. We consider that a three year lagged assessment is, at least in most circumstances, the most reliable practical approach to providing a reasonable estimate of State circumstances in the application year. In the June 2014 draft report, setting out our preliminary views, the Commission made reference to the limited exception to this principle, essentially in the case of </w:t>
      </w:r>
      <w:proofErr w:type="spellStart"/>
      <w:r w:rsidRPr="00EC79CF">
        <w:t>backcasting</w:t>
      </w:r>
      <w:proofErr w:type="spellEnd"/>
      <w:r w:rsidRPr="00EC79CF">
        <w:t xml:space="preserve"> major changes in Commonwealth-State financial arrangements, only where the change is reliably known. It noted the considerable difficulties in extending this approach beyond such cases. </w:t>
      </w:r>
    </w:p>
    <w:p w:rsidR="001B53BF" w:rsidRPr="009E6214" w:rsidRDefault="00C5141D" w:rsidP="00C5141D">
      <w:pPr>
        <w:pStyle w:val="CGCNumberedPara"/>
      </w:pPr>
      <w:r w:rsidRPr="009E6214">
        <w:t xml:space="preserve">In adopting as the basis for all assessments the data for three historical years, the Commission has accepted that fiscal equalisation is achieved over a run of years with a lag. While imperfect, this approach recognises that State fiscal capacity in any one </w:t>
      </w:r>
      <w:r w:rsidRPr="009E6214">
        <w:lastRenderedPageBreak/>
        <w:t>year must take account of the operation of the system over a run of years. In this case, the system has been highly favourable to Western Australia and will remain so under continual application of the current methodology. To make a change for any one State or one category without regard to the fiscal position over a run of years will, therefore, compromise HFE.</w:t>
      </w:r>
    </w:p>
    <w:p w:rsidR="00A665A9" w:rsidRPr="00EC79CF" w:rsidRDefault="00A665A9" w:rsidP="00C20E52">
      <w:pPr>
        <w:pStyle w:val="CGCNumberedPara"/>
        <w:numPr>
          <w:ilvl w:val="1"/>
          <w:numId w:val="2"/>
        </w:numPr>
      </w:pPr>
      <w:r w:rsidRPr="00EC79CF">
        <w:t>We recognise that there is a trade-off between contemporaneity and data reliability</w:t>
      </w:r>
      <w:r w:rsidR="00716C5E" w:rsidRPr="00EC79CF">
        <w:t>.</w:t>
      </w:r>
      <w:r w:rsidRPr="00EC79CF">
        <w:t xml:space="preserve"> </w:t>
      </w:r>
      <w:r w:rsidR="00716C5E" w:rsidRPr="00EC79CF">
        <w:t>H</w:t>
      </w:r>
      <w:r w:rsidRPr="00EC79CF">
        <w:t>owever</w:t>
      </w:r>
      <w:r w:rsidR="00716C5E" w:rsidRPr="00EC79CF">
        <w:t>,</w:t>
      </w:r>
      <w:r w:rsidRPr="00EC79CF">
        <w:t xml:space="preserve"> we do not consider that State, or independent, forecasts of revenues in the application year are sufficiently reliable for us to use as the basis of the GST distribution. In recent years, the errors in these forecasts have been very large. For example, Western Australia’s latest </w:t>
      </w:r>
      <w:r w:rsidR="002243E1">
        <w:t>projections</w:t>
      </w:r>
      <w:r w:rsidR="002243E1" w:rsidRPr="00EC79CF">
        <w:t xml:space="preserve"> </w:t>
      </w:r>
      <w:r w:rsidRPr="00EC79CF">
        <w:t>for its iron ore royalties are lower than its May budget by $1.8 billion for both 2014-15 (a 33% reduction) and 2015-16 (a 29% reduction).</w:t>
      </w:r>
      <w:r w:rsidRPr="00EC79CF">
        <w:rPr>
          <w:rStyle w:val="FootnoteReference"/>
        </w:rPr>
        <w:footnoteReference w:id="11"/>
      </w:r>
      <w:r w:rsidRPr="00EC79CF">
        <w:t xml:space="preserve"> It is difficult to say to what extent this </w:t>
      </w:r>
      <w:r w:rsidR="002243E1">
        <w:t>projection</w:t>
      </w:r>
      <w:r w:rsidR="002243E1" w:rsidRPr="00EC79CF">
        <w:t xml:space="preserve"> </w:t>
      </w:r>
      <w:r w:rsidRPr="00EC79CF">
        <w:t xml:space="preserve">may change again, as well as what the actual outcome will be, as it is dependent upon the interactions of estimates for each of export volumes, movements in the iron ore spot price and movements in the Australian dollar. </w:t>
      </w:r>
    </w:p>
    <w:p w:rsidR="00A665A9" w:rsidRPr="00C4033D" w:rsidRDefault="00A665A9" w:rsidP="00D01233">
      <w:pPr>
        <w:pStyle w:val="CGCNumberedPara"/>
      </w:pPr>
      <w:r w:rsidRPr="00C4033D">
        <w:t>An approach using such unreliable data raises a range of issues, including that it would almost certainly require consequent GST adjustments in future to compensate for errors</w:t>
      </w:r>
      <w:r w:rsidR="00716C5E" w:rsidRPr="00C4033D">
        <w:t>. This</w:t>
      </w:r>
      <w:r w:rsidRPr="00C4033D">
        <w:t xml:space="preserve"> could</w:t>
      </w:r>
      <w:r w:rsidR="00716C5E" w:rsidRPr="00C4033D">
        <w:t>,</w:t>
      </w:r>
      <w:r w:rsidRPr="00C4033D">
        <w:t xml:space="preserve"> itself</w:t>
      </w:r>
      <w:r w:rsidR="00716C5E" w:rsidRPr="00C4033D">
        <w:t>,</w:t>
      </w:r>
      <w:r w:rsidRPr="00C4033D">
        <w:t xml:space="preserve"> then undermine the contemporaneity of future years GST distributions. </w:t>
      </w:r>
      <w:r w:rsidR="00D01233" w:rsidRPr="00D01233">
        <w:t xml:space="preserve">Box </w:t>
      </w:r>
      <w:r w:rsidR="002F4D40">
        <w:t>3</w:t>
      </w:r>
      <w:r w:rsidRPr="00C4033D">
        <w:t xml:space="preserve"> describes how the current equalisation system addresses volatility.</w:t>
      </w:r>
    </w:p>
    <w:p w:rsidR="00A665A9" w:rsidRPr="00EC79CF" w:rsidRDefault="00A665A9" w:rsidP="00C20E52">
      <w:pPr>
        <w:pStyle w:val="CGCNumberedPara"/>
        <w:numPr>
          <w:ilvl w:val="1"/>
          <w:numId w:val="2"/>
        </w:numPr>
      </w:pPr>
      <w:r w:rsidRPr="00EC79CF">
        <w:t xml:space="preserve">The Commission </w:t>
      </w:r>
      <w:r w:rsidR="00BC6419">
        <w:t xml:space="preserve">also </w:t>
      </w:r>
      <w:r w:rsidRPr="00EC79CF">
        <w:t>considered whether a</w:t>
      </w:r>
      <w:r w:rsidR="00BC6419">
        <w:t>n</w:t>
      </w:r>
      <w:r w:rsidRPr="00EC79CF">
        <w:t xml:space="preserve"> </w:t>
      </w:r>
      <w:r w:rsidR="00BC6419">
        <w:t>alternative</w:t>
      </w:r>
      <w:r w:rsidR="00BC6419" w:rsidRPr="00EC79CF">
        <w:t xml:space="preserve"> </w:t>
      </w:r>
      <w:r w:rsidRPr="00EC79CF">
        <w:t xml:space="preserve">treatment would be more appropriate for </w:t>
      </w:r>
      <w:proofErr w:type="gramStart"/>
      <w:r w:rsidRPr="00EC79CF">
        <w:t>a volatile</w:t>
      </w:r>
      <w:proofErr w:type="gramEnd"/>
      <w:r w:rsidRPr="00EC79CF">
        <w:t xml:space="preserve"> revenue such as iron ore. For example, we considered whether a lagged five year average approach</w:t>
      </w:r>
      <w:r w:rsidR="003639B9">
        <w:t xml:space="preserve"> for iron ore revenues</w:t>
      </w:r>
      <w:r w:rsidRPr="00EC79CF">
        <w:t>, which would provide additional smoothing, would be more appropriate. However</w:t>
      </w:r>
      <w:r w:rsidR="003639B9">
        <w:t>,</w:t>
      </w:r>
      <w:r w:rsidRPr="00EC79CF">
        <w:t xml:space="preserve"> an analysis of this approach did not give us confidence that five year averaging would provide an unambiguously improved </w:t>
      </w:r>
      <w:r w:rsidR="003639B9">
        <w:t xml:space="preserve">HFE </w:t>
      </w:r>
      <w:r w:rsidRPr="00EC79CF">
        <w:t>outcome compared with three year averaging</w:t>
      </w:r>
      <w:r w:rsidR="003639B9">
        <w:t xml:space="preserve"> in all future circumstances</w:t>
      </w:r>
      <w:r w:rsidRPr="00EC79CF">
        <w:t xml:space="preserve">. For example, five year averaging is less contemporaneous than three year averaging during a sustained trend, such as that contained in the Western Australian </w:t>
      </w:r>
      <w:r w:rsidRPr="00EC79CF">
        <w:rPr>
          <w:i/>
        </w:rPr>
        <w:t>Mid-Year Financial Projections Statement</w:t>
      </w:r>
      <w:r w:rsidR="003639B9">
        <w:rPr>
          <w:i/>
        </w:rPr>
        <w:t xml:space="preserve"> </w:t>
      </w:r>
      <w:r w:rsidR="003639B9">
        <w:t>for the years 2014-15 to 2018</w:t>
      </w:r>
      <w:r w:rsidR="003639B9">
        <w:noBreakHyphen/>
      </w:r>
      <w:r w:rsidR="003639B9" w:rsidRPr="003639B9">
        <w:t>19</w:t>
      </w:r>
      <w:r w:rsidRPr="003639B9">
        <w:t>.</w:t>
      </w:r>
    </w:p>
    <w:p w:rsidR="00A665A9" w:rsidRPr="00EC79CF" w:rsidRDefault="00A665A9" w:rsidP="00C20E52">
      <w:pPr>
        <w:pStyle w:val="CGCNumberedPara"/>
        <w:numPr>
          <w:ilvl w:val="1"/>
          <w:numId w:val="2"/>
        </w:numPr>
      </w:pPr>
      <w:r w:rsidRPr="00EC79CF">
        <w:t>Finally, notwithstanding our consideration of alternative approaches, we are not convinced that the prospective difference between actual and assessed revenues of $</w:t>
      </w:r>
      <w:r w:rsidR="002243E1" w:rsidRPr="00EC79CF">
        <w:t>30</w:t>
      </w:r>
      <w:r w:rsidR="002243E1">
        <w:t>8</w:t>
      </w:r>
      <w:r w:rsidR="002243E1" w:rsidRPr="00EC79CF">
        <w:t xml:space="preserve"> </w:t>
      </w:r>
      <w:r w:rsidRPr="00EC79CF">
        <w:t xml:space="preserve">per capita is </w:t>
      </w:r>
      <w:r w:rsidR="00056A51">
        <w:t>unusual</w:t>
      </w:r>
      <w:r w:rsidRPr="00EC79CF">
        <w:t xml:space="preserve">. Over the last two decades, there have been </w:t>
      </w:r>
      <w:r w:rsidR="002243E1">
        <w:t>26</w:t>
      </w:r>
      <w:r w:rsidR="002243E1" w:rsidRPr="00EC79CF">
        <w:t xml:space="preserve"> </w:t>
      </w:r>
      <w:r w:rsidRPr="00EC79CF">
        <w:t xml:space="preserve">instances where the difference between a </w:t>
      </w:r>
      <w:proofErr w:type="gramStart"/>
      <w:r w:rsidRPr="00EC79CF">
        <w:t>State’</w:t>
      </w:r>
      <w:r w:rsidR="00C4033D">
        <w:t>s</w:t>
      </w:r>
      <w:proofErr w:type="gramEnd"/>
      <w:r w:rsidRPr="00EC79CF">
        <w:t xml:space="preserve"> assessed fiscal capacity in the assessment period and application year exceeded $</w:t>
      </w:r>
      <w:r w:rsidR="002243E1" w:rsidRPr="00EC79CF">
        <w:t>30</w:t>
      </w:r>
      <w:r w:rsidR="002243E1">
        <w:t>8</w:t>
      </w:r>
      <w:r w:rsidR="002243E1" w:rsidRPr="00EC79CF">
        <w:t xml:space="preserve"> </w:t>
      </w:r>
      <w:r w:rsidRPr="00EC79CF">
        <w:t xml:space="preserve">per capita. With </w:t>
      </w:r>
      <w:r w:rsidR="002243E1">
        <w:t>two</w:t>
      </w:r>
      <w:r w:rsidR="002243E1" w:rsidRPr="00EC79CF">
        <w:t xml:space="preserve"> </w:t>
      </w:r>
      <w:r w:rsidRPr="00EC79CF">
        <w:t>exception</w:t>
      </w:r>
      <w:r w:rsidR="002243E1">
        <w:t>s</w:t>
      </w:r>
      <w:r w:rsidRPr="00EC79CF">
        <w:t xml:space="preserve">, they relate to Western Australia and the Northern Territory. Most relate to mining revenues, although there were </w:t>
      </w:r>
      <w:r w:rsidR="002243E1">
        <w:t>six</w:t>
      </w:r>
      <w:r w:rsidR="002243E1" w:rsidRPr="00EC79CF">
        <w:t xml:space="preserve"> </w:t>
      </w:r>
      <w:r w:rsidRPr="00EC79CF">
        <w:t xml:space="preserve">instances in conveyance revenues. Most occurred during up-cycles (where the State benefitted from the lagged three year average </w:t>
      </w:r>
      <w:r w:rsidRPr="00EC79CF">
        <w:lastRenderedPageBreak/>
        <w:t xml:space="preserve">assessment), only </w:t>
      </w:r>
      <w:r w:rsidR="006F2FE8">
        <w:t>eight</w:t>
      </w:r>
      <w:r w:rsidR="006F2FE8" w:rsidRPr="00EC79CF">
        <w:t xml:space="preserve"> </w:t>
      </w:r>
      <w:r w:rsidRPr="00EC79CF">
        <w:t>occurred in down-cycles. In Western Australia’s case</w:t>
      </w:r>
      <w:r w:rsidR="00716C5E" w:rsidRPr="00EC79CF">
        <w:t>,</w:t>
      </w:r>
      <w:r w:rsidRPr="00EC79CF">
        <w:t xml:space="preserve"> the difference has exceeded $</w:t>
      </w:r>
      <w:r w:rsidR="006F2FE8" w:rsidRPr="00EC79CF">
        <w:t>30</w:t>
      </w:r>
      <w:r w:rsidR="006F2FE8">
        <w:t>8</w:t>
      </w:r>
      <w:r w:rsidR="006F2FE8" w:rsidRPr="00EC79CF">
        <w:t xml:space="preserve"> </w:t>
      </w:r>
      <w:r w:rsidRPr="00EC79CF">
        <w:t xml:space="preserve">per capita in </w:t>
      </w:r>
      <w:r w:rsidR="006F2FE8">
        <w:t>15</w:t>
      </w:r>
      <w:r w:rsidR="006F2FE8" w:rsidRPr="00EC79CF">
        <w:t xml:space="preserve"> </w:t>
      </w:r>
      <w:r w:rsidRPr="00EC79CF">
        <w:t xml:space="preserve">of its last </w:t>
      </w:r>
      <w:r w:rsidR="006F2FE8">
        <w:t>21</w:t>
      </w:r>
      <w:r w:rsidR="006F2FE8" w:rsidRPr="00EC79CF">
        <w:t xml:space="preserve"> </w:t>
      </w:r>
      <w:r w:rsidRPr="00EC79CF">
        <w:t>mining assessments (to its benefit</w:t>
      </w:r>
      <w:r w:rsidR="006F2FE8">
        <w:t xml:space="preserve"> in all but two years in the mid-nineties</w:t>
      </w:r>
      <w:r w:rsidRPr="00EC79CF">
        <w:t>).</w:t>
      </w:r>
    </w:p>
    <w:p w:rsidR="00A665A9" w:rsidRPr="00EC79CF" w:rsidRDefault="00A665A9" w:rsidP="00C20E52">
      <w:pPr>
        <w:pStyle w:val="CGCNumberedPara"/>
        <w:numPr>
          <w:ilvl w:val="1"/>
          <w:numId w:val="2"/>
        </w:numPr>
      </w:pPr>
      <w:r w:rsidRPr="00EC79CF">
        <w:t>On balance, we consider our priority is to achieve HFE, with contemporaneity being a supporting principle. Our view is that HFE is best achieved by assessing all aspects of State activity in the same way. To not do so risks the coheren</w:t>
      </w:r>
      <w:r w:rsidR="00EF1908">
        <w:t>ce of the system as a whole.</w:t>
      </w:r>
    </w:p>
    <w:bookmarkEnd w:id="446"/>
    <w:p w:rsidR="00A665A9" w:rsidRPr="00EC79CF" w:rsidRDefault="00D01233" w:rsidP="00A665A9">
      <w:pPr>
        <w:pStyle w:val="Caption"/>
      </w:pPr>
      <w:r w:rsidRPr="00D01233">
        <w:t xml:space="preserve">Box </w:t>
      </w:r>
      <w:r w:rsidR="002F4D40">
        <w:t>3</w:t>
      </w:r>
      <w:r w:rsidR="00A665A9" w:rsidRPr="00EC79CF">
        <w:tab/>
        <w:t>Volatility and equalisation</w:t>
      </w:r>
    </w:p>
    <w:tbl>
      <w:tblPr>
        <w:tblStyle w:val="TableGrid"/>
        <w:tblW w:w="0" w:type="auto"/>
        <w:tblLook w:val="04A0" w:firstRow="1" w:lastRow="0" w:firstColumn="1" w:lastColumn="0" w:noHBand="0" w:noVBand="1"/>
        <w:tblDescription w:val=" "/>
      </w:tblPr>
      <w:tblGrid>
        <w:gridCol w:w="9167"/>
      </w:tblGrid>
      <w:tr w:rsidR="00C64449" w:rsidTr="00C72921">
        <w:tc>
          <w:tcPr>
            <w:tcW w:w="9167" w:type="dxa"/>
            <w:tcBorders>
              <w:top w:val="nil"/>
              <w:left w:val="nil"/>
              <w:bottom w:val="nil"/>
              <w:right w:val="nil"/>
            </w:tcBorders>
            <w:shd w:val="clear" w:color="auto" w:fill="D9F3E6"/>
          </w:tcPr>
          <w:p w:rsidR="00C64449" w:rsidRDefault="00C64449" w:rsidP="00C64449">
            <w:pPr>
              <w:pStyle w:val="CGCNumberedPara"/>
              <w:numPr>
                <w:ilvl w:val="0"/>
                <w:numId w:val="0"/>
              </w:numPr>
              <w:spacing w:after="120"/>
            </w:pPr>
            <w:r w:rsidRPr="00EC79CF">
              <w:t xml:space="preserve">The current system bases its assessments on the average of the last three years for which final budget outcomes (and other relevant data) are available. To obtain an appropriate reflection of State shares of GST revenue in the application year, the assessment year data </w:t>
            </w:r>
            <w:r>
              <w:t>are indexed</w:t>
            </w:r>
            <w:r w:rsidRPr="00EC79CF">
              <w:t xml:space="preserve"> by the expected growth in the size of the GST pool. In the first instance, by taking an average of assessment years, the volatility of a revenue </w:t>
            </w:r>
            <w:r>
              <w:t>stream</w:t>
            </w:r>
            <w:r w:rsidRPr="00EC79CF">
              <w:t xml:space="preserve"> in any one of the three years is reduced. A spike or dip in a revenue </w:t>
            </w:r>
            <w:r>
              <w:t>stream</w:t>
            </w:r>
            <w:r w:rsidRPr="00EC79CF">
              <w:t xml:space="preserve"> in a year has a lagged one third effect on the relativities over three successive updates to relativities. </w:t>
            </w:r>
          </w:p>
          <w:p w:rsidR="00C64449" w:rsidRPr="00EC79CF" w:rsidRDefault="00C64449" w:rsidP="00C64449">
            <w:pPr>
              <w:pStyle w:val="CGCNumberedPara"/>
              <w:numPr>
                <w:ilvl w:val="0"/>
                <w:numId w:val="0"/>
              </w:numPr>
              <w:spacing w:after="120"/>
            </w:pPr>
            <w:r>
              <w:t xml:space="preserve">When there is not much volatility, the lagged three year average does well in forecasting the application year. </w:t>
            </w:r>
            <w:r w:rsidRPr="00EC79CF">
              <w:t>However, by definition, the historical average will generally not recognise precisely cyclical movements occurring in the application year, or other spikes or dips.</w:t>
            </w:r>
          </w:p>
          <w:p w:rsidR="00C64449" w:rsidRPr="00EC79CF" w:rsidRDefault="00C64449" w:rsidP="00C64449">
            <w:pPr>
              <w:pStyle w:val="CGCNumberedPara"/>
              <w:numPr>
                <w:ilvl w:val="0"/>
                <w:numId w:val="0"/>
              </w:numPr>
              <w:spacing w:after="120"/>
            </w:pPr>
            <w:r w:rsidRPr="00EC79CF">
              <w:t>A</w:t>
            </w:r>
            <w:r>
              <w:t>s a</w:t>
            </w:r>
            <w:r w:rsidRPr="00EC79CF">
              <w:t xml:space="preserve"> result</w:t>
            </w:r>
            <w:r>
              <w:t>,</w:t>
            </w:r>
            <w:r w:rsidRPr="00EC79CF">
              <w:t xml:space="preserve"> the averaging approach may underestimate actual revenue outcomes in the application year and thereby provide more GST than a fully contemporaneous assessment would. However</w:t>
            </w:r>
            <w:r>
              <w:t>,</w:t>
            </w:r>
            <w:r w:rsidRPr="00EC79CF">
              <w:t xml:space="preserve"> as each year moves through, there will be compensating overestimates of actual revenue outcomes in the application year, thereby reclaiming previous overprovision of GST revenue. This process, of under and over</w:t>
            </w:r>
            <w:r>
              <w:t xml:space="preserve"> estimating</w:t>
            </w:r>
            <w:r w:rsidRPr="00EC79CF">
              <w:t xml:space="preserve"> actual application year outcomes, </w:t>
            </w:r>
            <w:r>
              <w:t xml:space="preserve">is </w:t>
            </w:r>
            <w:proofErr w:type="gramStart"/>
            <w:r>
              <w:t>a desirable</w:t>
            </w:r>
            <w:r w:rsidRPr="00EC79CF">
              <w:t xml:space="preserve"> consequence of the averaging approach</w:t>
            </w:r>
            <w:proofErr w:type="gramEnd"/>
            <w:r w:rsidRPr="00EC79CF">
              <w:t>, and mitigate</w:t>
            </w:r>
            <w:r>
              <w:t>s</w:t>
            </w:r>
            <w:r w:rsidRPr="00EC79CF">
              <w:t xml:space="preserve"> the need for any formal error corrections. It is an integral, if informal, part of the process of delivering HFE, albeit through a lagged process.</w:t>
            </w:r>
          </w:p>
          <w:p w:rsidR="00C64449" w:rsidRPr="00EC79CF" w:rsidRDefault="00C64449" w:rsidP="00C64449">
            <w:pPr>
              <w:pStyle w:val="CGCNumberedPara"/>
              <w:numPr>
                <w:ilvl w:val="0"/>
                <w:numId w:val="0"/>
              </w:numPr>
              <w:spacing w:after="120"/>
            </w:pPr>
            <w:r>
              <w:t>However</w:t>
            </w:r>
            <w:r w:rsidRPr="00EC79CF">
              <w:t>, in any one year, different revenues and expenses may be over and under compensated, compared with a fully contemporaneous outcome. To the extent that different revenues may be counter-cyclical, this aspect of the system also acts to smooth volatility in GST outcomes. This balance would be at risk should different elements within the system be treated in different ways.</w:t>
            </w:r>
          </w:p>
          <w:p w:rsidR="00C64449" w:rsidRDefault="00C64449" w:rsidP="00C64449">
            <w:pPr>
              <w:pStyle w:val="CGCNumberedPara"/>
              <w:numPr>
                <w:ilvl w:val="0"/>
                <w:numId w:val="0"/>
              </w:numPr>
              <w:spacing w:after="120"/>
            </w:pPr>
            <w:r>
              <w:t>T</w:t>
            </w:r>
            <w:r w:rsidRPr="00EC79CF">
              <w:t xml:space="preserve">he lagged average approach is less contemporaneous </w:t>
            </w:r>
            <w:r>
              <w:t>when</w:t>
            </w:r>
            <w:r w:rsidRPr="00EC79CF">
              <w:t xml:space="preserve"> dealing with larger scale variations in trends (relative to the trend growth rate of the GST pool). Where revenues are trending upwards at an unusually fast pace, as in a mining boom, the lagged average approach routinely underestimate</w:t>
            </w:r>
            <w:r>
              <w:t>s</w:t>
            </w:r>
            <w:r w:rsidRPr="00EC79CF">
              <w:t xml:space="preserve"> actual revenues in the application year. Conversely, the lagged average approach </w:t>
            </w:r>
            <w:r>
              <w:t xml:space="preserve">regularly </w:t>
            </w:r>
            <w:r w:rsidRPr="00EC79CF">
              <w:t>overestimate</w:t>
            </w:r>
            <w:r>
              <w:t>s</w:t>
            </w:r>
            <w:r w:rsidRPr="00EC79CF">
              <w:t xml:space="preserve"> actual revenues in the application year during a larger than average downward trend. However, to the extent that these developments are cyclical, rather than ongoing structural trends, the effects of the system in achieving HFE over </w:t>
            </w:r>
            <w:r>
              <w:t>time</w:t>
            </w:r>
            <w:r w:rsidRPr="00EC79CF">
              <w:t xml:space="preserve"> appl</w:t>
            </w:r>
            <w:r>
              <w:t>y</w:t>
            </w:r>
            <w:r w:rsidRPr="00EC79CF">
              <w:t>, irrespective of the relative amplitude of the cycle.</w:t>
            </w:r>
          </w:p>
        </w:tc>
      </w:tr>
      <w:tr w:rsidR="00A665A9" w:rsidRPr="00EC79CF" w:rsidTr="00C64449">
        <w:tc>
          <w:tcPr>
            <w:tcW w:w="9167" w:type="dxa"/>
            <w:tcBorders>
              <w:top w:val="nil"/>
              <w:left w:val="nil"/>
              <w:bottom w:val="nil"/>
              <w:right w:val="nil"/>
            </w:tcBorders>
            <w:shd w:val="clear" w:color="auto" w:fill="D9F3E6"/>
          </w:tcPr>
          <w:p w:rsidR="00A665A9" w:rsidRPr="00EC79CF" w:rsidRDefault="00A665A9" w:rsidP="00C64449">
            <w:pPr>
              <w:pStyle w:val="CGCNumberedPara"/>
              <w:numPr>
                <w:ilvl w:val="0"/>
                <w:numId w:val="0"/>
              </w:numPr>
              <w:spacing w:after="120"/>
            </w:pPr>
            <w:r w:rsidRPr="00EC79CF">
              <w:lastRenderedPageBreak/>
              <w:t>The three year lagged average approach also assists States with budget management, in that any State’s GST revenue is not immediately subject to the volatile outcomes in other States. For example, while the equalisation system will see Queensland compensated by the other States for expenses incurred in addressing the natural disasters to which it has been subject, States do not bear this cost unexpectedly in the year in which the disasters occur. States can plan to absorb those costs through reductions in GST revenue as the relevant year moves through the equalisation system. States are well aware of this aspect of the HFE system and manage their budgets accordingly.</w:t>
            </w:r>
          </w:p>
          <w:p w:rsidR="00A665A9" w:rsidRPr="00EC79CF" w:rsidRDefault="00A665A9" w:rsidP="00C64449">
            <w:pPr>
              <w:pStyle w:val="CGCNumberedPara"/>
              <w:numPr>
                <w:ilvl w:val="0"/>
                <w:numId w:val="0"/>
              </w:numPr>
              <w:spacing w:after="120"/>
            </w:pPr>
            <w:r w:rsidRPr="00EC79CF">
              <w:t xml:space="preserve">The table </w:t>
            </w:r>
            <w:r w:rsidR="00C64449">
              <w:t xml:space="preserve">and graph </w:t>
            </w:r>
            <w:r w:rsidRPr="00EC79CF">
              <w:t xml:space="preserve">below show Western Australia’s actual iron ore royalties and the assessed iron ore royalties included in the GST distribution for that year from the commencement of the three year averaging in the 2010 </w:t>
            </w:r>
            <w:r w:rsidR="002714E2">
              <w:t>R</w:t>
            </w:r>
            <w:r w:rsidRPr="00EC79CF">
              <w:t>eview. When the actual royalties exceed the assessed (a positive difference) Western Australia would have received more GST than it would have if fully contemporaneous assessments had been in place, while a negative difference means it would receive less.</w:t>
            </w:r>
            <w:r w:rsidR="00140DC7">
              <w:t xml:space="preserve"> In 2015-16 the difference is estimated to be </w:t>
            </w:r>
            <w:r w:rsidR="00140DC7">
              <w:noBreakHyphen/>
              <w:t>$836 million ($308 per capita).</w:t>
            </w:r>
          </w:p>
          <w:p w:rsidR="00A665A9" w:rsidRPr="00EC79CF" w:rsidRDefault="00A665A9" w:rsidP="00A665A9">
            <w:pPr>
              <w:pStyle w:val="CGCTableHeading"/>
            </w:pPr>
            <w:r w:rsidRPr="00EC79CF">
              <w:t xml:space="preserve">Actual, </w:t>
            </w:r>
            <w:r w:rsidR="00B428A3">
              <w:t>projected</w:t>
            </w:r>
            <w:r w:rsidR="00B428A3" w:rsidRPr="00EC79CF">
              <w:t xml:space="preserve"> </w:t>
            </w:r>
            <w:r w:rsidRPr="00EC79CF">
              <w:t>and assessed Western Australian iron ore royalties</w:t>
            </w:r>
          </w:p>
          <w:tbl>
            <w:tblPr>
              <w:tblW w:w="8940" w:type="dxa"/>
              <w:tblLook w:val="04A0" w:firstRow="1" w:lastRow="0" w:firstColumn="1" w:lastColumn="0" w:noHBand="0" w:noVBand="1"/>
            </w:tblPr>
            <w:tblGrid>
              <w:gridCol w:w="2280"/>
              <w:gridCol w:w="2220"/>
              <w:gridCol w:w="2220"/>
              <w:gridCol w:w="2220"/>
            </w:tblGrid>
            <w:tr w:rsidR="00A665A9" w:rsidRPr="00EC79CF" w:rsidTr="00A665A9">
              <w:trPr>
                <w:trHeight w:val="315"/>
              </w:trPr>
              <w:tc>
                <w:tcPr>
                  <w:tcW w:w="2280" w:type="dxa"/>
                  <w:tcBorders>
                    <w:top w:val="single" w:sz="4" w:space="0" w:color="auto"/>
                    <w:left w:val="nil"/>
                    <w:bottom w:val="single" w:sz="4" w:space="0" w:color="auto"/>
                    <w:right w:val="nil"/>
                  </w:tcBorders>
                  <w:shd w:val="clear" w:color="auto" w:fill="auto"/>
                  <w:noWrap/>
                  <w:vAlign w:val="bottom"/>
                  <w:hideMark/>
                </w:tcPr>
                <w:p w:rsidR="00A665A9" w:rsidRPr="00EC79CF" w:rsidRDefault="00A665A9" w:rsidP="00A665A9">
                  <w:pPr>
                    <w:tabs>
                      <w:tab w:val="clear" w:pos="567"/>
                    </w:tabs>
                    <w:spacing w:after="0" w:line="240" w:lineRule="auto"/>
                    <w:rPr>
                      <w:rFonts w:ascii="Calibri" w:eastAsia="Times New Roman" w:hAnsi="Calibri" w:cs="Times New Roman"/>
                      <w:color w:val="000000"/>
                      <w:sz w:val="20"/>
                      <w:szCs w:val="20"/>
                      <w:lang w:eastAsia="en-AU"/>
                    </w:rPr>
                  </w:pPr>
                  <w:bookmarkStart w:id="463" w:name="RANGE!A19:D26"/>
                  <w:r w:rsidRPr="00EC79CF">
                    <w:rPr>
                      <w:rFonts w:ascii="Calibri" w:eastAsia="Times New Roman" w:hAnsi="Calibri" w:cs="Times New Roman"/>
                      <w:color w:val="000000"/>
                      <w:sz w:val="20"/>
                      <w:szCs w:val="20"/>
                      <w:lang w:eastAsia="en-AU"/>
                    </w:rPr>
                    <w:t> </w:t>
                  </w:r>
                  <w:bookmarkEnd w:id="463"/>
                </w:p>
              </w:tc>
              <w:tc>
                <w:tcPr>
                  <w:tcW w:w="2220" w:type="dxa"/>
                  <w:tcBorders>
                    <w:top w:val="single" w:sz="4" w:space="0" w:color="auto"/>
                    <w:left w:val="nil"/>
                    <w:bottom w:val="single" w:sz="4" w:space="0" w:color="auto"/>
                    <w:right w:val="nil"/>
                  </w:tcBorders>
                  <w:shd w:val="clear" w:color="auto" w:fill="auto"/>
                  <w:noWrap/>
                  <w:vAlign w:val="bottom"/>
                  <w:hideMark/>
                </w:tcPr>
                <w:p w:rsidR="00A665A9" w:rsidRPr="00EC79CF" w:rsidRDefault="00A665A9" w:rsidP="00A665A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 xml:space="preserve">Actual </w:t>
                  </w:r>
                </w:p>
              </w:tc>
              <w:tc>
                <w:tcPr>
                  <w:tcW w:w="2220" w:type="dxa"/>
                  <w:tcBorders>
                    <w:top w:val="single" w:sz="4" w:space="0" w:color="auto"/>
                    <w:left w:val="nil"/>
                    <w:bottom w:val="single" w:sz="4" w:space="0" w:color="auto"/>
                    <w:right w:val="nil"/>
                  </w:tcBorders>
                  <w:shd w:val="clear" w:color="auto" w:fill="auto"/>
                  <w:noWrap/>
                  <w:vAlign w:val="bottom"/>
                  <w:hideMark/>
                </w:tcPr>
                <w:p w:rsidR="00A665A9" w:rsidRPr="00EC79CF" w:rsidRDefault="00A665A9" w:rsidP="00A665A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Assessed</w:t>
                  </w:r>
                </w:p>
              </w:tc>
              <w:tc>
                <w:tcPr>
                  <w:tcW w:w="2220" w:type="dxa"/>
                  <w:tcBorders>
                    <w:top w:val="single" w:sz="4" w:space="0" w:color="auto"/>
                    <w:left w:val="nil"/>
                    <w:bottom w:val="single" w:sz="4" w:space="0" w:color="auto"/>
                    <w:right w:val="nil"/>
                  </w:tcBorders>
                  <w:shd w:val="clear" w:color="auto" w:fill="auto"/>
                  <w:noWrap/>
                  <w:vAlign w:val="bottom"/>
                  <w:hideMark/>
                </w:tcPr>
                <w:p w:rsidR="00A665A9" w:rsidRPr="00EC79CF" w:rsidRDefault="00A665A9" w:rsidP="00A665A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Difference</w:t>
                  </w:r>
                </w:p>
              </w:tc>
            </w:tr>
            <w:tr w:rsidR="00A665A9" w:rsidRPr="00EC79CF" w:rsidTr="00A665A9">
              <w:trPr>
                <w:trHeight w:val="259"/>
              </w:trPr>
              <w:tc>
                <w:tcPr>
                  <w:tcW w:w="2280" w:type="dxa"/>
                  <w:tcBorders>
                    <w:top w:val="nil"/>
                    <w:left w:val="nil"/>
                    <w:bottom w:val="nil"/>
                    <w:right w:val="nil"/>
                  </w:tcBorders>
                  <w:shd w:val="clear" w:color="auto" w:fill="auto"/>
                  <w:noWrap/>
                  <w:vAlign w:val="bottom"/>
                  <w:hideMark/>
                </w:tcPr>
                <w:p w:rsidR="00A665A9" w:rsidRPr="00EC79CF" w:rsidRDefault="00A665A9" w:rsidP="00A665A9">
                  <w:pPr>
                    <w:tabs>
                      <w:tab w:val="clear" w:pos="567"/>
                    </w:tabs>
                    <w:spacing w:after="0" w:line="240" w:lineRule="auto"/>
                    <w:jc w:val="right"/>
                    <w:rPr>
                      <w:rFonts w:ascii="Calibri" w:eastAsia="Times New Roman" w:hAnsi="Calibri" w:cs="Times New Roman"/>
                      <w:color w:val="000000"/>
                      <w:sz w:val="20"/>
                      <w:szCs w:val="20"/>
                      <w:lang w:eastAsia="en-AU"/>
                    </w:rPr>
                  </w:pPr>
                </w:p>
              </w:tc>
              <w:tc>
                <w:tcPr>
                  <w:tcW w:w="2220" w:type="dxa"/>
                  <w:tcBorders>
                    <w:top w:val="nil"/>
                    <w:left w:val="nil"/>
                    <w:bottom w:val="nil"/>
                    <w:right w:val="nil"/>
                  </w:tcBorders>
                  <w:shd w:val="clear" w:color="auto" w:fill="auto"/>
                  <w:noWrap/>
                  <w:vAlign w:val="bottom"/>
                  <w:hideMark/>
                </w:tcPr>
                <w:p w:rsidR="00A665A9" w:rsidRPr="00EC79CF" w:rsidRDefault="00A665A9" w:rsidP="00A665A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$m</w:t>
                  </w:r>
                </w:p>
              </w:tc>
              <w:tc>
                <w:tcPr>
                  <w:tcW w:w="2220" w:type="dxa"/>
                  <w:tcBorders>
                    <w:top w:val="nil"/>
                    <w:left w:val="nil"/>
                    <w:bottom w:val="nil"/>
                    <w:right w:val="nil"/>
                  </w:tcBorders>
                  <w:shd w:val="clear" w:color="auto" w:fill="auto"/>
                  <w:noWrap/>
                  <w:vAlign w:val="bottom"/>
                  <w:hideMark/>
                </w:tcPr>
                <w:p w:rsidR="00A665A9" w:rsidRPr="00EC79CF" w:rsidRDefault="00A665A9" w:rsidP="00A665A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$m</w:t>
                  </w:r>
                </w:p>
              </w:tc>
              <w:tc>
                <w:tcPr>
                  <w:tcW w:w="2220" w:type="dxa"/>
                  <w:tcBorders>
                    <w:top w:val="nil"/>
                    <w:left w:val="nil"/>
                    <w:bottom w:val="nil"/>
                    <w:right w:val="nil"/>
                  </w:tcBorders>
                  <w:shd w:val="clear" w:color="auto" w:fill="auto"/>
                  <w:noWrap/>
                  <w:vAlign w:val="bottom"/>
                  <w:hideMark/>
                </w:tcPr>
                <w:p w:rsidR="00A665A9" w:rsidRPr="00EC79CF" w:rsidRDefault="00A665A9" w:rsidP="00A665A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$m</w:t>
                  </w:r>
                </w:p>
              </w:tc>
            </w:tr>
            <w:tr w:rsidR="00A665A9" w:rsidRPr="00EC79CF" w:rsidTr="00A665A9">
              <w:trPr>
                <w:trHeight w:val="315"/>
              </w:trPr>
              <w:tc>
                <w:tcPr>
                  <w:tcW w:w="2280" w:type="dxa"/>
                  <w:tcBorders>
                    <w:top w:val="nil"/>
                    <w:left w:val="nil"/>
                    <w:bottom w:val="nil"/>
                    <w:right w:val="nil"/>
                  </w:tcBorders>
                  <w:shd w:val="clear" w:color="auto" w:fill="auto"/>
                  <w:noWrap/>
                  <w:vAlign w:val="bottom"/>
                  <w:hideMark/>
                </w:tcPr>
                <w:p w:rsidR="00A665A9" w:rsidRPr="00EC79CF" w:rsidRDefault="00A665A9" w:rsidP="00A665A9">
                  <w:pPr>
                    <w:tabs>
                      <w:tab w:val="clear" w:pos="567"/>
                    </w:tabs>
                    <w:spacing w:after="0" w:line="240" w:lineRule="auto"/>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2010-11</w:t>
                  </w:r>
                </w:p>
              </w:tc>
              <w:tc>
                <w:tcPr>
                  <w:tcW w:w="2220" w:type="dxa"/>
                  <w:tcBorders>
                    <w:top w:val="nil"/>
                    <w:left w:val="nil"/>
                    <w:bottom w:val="nil"/>
                    <w:right w:val="nil"/>
                  </w:tcBorders>
                  <w:shd w:val="clear" w:color="auto" w:fill="auto"/>
                  <w:noWrap/>
                  <w:vAlign w:val="bottom"/>
                  <w:hideMark/>
                </w:tcPr>
                <w:p w:rsidR="00A665A9" w:rsidRPr="00EC79CF" w:rsidRDefault="00A665A9" w:rsidP="00A665A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3 647</w:t>
                  </w:r>
                </w:p>
              </w:tc>
              <w:tc>
                <w:tcPr>
                  <w:tcW w:w="2220" w:type="dxa"/>
                  <w:tcBorders>
                    <w:top w:val="nil"/>
                    <w:left w:val="nil"/>
                    <w:bottom w:val="nil"/>
                    <w:right w:val="nil"/>
                  </w:tcBorders>
                  <w:shd w:val="clear" w:color="auto" w:fill="auto"/>
                  <w:noWrap/>
                  <w:vAlign w:val="bottom"/>
                  <w:hideMark/>
                </w:tcPr>
                <w:p w:rsidR="00A665A9" w:rsidRPr="00EC79CF" w:rsidRDefault="00A665A9" w:rsidP="001E419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1 2</w:t>
                  </w:r>
                  <w:r w:rsidR="001E4199">
                    <w:rPr>
                      <w:rFonts w:ascii="Calibri" w:eastAsia="Times New Roman" w:hAnsi="Calibri" w:cs="Times New Roman"/>
                      <w:color w:val="000000"/>
                      <w:sz w:val="20"/>
                      <w:szCs w:val="20"/>
                      <w:lang w:eastAsia="en-AU"/>
                    </w:rPr>
                    <w:t>7</w:t>
                  </w:r>
                  <w:r w:rsidRPr="00EC79CF">
                    <w:rPr>
                      <w:rFonts w:ascii="Calibri" w:eastAsia="Times New Roman" w:hAnsi="Calibri" w:cs="Times New Roman"/>
                      <w:color w:val="000000"/>
                      <w:sz w:val="20"/>
                      <w:szCs w:val="20"/>
                      <w:lang w:eastAsia="en-AU"/>
                    </w:rPr>
                    <w:t>2</w:t>
                  </w:r>
                </w:p>
              </w:tc>
              <w:tc>
                <w:tcPr>
                  <w:tcW w:w="2220" w:type="dxa"/>
                  <w:tcBorders>
                    <w:top w:val="nil"/>
                    <w:left w:val="nil"/>
                    <w:bottom w:val="nil"/>
                    <w:right w:val="nil"/>
                  </w:tcBorders>
                  <w:shd w:val="clear" w:color="auto" w:fill="auto"/>
                  <w:noWrap/>
                  <w:vAlign w:val="bottom"/>
                  <w:hideMark/>
                </w:tcPr>
                <w:p w:rsidR="00A665A9" w:rsidRPr="00EC79CF" w:rsidRDefault="00A665A9" w:rsidP="001E419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2 3</w:t>
                  </w:r>
                  <w:r w:rsidR="001E4199">
                    <w:rPr>
                      <w:rFonts w:ascii="Calibri" w:eastAsia="Times New Roman" w:hAnsi="Calibri" w:cs="Times New Roman"/>
                      <w:color w:val="000000"/>
                      <w:sz w:val="20"/>
                      <w:szCs w:val="20"/>
                      <w:lang w:eastAsia="en-AU"/>
                    </w:rPr>
                    <w:t>75</w:t>
                  </w:r>
                </w:p>
              </w:tc>
            </w:tr>
            <w:tr w:rsidR="00A665A9" w:rsidRPr="00EC79CF" w:rsidTr="00A665A9">
              <w:trPr>
                <w:trHeight w:val="315"/>
              </w:trPr>
              <w:tc>
                <w:tcPr>
                  <w:tcW w:w="2280" w:type="dxa"/>
                  <w:tcBorders>
                    <w:top w:val="nil"/>
                    <w:left w:val="nil"/>
                    <w:bottom w:val="nil"/>
                    <w:right w:val="nil"/>
                  </w:tcBorders>
                  <w:shd w:val="clear" w:color="auto" w:fill="auto"/>
                  <w:noWrap/>
                  <w:vAlign w:val="bottom"/>
                  <w:hideMark/>
                </w:tcPr>
                <w:p w:rsidR="00A665A9" w:rsidRPr="00EC79CF" w:rsidRDefault="00A665A9" w:rsidP="00A665A9">
                  <w:pPr>
                    <w:tabs>
                      <w:tab w:val="clear" w:pos="567"/>
                    </w:tabs>
                    <w:spacing w:after="0" w:line="240" w:lineRule="auto"/>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2011-12</w:t>
                  </w:r>
                </w:p>
              </w:tc>
              <w:tc>
                <w:tcPr>
                  <w:tcW w:w="2220" w:type="dxa"/>
                  <w:tcBorders>
                    <w:top w:val="nil"/>
                    <w:left w:val="nil"/>
                    <w:bottom w:val="nil"/>
                    <w:right w:val="nil"/>
                  </w:tcBorders>
                  <w:shd w:val="clear" w:color="auto" w:fill="auto"/>
                  <w:noWrap/>
                  <w:vAlign w:val="bottom"/>
                  <w:hideMark/>
                </w:tcPr>
                <w:p w:rsidR="00A665A9" w:rsidRPr="00EC79CF" w:rsidRDefault="00A665A9" w:rsidP="00A665A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3 776</w:t>
                  </w:r>
                </w:p>
              </w:tc>
              <w:tc>
                <w:tcPr>
                  <w:tcW w:w="2220" w:type="dxa"/>
                  <w:tcBorders>
                    <w:top w:val="nil"/>
                    <w:left w:val="nil"/>
                    <w:bottom w:val="nil"/>
                    <w:right w:val="nil"/>
                  </w:tcBorders>
                  <w:shd w:val="clear" w:color="auto" w:fill="auto"/>
                  <w:noWrap/>
                  <w:vAlign w:val="bottom"/>
                  <w:hideMark/>
                </w:tcPr>
                <w:p w:rsidR="00A665A9" w:rsidRPr="00EC79CF" w:rsidRDefault="00A665A9" w:rsidP="001E419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 xml:space="preserve">1 </w:t>
                  </w:r>
                  <w:r w:rsidR="001E4199">
                    <w:rPr>
                      <w:rFonts w:ascii="Calibri" w:eastAsia="Times New Roman" w:hAnsi="Calibri" w:cs="Times New Roman"/>
                      <w:color w:val="000000"/>
                      <w:sz w:val="20"/>
                      <w:szCs w:val="20"/>
                      <w:lang w:eastAsia="en-AU"/>
                    </w:rPr>
                    <w:t>630</w:t>
                  </w:r>
                </w:p>
              </w:tc>
              <w:tc>
                <w:tcPr>
                  <w:tcW w:w="2220" w:type="dxa"/>
                  <w:tcBorders>
                    <w:top w:val="nil"/>
                    <w:left w:val="nil"/>
                    <w:bottom w:val="nil"/>
                    <w:right w:val="nil"/>
                  </w:tcBorders>
                  <w:shd w:val="clear" w:color="auto" w:fill="auto"/>
                  <w:noWrap/>
                  <w:vAlign w:val="bottom"/>
                  <w:hideMark/>
                </w:tcPr>
                <w:p w:rsidR="00A665A9" w:rsidRPr="00EC79CF" w:rsidRDefault="00A665A9" w:rsidP="001E419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 xml:space="preserve">2 </w:t>
                  </w:r>
                  <w:r w:rsidR="001E4199">
                    <w:rPr>
                      <w:rFonts w:ascii="Calibri" w:eastAsia="Times New Roman" w:hAnsi="Calibri" w:cs="Times New Roman"/>
                      <w:color w:val="000000"/>
                      <w:sz w:val="20"/>
                      <w:szCs w:val="20"/>
                      <w:lang w:eastAsia="en-AU"/>
                    </w:rPr>
                    <w:t>146</w:t>
                  </w:r>
                </w:p>
              </w:tc>
            </w:tr>
            <w:tr w:rsidR="00A665A9" w:rsidRPr="00EC79CF" w:rsidTr="00A665A9">
              <w:trPr>
                <w:trHeight w:val="315"/>
              </w:trPr>
              <w:tc>
                <w:tcPr>
                  <w:tcW w:w="2280" w:type="dxa"/>
                  <w:tcBorders>
                    <w:top w:val="nil"/>
                    <w:left w:val="nil"/>
                    <w:bottom w:val="nil"/>
                    <w:right w:val="nil"/>
                  </w:tcBorders>
                  <w:shd w:val="clear" w:color="auto" w:fill="auto"/>
                  <w:noWrap/>
                  <w:vAlign w:val="bottom"/>
                  <w:hideMark/>
                </w:tcPr>
                <w:p w:rsidR="00A665A9" w:rsidRPr="00EC79CF" w:rsidRDefault="00A665A9" w:rsidP="00A665A9">
                  <w:pPr>
                    <w:tabs>
                      <w:tab w:val="clear" w:pos="567"/>
                    </w:tabs>
                    <w:spacing w:after="0" w:line="240" w:lineRule="auto"/>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2012-13</w:t>
                  </w:r>
                </w:p>
              </w:tc>
              <w:tc>
                <w:tcPr>
                  <w:tcW w:w="2220" w:type="dxa"/>
                  <w:tcBorders>
                    <w:top w:val="nil"/>
                    <w:left w:val="nil"/>
                    <w:bottom w:val="nil"/>
                    <w:right w:val="nil"/>
                  </w:tcBorders>
                  <w:shd w:val="clear" w:color="auto" w:fill="auto"/>
                  <w:noWrap/>
                  <w:vAlign w:val="bottom"/>
                  <w:hideMark/>
                </w:tcPr>
                <w:p w:rsidR="00A665A9" w:rsidRPr="00EC79CF" w:rsidRDefault="00A665A9" w:rsidP="00A665A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3 853</w:t>
                  </w:r>
                </w:p>
              </w:tc>
              <w:tc>
                <w:tcPr>
                  <w:tcW w:w="2220" w:type="dxa"/>
                  <w:tcBorders>
                    <w:top w:val="nil"/>
                    <w:left w:val="nil"/>
                    <w:bottom w:val="nil"/>
                    <w:right w:val="nil"/>
                  </w:tcBorders>
                  <w:shd w:val="clear" w:color="auto" w:fill="auto"/>
                  <w:noWrap/>
                  <w:vAlign w:val="bottom"/>
                  <w:hideMark/>
                </w:tcPr>
                <w:p w:rsidR="00A665A9" w:rsidRPr="00EC79CF" w:rsidRDefault="00A665A9" w:rsidP="001E419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 xml:space="preserve">2 </w:t>
                  </w:r>
                  <w:r w:rsidR="001E4199">
                    <w:rPr>
                      <w:rFonts w:ascii="Calibri" w:eastAsia="Times New Roman" w:hAnsi="Calibri" w:cs="Times New Roman"/>
                      <w:color w:val="000000"/>
                      <w:sz w:val="20"/>
                      <w:szCs w:val="20"/>
                      <w:lang w:eastAsia="en-AU"/>
                    </w:rPr>
                    <w:t>438</w:t>
                  </w:r>
                </w:p>
              </w:tc>
              <w:tc>
                <w:tcPr>
                  <w:tcW w:w="2220" w:type="dxa"/>
                  <w:tcBorders>
                    <w:top w:val="nil"/>
                    <w:left w:val="nil"/>
                    <w:bottom w:val="nil"/>
                    <w:right w:val="nil"/>
                  </w:tcBorders>
                  <w:shd w:val="clear" w:color="auto" w:fill="auto"/>
                  <w:noWrap/>
                  <w:vAlign w:val="bottom"/>
                  <w:hideMark/>
                </w:tcPr>
                <w:p w:rsidR="00A665A9" w:rsidRPr="00EC79CF" w:rsidRDefault="00A665A9" w:rsidP="001E419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1 4</w:t>
                  </w:r>
                  <w:r w:rsidR="001E4199">
                    <w:rPr>
                      <w:rFonts w:ascii="Calibri" w:eastAsia="Times New Roman" w:hAnsi="Calibri" w:cs="Times New Roman"/>
                      <w:color w:val="000000"/>
                      <w:sz w:val="20"/>
                      <w:szCs w:val="20"/>
                      <w:lang w:eastAsia="en-AU"/>
                    </w:rPr>
                    <w:t>14</w:t>
                  </w:r>
                </w:p>
              </w:tc>
            </w:tr>
            <w:tr w:rsidR="00A665A9" w:rsidRPr="00EC79CF" w:rsidTr="00A665A9">
              <w:trPr>
                <w:trHeight w:val="315"/>
              </w:trPr>
              <w:tc>
                <w:tcPr>
                  <w:tcW w:w="2280" w:type="dxa"/>
                  <w:tcBorders>
                    <w:top w:val="nil"/>
                    <w:left w:val="nil"/>
                    <w:bottom w:val="nil"/>
                    <w:right w:val="nil"/>
                  </w:tcBorders>
                  <w:shd w:val="clear" w:color="auto" w:fill="auto"/>
                  <w:noWrap/>
                  <w:vAlign w:val="bottom"/>
                  <w:hideMark/>
                </w:tcPr>
                <w:p w:rsidR="00A665A9" w:rsidRPr="00EC79CF" w:rsidRDefault="00A665A9" w:rsidP="00A665A9">
                  <w:pPr>
                    <w:tabs>
                      <w:tab w:val="clear" w:pos="567"/>
                    </w:tabs>
                    <w:spacing w:after="0" w:line="240" w:lineRule="auto"/>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2013-14</w:t>
                  </w:r>
                </w:p>
              </w:tc>
              <w:tc>
                <w:tcPr>
                  <w:tcW w:w="2220" w:type="dxa"/>
                  <w:tcBorders>
                    <w:top w:val="nil"/>
                    <w:left w:val="nil"/>
                    <w:bottom w:val="single" w:sz="4" w:space="0" w:color="auto"/>
                    <w:right w:val="nil"/>
                  </w:tcBorders>
                  <w:shd w:val="clear" w:color="auto" w:fill="auto"/>
                  <w:noWrap/>
                  <w:vAlign w:val="bottom"/>
                  <w:hideMark/>
                </w:tcPr>
                <w:p w:rsidR="00A665A9" w:rsidRPr="00EC79CF" w:rsidRDefault="00A665A9" w:rsidP="001E419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 xml:space="preserve">5 </w:t>
                  </w:r>
                  <w:r w:rsidR="001E4199">
                    <w:rPr>
                      <w:rFonts w:ascii="Calibri" w:eastAsia="Times New Roman" w:hAnsi="Calibri" w:cs="Times New Roman"/>
                      <w:color w:val="000000"/>
                      <w:sz w:val="20"/>
                      <w:szCs w:val="20"/>
                      <w:lang w:eastAsia="en-AU"/>
                    </w:rPr>
                    <w:t>337</w:t>
                  </w:r>
                </w:p>
              </w:tc>
              <w:tc>
                <w:tcPr>
                  <w:tcW w:w="2220" w:type="dxa"/>
                  <w:tcBorders>
                    <w:top w:val="nil"/>
                    <w:left w:val="nil"/>
                    <w:bottom w:val="single" w:sz="4" w:space="0" w:color="auto"/>
                    <w:right w:val="nil"/>
                  </w:tcBorders>
                  <w:shd w:val="clear" w:color="auto" w:fill="auto"/>
                  <w:noWrap/>
                  <w:vAlign w:val="bottom"/>
                  <w:hideMark/>
                </w:tcPr>
                <w:p w:rsidR="00A665A9" w:rsidRPr="00EC79CF" w:rsidRDefault="00A665A9" w:rsidP="001E419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3 0</w:t>
                  </w:r>
                  <w:r w:rsidR="001E4199">
                    <w:rPr>
                      <w:rFonts w:ascii="Calibri" w:eastAsia="Times New Roman" w:hAnsi="Calibri" w:cs="Times New Roman"/>
                      <w:color w:val="000000"/>
                      <w:sz w:val="20"/>
                      <w:szCs w:val="20"/>
                      <w:lang w:eastAsia="en-AU"/>
                    </w:rPr>
                    <w:t>84</w:t>
                  </w:r>
                </w:p>
              </w:tc>
              <w:tc>
                <w:tcPr>
                  <w:tcW w:w="2220" w:type="dxa"/>
                  <w:tcBorders>
                    <w:top w:val="nil"/>
                    <w:left w:val="nil"/>
                    <w:bottom w:val="single" w:sz="4" w:space="0" w:color="auto"/>
                    <w:right w:val="nil"/>
                  </w:tcBorders>
                  <w:shd w:val="clear" w:color="auto" w:fill="auto"/>
                  <w:noWrap/>
                  <w:vAlign w:val="bottom"/>
                  <w:hideMark/>
                </w:tcPr>
                <w:p w:rsidR="00A665A9" w:rsidRPr="00EC79CF" w:rsidRDefault="001E4199" w:rsidP="001E4199">
                  <w:pPr>
                    <w:tabs>
                      <w:tab w:val="clear" w:pos="567"/>
                    </w:tabs>
                    <w:spacing w:after="0" w:line="240" w:lineRule="auto"/>
                    <w:jc w:val="right"/>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2 253</w:t>
                  </w:r>
                </w:p>
              </w:tc>
            </w:tr>
            <w:tr w:rsidR="00A665A9" w:rsidRPr="00EC79CF" w:rsidTr="00A665A9">
              <w:trPr>
                <w:trHeight w:val="315"/>
              </w:trPr>
              <w:tc>
                <w:tcPr>
                  <w:tcW w:w="2280" w:type="dxa"/>
                  <w:tcBorders>
                    <w:top w:val="nil"/>
                    <w:left w:val="nil"/>
                    <w:bottom w:val="nil"/>
                    <w:right w:val="nil"/>
                  </w:tcBorders>
                  <w:shd w:val="clear" w:color="auto" w:fill="auto"/>
                  <w:noWrap/>
                  <w:vAlign w:val="bottom"/>
                  <w:hideMark/>
                </w:tcPr>
                <w:p w:rsidR="00A665A9" w:rsidRPr="00EC79CF" w:rsidRDefault="00A665A9" w:rsidP="00A665A9">
                  <w:pPr>
                    <w:tabs>
                      <w:tab w:val="clear" w:pos="567"/>
                    </w:tabs>
                    <w:spacing w:after="0" w:line="240" w:lineRule="auto"/>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2014-15 (a)</w:t>
                  </w:r>
                </w:p>
              </w:tc>
              <w:tc>
                <w:tcPr>
                  <w:tcW w:w="2220" w:type="dxa"/>
                  <w:tcBorders>
                    <w:top w:val="nil"/>
                    <w:left w:val="nil"/>
                    <w:bottom w:val="nil"/>
                    <w:right w:val="nil"/>
                  </w:tcBorders>
                  <w:shd w:val="clear" w:color="auto" w:fill="auto"/>
                  <w:noWrap/>
                  <w:vAlign w:val="bottom"/>
                  <w:hideMark/>
                </w:tcPr>
                <w:p w:rsidR="00A665A9" w:rsidRPr="00EC79CF" w:rsidRDefault="00A665A9" w:rsidP="00A665A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3 773</w:t>
                  </w:r>
                </w:p>
              </w:tc>
              <w:tc>
                <w:tcPr>
                  <w:tcW w:w="2220" w:type="dxa"/>
                  <w:tcBorders>
                    <w:top w:val="nil"/>
                    <w:left w:val="nil"/>
                    <w:bottom w:val="nil"/>
                    <w:right w:val="nil"/>
                  </w:tcBorders>
                  <w:shd w:val="clear" w:color="auto" w:fill="auto"/>
                  <w:noWrap/>
                  <w:vAlign w:val="bottom"/>
                  <w:hideMark/>
                </w:tcPr>
                <w:p w:rsidR="00A665A9" w:rsidRPr="00EC79CF" w:rsidRDefault="00A665A9" w:rsidP="001E419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 xml:space="preserve">3 </w:t>
                  </w:r>
                  <w:r w:rsidR="001E4199">
                    <w:rPr>
                      <w:rFonts w:ascii="Calibri" w:eastAsia="Times New Roman" w:hAnsi="Calibri" w:cs="Times New Roman"/>
                      <w:color w:val="000000"/>
                      <w:sz w:val="20"/>
                      <w:szCs w:val="20"/>
                      <w:lang w:eastAsia="en-AU"/>
                    </w:rPr>
                    <w:t>768</w:t>
                  </w:r>
                </w:p>
              </w:tc>
              <w:tc>
                <w:tcPr>
                  <w:tcW w:w="2220" w:type="dxa"/>
                  <w:tcBorders>
                    <w:top w:val="nil"/>
                    <w:left w:val="nil"/>
                    <w:bottom w:val="nil"/>
                    <w:right w:val="nil"/>
                  </w:tcBorders>
                  <w:shd w:val="clear" w:color="auto" w:fill="auto"/>
                  <w:noWrap/>
                  <w:vAlign w:val="bottom"/>
                  <w:hideMark/>
                </w:tcPr>
                <w:p w:rsidR="00A665A9" w:rsidRPr="00EC79CF" w:rsidRDefault="001E4199" w:rsidP="00A665A9">
                  <w:pPr>
                    <w:tabs>
                      <w:tab w:val="clear" w:pos="567"/>
                    </w:tabs>
                    <w:spacing w:after="0" w:line="240" w:lineRule="auto"/>
                    <w:jc w:val="right"/>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5</w:t>
                  </w:r>
                </w:p>
              </w:tc>
            </w:tr>
            <w:tr w:rsidR="00A665A9" w:rsidRPr="00EC79CF" w:rsidTr="00A665A9">
              <w:trPr>
                <w:trHeight w:val="315"/>
              </w:trPr>
              <w:tc>
                <w:tcPr>
                  <w:tcW w:w="2280" w:type="dxa"/>
                  <w:tcBorders>
                    <w:top w:val="nil"/>
                    <w:left w:val="nil"/>
                    <w:bottom w:val="single" w:sz="4" w:space="0" w:color="auto"/>
                    <w:right w:val="nil"/>
                  </w:tcBorders>
                  <w:shd w:val="clear" w:color="auto" w:fill="auto"/>
                  <w:noWrap/>
                  <w:vAlign w:val="bottom"/>
                  <w:hideMark/>
                </w:tcPr>
                <w:p w:rsidR="00A665A9" w:rsidRPr="00EC79CF" w:rsidRDefault="00A665A9" w:rsidP="00A665A9">
                  <w:pPr>
                    <w:tabs>
                      <w:tab w:val="clear" w:pos="567"/>
                    </w:tabs>
                    <w:spacing w:after="0" w:line="240" w:lineRule="auto"/>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2015-16 (a)</w:t>
                  </w:r>
                </w:p>
              </w:tc>
              <w:tc>
                <w:tcPr>
                  <w:tcW w:w="2220" w:type="dxa"/>
                  <w:tcBorders>
                    <w:top w:val="nil"/>
                    <w:left w:val="nil"/>
                    <w:bottom w:val="single" w:sz="4" w:space="0" w:color="auto"/>
                    <w:right w:val="nil"/>
                  </w:tcBorders>
                  <w:shd w:val="clear" w:color="auto" w:fill="auto"/>
                  <w:noWrap/>
                  <w:vAlign w:val="bottom"/>
                  <w:hideMark/>
                </w:tcPr>
                <w:p w:rsidR="00A665A9" w:rsidRPr="00EC79CF" w:rsidRDefault="00A665A9" w:rsidP="001E419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4 40</w:t>
                  </w:r>
                  <w:r w:rsidR="001E4199">
                    <w:rPr>
                      <w:rFonts w:ascii="Calibri" w:eastAsia="Times New Roman" w:hAnsi="Calibri" w:cs="Times New Roman"/>
                      <w:color w:val="000000"/>
                      <w:sz w:val="20"/>
                      <w:szCs w:val="20"/>
                      <w:lang w:eastAsia="en-AU"/>
                    </w:rPr>
                    <w:t>3</w:t>
                  </w:r>
                </w:p>
              </w:tc>
              <w:tc>
                <w:tcPr>
                  <w:tcW w:w="2220" w:type="dxa"/>
                  <w:tcBorders>
                    <w:top w:val="nil"/>
                    <w:left w:val="nil"/>
                    <w:bottom w:val="single" w:sz="4" w:space="0" w:color="auto"/>
                    <w:right w:val="nil"/>
                  </w:tcBorders>
                  <w:shd w:val="clear" w:color="auto" w:fill="auto"/>
                  <w:noWrap/>
                  <w:vAlign w:val="bottom"/>
                  <w:hideMark/>
                </w:tcPr>
                <w:p w:rsidR="00A665A9" w:rsidRPr="00EC79CF" w:rsidRDefault="00A665A9" w:rsidP="001E419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5 2</w:t>
                  </w:r>
                  <w:r w:rsidR="001E4199">
                    <w:rPr>
                      <w:rFonts w:ascii="Calibri" w:eastAsia="Times New Roman" w:hAnsi="Calibri" w:cs="Times New Roman"/>
                      <w:color w:val="000000"/>
                      <w:sz w:val="20"/>
                      <w:szCs w:val="20"/>
                      <w:lang w:eastAsia="en-AU"/>
                    </w:rPr>
                    <w:t>3</w:t>
                  </w:r>
                  <w:r w:rsidRPr="00EC79CF">
                    <w:rPr>
                      <w:rFonts w:ascii="Calibri" w:eastAsia="Times New Roman" w:hAnsi="Calibri" w:cs="Times New Roman"/>
                      <w:color w:val="000000"/>
                      <w:sz w:val="20"/>
                      <w:szCs w:val="20"/>
                      <w:lang w:eastAsia="en-AU"/>
                    </w:rPr>
                    <w:t>8</w:t>
                  </w:r>
                </w:p>
              </w:tc>
              <w:tc>
                <w:tcPr>
                  <w:tcW w:w="2220" w:type="dxa"/>
                  <w:tcBorders>
                    <w:top w:val="nil"/>
                    <w:left w:val="nil"/>
                    <w:bottom w:val="single" w:sz="4" w:space="0" w:color="auto"/>
                    <w:right w:val="nil"/>
                  </w:tcBorders>
                  <w:shd w:val="clear" w:color="auto" w:fill="auto"/>
                  <w:noWrap/>
                  <w:vAlign w:val="bottom"/>
                  <w:hideMark/>
                </w:tcPr>
                <w:p w:rsidR="00A665A9" w:rsidRPr="00EC79CF" w:rsidRDefault="00A665A9" w:rsidP="001E4199">
                  <w:pPr>
                    <w:tabs>
                      <w:tab w:val="clear" w:pos="567"/>
                    </w:tabs>
                    <w:spacing w:after="0" w:line="240" w:lineRule="auto"/>
                    <w:jc w:val="right"/>
                    <w:rPr>
                      <w:rFonts w:ascii="Calibri" w:eastAsia="Times New Roman" w:hAnsi="Calibri" w:cs="Times New Roman"/>
                      <w:color w:val="000000"/>
                      <w:sz w:val="20"/>
                      <w:szCs w:val="20"/>
                      <w:lang w:eastAsia="en-AU"/>
                    </w:rPr>
                  </w:pPr>
                  <w:r w:rsidRPr="00EC79CF">
                    <w:rPr>
                      <w:rFonts w:ascii="Calibri" w:eastAsia="Times New Roman" w:hAnsi="Calibri" w:cs="Times New Roman"/>
                      <w:color w:val="000000"/>
                      <w:sz w:val="20"/>
                      <w:szCs w:val="20"/>
                      <w:lang w:eastAsia="en-AU"/>
                    </w:rPr>
                    <w:t>-8</w:t>
                  </w:r>
                  <w:r w:rsidR="001E4199">
                    <w:rPr>
                      <w:rFonts w:ascii="Calibri" w:eastAsia="Times New Roman" w:hAnsi="Calibri" w:cs="Times New Roman"/>
                      <w:color w:val="000000"/>
                      <w:sz w:val="20"/>
                      <w:szCs w:val="20"/>
                      <w:lang w:eastAsia="en-AU"/>
                    </w:rPr>
                    <w:t>3</w:t>
                  </w:r>
                  <w:r w:rsidRPr="00EC79CF">
                    <w:rPr>
                      <w:rFonts w:ascii="Calibri" w:eastAsia="Times New Roman" w:hAnsi="Calibri" w:cs="Times New Roman"/>
                      <w:color w:val="000000"/>
                      <w:sz w:val="20"/>
                      <w:szCs w:val="20"/>
                      <w:lang w:eastAsia="en-AU"/>
                    </w:rPr>
                    <w:t>6</w:t>
                  </w:r>
                </w:p>
              </w:tc>
            </w:tr>
          </w:tbl>
          <w:p w:rsidR="00C64449" w:rsidRPr="00EC79CF" w:rsidRDefault="00C64449" w:rsidP="00C64449">
            <w:pPr>
              <w:pStyle w:val="CGCTableFootnote"/>
            </w:pPr>
            <w:r>
              <w:t>(a)</w:t>
            </w:r>
            <w:r>
              <w:tab/>
            </w:r>
            <w:r w:rsidRPr="00EC79CF">
              <w:t>Royalties for 2014-15 and 2015-16 are forecasts.</w:t>
            </w:r>
          </w:p>
          <w:p w:rsidR="00C64449" w:rsidRDefault="00C64449" w:rsidP="00C64449">
            <w:pPr>
              <w:pStyle w:val="CGCTableFootnote"/>
            </w:pPr>
            <w:r>
              <w:t>Source:</w:t>
            </w:r>
            <w:r>
              <w:tab/>
            </w:r>
            <w:r w:rsidRPr="00EC79CF">
              <w:t>Western Australia budget papers; Commission calculation.</w:t>
            </w:r>
          </w:p>
          <w:p w:rsidR="00C64449" w:rsidRPr="00C64449" w:rsidRDefault="00C64449" w:rsidP="00C64449">
            <w:pPr>
              <w:pStyle w:val="CGCNumberedPara"/>
              <w:numPr>
                <w:ilvl w:val="0"/>
                <w:numId w:val="0"/>
              </w:numPr>
              <w:spacing w:after="80"/>
            </w:pPr>
            <w:r w:rsidRPr="00EC79CF">
              <w:t>The Commission estimates that over the mining boom, prior to the reduction in its iron ore royalty revenues in 2014-15, Western Australia received around $</w:t>
            </w:r>
            <w:r>
              <w:t>7</w:t>
            </w:r>
            <w:r w:rsidRPr="00EC79CF">
              <w:t xml:space="preserve"> billion additional GST revenue than it would have if fully contemporaneous assessments had been in place. The net impact on Western Australia would be affected by under or over adjustments in other revenues and expenditures.</w:t>
            </w:r>
          </w:p>
        </w:tc>
      </w:tr>
      <w:tr w:rsidR="00C64449" w:rsidTr="00C64449">
        <w:tc>
          <w:tcPr>
            <w:tcW w:w="9167" w:type="dxa"/>
            <w:tcBorders>
              <w:top w:val="nil"/>
              <w:left w:val="nil"/>
              <w:bottom w:val="nil"/>
              <w:right w:val="nil"/>
            </w:tcBorders>
            <w:shd w:val="clear" w:color="auto" w:fill="D9F3E6"/>
          </w:tcPr>
          <w:p w:rsidR="00C64449" w:rsidRPr="00EC79CF" w:rsidRDefault="00C64449" w:rsidP="00C64449">
            <w:pPr>
              <w:pStyle w:val="CGCTableHeading"/>
            </w:pPr>
            <w:r w:rsidRPr="00EC79CF">
              <w:lastRenderedPageBreak/>
              <w:t xml:space="preserve">Actual, </w:t>
            </w:r>
            <w:r>
              <w:t>projected</w:t>
            </w:r>
            <w:r w:rsidRPr="00EC79CF">
              <w:t xml:space="preserve"> and assessed Western Australian iron ore royalties</w:t>
            </w:r>
          </w:p>
          <w:p w:rsidR="00C64449" w:rsidRDefault="000336A3" w:rsidP="000336A3">
            <w:r>
              <w:rPr>
                <w:noProof/>
                <w:lang w:eastAsia="en-AU"/>
              </w:rPr>
              <w:drawing>
                <wp:inline distT="0" distB="0" distL="0" distR="0">
                  <wp:extent cx="5656580" cy="3561715"/>
                  <wp:effectExtent l="0" t="0" r="1270" b="635"/>
                  <wp:docPr id="23" name="Picture 23" descr="This figure shows Western Australia’s actual iron ore royalties and the assessed iron ore royalties included in the GST distribution for that year from the commencement of the three year averaging in the 2010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56580" cy="3561715"/>
                          </a:xfrm>
                          <a:prstGeom prst="rect">
                            <a:avLst/>
                          </a:prstGeom>
                          <a:noFill/>
                          <a:ln>
                            <a:noFill/>
                          </a:ln>
                        </pic:spPr>
                      </pic:pic>
                    </a:graphicData>
                  </a:graphic>
                </wp:inline>
              </w:drawing>
            </w:r>
          </w:p>
          <w:p w:rsidR="00C64449" w:rsidRDefault="00C64449" w:rsidP="00C64449">
            <w:pPr>
              <w:spacing w:before="120" w:after="120"/>
            </w:pPr>
            <w:r w:rsidRPr="00EC79CF">
              <w:t xml:space="preserve">In 2014-15 and </w:t>
            </w:r>
            <w:r>
              <w:t>2015-16</w:t>
            </w:r>
            <w:r w:rsidRPr="00EC79CF">
              <w:t>, when actual royalties are expected by Western Australia to return to levels of 2011-12 and 2012-13 before growing again, the HFE system acts to reduce this amount by about $7</w:t>
            </w:r>
            <w:r>
              <w:t>4</w:t>
            </w:r>
            <w:r w:rsidRPr="00EC79CF">
              <w:t xml:space="preserve">0 million (as Western Australia </w:t>
            </w:r>
            <w:r>
              <w:t>keeps its population share of assessed revenues</w:t>
            </w:r>
            <w:r w:rsidRPr="00EC79CF">
              <w:t>). However, unless iron ore royalty revenues grow at low rates into the future, a significant part of that $</w:t>
            </w:r>
            <w:r>
              <w:t>7 </w:t>
            </w:r>
            <w:r w:rsidRPr="00EC79CF">
              <w:t>billion may remain</w:t>
            </w:r>
            <w:r>
              <w:t xml:space="preserve"> as a net benefit to Western Australia</w:t>
            </w:r>
            <w:r w:rsidRPr="00EC79CF">
              <w:t xml:space="preserve">. This reflects the fact that there is both a structural trend and a shorter term cycle </w:t>
            </w:r>
            <w:r>
              <w:t>affecting Western Australia’s royalty revenues. While the equalisation system has redistributed significant parts of Western Australia’s royalty revenues to the other States, the lags have provided it with a large and ongoing benefit.</w:t>
            </w:r>
          </w:p>
        </w:tc>
      </w:tr>
    </w:tbl>
    <w:p w:rsidR="00C64449" w:rsidRPr="00EC79CF" w:rsidRDefault="00C64449" w:rsidP="00A665A9"/>
    <w:p w:rsidR="00A665A9" w:rsidRPr="00EC79CF" w:rsidRDefault="00A665A9" w:rsidP="00A665A9">
      <w:pPr>
        <w:pStyle w:val="Heading1"/>
        <w:sectPr w:rsidR="00A665A9" w:rsidRPr="00EC79CF" w:rsidSect="00A665A9">
          <w:footerReference w:type="default" r:id="rId66"/>
          <w:footerReference w:type="first" r:id="rId67"/>
          <w:footnotePr>
            <w:numRestart w:val="eachSect"/>
          </w:footnotePr>
          <w:pgSz w:w="11899" w:h="16838" w:code="9"/>
          <w:pgMar w:top="1701" w:right="1474" w:bottom="1701" w:left="1474" w:header="709" w:footer="709" w:gutter="0"/>
          <w:cols w:space="708"/>
          <w:titlePg/>
          <w:docGrid w:linePitch="299"/>
        </w:sectPr>
      </w:pPr>
    </w:p>
    <w:p w:rsidR="00037390" w:rsidRPr="00123B11" w:rsidRDefault="00103224" w:rsidP="00037390">
      <w:pPr>
        <w:pStyle w:val="Heading1"/>
      </w:pPr>
      <w:bookmarkStart w:id="464" w:name="_Toc411924604"/>
      <w:bookmarkStart w:id="465" w:name="_Toc380590544"/>
      <w:bookmarkStart w:id="466" w:name="_Toc380590662"/>
      <w:r>
        <w:lastRenderedPageBreak/>
        <w:t>CHAPTER</w:t>
      </w:r>
      <w:r w:rsidRPr="00123B11">
        <w:t xml:space="preserve"> </w:t>
      </w:r>
      <w:r w:rsidR="00037390" w:rsidRPr="00123B11">
        <w:t>3</w:t>
      </w:r>
      <w:bookmarkEnd w:id="464"/>
    </w:p>
    <w:p w:rsidR="00037390" w:rsidRPr="00123B11" w:rsidRDefault="00037390" w:rsidP="00037390">
      <w:pPr>
        <w:pStyle w:val="Heading2"/>
      </w:pPr>
      <w:bookmarkStart w:id="467" w:name="_Toc411924605"/>
      <w:r w:rsidRPr="00123B11">
        <w:t>WHY STATE FISCAL CAPACITIES DIFFER</w:t>
      </w:r>
      <w:bookmarkEnd w:id="467"/>
    </w:p>
    <w:p w:rsidR="00037390" w:rsidRPr="00123B11" w:rsidRDefault="00037390" w:rsidP="00037390">
      <w:pPr>
        <w:pStyle w:val="CGCNumberedPara"/>
        <w:numPr>
          <w:ilvl w:val="1"/>
          <w:numId w:val="36"/>
        </w:numPr>
      </w:pPr>
      <w:r w:rsidRPr="00123B11">
        <w:t xml:space="preserve">The fiscal positions of the States differ because of differences in their natural endowments, their economic, demographic and geographic circumstances and the policy choices they make. The Commission calculates what the fiscal capacities of the States would be if the policy differences were removed. We call these the assessed fiscal capacities of States and </w:t>
      </w:r>
      <w:r>
        <w:t xml:space="preserve">they </w:t>
      </w:r>
      <w:r w:rsidRPr="00123B11">
        <w:t>are central to our recommended GST distribution. This distribution is designed to equalise the assessed fiscal capacities of the States.</w:t>
      </w:r>
    </w:p>
    <w:p w:rsidR="00037390" w:rsidRDefault="00037390" w:rsidP="00037390">
      <w:pPr>
        <w:pStyle w:val="CGCNumberedPara"/>
        <w:numPr>
          <w:ilvl w:val="1"/>
          <w:numId w:val="2"/>
        </w:numPr>
      </w:pPr>
      <w:r w:rsidRPr="00123B11">
        <w:t>This chapter identifies the influences that cause differences in the assessed fiscal capacities of the States. It provides insights into why, if policy differences were removed, States would be able to raise different amounts of revenue per capita and why they would need to spend different amounts to provide the same standard of service to comparable communities.</w:t>
      </w:r>
    </w:p>
    <w:p w:rsidR="00037390" w:rsidRPr="00123B11" w:rsidRDefault="00037390" w:rsidP="00037390">
      <w:pPr>
        <w:pStyle w:val="Heading3"/>
      </w:pPr>
      <w:bookmarkStart w:id="468" w:name="_Toc411924606"/>
      <w:r w:rsidRPr="00123B11">
        <w:t>How different are Sta</w:t>
      </w:r>
      <w:r w:rsidR="000F7939">
        <w:t>t</w:t>
      </w:r>
      <w:r w:rsidRPr="00123B11">
        <w:t>e fiscal capacities?</w:t>
      </w:r>
      <w:bookmarkEnd w:id="468"/>
    </w:p>
    <w:p w:rsidR="00037390" w:rsidRDefault="00037390" w:rsidP="00D01233">
      <w:pPr>
        <w:pStyle w:val="CGCNumberedPara"/>
      </w:pPr>
      <w:r w:rsidRPr="00123B11">
        <w:fldChar w:fldCharType="begin"/>
      </w:r>
      <w:r w:rsidRPr="00123B11">
        <w:instrText xml:space="preserve"> REF _Ref316732675 \h  \* MERGEFORMAT </w:instrText>
      </w:r>
      <w:r w:rsidRPr="00123B11">
        <w:fldChar w:fldCharType="separate"/>
      </w:r>
      <w:r w:rsidR="003A5DEE" w:rsidRPr="00123B11">
        <w:t xml:space="preserve">Table </w:t>
      </w:r>
      <w:r w:rsidR="003A5DEE">
        <w:t>1</w:t>
      </w:r>
      <w:r w:rsidRPr="00123B11">
        <w:fldChar w:fldCharType="end"/>
      </w:r>
      <w:r w:rsidRPr="00123B11">
        <w:t xml:space="preserve"> compares the equal per capita (EPC) distribution of the GST (the distribution States would receive if their fiscal capacities were the same) with the illustrative distribution of the 2015</w:t>
      </w:r>
      <w:r w:rsidRPr="00123B11">
        <w:noBreakHyphen/>
        <w:t>16 GST</w:t>
      </w:r>
      <w:r>
        <w:t xml:space="preserve"> based on our recommended 2015-16 relativities</w:t>
      </w:r>
      <w:r w:rsidRPr="00123B11">
        <w:t>. Equalisation leads to $</w:t>
      </w:r>
      <w:r>
        <w:t>6 8</w:t>
      </w:r>
      <w:r w:rsidR="00710A71">
        <w:t xml:space="preserve">58 </w:t>
      </w:r>
      <w:r w:rsidRPr="00123B11">
        <w:t>million being redistributed, 40% of which is required by the Northern Territory.</w:t>
      </w:r>
      <w:r w:rsidR="003C7660">
        <w:t xml:space="preserve"> </w:t>
      </w:r>
      <w:r w:rsidR="00D01233" w:rsidRPr="00D01233">
        <w:t xml:space="preserve">Box </w:t>
      </w:r>
      <w:r w:rsidR="000468B3">
        <w:t>1</w:t>
      </w:r>
      <w:r>
        <w:t xml:space="preserve"> shows an alternative way of showing the redistribution.</w:t>
      </w:r>
    </w:p>
    <w:p w:rsidR="008C01A9" w:rsidRPr="00123B11" w:rsidRDefault="008C01A9" w:rsidP="008C01A9">
      <w:pPr>
        <w:pStyle w:val="CGCTableHeading"/>
        <w:ind w:left="0" w:firstLine="0"/>
      </w:pPr>
      <w:bookmarkStart w:id="469" w:name="_Ref316732675"/>
      <w:bookmarkStart w:id="470" w:name="_Toc316728062"/>
      <w:bookmarkStart w:id="471" w:name="_Toc316735961"/>
      <w:bookmarkStart w:id="472" w:name="_Toc347833829"/>
      <w:r w:rsidRPr="00123B11">
        <w:t xml:space="preserve">Table </w:t>
      </w:r>
      <w:fldSimple w:instr=" SEQ Table \r 1\* ARABIC ">
        <w:r w:rsidR="003A5DEE">
          <w:rPr>
            <w:noProof/>
          </w:rPr>
          <w:t>1</w:t>
        </w:r>
      </w:fldSimple>
      <w:bookmarkEnd w:id="469"/>
      <w:r w:rsidRPr="00123B11">
        <w:tab/>
        <w:t>Equal per capita and illustrative GST distribution, 2015</w:t>
      </w:r>
      <w:r w:rsidRPr="00123B11">
        <w:noBreakHyphen/>
        <w:t>16</w:t>
      </w:r>
      <w:bookmarkEnd w:id="470"/>
      <w:bookmarkEnd w:id="471"/>
      <w:bookmarkEnd w:id="472"/>
    </w:p>
    <w:tbl>
      <w:tblPr>
        <w:tblW w:w="9000" w:type="dxa"/>
        <w:tblInd w:w="93" w:type="dxa"/>
        <w:tblLook w:val="04A0" w:firstRow="1" w:lastRow="0" w:firstColumn="1" w:lastColumn="0" w:noHBand="0" w:noVBand="1"/>
      </w:tblPr>
      <w:tblGrid>
        <w:gridCol w:w="1600"/>
        <w:gridCol w:w="800"/>
        <w:gridCol w:w="860"/>
        <w:gridCol w:w="860"/>
        <w:gridCol w:w="760"/>
        <w:gridCol w:w="820"/>
        <w:gridCol w:w="820"/>
        <w:gridCol w:w="800"/>
        <w:gridCol w:w="880"/>
        <w:gridCol w:w="800"/>
      </w:tblGrid>
      <w:tr w:rsidR="008C01A9" w:rsidRPr="000D571A" w:rsidTr="008C01A9">
        <w:trPr>
          <w:trHeight w:val="379"/>
        </w:trPr>
        <w:tc>
          <w:tcPr>
            <w:tcW w:w="1600" w:type="dxa"/>
            <w:tcBorders>
              <w:top w:val="single" w:sz="4" w:space="0" w:color="auto"/>
              <w:left w:val="nil"/>
              <w:bottom w:val="single" w:sz="4" w:space="0" w:color="auto"/>
              <w:right w:val="nil"/>
            </w:tcBorders>
            <w:shd w:val="clear" w:color="auto" w:fill="auto"/>
            <w:noWrap/>
            <w:vAlign w:val="center"/>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 </w:t>
            </w:r>
          </w:p>
        </w:tc>
        <w:tc>
          <w:tcPr>
            <w:tcW w:w="800" w:type="dxa"/>
            <w:tcBorders>
              <w:top w:val="single" w:sz="4" w:space="0" w:color="auto"/>
              <w:left w:val="nil"/>
              <w:bottom w:val="single" w:sz="4" w:space="0" w:color="auto"/>
              <w:right w:val="nil"/>
            </w:tcBorders>
            <w:shd w:val="clear" w:color="auto" w:fill="auto"/>
            <w:noWrap/>
            <w:vAlign w:val="center"/>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NSW</w:t>
            </w:r>
          </w:p>
        </w:tc>
        <w:tc>
          <w:tcPr>
            <w:tcW w:w="860" w:type="dxa"/>
            <w:tcBorders>
              <w:top w:val="single" w:sz="4" w:space="0" w:color="auto"/>
              <w:left w:val="nil"/>
              <w:bottom w:val="single" w:sz="4" w:space="0" w:color="auto"/>
              <w:right w:val="nil"/>
            </w:tcBorders>
            <w:shd w:val="clear" w:color="auto" w:fill="auto"/>
            <w:noWrap/>
            <w:vAlign w:val="center"/>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Vic</w:t>
            </w:r>
          </w:p>
        </w:tc>
        <w:tc>
          <w:tcPr>
            <w:tcW w:w="860" w:type="dxa"/>
            <w:tcBorders>
              <w:top w:val="single" w:sz="4" w:space="0" w:color="auto"/>
              <w:left w:val="nil"/>
              <w:bottom w:val="single" w:sz="4" w:space="0" w:color="auto"/>
              <w:right w:val="nil"/>
            </w:tcBorders>
            <w:shd w:val="clear" w:color="auto" w:fill="auto"/>
            <w:noWrap/>
            <w:vAlign w:val="center"/>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Qld</w:t>
            </w:r>
          </w:p>
        </w:tc>
        <w:tc>
          <w:tcPr>
            <w:tcW w:w="760" w:type="dxa"/>
            <w:tcBorders>
              <w:top w:val="single" w:sz="4" w:space="0" w:color="auto"/>
              <w:left w:val="nil"/>
              <w:bottom w:val="single" w:sz="4" w:space="0" w:color="auto"/>
              <w:right w:val="nil"/>
            </w:tcBorders>
            <w:shd w:val="clear" w:color="auto" w:fill="auto"/>
            <w:noWrap/>
            <w:vAlign w:val="center"/>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WA</w:t>
            </w:r>
          </w:p>
        </w:tc>
        <w:tc>
          <w:tcPr>
            <w:tcW w:w="820" w:type="dxa"/>
            <w:tcBorders>
              <w:top w:val="single" w:sz="4" w:space="0" w:color="auto"/>
              <w:left w:val="nil"/>
              <w:bottom w:val="single" w:sz="4" w:space="0" w:color="auto"/>
              <w:right w:val="nil"/>
            </w:tcBorders>
            <w:shd w:val="clear" w:color="auto" w:fill="auto"/>
            <w:noWrap/>
            <w:vAlign w:val="center"/>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SA</w:t>
            </w:r>
          </w:p>
        </w:tc>
        <w:tc>
          <w:tcPr>
            <w:tcW w:w="820" w:type="dxa"/>
            <w:tcBorders>
              <w:top w:val="single" w:sz="4" w:space="0" w:color="auto"/>
              <w:left w:val="nil"/>
              <w:bottom w:val="single" w:sz="4" w:space="0" w:color="auto"/>
              <w:right w:val="nil"/>
            </w:tcBorders>
            <w:shd w:val="clear" w:color="auto" w:fill="auto"/>
            <w:noWrap/>
            <w:vAlign w:val="center"/>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proofErr w:type="spellStart"/>
            <w:r w:rsidRPr="000D571A">
              <w:rPr>
                <w:rFonts w:ascii="Calibri" w:eastAsia="Times New Roman" w:hAnsi="Calibri" w:cs="Times New Roman"/>
                <w:sz w:val="20"/>
                <w:szCs w:val="20"/>
                <w:lang w:eastAsia="en-AU"/>
              </w:rPr>
              <w:t>Tas</w:t>
            </w:r>
            <w:proofErr w:type="spellEnd"/>
          </w:p>
        </w:tc>
        <w:tc>
          <w:tcPr>
            <w:tcW w:w="800" w:type="dxa"/>
            <w:tcBorders>
              <w:top w:val="single" w:sz="4" w:space="0" w:color="auto"/>
              <w:left w:val="nil"/>
              <w:bottom w:val="single" w:sz="4" w:space="0" w:color="auto"/>
              <w:right w:val="nil"/>
            </w:tcBorders>
            <w:shd w:val="clear" w:color="auto" w:fill="auto"/>
            <w:noWrap/>
            <w:vAlign w:val="center"/>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ACT</w:t>
            </w:r>
          </w:p>
        </w:tc>
        <w:tc>
          <w:tcPr>
            <w:tcW w:w="880" w:type="dxa"/>
            <w:tcBorders>
              <w:top w:val="single" w:sz="4" w:space="0" w:color="auto"/>
              <w:left w:val="nil"/>
              <w:bottom w:val="single" w:sz="4" w:space="0" w:color="auto"/>
              <w:right w:val="nil"/>
            </w:tcBorders>
            <w:shd w:val="clear" w:color="auto" w:fill="auto"/>
            <w:noWrap/>
            <w:vAlign w:val="center"/>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NT</w:t>
            </w:r>
          </w:p>
        </w:tc>
        <w:tc>
          <w:tcPr>
            <w:tcW w:w="800" w:type="dxa"/>
            <w:tcBorders>
              <w:top w:val="single" w:sz="4" w:space="0" w:color="auto"/>
              <w:left w:val="nil"/>
              <w:bottom w:val="single" w:sz="4" w:space="0" w:color="auto"/>
              <w:right w:val="nil"/>
            </w:tcBorders>
            <w:shd w:val="clear" w:color="auto" w:fill="auto"/>
            <w:noWrap/>
            <w:vAlign w:val="center"/>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proofErr w:type="spellStart"/>
            <w:r w:rsidRPr="000D571A">
              <w:rPr>
                <w:rFonts w:ascii="Calibri" w:eastAsia="Times New Roman" w:hAnsi="Calibri" w:cs="Times New Roman"/>
                <w:sz w:val="20"/>
                <w:szCs w:val="20"/>
                <w:lang w:eastAsia="en-AU"/>
              </w:rPr>
              <w:t>Redist</w:t>
            </w:r>
            <w:proofErr w:type="spellEnd"/>
          </w:p>
        </w:tc>
      </w:tr>
      <w:tr w:rsidR="008C01A9" w:rsidRPr="000D571A" w:rsidTr="008C01A9">
        <w:trPr>
          <w:trHeight w:val="259"/>
        </w:trPr>
        <w:tc>
          <w:tcPr>
            <w:tcW w:w="16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p>
        </w:tc>
        <w:tc>
          <w:tcPr>
            <w:tcW w:w="8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$m</w:t>
            </w:r>
          </w:p>
        </w:tc>
        <w:tc>
          <w:tcPr>
            <w:tcW w:w="86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$m</w:t>
            </w:r>
          </w:p>
        </w:tc>
        <w:tc>
          <w:tcPr>
            <w:tcW w:w="86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$m</w:t>
            </w:r>
          </w:p>
        </w:tc>
        <w:tc>
          <w:tcPr>
            <w:tcW w:w="8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$m</w:t>
            </w:r>
          </w:p>
        </w:tc>
        <w:tc>
          <w:tcPr>
            <w:tcW w:w="88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$m</w:t>
            </w:r>
          </w:p>
        </w:tc>
        <w:tc>
          <w:tcPr>
            <w:tcW w:w="8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$m</w:t>
            </w:r>
          </w:p>
        </w:tc>
      </w:tr>
      <w:tr w:rsidR="008C01A9" w:rsidRPr="000D571A" w:rsidTr="008C01A9">
        <w:trPr>
          <w:trHeight w:val="315"/>
        </w:trPr>
        <w:tc>
          <w:tcPr>
            <w:tcW w:w="16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Equal per capita</w:t>
            </w:r>
          </w:p>
        </w:tc>
        <w:tc>
          <w:tcPr>
            <w:tcW w:w="8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18 200</w:t>
            </w:r>
          </w:p>
        </w:tc>
        <w:tc>
          <w:tcPr>
            <w:tcW w:w="86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14 234</w:t>
            </w:r>
          </w:p>
        </w:tc>
        <w:tc>
          <w:tcPr>
            <w:tcW w:w="86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11 525</w:t>
            </w:r>
          </w:p>
        </w:tc>
        <w:tc>
          <w:tcPr>
            <w:tcW w:w="76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6 425</w:t>
            </w:r>
          </w:p>
        </w:tc>
        <w:tc>
          <w:tcPr>
            <w:tcW w:w="82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4 050</w:t>
            </w:r>
          </w:p>
        </w:tc>
        <w:tc>
          <w:tcPr>
            <w:tcW w:w="82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1 224</w:t>
            </w:r>
          </w:p>
        </w:tc>
        <w:tc>
          <w:tcPr>
            <w:tcW w:w="8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942</w:t>
            </w:r>
          </w:p>
        </w:tc>
        <w:tc>
          <w:tcPr>
            <w:tcW w:w="88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599</w:t>
            </w:r>
          </w:p>
        </w:tc>
        <w:tc>
          <w:tcPr>
            <w:tcW w:w="8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p>
        </w:tc>
      </w:tr>
      <w:tr w:rsidR="008C01A9" w:rsidRPr="000D571A" w:rsidTr="008C01A9">
        <w:trPr>
          <w:trHeight w:val="315"/>
        </w:trPr>
        <w:tc>
          <w:tcPr>
            <w:tcW w:w="16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Illustrative</w:t>
            </w:r>
          </w:p>
        </w:tc>
        <w:tc>
          <w:tcPr>
            <w:tcW w:w="8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17 311</w:t>
            </w:r>
          </w:p>
        </w:tc>
        <w:tc>
          <w:tcPr>
            <w:tcW w:w="86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12 755</w:t>
            </w:r>
          </w:p>
        </w:tc>
        <w:tc>
          <w:tcPr>
            <w:tcW w:w="86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13 046</w:t>
            </w:r>
          </w:p>
        </w:tc>
        <w:tc>
          <w:tcPr>
            <w:tcW w:w="76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1 935</w:t>
            </w:r>
          </w:p>
        </w:tc>
        <w:tc>
          <w:tcPr>
            <w:tcW w:w="82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5 525</w:t>
            </w:r>
          </w:p>
        </w:tc>
        <w:tc>
          <w:tcPr>
            <w:tcW w:w="82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2 236</w:t>
            </w:r>
          </w:p>
        </w:tc>
        <w:tc>
          <w:tcPr>
            <w:tcW w:w="8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1 040</w:t>
            </w:r>
          </w:p>
        </w:tc>
        <w:tc>
          <w:tcPr>
            <w:tcW w:w="88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3 351</w:t>
            </w:r>
          </w:p>
        </w:tc>
        <w:tc>
          <w:tcPr>
            <w:tcW w:w="8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p>
        </w:tc>
      </w:tr>
      <w:tr w:rsidR="008C01A9" w:rsidRPr="000D571A" w:rsidTr="008C01A9">
        <w:trPr>
          <w:trHeight w:val="315"/>
        </w:trPr>
        <w:tc>
          <w:tcPr>
            <w:tcW w:w="16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Redistribution</w:t>
            </w:r>
          </w:p>
        </w:tc>
        <w:tc>
          <w:tcPr>
            <w:tcW w:w="8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bookmarkStart w:id="473" w:name="RANGE!B20:J20"/>
            <w:bookmarkStart w:id="474" w:name="RANGE!B20:I20"/>
            <w:bookmarkEnd w:id="473"/>
            <w:r w:rsidRPr="000D571A">
              <w:rPr>
                <w:rFonts w:ascii="Calibri" w:eastAsia="Times New Roman" w:hAnsi="Calibri" w:cs="Times New Roman"/>
                <w:sz w:val="20"/>
                <w:szCs w:val="20"/>
                <w:lang w:eastAsia="en-AU"/>
              </w:rPr>
              <w:t>-889</w:t>
            </w:r>
            <w:bookmarkEnd w:id="474"/>
          </w:p>
        </w:tc>
        <w:tc>
          <w:tcPr>
            <w:tcW w:w="86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-1 479</w:t>
            </w:r>
          </w:p>
        </w:tc>
        <w:tc>
          <w:tcPr>
            <w:tcW w:w="86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1 521</w:t>
            </w:r>
          </w:p>
        </w:tc>
        <w:tc>
          <w:tcPr>
            <w:tcW w:w="76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-4 490</w:t>
            </w:r>
          </w:p>
        </w:tc>
        <w:tc>
          <w:tcPr>
            <w:tcW w:w="82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1 475</w:t>
            </w:r>
          </w:p>
        </w:tc>
        <w:tc>
          <w:tcPr>
            <w:tcW w:w="82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1 012</w:t>
            </w:r>
          </w:p>
        </w:tc>
        <w:tc>
          <w:tcPr>
            <w:tcW w:w="8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98</w:t>
            </w:r>
          </w:p>
        </w:tc>
        <w:tc>
          <w:tcPr>
            <w:tcW w:w="88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2 752</w:t>
            </w:r>
          </w:p>
        </w:tc>
        <w:tc>
          <w:tcPr>
            <w:tcW w:w="8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6 858</w:t>
            </w:r>
          </w:p>
        </w:tc>
      </w:tr>
      <w:tr w:rsidR="008C01A9" w:rsidRPr="000D571A" w:rsidTr="008C01A9">
        <w:trPr>
          <w:trHeight w:val="259"/>
        </w:trPr>
        <w:tc>
          <w:tcPr>
            <w:tcW w:w="16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p>
        </w:tc>
        <w:tc>
          <w:tcPr>
            <w:tcW w:w="800" w:type="dxa"/>
            <w:tcBorders>
              <w:top w:val="single" w:sz="4" w:space="0" w:color="auto"/>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$pc</w:t>
            </w:r>
          </w:p>
        </w:tc>
        <w:tc>
          <w:tcPr>
            <w:tcW w:w="860" w:type="dxa"/>
            <w:tcBorders>
              <w:top w:val="single" w:sz="4" w:space="0" w:color="auto"/>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$pc</w:t>
            </w:r>
          </w:p>
        </w:tc>
        <w:tc>
          <w:tcPr>
            <w:tcW w:w="860" w:type="dxa"/>
            <w:tcBorders>
              <w:top w:val="single" w:sz="4" w:space="0" w:color="auto"/>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$pc</w:t>
            </w:r>
          </w:p>
        </w:tc>
        <w:tc>
          <w:tcPr>
            <w:tcW w:w="760" w:type="dxa"/>
            <w:tcBorders>
              <w:top w:val="single" w:sz="4" w:space="0" w:color="auto"/>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$pc</w:t>
            </w:r>
          </w:p>
        </w:tc>
        <w:tc>
          <w:tcPr>
            <w:tcW w:w="820" w:type="dxa"/>
            <w:tcBorders>
              <w:top w:val="single" w:sz="4" w:space="0" w:color="auto"/>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$pc</w:t>
            </w:r>
          </w:p>
        </w:tc>
        <w:tc>
          <w:tcPr>
            <w:tcW w:w="820" w:type="dxa"/>
            <w:tcBorders>
              <w:top w:val="single" w:sz="4" w:space="0" w:color="auto"/>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$pc</w:t>
            </w:r>
          </w:p>
        </w:tc>
        <w:tc>
          <w:tcPr>
            <w:tcW w:w="800" w:type="dxa"/>
            <w:tcBorders>
              <w:top w:val="single" w:sz="4" w:space="0" w:color="auto"/>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$pc</w:t>
            </w:r>
          </w:p>
        </w:tc>
        <w:tc>
          <w:tcPr>
            <w:tcW w:w="880" w:type="dxa"/>
            <w:tcBorders>
              <w:top w:val="single" w:sz="4" w:space="0" w:color="auto"/>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$pc</w:t>
            </w:r>
          </w:p>
        </w:tc>
        <w:tc>
          <w:tcPr>
            <w:tcW w:w="800" w:type="dxa"/>
            <w:tcBorders>
              <w:top w:val="single" w:sz="4" w:space="0" w:color="auto"/>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$pc</w:t>
            </w:r>
          </w:p>
        </w:tc>
      </w:tr>
      <w:tr w:rsidR="008C01A9" w:rsidRPr="000D571A" w:rsidTr="008C01A9">
        <w:trPr>
          <w:trHeight w:val="315"/>
        </w:trPr>
        <w:tc>
          <w:tcPr>
            <w:tcW w:w="16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Equal per capita</w:t>
            </w:r>
          </w:p>
        </w:tc>
        <w:tc>
          <w:tcPr>
            <w:tcW w:w="8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2 370</w:t>
            </w:r>
          </w:p>
        </w:tc>
        <w:tc>
          <w:tcPr>
            <w:tcW w:w="86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2 370</w:t>
            </w:r>
          </w:p>
        </w:tc>
        <w:tc>
          <w:tcPr>
            <w:tcW w:w="86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2 370</w:t>
            </w:r>
          </w:p>
        </w:tc>
        <w:tc>
          <w:tcPr>
            <w:tcW w:w="76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2 370</w:t>
            </w:r>
          </w:p>
        </w:tc>
        <w:tc>
          <w:tcPr>
            <w:tcW w:w="82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2 370</w:t>
            </w:r>
          </w:p>
        </w:tc>
        <w:tc>
          <w:tcPr>
            <w:tcW w:w="82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2 370</w:t>
            </w:r>
          </w:p>
        </w:tc>
        <w:tc>
          <w:tcPr>
            <w:tcW w:w="8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2 370</w:t>
            </w:r>
          </w:p>
        </w:tc>
        <w:tc>
          <w:tcPr>
            <w:tcW w:w="88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2 370</w:t>
            </w:r>
          </w:p>
        </w:tc>
        <w:tc>
          <w:tcPr>
            <w:tcW w:w="8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p>
        </w:tc>
      </w:tr>
      <w:tr w:rsidR="008C01A9" w:rsidRPr="000D571A" w:rsidTr="008C01A9">
        <w:trPr>
          <w:trHeight w:val="315"/>
        </w:trPr>
        <w:tc>
          <w:tcPr>
            <w:tcW w:w="16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Illustrative</w:t>
            </w:r>
          </w:p>
        </w:tc>
        <w:tc>
          <w:tcPr>
            <w:tcW w:w="8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2 254</w:t>
            </w:r>
          </w:p>
        </w:tc>
        <w:tc>
          <w:tcPr>
            <w:tcW w:w="86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2 123</w:t>
            </w:r>
          </w:p>
        </w:tc>
        <w:tc>
          <w:tcPr>
            <w:tcW w:w="86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2 682</w:t>
            </w:r>
          </w:p>
        </w:tc>
        <w:tc>
          <w:tcPr>
            <w:tcW w:w="76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714</w:t>
            </w:r>
          </w:p>
        </w:tc>
        <w:tc>
          <w:tcPr>
            <w:tcW w:w="82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3 233</w:t>
            </w:r>
          </w:p>
        </w:tc>
        <w:tc>
          <w:tcPr>
            <w:tcW w:w="82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4 328</w:t>
            </w:r>
          </w:p>
        </w:tc>
        <w:tc>
          <w:tcPr>
            <w:tcW w:w="8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2 617</w:t>
            </w:r>
          </w:p>
        </w:tc>
        <w:tc>
          <w:tcPr>
            <w:tcW w:w="88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13 252</w:t>
            </w:r>
          </w:p>
        </w:tc>
        <w:tc>
          <w:tcPr>
            <w:tcW w:w="800" w:type="dxa"/>
            <w:tcBorders>
              <w:top w:val="nil"/>
              <w:left w:val="nil"/>
              <w:bottom w:val="nil"/>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p>
        </w:tc>
      </w:tr>
      <w:tr w:rsidR="008C01A9" w:rsidRPr="000D571A" w:rsidTr="008C01A9">
        <w:trPr>
          <w:trHeight w:val="315"/>
        </w:trPr>
        <w:tc>
          <w:tcPr>
            <w:tcW w:w="1600" w:type="dxa"/>
            <w:tcBorders>
              <w:top w:val="nil"/>
              <w:left w:val="nil"/>
              <w:bottom w:val="single" w:sz="4" w:space="0" w:color="auto"/>
              <w:right w:val="nil"/>
            </w:tcBorders>
            <w:shd w:val="clear" w:color="auto" w:fill="auto"/>
            <w:noWrap/>
            <w:vAlign w:val="bottom"/>
            <w:hideMark/>
          </w:tcPr>
          <w:p w:rsidR="008C01A9" w:rsidRPr="000D571A" w:rsidRDefault="008C01A9" w:rsidP="008C01A9">
            <w:pPr>
              <w:tabs>
                <w:tab w:val="clear" w:pos="567"/>
              </w:tabs>
              <w:spacing w:after="0" w:line="240" w:lineRule="auto"/>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Redistribution</w:t>
            </w:r>
          </w:p>
        </w:tc>
        <w:tc>
          <w:tcPr>
            <w:tcW w:w="800" w:type="dxa"/>
            <w:tcBorders>
              <w:top w:val="nil"/>
              <w:left w:val="nil"/>
              <w:bottom w:val="single" w:sz="4" w:space="0" w:color="auto"/>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-116</w:t>
            </w:r>
          </w:p>
        </w:tc>
        <w:tc>
          <w:tcPr>
            <w:tcW w:w="860" w:type="dxa"/>
            <w:tcBorders>
              <w:top w:val="nil"/>
              <w:left w:val="nil"/>
              <w:bottom w:val="single" w:sz="4" w:space="0" w:color="auto"/>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-246</w:t>
            </w:r>
          </w:p>
        </w:tc>
        <w:tc>
          <w:tcPr>
            <w:tcW w:w="860" w:type="dxa"/>
            <w:tcBorders>
              <w:top w:val="nil"/>
              <w:left w:val="nil"/>
              <w:bottom w:val="single" w:sz="4" w:space="0" w:color="auto"/>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313</w:t>
            </w:r>
          </w:p>
        </w:tc>
        <w:tc>
          <w:tcPr>
            <w:tcW w:w="760" w:type="dxa"/>
            <w:tcBorders>
              <w:top w:val="nil"/>
              <w:left w:val="nil"/>
              <w:bottom w:val="single" w:sz="4" w:space="0" w:color="auto"/>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-1 656</w:t>
            </w:r>
          </w:p>
        </w:tc>
        <w:tc>
          <w:tcPr>
            <w:tcW w:w="820" w:type="dxa"/>
            <w:tcBorders>
              <w:top w:val="nil"/>
              <w:left w:val="nil"/>
              <w:bottom w:val="single" w:sz="4" w:space="0" w:color="auto"/>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863</w:t>
            </w:r>
          </w:p>
        </w:tc>
        <w:tc>
          <w:tcPr>
            <w:tcW w:w="820" w:type="dxa"/>
            <w:tcBorders>
              <w:top w:val="nil"/>
              <w:left w:val="nil"/>
              <w:bottom w:val="single" w:sz="4" w:space="0" w:color="auto"/>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1 958</w:t>
            </w:r>
          </w:p>
        </w:tc>
        <w:tc>
          <w:tcPr>
            <w:tcW w:w="800" w:type="dxa"/>
            <w:tcBorders>
              <w:top w:val="nil"/>
              <w:left w:val="nil"/>
              <w:bottom w:val="single" w:sz="4" w:space="0" w:color="auto"/>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248</w:t>
            </w:r>
          </w:p>
        </w:tc>
        <w:tc>
          <w:tcPr>
            <w:tcW w:w="880" w:type="dxa"/>
            <w:tcBorders>
              <w:top w:val="nil"/>
              <w:left w:val="nil"/>
              <w:bottom w:val="single" w:sz="4" w:space="0" w:color="auto"/>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10 883</w:t>
            </w:r>
          </w:p>
        </w:tc>
        <w:tc>
          <w:tcPr>
            <w:tcW w:w="800" w:type="dxa"/>
            <w:tcBorders>
              <w:top w:val="nil"/>
              <w:left w:val="nil"/>
              <w:bottom w:val="single" w:sz="4" w:space="0" w:color="auto"/>
              <w:right w:val="nil"/>
            </w:tcBorders>
            <w:shd w:val="clear" w:color="auto" w:fill="auto"/>
            <w:noWrap/>
            <w:vAlign w:val="bottom"/>
            <w:hideMark/>
          </w:tcPr>
          <w:p w:rsidR="008C01A9" w:rsidRPr="000D571A" w:rsidRDefault="008C01A9" w:rsidP="008C01A9">
            <w:pPr>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284</w:t>
            </w:r>
          </w:p>
        </w:tc>
      </w:tr>
    </w:tbl>
    <w:p w:rsidR="008C01A9" w:rsidRPr="008C01A9" w:rsidRDefault="008C01A9" w:rsidP="008C01A9">
      <w:pPr>
        <w:pStyle w:val="CGCTableFootnote"/>
      </w:pPr>
      <w:r w:rsidRPr="008C01A9">
        <w:t>Note:</w:t>
      </w:r>
      <w:r w:rsidRPr="008C01A9">
        <w:tab/>
        <w:t>The total redistribution of $6 858 million is the sum of the positive (or negative) items in the row.</w:t>
      </w:r>
    </w:p>
    <w:p w:rsidR="008C01A9" w:rsidRPr="008C01A9" w:rsidRDefault="008C01A9" w:rsidP="008C01A9">
      <w:pPr>
        <w:pStyle w:val="CGCTableFootnote"/>
      </w:pPr>
      <w:r w:rsidRPr="008C01A9">
        <w:t>Source:</w:t>
      </w:r>
      <w:r w:rsidRPr="008C01A9">
        <w:tab/>
        <w:t>Commission calculation.</w:t>
      </w:r>
    </w:p>
    <w:p w:rsidR="006E2535" w:rsidRDefault="00037390" w:rsidP="00922480">
      <w:pPr>
        <w:pStyle w:val="CGCNumberedPara"/>
      </w:pPr>
      <w:r w:rsidRPr="00123B11">
        <w:lastRenderedPageBreak/>
        <w:t xml:space="preserve">The overall assessed fiscal capacity of a State is influenced by differences in </w:t>
      </w:r>
      <w:r w:rsidR="00236E06">
        <w:t xml:space="preserve">its </w:t>
      </w:r>
      <w:r w:rsidRPr="00123B11">
        <w:t xml:space="preserve">assessed cost of providing services and infrastructure as well as </w:t>
      </w:r>
      <w:r w:rsidR="00236E06">
        <w:t>its</w:t>
      </w:r>
      <w:r w:rsidR="00236E06" w:rsidRPr="00123B11">
        <w:t xml:space="preserve"> </w:t>
      </w:r>
      <w:r w:rsidRPr="00123B11">
        <w:t>assessed capacity to raise revenue. The Commission also considers revenue to States via grants from the Commonwealth. A breakdown of the contribution of each of these is illustrated in two differe</w:t>
      </w:r>
      <w:r w:rsidR="00A12E48">
        <w:t>nt ways in the following tables.</w:t>
      </w:r>
    </w:p>
    <w:p w:rsidR="00037390" w:rsidRPr="00123B11" w:rsidRDefault="00037390" w:rsidP="00922480">
      <w:pPr>
        <w:pStyle w:val="CGCBulletlist"/>
      </w:pPr>
      <w:r w:rsidRPr="00123B11">
        <w:rPr>
          <w:szCs w:val="24"/>
        </w:rPr>
        <w:fldChar w:fldCharType="begin"/>
      </w:r>
      <w:r w:rsidRPr="00123B11">
        <w:instrText xml:space="preserve"> REF _Ref401655078 \h  \* MERGEFORMAT </w:instrText>
      </w:r>
      <w:r w:rsidRPr="00123B11">
        <w:rPr>
          <w:szCs w:val="24"/>
        </w:rPr>
      </w:r>
      <w:r w:rsidRPr="00123B11">
        <w:rPr>
          <w:szCs w:val="24"/>
        </w:rPr>
        <w:fldChar w:fldCharType="separate"/>
      </w:r>
      <w:r w:rsidR="003A5DEE" w:rsidRPr="00123B11">
        <w:t xml:space="preserve">Table </w:t>
      </w:r>
      <w:r w:rsidR="003A5DEE">
        <w:rPr>
          <w:noProof/>
        </w:rPr>
        <w:t>2</w:t>
      </w:r>
      <w:r w:rsidRPr="00123B11">
        <w:fldChar w:fldCharType="end"/>
      </w:r>
      <w:r w:rsidRPr="00123B11">
        <w:t xml:space="preserve"> shows the per capita amount each State would need to spend to provide the average level of service and the </w:t>
      </w:r>
      <w:r>
        <w:t xml:space="preserve">per capita </w:t>
      </w:r>
      <w:r w:rsidRPr="00123B11">
        <w:t xml:space="preserve">revenue (including borrowing) that </w:t>
      </w:r>
      <w:r>
        <w:t xml:space="preserve">could </w:t>
      </w:r>
      <w:r w:rsidRPr="00123B11">
        <w:t>finance it</w:t>
      </w:r>
      <w:r>
        <w:t xml:space="preserve"> if average policies were followed</w:t>
      </w:r>
      <w:r w:rsidRPr="00123B11">
        <w:t xml:space="preserve">. The GST fills the gap between the amount a State needs to spend to deliver the average service, the revenue it could raise (and borrow) and the Commonwealth payments it receives. </w:t>
      </w:r>
    </w:p>
    <w:p w:rsidR="00037390" w:rsidRPr="00123B11" w:rsidRDefault="00037390" w:rsidP="00922480">
      <w:pPr>
        <w:pStyle w:val="CGCBulletlist"/>
      </w:pPr>
      <w:r>
        <w:fldChar w:fldCharType="begin"/>
      </w:r>
      <w:r>
        <w:instrText xml:space="preserve"> REF _Ref411604678 \h </w:instrText>
      </w:r>
      <w:r w:rsidR="00A12E48">
        <w:instrText xml:space="preserve"> \* MERGEFORMAT </w:instrText>
      </w:r>
      <w:r>
        <w:fldChar w:fldCharType="separate"/>
      </w:r>
      <w:r w:rsidR="003A5DEE" w:rsidRPr="00123B11">
        <w:t xml:space="preserve">Table </w:t>
      </w:r>
      <w:r w:rsidR="003A5DEE">
        <w:rPr>
          <w:noProof/>
        </w:rPr>
        <w:t>3</w:t>
      </w:r>
      <w:r>
        <w:fldChar w:fldCharType="end"/>
      </w:r>
      <w:r>
        <w:t xml:space="preserve"> </w:t>
      </w:r>
      <w:r w:rsidRPr="00123B11">
        <w:t xml:space="preserve">shows the Commission’s assessments of the </w:t>
      </w:r>
      <w:r w:rsidR="00236E06">
        <w:t xml:space="preserve">per capita </w:t>
      </w:r>
      <w:r w:rsidRPr="00123B11">
        <w:t>amounts above or below the national average each State needs to spend to deliver average services, and the differences in what revenue they can raise at average policy. These assessments reflect their assessed differences in fiscal capacity, which are removed by our recommended GST distribution.</w:t>
      </w:r>
    </w:p>
    <w:p w:rsidR="00037390" w:rsidRPr="00123B11" w:rsidRDefault="00037390" w:rsidP="00037390">
      <w:pPr>
        <w:pStyle w:val="CGCTableHeading"/>
      </w:pPr>
      <w:bookmarkStart w:id="475" w:name="_Ref347738865"/>
      <w:bookmarkStart w:id="476" w:name="_Ref401655078"/>
      <w:bookmarkStart w:id="477" w:name="_Toc315959993"/>
      <w:bookmarkStart w:id="478" w:name="_Toc316727520"/>
      <w:bookmarkStart w:id="479" w:name="_Toc316727825"/>
      <w:bookmarkStart w:id="480" w:name="_Toc347833831"/>
      <w:r w:rsidRPr="00123B11">
        <w:t xml:space="preserve">Table </w:t>
      </w:r>
      <w:fldSimple w:instr=" SEQ Table \* ARABIC ">
        <w:r w:rsidR="003A5DEE">
          <w:rPr>
            <w:noProof/>
          </w:rPr>
          <w:t>2</w:t>
        </w:r>
      </w:fldSimple>
      <w:bookmarkEnd w:id="475"/>
      <w:bookmarkEnd w:id="476"/>
      <w:r w:rsidRPr="00123B11">
        <w:tab/>
        <w:t>Illustrative assessed budget, 2015-1</w:t>
      </w:r>
      <w:bookmarkEnd w:id="477"/>
      <w:bookmarkEnd w:id="478"/>
      <w:bookmarkEnd w:id="479"/>
      <w:bookmarkEnd w:id="480"/>
      <w:r w:rsidRPr="00123B11">
        <w:t>6</w:t>
      </w:r>
    </w:p>
    <w:tbl>
      <w:tblPr>
        <w:tblW w:w="8960" w:type="dxa"/>
        <w:tblLayout w:type="fixed"/>
        <w:tblCellMar>
          <w:left w:w="0" w:type="dxa"/>
          <w:right w:w="0" w:type="dxa"/>
        </w:tblCellMar>
        <w:tblLook w:val="04A0" w:firstRow="1" w:lastRow="0" w:firstColumn="1" w:lastColumn="0" w:noHBand="0" w:noVBand="1"/>
      </w:tblPr>
      <w:tblGrid>
        <w:gridCol w:w="2268"/>
        <w:gridCol w:w="743"/>
        <w:gridCol w:w="744"/>
        <w:gridCol w:w="743"/>
        <w:gridCol w:w="744"/>
        <w:gridCol w:w="743"/>
        <w:gridCol w:w="744"/>
        <w:gridCol w:w="743"/>
        <w:gridCol w:w="744"/>
        <w:gridCol w:w="744"/>
      </w:tblGrid>
      <w:tr w:rsidR="006C1F79" w:rsidRPr="000D571A" w:rsidTr="009F3FA7">
        <w:trPr>
          <w:trHeight w:val="379"/>
        </w:trPr>
        <w:tc>
          <w:tcPr>
            <w:tcW w:w="2268" w:type="dxa"/>
            <w:tcBorders>
              <w:top w:val="single" w:sz="4" w:space="0" w:color="auto"/>
              <w:left w:val="nil"/>
              <w:bottom w:val="single" w:sz="4" w:space="0" w:color="auto"/>
              <w:right w:val="nil"/>
            </w:tcBorders>
            <w:shd w:val="clear" w:color="auto" w:fill="auto"/>
            <w:noWrap/>
            <w:vAlign w:val="center"/>
            <w:hideMark/>
          </w:tcPr>
          <w:p w:rsidR="006C1F79" w:rsidRPr="000D571A" w:rsidRDefault="006C1F79" w:rsidP="009F3FA7">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 </w:t>
            </w:r>
          </w:p>
        </w:tc>
        <w:tc>
          <w:tcPr>
            <w:tcW w:w="743" w:type="dxa"/>
            <w:tcBorders>
              <w:top w:val="single" w:sz="4" w:space="0" w:color="auto"/>
              <w:left w:val="nil"/>
              <w:bottom w:val="single" w:sz="4" w:space="0" w:color="auto"/>
              <w:right w:val="nil"/>
            </w:tcBorders>
            <w:shd w:val="clear" w:color="auto" w:fill="auto"/>
            <w:noWrap/>
            <w:vAlign w:val="center"/>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NSW</w:t>
            </w:r>
          </w:p>
        </w:tc>
        <w:tc>
          <w:tcPr>
            <w:tcW w:w="744" w:type="dxa"/>
            <w:tcBorders>
              <w:top w:val="single" w:sz="4" w:space="0" w:color="auto"/>
              <w:left w:val="nil"/>
              <w:bottom w:val="single" w:sz="4" w:space="0" w:color="auto"/>
              <w:right w:val="nil"/>
            </w:tcBorders>
            <w:shd w:val="clear" w:color="auto" w:fill="auto"/>
            <w:noWrap/>
            <w:vAlign w:val="center"/>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Vic</w:t>
            </w:r>
          </w:p>
        </w:tc>
        <w:tc>
          <w:tcPr>
            <w:tcW w:w="743" w:type="dxa"/>
            <w:tcBorders>
              <w:top w:val="single" w:sz="4" w:space="0" w:color="auto"/>
              <w:left w:val="nil"/>
              <w:bottom w:val="single" w:sz="4" w:space="0" w:color="auto"/>
              <w:right w:val="nil"/>
            </w:tcBorders>
            <w:shd w:val="clear" w:color="auto" w:fill="auto"/>
            <w:noWrap/>
            <w:vAlign w:val="center"/>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Qld</w:t>
            </w:r>
          </w:p>
        </w:tc>
        <w:tc>
          <w:tcPr>
            <w:tcW w:w="744" w:type="dxa"/>
            <w:tcBorders>
              <w:top w:val="single" w:sz="4" w:space="0" w:color="auto"/>
              <w:left w:val="nil"/>
              <w:bottom w:val="single" w:sz="4" w:space="0" w:color="auto"/>
              <w:right w:val="nil"/>
            </w:tcBorders>
            <w:shd w:val="clear" w:color="auto" w:fill="auto"/>
            <w:noWrap/>
            <w:vAlign w:val="center"/>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WA</w:t>
            </w:r>
          </w:p>
        </w:tc>
        <w:tc>
          <w:tcPr>
            <w:tcW w:w="743" w:type="dxa"/>
            <w:tcBorders>
              <w:top w:val="single" w:sz="4" w:space="0" w:color="auto"/>
              <w:left w:val="nil"/>
              <w:bottom w:val="single" w:sz="4" w:space="0" w:color="auto"/>
              <w:right w:val="nil"/>
            </w:tcBorders>
            <w:shd w:val="clear" w:color="auto" w:fill="auto"/>
            <w:noWrap/>
            <w:vAlign w:val="center"/>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SA</w:t>
            </w:r>
          </w:p>
        </w:tc>
        <w:tc>
          <w:tcPr>
            <w:tcW w:w="744" w:type="dxa"/>
            <w:tcBorders>
              <w:top w:val="single" w:sz="4" w:space="0" w:color="auto"/>
              <w:left w:val="nil"/>
              <w:bottom w:val="single" w:sz="4" w:space="0" w:color="auto"/>
              <w:right w:val="nil"/>
            </w:tcBorders>
            <w:shd w:val="clear" w:color="auto" w:fill="auto"/>
            <w:noWrap/>
            <w:vAlign w:val="center"/>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0D571A">
              <w:rPr>
                <w:rFonts w:ascii="Calibri" w:eastAsia="Times New Roman" w:hAnsi="Calibri" w:cs="Times New Roman"/>
                <w:sz w:val="20"/>
                <w:szCs w:val="20"/>
                <w:lang w:eastAsia="en-AU"/>
              </w:rPr>
              <w:t>Tas</w:t>
            </w:r>
            <w:proofErr w:type="spellEnd"/>
          </w:p>
        </w:tc>
        <w:tc>
          <w:tcPr>
            <w:tcW w:w="743" w:type="dxa"/>
            <w:tcBorders>
              <w:top w:val="single" w:sz="4" w:space="0" w:color="auto"/>
              <w:left w:val="nil"/>
              <w:bottom w:val="single" w:sz="4" w:space="0" w:color="auto"/>
              <w:right w:val="nil"/>
            </w:tcBorders>
            <w:shd w:val="clear" w:color="auto" w:fill="auto"/>
            <w:noWrap/>
            <w:vAlign w:val="center"/>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ACT</w:t>
            </w:r>
          </w:p>
        </w:tc>
        <w:tc>
          <w:tcPr>
            <w:tcW w:w="744" w:type="dxa"/>
            <w:tcBorders>
              <w:top w:val="single" w:sz="4" w:space="0" w:color="auto"/>
              <w:left w:val="nil"/>
              <w:bottom w:val="single" w:sz="4" w:space="0" w:color="auto"/>
              <w:right w:val="nil"/>
            </w:tcBorders>
            <w:shd w:val="clear" w:color="auto" w:fill="auto"/>
            <w:noWrap/>
            <w:vAlign w:val="center"/>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NT</w:t>
            </w:r>
          </w:p>
        </w:tc>
        <w:tc>
          <w:tcPr>
            <w:tcW w:w="744" w:type="dxa"/>
            <w:tcBorders>
              <w:top w:val="single" w:sz="4" w:space="0" w:color="auto"/>
              <w:left w:val="nil"/>
              <w:bottom w:val="single" w:sz="4" w:space="0" w:color="auto"/>
              <w:right w:val="nil"/>
            </w:tcBorders>
            <w:shd w:val="clear" w:color="auto" w:fill="auto"/>
            <w:noWrap/>
            <w:vAlign w:val="center"/>
            <w:hideMark/>
          </w:tcPr>
          <w:p w:rsidR="006C1F79" w:rsidRPr="000D571A" w:rsidRDefault="007C0043" w:rsidP="009F3FA7">
            <w:pPr>
              <w:keepNext/>
              <w:keepLines/>
              <w:tabs>
                <w:tab w:val="clear" w:pos="567"/>
              </w:tabs>
              <w:spacing w:after="0" w:line="240" w:lineRule="auto"/>
              <w:jc w:val="right"/>
              <w:rPr>
                <w:rFonts w:ascii="Calibri" w:eastAsia="Times New Roman" w:hAnsi="Calibri" w:cs="Times New Roman"/>
                <w:sz w:val="20"/>
                <w:szCs w:val="20"/>
                <w:lang w:eastAsia="en-AU"/>
              </w:rPr>
            </w:pPr>
            <w:r>
              <w:rPr>
                <w:rFonts w:ascii="Calibri" w:eastAsia="Times New Roman" w:hAnsi="Calibri" w:cs="Times New Roman"/>
                <w:sz w:val="20"/>
                <w:szCs w:val="20"/>
                <w:lang w:eastAsia="en-AU"/>
              </w:rPr>
              <w:t>Ave</w:t>
            </w:r>
          </w:p>
        </w:tc>
      </w:tr>
      <w:tr w:rsidR="006C1F79" w:rsidRPr="000D571A" w:rsidTr="009F3FA7">
        <w:trPr>
          <w:trHeight w:val="259"/>
        </w:trPr>
        <w:tc>
          <w:tcPr>
            <w:tcW w:w="2268"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 </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$pc</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$pc</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$pc</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$pc</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$pc</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$pc</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$pc</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$pc</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$pc</w:t>
            </w:r>
          </w:p>
        </w:tc>
      </w:tr>
      <w:tr w:rsidR="006C1F79" w:rsidRPr="000D571A" w:rsidTr="009F3FA7">
        <w:trPr>
          <w:trHeight w:val="315"/>
        </w:trPr>
        <w:tc>
          <w:tcPr>
            <w:tcW w:w="2268"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Assessed expenses</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8 981</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8 505</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9 636</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10 163</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9 487</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10 323</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8 825</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20 286</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9 308</w:t>
            </w:r>
          </w:p>
        </w:tc>
      </w:tr>
      <w:tr w:rsidR="006C1F79" w:rsidRPr="000D571A" w:rsidTr="009F3FA7">
        <w:trPr>
          <w:trHeight w:val="315"/>
        </w:trPr>
        <w:tc>
          <w:tcPr>
            <w:tcW w:w="2268"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Assessed investment</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652</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710</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717</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1 106</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524</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352</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594</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1 408</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722</w:t>
            </w:r>
          </w:p>
        </w:tc>
      </w:tr>
      <w:tr w:rsidR="006C1F79" w:rsidRPr="000D571A" w:rsidTr="009F3FA7">
        <w:trPr>
          <w:trHeight w:val="315"/>
        </w:trPr>
        <w:tc>
          <w:tcPr>
            <w:tcW w:w="2268"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Assessed expenditure</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9 632</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9 215</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10 353</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11 269</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10 011</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10 675</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9 419</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21 694</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10 029</w:t>
            </w:r>
          </w:p>
        </w:tc>
      </w:tr>
      <w:tr w:rsidR="006C1F79" w:rsidRPr="000D571A" w:rsidTr="009F3FA7">
        <w:trPr>
          <w:trHeight w:val="315"/>
        </w:trPr>
        <w:tc>
          <w:tcPr>
            <w:tcW w:w="2268"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Met through:</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
        </w:tc>
      </w:tr>
      <w:tr w:rsidR="006C1F79" w:rsidRPr="000D571A" w:rsidTr="009F3FA7">
        <w:trPr>
          <w:trHeight w:val="315"/>
        </w:trPr>
        <w:tc>
          <w:tcPr>
            <w:tcW w:w="2268"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Assessed net borrowing</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880</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893</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896</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934</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868</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849</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892</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895</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892</w:t>
            </w:r>
          </w:p>
        </w:tc>
      </w:tr>
      <w:tr w:rsidR="006C1F79" w:rsidRPr="000D571A" w:rsidTr="009F3FA7">
        <w:trPr>
          <w:trHeight w:val="315"/>
        </w:trPr>
        <w:tc>
          <w:tcPr>
            <w:tcW w:w="2268"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Assessed revenue (a)</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5 130</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4 783</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5 334</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8 188</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4 408</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4 001</w:t>
            </w:r>
          </w:p>
        </w:tc>
        <w:tc>
          <w:tcPr>
            <w:tcW w:w="743"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4 612</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5 007</w:t>
            </w:r>
          </w:p>
        </w:tc>
        <w:tc>
          <w:tcPr>
            <w:tcW w:w="744" w:type="dxa"/>
            <w:tcBorders>
              <w:top w:val="nil"/>
              <w:left w:val="nil"/>
              <w:bottom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5 343</w:t>
            </w:r>
          </w:p>
        </w:tc>
      </w:tr>
      <w:tr w:rsidR="006C1F79" w:rsidRPr="000D571A" w:rsidTr="009F3FA7">
        <w:trPr>
          <w:trHeight w:val="555"/>
        </w:trPr>
        <w:tc>
          <w:tcPr>
            <w:tcW w:w="2268" w:type="dxa"/>
            <w:tcBorders>
              <w:top w:val="nil"/>
              <w:left w:val="nil"/>
              <w:bottom w:val="nil"/>
              <w:right w:val="nil"/>
            </w:tcBorders>
            <w:shd w:val="clear" w:color="auto" w:fill="auto"/>
            <w:vAlign w:val="bottom"/>
            <w:hideMark/>
          </w:tcPr>
          <w:p w:rsidR="006C1F79" w:rsidRPr="000D571A" w:rsidRDefault="006C1F79" w:rsidP="009F3FA7">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Total requirement for assistance</w:t>
            </w:r>
          </w:p>
        </w:tc>
        <w:tc>
          <w:tcPr>
            <w:tcW w:w="743" w:type="dxa"/>
            <w:tcBorders>
              <w:top w:val="nil"/>
              <w:left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3 622</w:t>
            </w:r>
          </w:p>
        </w:tc>
        <w:tc>
          <w:tcPr>
            <w:tcW w:w="744" w:type="dxa"/>
            <w:tcBorders>
              <w:top w:val="nil"/>
              <w:left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3 539</w:t>
            </w:r>
          </w:p>
        </w:tc>
        <w:tc>
          <w:tcPr>
            <w:tcW w:w="743" w:type="dxa"/>
            <w:tcBorders>
              <w:top w:val="nil"/>
              <w:left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4 123</w:t>
            </w:r>
          </w:p>
        </w:tc>
        <w:tc>
          <w:tcPr>
            <w:tcW w:w="744" w:type="dxa"/>
            <w:tcBorders>
              <w:top w:val="nil"/>
              <w:left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2 147</w:t>
            </w:r>
          </w:p>
        </w:tc>
        <w:tc>
          <w:tcPr>
            <w:tcW w:w="743" w:type="dxa"/>
            <w:tcBorders>
              <w:top w:val="nil"/>
              <w:left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4 735</w:t>
            </w:r>
          </w:p>
        </w:tc>
        <w:tc>
          <w:tcPr>
            <w:tcW w:w="744" w:type="dxa"/>
            <w:tcBorders>
              <w:top w:val="nil"/>
              <w:left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5 825</w:t>
            </w:r>
          </w:p>
        </w:tc>
        <w:tc>
          <w:tcPr>
            <w:tcW w:w="743" w:type="dxa"/>
            <w:tcBorders>
              <w:top w:val="nil"/>
              <w:left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3 915</w:t>
            </w:r>
          </w:p>
        </w:tc>
        <w:tc>
          <w:tcPr>
            <w:tcW w:w="744" w:type="dxa"/>
            <w:tcBorders>
              <w:top w:val="nil"/>
              <w:left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15 792</w:t>
            </w:r>
          </w:p>
        </w:tc>
        <w:tc>
          <w:tcPr>
            <w:tcW w:w="744" w:type="dxa"/>
            <w:tcBorders>
              <w:top w:val="nil"/>
              <w:left w:val="nil"/>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3 795</w:t>
            </w:r>
          </w:p>
        </w:tc>
      </w:tr>
      <w:tr w:rsidR="006C1F79" w:rsidRPr="000D571A" w:rsidTr="009F3FA7">
        <w:trPr>
          <w:trHeight w:val="555"/>
        </w:trPr>
        <w:tc>
          <w:tcPr>
            <w:tcW w:w="2268" w:type="dxa"/>
            <w:tcBorders>
              <w:top w:val="nil"/>
              <w:left w:val="nil"/>
              <w:bottom w:val="nil"/>
              <w:right w:val="nil"/>
            </w:tcBorders>
            <w:shd w:val="clear" w:color="auto" w:fill="auto"/>
            <w:vAlign w:val="bottom"/>
            <w:hideMark/>
          </w:tcPr>
          <w:p w:rsidR="006C1F79" w:rsidRPr="000D571A" w:rsidRDefault="006C1F79" w:rsidP="009F3FA7">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less Commonwealth transfers other than GST</w:t>
            </w:r>
          </w:p>
        </w:tc>
        <w:tc>
          <w:tcPr>
            <w:tcW w:w="743" w:type="dxa"/>
            <w:tcBorders>
              <w:top w:val="nil"/>
              <w:left w:val="nil"/>
              <w:bottom w:val="single" w:sz="4" w:space="0" w:color="auto"/>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1 368</w:t>
            </w:r>
          </w:p>
        </w:tc>
        <w:tc>
          <w:tcPr>
            <w:tcW w:w="744" w:type="dxa"/>
            <w:tcBorders>
              <w:top w:val="nil"/>
              <w:left w:val="nil"/>
              <w:bottom w:val="single" w:sz="4" w:space="0" w:color="auto"/>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1 415</w:t>
            </w:r>
          </w:p>
        </w:tc>
        <w:tc>
          <w:tcPr>
            <w:tcW w:w="743" w:type="dxa"/>
            <w:tcBorders>
              <w:top w:val="nil"/>
              <w:left w:val="nil"/>
              <w:bottom w:val="single" w:sz="4" w:space="0" w:color="auto"/>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1 440</w:t>
            </w:r>
          </w:p>
        </w:tc>
        <w:tc>
          <w:tcPr>
            <w:tcW w:w="744" w:type="dxa"/>
            <w:tcBorders>
              <w:top w:val="nil"/>
              <w:left w:val="nil"/>
              <w:bottom w:val="single" w:sz="4" w:space="0" w:color="auto"/>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1 433</w:t>
            </w:r>
          </w:p>
        </w:tc>
        <w:tc>
          <w:tcPr>
            <w:tcW w:w="743" w:type="dxa"/>
            <w:tcBorders>
              <w:top w:val="nil"/>
              <w:left w:val="nil"/>
              <w:bottom w:val="single" w:sz="4" w:space="0" w:color="auto"/>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1 502</w:t>
            </w:r>
          </w:p>
        </w:tc>
        <w:tc>
          <w:tcPr>
            <w:tcW w:w="744" w:type="dxa"/>
            <w:tcBorders>
              <w:top w:val="nil"/>
              <w:left w:val="nil"/>
              <w:bottom w:val="single" w:sz="4" w:space="0" w:color="auto"/>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1 498</w:t>
            </w:r>
          </w:p>
        </w:tc>
        <w:tc>
          <w:tcPr>
            <w:tcW w:w="743" w:type="dxa"/>
            <w:tcBorders>
              <w:top w:val="nil"/>
              <w:left w:val="nil"/>
              <w:bottom w:val="single" w:sz="4" w:space="0" w:color="auto"/>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1 298</w:t>
            </w:r>
          </w:p>
        </w:tc>
        <w:tc>
          <w:tcPr>
            <w:tcW w:w="744" w:type="dxa"/>
            <w:tcBorders>
              <w:top w:val="nil"/>
              <w:left w:val="nil"/>
              <w:bottom w:val="single" w:sz="4" w:space="0" w:color="auto"/>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2 540</w:t>
            </w:r>
          </w:p>
        </w:tc>
        <w:tc>
          <w:tcPr>
            <w:tcW w:w="744" w:type="dxa"/>
            <w:tcBorders>
              <w:top w:val="nil"/>
              <w:left w:val="nil"/>
              <w:bottom w:val="single" w:sz="4" w:space="0" w:color="auto"/>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1 425</w:t>
            </w:r>
          </w:p>
        </w:tc>
      </w:tr>
      <w:tr w:rsidR="006C1F79" w:rsidRPr="000D571A" w:rsidTr="009F3FA7">
        <w:trPr>
          <w:trHeight w:val="315"/>
        </w:trPr>
        <w:tc>
          <w:tcPr>
            <w:tcW w:w="2268" w:type="dxa"/>
            <w:tcBorders>
              <w:top w:val="nil"/>
              <w:left w:val="nil"/>
              <w:bottom w:val="single" w:sz="4" w:space="0" w:color="auto"/>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GST</w:t>
            </w:r>
            <w:r w:rsidR="009F3FA7" w:rsidRPr="001A031C">
              <w:rPr>
                <w:rFonts w:ascii="Calibri" w:eastAsia="Times New Roman" w:hAnsi="Calibri" w:cs="Times New Roman"/>
                <w:sz w:val="20"/>
                <w:szCs w:val="20"/>
                <w:lang w:eastAsia="en-AU"/>
              </w:rPr>
              <w:t xml:space="preserve"> requirement</w:t>
            </w:r>
          </w:p>
        </w:tc>
        <w:tc>
          <w:tcPr>
            <w:tcW w:w="743" w:type="dxa"/>
            <w:tcBorders>
              <w:top w:val="single" w:sz="4" w:space="0" w:color="auto"/>
              <w:left w:val="nil"/>
              <w:bottom w:val="single" w:sz="4" w:space="0" w:color="auto"/>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2 254</w:t>
            </w:r>
          </w:p>
        </w:tc>
        <w:tc>
          <w:tcPr>
            <w:tcW w:w="744" w:type="dxa"/>
            <w:tcBorders>
              <w:top w:val="single" w:sz="4" w:space="0" w:color="auto"/>
              <w:left w:val="nil"/>
              <w:bottom w:val="single" w:sz="4" w:space="0" w:color="auto"/>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2 123</w:t>
            </w:r>
          </w:p>
        </w:tc>
        <w:tc>
          <w:tcPr>
            <w:tcW w:w="743" w:type="dxa"/>
            <w:tcBorders>
              <w:top w:val="single" w:sz="4" w:space="0" w:color="auto"/>
              <w:left w:val="nil"/>
              <w:bottom w:val="single" w:sz="4" w:space="0" w:color="auto"/>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2 682</w:t>
            </w:r>
          </w:p>
        </w:tc>
        <w:tc>
          <w:tcPr>
            <w:tcW w:w="744" w:type="dxa"/>
            <w:tcBorders>
              <w:top w:val="single" w:sz="4" w:space="0" w:color="auto"/>
              <w:left w:val="nil"/>
              <w:bottom w:val="single" w:sz="4" w:space="0" w:color="auto"/>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714</w:t>
            </w:r>
          </w:p>
        </w:tc>
        <w:tc>
          <w:tcPr>
            <w:tcW w:w="743" w:type="dxa"/>
            <w:tcBorders>
              <w:top w:val="single" w:sz="4" w:space="0" w:color="auto"/>
              <w:left w:val="nil"/>
              <w:bottom w:val="single" w:sz="4" w:space="0" w:color="auto"/>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3 233</w:t>
            </w:r>
          </w:p>
        </w:tc>
        <w:tc>
          <w:tcPr>
            <w:tcW w:w="744" w:type="dxa"/>
            <w:tcBorders>
              <w:top w:val="single" w:sz="4" w:space="0" w:color="auto"/>
              <w:left w:val="nil"/>
              <w:bottom w:val="single" w:sz="4" w:space="0" w:color="auto"/>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4 328</w:t>
            </w:r>
          </w:p>
        </w:tc>
        <w:tc>
          <w:tcPr>
            <w:tcW w:w="743" w:type="dxa"/>
            <w:tcBorders>
              <w:top w:val="single" w:sz="4" w:space="0" w:color="auto"/>
              <w:left w:val="nil"/>
              <w:bottom w:val="single" w:sz="4" w:space="0" w:color="auto"/>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2 617</w:t>
            </w:r>
          </w:p>
        </w:tc>
        <w:tc>
          <w:tcPr>
            <w:tcW w:w="744" w:type="dxa"/>
            <w:tcBorders>
              <w:top w:val="single" w:sz="4" w:space="0" w:color="auto"/>
              <w:left w:val="nil"/>
              <w:bottom w:val="single" w:sz="4" w:space="0" w:color="auto"/>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13 252</w:t>
            </w:r>
          </w:p>
        </w:tc>
        <w:tc>
          <w:tcPr>
            <w:tcW w:w="744" w:type="dxa"/>
            <w:tcBorders>
              <w:top w:val="single" w:sz="4" w:space="0" w:color="auto"/>
              <w:left w:val="nil"/>
              <w:bottom w:val="single" w:sz="4" w:space="0" w:color="auto"/>
              <w:right w:val="nil"/>
            </w:tcBorders>
            <w:shd w:val="clear" w:color="auto" w:fill="auto"/>
            <w:noWrap/>
            <w:vAlign w:val="bottom"/>
            <w:hideMark/>
          </w:tcPr>
          <w:p w:rsidR="006C1F79" w:rsidRPr="000D571A"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0D571A">
              <w:rPr>
                <w:rFonts w:ascii="Calibri" w:eastAsia="Times New Roman" w:hAnsi="Calibri" w:cs="Times New Roman"/>
                <w:sz w:val="20"/>
                <w:szCs w:val="20"/>
                <w:lang w:eastAsia="en-AU"/>
              </w:rPr>
              <w:t>2 370</w:t>
            </w:r>
          </w:p>
        </w:tc>
      </w:tr>
    </w:tbl>
    <w:p w:rsidR="00037390" w:rsidRPr="00123B11" w:rsidRDefault="00037390" w:rsidP="00037390">
      <w:pPr>
        <w:tabs>
          <w:tab w:val="clear" w:pos="567"/>
          <w:tab w:val="left" w:pos="851"/>
        </w:tabs>
        <w:spacing w:after="0" w:line="240" w:lineRule="auto"/>
        <w:ind w:left="851" w:hanging="851"/>
        <w:rPr>
          <w:sz w:val="20"/>
        </w:rPr>
      </w:pPr>
      <w:r w:rsidRPr="00123B11">
        <w:rPr>
          <w:sz w:val="20"/>
        </w:rPr>
        <w:t>(</w:t>
      </w:r>
      <w:r w:rsidRPr="00123B11">
        <w:rPr>
          <w:rStyle w:val="CGCTableFootnoteChar"/>
        </w:rPr>
        <w:t>a)</w:t>
      </w:r>
      <w:r w:rsidRPr="00123B11">
        <w:rPr>
          <w:rStyle w:val="CGCTableFootnoteChar"/>
        </w:rPr>
        <w:tab/>
        <w:t>Assessed revenue includes the net balancing transactions.</w:t>
      </w:r>
    </w:p>
    <w:p w:rsidR="00037390" w:rsidRPr="00123B11" w:rsidRDefault="00810D6F" w:rsidP="00037390">
      <w:pPr>
        <w:tabs>
          <w:tab w:val="clear" w:pos="567"/>
          <w:tab w:val="left" w:pos="851"/>
        </w:tabs>
        <w:spacing w:after="0" w:line="240" w:lineRule="auto"/>
        <w:ind w:left="851" w:hanging="851"/>
        <w:rPr>
          <w:sz w:val="20"/>
        </w:rPr>
      </w:pPr>
      <w:r>
        <w:rPr>
          <w:sz w:val="20"/>
        </w:rPr>
        <w:t>Note:</w:t>
      </w:r>
      <w:r w:rsidR="00037390" w:rsidRPr="00123B11">
        <w:rPr>
          <w:sz w:val="20"/>
        </w:rPr>
        <w:tab/>
        <w:t>This table is derived by taking average State budgets in the assessment years (2011</w:t>
      </w:r>
      <w:r w:rsidR="00037390" w:rsidRPr="00123B11">
        <w:rPr>
          <w:sz w:val="20"/>
        </w:rPr>
        <w:noBreakHyphen/>
        <w:t>12, 2012</w:t>
      </w:r>
      <w:r w:rsidR="00037390" w:rsidRPr="00123B11">
        <w:rPr>
          <w:sz w:val="20"/>
        </w:rPr>
        <w:noBreakHyphen/>
        <w:t>13 and 2013</w:t>
      </w:r>
      <w:r w:rsidR="00037390" w:rsidRPr="00123B11">
        <w:rPr>
          <w:sz w:val="20"/>
        </w:rPr>
        <w:noBreakHyphen/>
        <w:t>14) and projecting them to 2015</w:t>
      </w:r>
      <w:r w:rsidR="00037390" w:rsidRPr="00123B11">
        <w:rPr>
          <w:sz w:val="20"/>
        </w:rPr>
        <w:noBreakHyphen/>
        <w:t>16.</w:t>
      </w:r>
      <w:r w:rsidR="00037390" w:rsidRPr="00123B11">
        <w:rPr>
          <w:sz w:val="20"/>
        </w:rPr>
        <w:br/>
        <w:t>Assessed net borrowing is shown without a negative sign. It is an alternative source of funds to meet a State’s expenditure requirement.</w:t>
      </w:r>
    </w:p>
    <w:p w:rsidR="00037390" w:rsidRDefault="00037390" w:rsidP="00891E6C">
      <w:pPr>
        <w:tabs>
          <w:tab w:val="clear" w:pos="567"/>
          <w:tab w:val="left" w:pos="851"/>
        </w:tabs>
        <w:spacing w:after="0" w:line="240" w:lineRule="auto"/>
        <w:ind w:left="851" w:hanging="851"/>
      </w:pPr>
      <w:r w:rsidRPr="00123B11">
        <w:rPr>
          <w:sz w:val="20"/>
        </w:rPr>
        <w:t>Source:</w:t>
      </w:r>
      <w:r w:rsidRPr="00123B11">
        <w:rPr>
          <w:sz w:val="20"/>
        </w:rPr>
        <w:tab/>
        <w:t>Commission calculation.</w:t>
      </w:r>
      <w:bookmarkStart w:id="481" w:name="_Ref347737360"/>
      <w:bookmarkStart w:id="482" w:name="_Toc347833832"/>
    </w:p>
    <w:p w:rsidR="00037390" w:rsidRPr="00123B11" w:rsidRDefault="00037390" w:rsidP="00037390">
      <w:pPr>
        <w:pStyle w:val="CGCTableHeading"/>
      </w:pPr>
      <w:bookmarkStart w:id="483" w:name="_Ref411604678"/>
      <w:bookmarkStart w:id="484" w:name="_Ref412123924"/>
      <w:r w:rsidRPr="00123B11">
        <w:lastRenderedPageBreak/>
        <w:t xml:space="preserve">Table </w:t>
      </w:r>
      <w:r w:rsidR="0040491E">
        <w:fldChar w:fldCharType="begin"/>
      </w:r>
      <w:r w:rsidR="0040491E">
        <w:instrText xml:space="preserve"> SEQ Table \* ARABIC </w:instrText>
      </w:r>
      <w:r w:rsidR="0040491E">
        <w:fldChar w:fldCharType="separate"/>
      </w:r>
      <w:proofErr w:type="gramStart"/>
      <w:r w:rsidR="003A5DEE">
        <w:rPr>
          <w:noProof/>
        </w:rPr>
        <w:t>3</w:t>
      </w:r>
      <w:r w:rsidR="0040491E">
        <w:rPr>
          <w:noProof/>
        </w:rPr>
        <w:fldChar w:fldCharType="end"/>
      </w:r>
      <w:bookmarkEnd w:id="481"/>
      <w:bookmarkEnd w:id="483"/>
      <w:r w:rsidRPr="00123B11">
        <w:tab/>
        <w:t>Illustrative difference</w:t>
      </w:r>
      <w:proofErr w:type="gramEnd"/>
      <w:r w:rsidRPr="00123B11">
        <w:t xml:space="preserve"> from average fiscal capacity, 2015-1</w:t>
      </w:r>
      <w:bookmarkEnd w:id="482"/>
      <w:r w:rsidRPr="00123B11">
        <w:t>6</w:t>
      </w:r>
      <w:bookmarkEnd w:id="484"/>
    </w:p>
    <w:tbl>
      <w:tblPr>
        <w:tblW w:w="8935" w:type="dxa"/>
        <w:tblLayout w:type="fixed"/>
        <w:tblCellMar>
          <w:left w:w="0" w:type="dxa"/>
          <w:right w:w="0" w:type="dxa"/>
        </w:tblCellMar>
        <w:tblLook w:val="04A0" w:firstRow="1" w:lastRow="0" w:firstColumn="1" w:lastColumn="0" w:noHBand="0" w:noVBand="1"/>
      </w:tblPr>
      <w:tblGrid>
        <w:gridCol w:w="2540"/>
        <w:gridCol w:w="615"/>
        <w:gridCol w:w="700"/>
        <w:gridCol w:w="700"/>
        <w:gridCol w:w="760"/>
        <w:gridCol w:w="700"/>
        <w:gridCol w:w="700"/>
        <w:gridCol w:w="700"/>
        <w:gridCol w:w="800"/>
        <w:gridCol w:w="720"/>
      </w:tblGrid>
      <w:tr w:rsidR="006C1F79" w:rsidRPr="001A031C" w:rsidTr="009F3FA7">
        <w:trPr>
          <w:trHeight w:val="379"/>
        </w:trPr>
        <w:tc>
          <w:tcPr>
            <w:tcW w:w="2540" w:type="dxa"/>
            <w:tcBorders>
              <w:top w:val="single" w:sz="4" w:space="0" w:color="auto"/>
              <w:left w:val="nil"/>
              <w:bottom w:val="single" w:sz="4" w:space="0" w:color="auto"/>
              <w:right w:val="nil"/>
            </w:tcBorders>
            <w:shd w:val="clear" w:color="auto" w:fill="auto"/>
            <w:noWrap/>
            <w:vAlign w:val="center"/>
            <w:hideMark/>
          </w:tcPr>
          <w:p w:rsidR="006C1F79" w:rsidRPr="001A031C" w:rsidRDefault="006C1F79" w:rsidP="009F3FA7">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bookmarkStart w:id="485" w:name="RANGE!A26:J36"/>
            <w:bookmarkEnd w:id="485"/>
            <w:r w:rsidRPr="001A031C">
              <w:rPr>
                <w:rFonts w:ascii="Calibri" w:eastAsia="Times New Roman" w:hAnsi="Calibri" w:cs="Times New Roman"/>
                <w:sz w:val="20"/>
                <w:szCs w:val="20"/>
                <w:lang w:eastAsia="en-AU"/>
              </w:rPr>
              <w:t> </w:t>
            </w:r>
          </w:p>
        </w:tc>
        <w:tc>
          <w:tcPr>
            <w:tcW w:w="615" w:type="dxa"/>
            <w:tcBorders>
              <w:top w:val="single" w:sz="4" w:space="0" w:color="auto"/>
              <w:left w:val="nil"/>
              <w:bottom w:val="single" w:sz="4" w:space="0" w:color="auto"/>
              <w:right w:val="nil"/>
            </w:tcBorders>
            <w:shd w:val="clear" w:color="auto" w:fill="auto"/>
            <w:noWrap/>
            <w:vAlign w:val="center"/>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NSW</w:t>
            </w:r>
          </w:p>
        </w:tc>
        <w:tc>
          <w:tcPr>
            <w:tcW w:w="700" w:type="dxa"/>
            <w:tcBorders>
              <w:top w:val="single" w:sz="4" w:space="0" w:color="auto"/>
              <w:left w:val="nil"/>
              <w:bottom w:val="single" w:sz="4" w:space="0" w:color="auto"/>
              <w:right w:val="nil"/>
            </w:tcBorders>
            <w:shd w:val="clear" w:color="auto" w:fill="auto"/>
            <w:noWrap/>
            <w:vAlign w:val="center"/>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Vic</w:t>
            </w:r>
          </w:p>
        </w:tc>
        <w:tc>
          <w:tcPr>
            <w:tcW w:w="700" w:type="dxa"/>
            <w:tcBorders>
              <w:top w:val="single" w:sz="4" w:space="0" w:color="auto"/>
              <w:left w:val="nil"/>
              <w:bottom w:val="single" w:sz="4" w:space="0" w:color="auto"/>
              <w:right w:val="nil"/>
            </w:tcBorders>
            <w:shd w:val="clear" w:color="auto" w:fill="auto"/>
            <w:noWrap/>
            <w:vAlign w:val="center"/>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Qld</w:t>
            </w:r>
          </w:p>
        </w:tc>
        <w:tc>
          <w:tcPr>
            <w:tcW w:w="760" w:type="dxa"/>
            <w:tcBorders>
              <w:top w:val="single" w:sz="4" w:space="0" w:color="auto"/>
              <w:left w:val="nil"/>
              <w:bottom w:val="single" w:sz="4" w:space="0" w:color="auto"/>
              <w:right w:val="nil"/>
            </w:tcBorders>
            <w:shd w:val="clear" w:color="auto" w:fill="auto"/>
            <w:noWrap/>
            <w:vAlign w:val="center"/>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WA</w:t>
            </w:r>
          </w:p>
        </w:tc>
        <w:tc>
          <w:tcPr>
            <w:tcW w:w="700" w:type="dxa"/>
            <w:tcBorders>
              <w:top w:val="single" w:sz="4" w:space="0" w:color="auto"/>
              <w:left w:val="nil"/>
              <w:bottom w:val="single" w:sz="4" w:space="0" w:color="auto"/>
              <w:right w:val="nil"/>
            </w:tcBorders>
            <w:shd w:val="clear" w:color="auto" w:fill="auto"/>
            <w:noWrap/>
            <w:vAlign w:val="center"/>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SA</w:t>
            </w:r>
          </w:p>
        </w:tc>
        <w:tc>
          <w:tcPr>
            <w:tcW w:w="700" w:type="dxa"/>
            <w:tcBorders>
              <w:top w:val="single" w:sz="4" w:space="0" w:color="auto"/>
              <w:left w:val="nil"/>
              <w:bottom w:val="single" w:sz="4" w:space="0" w:color="auto"/>
              <w:right w:val="nil"/>
            </w:tcBorders>
            <w:shd w:val="clear" w:color="auto" w:fill="auto"/>
            <w:noWrap/>
            <w:vAlign w:val="center"/>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1A031C">
              <w:rPr>
                <w:rFonts w:ascii="Calibri" w:eastAsia="Times New Roman" w:hAnsi="Calibri" w:cs="Times New Roman"/>
                <w:sz w:val="20"/>
                <w:szCs w:val="20"/>
                <w:lang w:eastAsia="en-AU"/>
              </w:rPr>
              <w:t>Tas</w:t>
            </w:r>
            <w:proofErr w:type="spellEnd"/>
          </w:p>
        </w:tc>
        <w:tc>
          <w:tcPr>
            <w:tcW w:w="700" w:type="dxa"/>
            <w:tcBorders>
              <w:top w:val="single" w:sz="4" w:space="0" w:color="auto"/>
              <w:left w:val="nil"/>
              <w:bottom w:val="single" w:sz="4" w:space="0" w:color="auto"/>
              <w:right w:val="nil"/>
            </w:tcBorders>
            <w:shd w:val="clear" w:color="auto" w:fill="auto"/>
            <w:noWrap/>
            <w:vAlign w:val="center"/>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ACT</w:t>
            </w:r>
          </w:p>
        </w:tc>
        <w:tc>
          <w:tcPr>
            <w:tcW w:w="800" w:type="dxa"/>
            <w:tcBorders>
              <w:top w:val="single" w:sz="4" w:space="0" w:color="auto"/>
              <w:left w:val="nil"/>
              <w:bottom w:val="single" w:sz="4" w:space="0" w:color="auto"/>
              <w:right w:val="nil"/>
            </w:tcBorders>
            <w:shd w:val="clear" w:color="auto" w:fill="auto"/>
            <w:noWrap/>
            <w:vAlign w:val="center"/>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NT</w:t>
            </w:r>
          </w:p>
        </w:tc>
        <w:tc>
          <w:tcPr>
            <w:tcW w:w="720" w:type="dxa"/>
            <w:tcBorders>
              <w:top w:val="single" w:sz="4" w:space="0" w:color="auto"/>
              <w:left w:val="nil"/>
              <w:bottom w:val="single" w:sz="4" w:space="0" w:color="auto"/>
              <w:right w:val="nil"/>
            </w:tcBorders>
            <w:shd w:val="clear" w:color="auto" w:fill="auto"/>
            <w:noWrap/>
            <w:vAlign w:val="center"/>
            <w:hideMark/>
          </w:tcPr>
          <w:p w:rsidR="006C1F79" w:rsidRPr="001A031C" w:rsidRDefault="007C0043" w:rsidP="007C0043">
            <w:pPr>
              <w:keepNext/>
              <w:keepLines/>
              <w:tabs>
                <w:tab w:val="clear" w:pos="567"/>
              </w:tabs>
              <w:spacing w:after="0" w:line="240" w:lineRule="auto"/>
              <w:jc w:val="right"/>
              <w:rPr>
                <w:rFonts w:ascii="Calibri" w:eastAsia="Times New Roman" w:hAnsi="Calibri" w:cs="Times New Roman"/>
                <w:sz w:val="20"/>
                <w:szCs w:val="20"/>
                <w:lang w:eastAsia="en-AU"/>
              </w:rPr>
            </w:pPr>
            <w:r>
              <w:rPr>
                <w:rFonts w:ascii="Calibri" w:eastAsia="Times New Roman" w:hAnsi="Calibri" w:cs="Times New Roman"/>
                <w:sz w:val="20"/>
                <w:szCs w:val="20"/>
                <w:lang w:eastAsia="en-AU"/>
              </w:rPr>
              <w:t>Ave</w:t>
            </w:r>
          </w:p>
        </w:tc>
      </w:tr>
      <w:tr w:rsidR="006C1F79" w:rsidRPr="001A031C" w:rsidTr="009F3FA7">
        <w:trPr>
          <w:trHeight w:val="259"/>
        </w:trPr>
        <w:tc>
          <w:tcPr>
            <w:tcW w:w="254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615"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$pc</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$pc</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$pc</w:t>
            </w:r>
          </w:p>
        </w:tc>
        <w:tc>
          <w:tcPr>
            <w:tcW w:w="76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$pc</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$pc</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$pc</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$pc</w:t>
            </w:r>
          </w:p>
        </w:tc>
        <w:tc>
          <w:tcPr>
            <w:tcW w:w="8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$pc</w:t>
            </w:r>
          </w:p>
        </w:tc>
        <w:tc>
          <w:tcPr>
            <w:tcW w:w="72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$pc</w:t>
            </w:r>
          </w:p>
        </w:tc>
      </w:tr>
      <w:tr w:rsidR="006C1F79" w:rsidRPr="001A031C" w:rsidTr="009F3FA7">
        <w:trPr>
          <w:trHeight w:val="315"/>
        </w:trPr>
        <w:tc>
          <w:tcPr>
            <w:tcW w:w="254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Average GST</w:t>
            </w:r>
            <w:r w:rsidR="00710A71">
              <w:rPr>
                <w:rFonts w:ascii="Calibri" w:eastAsia="Times New Roman" w:hAnsi="Calibri" w:cs="Times New Roman"/>
                <w:sz w:val="20"/>
                <w:szCs w:val="20"/>
                <w:lang w:eastAsia="en-AU"/>
              </w:rPr>
              <w:t xml:space="preserve"> revenue</w:t>
            </w:r>
          </w:p>
        </w:tc>
        <w:tc>
          <w:tcPr>
            <w:tcW w:w="615"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2 370</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2 370</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2 370</w:t>
            </w:r>
          </w:p>
        </w:tc>
        <w:tc>
          <w:tcPr>
            <w:tcW w:w="76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2 370</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2 370</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2 370</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2 370</w:t>
            </w:r>
          </w:p>
        </w:tc>
        <w:tc>
          <w:tcPr>
            <w:tcW w:w="8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2 370</w:t>
            </w:r>
          </w:p>
        </w:tc>
        <w:tc>
          <w:tcPr>
            <w:tcW w:w="72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2 370</w:t>
            </w:r>
          </w:p>
        </w:tc>
      </w:tr>
      <w:tr w:rsidR="006C1F79" w:rsidRPr="001A031C" w:rsidTr="009F3FA7">
        <w:trPr>
          <w:trHeight w:val="315"/>
        </w:trPr>
        <w:tc>
          <w:tcPr>
            <w:tcW w:w="2540"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ind w:left="193" w:hanging="142"/>
              <w:rPr>
                <w:rFonts w:ascii="Calibri" w:eastAsia="Times New Roman" w:hAnsi="Calibri" w:cs="Times New Roman"/>
                <w:i/>
                <w:iCs/>
                <w:sz w:val="20"/>
                <w:szCs w:val="20"/>
                <w:lang w:eastAsia="en-AU"/>
              </w:rPr>
            </w:pPr>
            <w:r w:rsidRPr="001A031C">
              <w:rPr>
                <w:rFonts w:ascii="Calibri" w:eastAsia="Times New Roman" w:hAnsi="Calibri" w:cs="Times New Roman"/>
                <w:i/>
                <w:iCs/>
                <w:sz w:val="20"/>
                <w:szCs w:val="20"/>
                <w:lang w:eastAsia="en-AU"/>
              </w:rPr>
              <w:t>plus assessed differences in:</w:t>
            </w:r>
          </w:p>
        </w:tc>
        <w:tc>
          <w:tcPr>
            <w:tcW w:w="615"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60"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00"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
        </w:tc>
      </w:tr>
      <w:tr w:rsidR="006C1F79" w:rsidRPr="001A031C" w:rsidTr="009F3FA7">
        <w:trPr>
          <w:trHeight w:val="315"/>
        </w:trPr>
        <w:tc>
          <w:tcPr>
            <w:tcW w:w="254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Expenses</w:t>
            </w:r>
          </w:p>
        </w:tc>
        <w:tc>
          <w:tcPr>
            <w:tcW w:w="615"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-327</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-803</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329</w:t>
            </w:r>
          </w:p>
        </w:tc>
        <w:tc>
          <w:tcPr>
            <w:tcW w:w="76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856</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179</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1 016</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-482</w:t>
            </w:r>
          </w:p>
        </w:tc>
        <w:tc>
          <w:tcPr>
            <w:tcW w:w="8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10 978</w:t>
            </w:r>
          </w:p>
        </w:tc>
        <w:tc>
          <w:tcPr>
            <w:tcW w:w="72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0</w:t>
            </w:r>
          </w:p>
        </w:tc>
      </w:tr>
      <w:tr w:rsidR="006C1F79" w:rsidRPr="001A031C" w:rsidTr="009F3FA7">
        <w:trPr>
          <w:trHeight w:val="315"/>
        </w:trPr>
        <w:tc>
          <w:tcPr>
            <w:tcW w:w="254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Investment</w:t>
            </w:r>
          </w:p>
        </w:tc>
        <w:tc>
          <w:tcPr>
            <w:tcW w:w="615"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-70</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-12</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-5</w:t>
            </w:r>
          </w:p>
        </w:tc>
        <w:tc>
          <w:tcPr>
            <w:tcW w:w="76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384</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-197</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-370</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-128</w:t>
            </w:r>
          </w:p>
        </w:tc>
        <w:tc>
          <w:tcPr>
            <w:tcW w:w="8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686</w:t>
            </w:r>
          </w:p>
        </w:tc>
        <w:tc>
          <w:tcPr>
            <w:tcW w:w="72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0</w:t>
            </w:r>
          </w:p>
        </w:tc>
      </w:tr>
      <w:tr w:rsidR="006C1F79" w:rsidRPr="001A031C" w:rsidTr="009F3FA7">
        <w:trPr>
          <w:trHeight w:val="315"/>
        </w:trPr>
        <w:tc>
          <w:tcPr>
            <w:tcW w:w="254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Net lending</w:t>
            </w:r>
          </w:p>
        </w:tc>
        <w:tc>
          <w:tcPr>
            <w:tcW w:w="615"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11</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-4</w:t>
            </w:r>
          </w:p>
        </w:tc>
        <w:tc>
          <w:tcPr>
            <w:tcW w:w="76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-42</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23</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42</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w:t>
            </w:r>
          </w:p>
        </w:tc>
        <w:tc>
          <w:tcPr>
            <w:tcW w:w="8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-3</w:t>
            </w:r>
          </w:p>
        </w:tc>
        <w:tc>
          <w:tcPr>
            <w:tcW w:w="72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0</w:t>
            </w:r>
          </w:p>
        </w:tc>
      </w:tr>
      <w:tr w:rsidR="006C1F79" w:rsidRPr="001A031C" w:rsidTr="009F3FA7">
        <w:trPr>
          <w:trHeight w:val="315"/>
        </w:trPr>
        <w:tc>
          <w:tcPr>
            <w:tcW w:w="254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Revenue</w:t>
            </w:r>
          </w:p>
        </w:tc>
        <w:tc>
          <w:tcPr>
            <w:tcW w:w="615"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213</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560</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9</w:t>
            </w:r>
          </w:p>
        </w:tc>
        <w:tc>
          <w:tcPr>
            <w:tcW w:w="76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-2 845</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935</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1 342</w:t>
            </w:r>
          </w:p>
        </w:tc>
        <w:tc>
          <w:tcPr>
            <w:tcW w:w="7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731</w:t>
            </w:r>
          </w:p>
        </w:tc>
        <w:tc>
          <w:tcPr>
            <w:tcW w:w="80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337</w:t>
            </w:r>
          </w:p>
        </w:tc>
        <w:tc>
          <w:tcPr>
            <w:tcW w:w="720"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0</w:t>
            </w:r>
          </w:p>
        </w:tc>
      </w:tr>
      <w:tr w:rsidR="006C1F79" w:rsidRPr="001A031C" w:rsidTr="009F3FA7">
        <w:trPr>
          <w:trHeight w:val="315"/>
        </w:trPr>
        <w:tc>
          <w:tcPr>
            <w:tcW w:w="2540"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Transfers other than GST</w:t>
            </w:r>
          </w:p>
        </w:tc>
        <w:tc>
          <w:tcPr>
            <w:tcW w:w="615" w:type="dxa"/>
            <w:tcBorders>
              <w:top w:val="nil"/>
              <w:left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57</w:t>
            </w:r>
          </w:p>
        </w:tc>
        <w:tc>
          <w:tcPr>
            <w:tcW w:w="700" w:type="dxa"/>
            <w:tcBorders>
              <w:top w:val="nil"/>
              <w:left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10</w:t>
            </w:r>
          </w:p>
        </w:tc>
        <w:tc>
          <w:tcPr>
            <w:tcW w:w="700" w:type="dxa"/>
            <w:tcBorders>
              <w:top w:val="nil"/>
              <w:left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-15</w:t>
            </w:r>
          </w:p>
        </w:tc>
        <w:tc>
          <w:tcPr>
            <w:tcW w:w="760" w:type="dxa"/>
            <w:tcBorders>
              <w:top w:val="nil"/>
              <w:left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-8</w:t>
            </w:r>
          </w:p>
        </w:tc>
        <w:tc>
          <w:tcPr>
            <w:tcW w:w="700" w:type="dxa"/>
            <w:tcBorders>
              <w:top w:val="nil"/>
              <w:left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-77</w:t>
            </w:r>
          </w:p>
        </w:tc>
        <w:tc>
          <w:tcPr>
            <w:tcW w:w="700" w:type="dxa"/>
            <w:tcBorders>
              <w:top w:val="nil"/>
              <w:left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-73</w:t>
            </w:r>
          </w:p>
        </w:tc>
        <w:tc>
          <w:tcPr>
            <w:tcW w:w="700" w:type="dxa"/>
            <w:tcBorders>
              <w:top w:val="nil"/>
              <w:left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127</w:t>
            </w:r>
          </w:p>
        </w:tc>
        <w:tc>
          <w:tcPr>
            <w:tcW w:w="800" w:type="dxa"/>
            <w:tcBorders>
              <w:top w:val="nil"/>
              <w:left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-1 115</w:t>
            </w:r>
          </w:p>
        </w:tc>
        <w:tc>
          <w:tcPr>
            <w:tcW w:w="720" w:type="dxa"/>
            <w:tcBorders>
              <w:top w:val="nil"/>
              <w:left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0</w:t>
            </w:r>
          </w:p>
        </w:tc>
      </w:tr>
      <w:tr w:rsidR="006C1F79" w:rsidRPr="001A031C" w:rsidTr="009F3FA7">
        <w:trPr>
          <w:trHeight w:val="315"/>
        </w:trPr>
        <w:tc>
          <w:tcPr>
            <w:tcW w:w="2540"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Total assessed differences</w:t>
            </w:r>
          </w:p>
        </w:tc>
        <w:tc>
          <w:tcPr>
            <w:tcW w:w="615" w:type="dxa"/>
            <w:tcBorders>
              <w:top w:val="nil"/>
              <w:left w:val="nil"/>
              <w:bottom w:val="single" w:sz="4" w:space="0" w:color="auto"/>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-116</w:t>
            </w:r>
          </w:p>
        </w:tc>
        <w:tc>
          <w:tcPr>
            <w:tcW w:w="700" w:type="dxa"/>
            <w:tcBorders>
              <w:top w:val="nil"/>
              <w:left w:val="nil"/>
              <w:bottom w:val="single" w:sz="4" w:space="0" w:color="auto"/>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-246</w:t>
            </w:r>
          </w:p>
        </w:tc>
        <w:tc>
          <w:tcPr>
            <w:tcW w:w="700" w:type="dxa"/>
            <w:tcBorders>
              <w:top w:val="nil"/>
              <w:left w:val="nil"/>
              <w:bottom w:val="single" w:sz="4" w:space="0" w:color="auto"/>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313</w:t>
            </w:r>
          </w:p>
        </w:tc>
        <w:tc>
          <w:tcPr>
            <w:tcW w:w="760" w:type="dxa"/>
            <w:tcBorders>
              <w:top w:val="nil"/>
              <w:left w:val="nil"/>
              <w:bottom w:val="single" w:sz="4" w:space="0" w:color="auto"/>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-1 656</w:t>
            </w:r>
          </w:p>
        </w:tc>
        <w:tc>
          <w:tcPr>
            <w:tcW w:w="700" w:type="dxa"/>
            <w:tcBorders>
              <w:top w:val="nil"/>
              <w:left w:val="nil"/>
              <w:bottom w:val="single" w:sz="4" w:space="0" w:color="auto"/>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863</w:t>
            </w:r>
          </w:p>
        </w:tc>
        <w:tc>
          <w:tcPr>
            <w:tcW w:w="700" w:type="dxa"/>
            <w:tcBorders>
              <w:top w:val="nil"/>
              <w:left w:val="nil"/>
              <w:bottom w:val="single" w:sz="4" w:space="0" w:color="auto"/>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1 958</w:t>
            </w:r>
          </w:p>
        </w:tc>
        <w:tc>
          <w:tcPr>
            <w:tcW w:w="700" w:type="dxa"/>
            <w:tcBorders>
              <w:top w:val="nil"/>
              <w:left w:val="nil"/>
              <w:bottom w:val="single" w:sz="4" w:space="0" w:color="auto"/>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248</w:t>
            </w:r>
          </w:p>
        </w:tc>
        <w:tc>
          <w:tcPr>
            <w:tcW w:w="800" w:type="dxa"/>
            <w:tcBorders>
              <w:top w:val="nil"/>
              <w:left w:val="nil"/>
              <w:bottom w:val="single" w:sz="4" w:space="0" w:color="auto"/>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10 883</w:t>
            </w:r>
          </w:p>
        </w:tc>
        <w:tc>
          <w:tcPr>
            <w:tcW w:w="720" w:type="dxa"/>
            <w:tcBorders>
              <w:top w:val="nil"/>
              <w:left w:val="nil"/>
              <w:bottom w:val="single" w:sz="4" w:space="0" w:color="auto"/>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0</w:t>
            </w:r>
          </w:p>
        </w:tc>
      </w:tr>
      <w:tr w:rsidR="006C1F79" w:rsidRPr="001A031C" w:rsidTr="009F3FA7">
        <w:trPr>
          <w:trHeight w:val="315"/>
        </w:trPr>
        <w:tc>
          <w:tcPr>
            <w:tcW w:w="2540" w:type="dxa"/>
            <w:tcBorders>
              <w:top w:val="nil"/>
              <w:left w:val="nil"/>
              <w:bottom w:val="single" w:sz="4" w:space="0" w:color="auto"/>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GST requirement</w:t>
            </w:r>
          </w:p>
        </w:tc>
        <w:tc>
          <w:tcPr>
            <w:tcW w:w="615" w:type="dxa"/>
            <w:tcBorders>
              <w:top w:val="single" w:sz="4" w:space="0" w:color="auto"/>
              <w:left w:val="nil"/>
              <w:bottom w:val="single" w:sz="4" w:space="0" w:color="auto"/>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2 254</w:t>
            </w:r>
          </w:p>
        </w:tc>
        <w:tc>
          <w:tcPr>
            <w:tcW w:w="700" w:type="dxa"/>
            <w:tcBorders>
              <w:top w:val="single" w:sz="4" w:space="0" w:color="auto"/>
              <w:left w:val="nil"/>
              <w:bottom w:val="single" w:sz="4" w:space="0" w:color="auto"/>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2 123</w:t>
            </w:r>
          </w:p>
        </w:tc>
        <w:tc>
          <w:tcPr>
            <w:tcW w:w="700" w:type="dxa"/>
            <w:tcBorders>
              <w:top w:val="single" w:sz="4" w:space="0" w:color="auto"/>
              <w:left w:val="nil"/>
              <w:bottom w:val="single" w:sz="4" w:space="0" w:color="auto"/>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2 682</w:t>
            </w:r>
          </w:p>
        </w:tc>
        <w:tc>
          <w:tcPr>
            <w:tcW w:w="760" w:type="dxa"/>
            <w:tcBorders>
              <w:top w:val="single" w:sz="4" w:space="0" w:color="auto"/>
              <w:left w:val="nil"/>
              <w:bottom w:val="single" w:sz="4" w:space="0" w:color="auto"/>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714</w:t>
            </w:r>
          </w:p>
        </w:tc>
        <w:tc>
          <w:tcPr>
            <w:tcW w:w="700" w:type="dxa"/>
            <w:tcBorders>
              <w:top w:val="single" w:sz="4" w:space="0" w:color="auto"/>
              <w:left w:val="nil"/>
              <w:bottom w:val="single" w:sz="4" w:space="0" w:color="auto"/>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3 233</w:t>
            </w:r>
          </w:p>
        </w:tc>
        <w:tc>
          <w:tcPr>
            <w:tcW w:w="700" w:type="dxa"/>
            <w:tcBorders>
              <w:top w:val="single" w:sz="4" w:space="0" w:color="auto"/>
              <w:left w:val="nil"/>
              <w:bottom w:val="single" w:sz="4" w:space="0" w:color="auto"/>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4 328</w:t>
            </w:r>
          </w:p>
        </w:tc>
        <w:tc>
          <w:tcPr>
            <w:tcW w:w="700" w:type="dxa"/>
            <w:tcBorders>
              <w:top w:val="single" w:sz="4" w:space="0" w:color="auto"/>
              <w:left w:val="nil"/>
              <w:bottom w:val="single" w:sz="4" w:space="0" w:color="auto"/>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2 617</w:t>
            </w:r>
          </w:p>
        </w:tc>
        <w:tc>
          <w:tcPr>
            <w:tcW w:w="800" w:type="dxa"/>
            <w:tcBorders>
              <w:top w:val="single" w:sz="4" w:space="0" w:color="auto"/>
              <w:left w:val="nil"/>
              <w:bottom w:val="single" w:sz="4" w:space="0" w:color="auto"/>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13 252</w:t>
            </w:r>
          </w:p>
        </w:tc>
        <w:tc>
          <w:tcPr>
            <w:tcW w:w="720" w:type="dxa"/>
            <w:tcBorders>
              <w:top w:val="single" w:sz="4" w:space="0" w:color="auto"/>
              <w:left w:val="nil"/>
              <w:bottom w:val="single" w:sz="4" w:space="0" w:color="auto"/>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2 370</w:t>
            </w:r>
          </w:p>
        </w:tc>
      </w:tr>
    </w:tbl>
    <w:p w:rsidR="00037390" w:rsidRPr="00123B11" w:rsidRDefault="00037390" w:rsidP="00037390">
      <w:pPr>
        <w:tabs>
          <w:tab w:val="clear" w:pos="567"/>
          <w:tab w:val="left" w:pos="851"/>
        </w:tabs>
        <w:spacing w:after="0" w:line="240" w:lineRule="auto"/>
        <w:rPr>
          <w:sz w:val="20"/>
        </w:rPr>
      </w:pPr>
      <w:r w:rsidRPr="00123B11">
        <w:rPr>
          <w:sz w:val="20"/>
        </w:rPr>
        <w:t>Source:</w:t>
      </w:r>
      <w:r w:rsidRPr="00123B11">
        <w:rPr>
          <w:sz w:val="20"/>
        </w:rPr>
        <w:tab/>
        <w:t>Commission calculation.</w:t>
      </w:r>
    </w:p>
    <w:p w:rsidR="00037390" w:rsidRPr="00123B11" w:rsidRDefault="00037390" w:rsidP="00037390">
      <w:pPr>
        <w:pStyle w:val="CGCNumberedPara"/>
        <w:numPr>
          <w:ilvl w:val="1"/>
          <w:numId w:val="2"/>
        </w:numPr>
      </w:pPr>
      <w:r w:rsidRPr="00123B11">
        <w:t>In summary:</w:t>
      </w:r>
    </w:p>
    <w:p w:rsidR="00037390" w:rsidRPr="00272844" w:rsidRDefault="00037390" w:rsidP="00037390">
      <w:pPr>
        <w:pStyle w:val="CGCBulletlist"/>
        <w:numPr>
          <w:ilvl w:val="0"/>
          <w:numId w:val="1"/>
        </w:numPr>
        <w:tabs>
          <w:tab w:val="clear" w:pos="927"/>
          <w:tab w:val="left" w:pos="1134"/>
        </w:tabs>
        <w:ind w:left="1134" w:hanging="567"/>
      </w:pPr>
      <w:r w:rsidRPr="00272844">
        <w:t xml:space="preserve">New South Wales and Victoria require a below average share of GST because they have economic and socio-demographic characteristics that lead to below average assessed use of State services by their State populations and lower assessed unit costs. These spending advantages are </w:t>
      </w:r>
      <w:r w:rsidR="00710A71">
        <w:t xml:space="preserve">partly </w:t>
      </w:r>
      <w:r w:rsidRPr="00272844">
        <w:t>offset by their below average revenue raising capacities.</w:t>
      </w:r>
    </w:p>
    <w:p w:rsidR="00037390" w:rsidRPr="00272844" w:rsidRDefault="00037390" w:rsidP="00037390">
      <w:pPr>
        <w:pStyle w:val="CGCBulletlist"/>
        <w:numPr>
          <w:ilvl w:val="0"/>
          <w:numId w:val="1"/>
        </w:numPr>
        <w:tabs>
          <w:tab w:val="clear" w:pos="927"/>
          <w:tab w:val="left" w:pos="1134"/>
        </w:tabs>
        <w:ind w:left="1134" w:hanging="567"/>
      </w:pPr>
      <w:r w:rsidRPr="00272844">
        <w:t>Queensland has a demographic mix that includes relatively large Indigenous and remote populations to which it is more expensive to provide State services than to other people. It has also had to face above average costs due to the prevalence of natural disasters</w:t>
      </w:r>
      <w:r w:rsidR="009F3FA7">
        <w:t xml:space="preserve"> in recent years</w:t>
      </w:r>
      <w:r w:rsidRPr="00272844">
        <w:t xml:space="preserve">. This means it needs to spend above average amounts to provide the average level of service. It also has a slightly below average capacity to raise revenue. While it receives above average Commonwealth payments, above average GST is required to fund the bulk of its higher assessed service costs and low revenue capacity. </w:t>
      </w:r>
    </w:p>
    <w:p w:rsidR="00037390" w:rsidRPr="00272844" w:rsidRDefault="00037390" w:rsidP="00037390">
      <w:pPr>
        <w:pStyle w:val="CGCBulletlist"/>
        <w:numPr>
          <w:ilvl w:val="0"/>
          <w:numId w:val="1"/>
        </w:numPr>
        <w:tabs>
          <w:tab w:val="clear" w:pos="927"/>
          <w:tab w:val="left" w:pos="1134"/>
        </w:tabs>
        <w:ind w:left="1134" w:hanging="567"/>
      </w:pPr>
      <w:r w:rsidRPr="00272844">
        <w:t xml:space="preserve">Western Australia would incur the second highest expenditure </w:t>
      </w:r>
      <w:r w:rsidR="009F3FA7">
        <w:t xml:space="preserve">per capita </w:t>
      </w:r>
      <w:r w:rsidRPr="00272844">
        <w:t>(including investment) to deliver the average suite of State services to its population. However, it would be able to fund an above average proportion of that expenditure from its own sources because it has a very high capacity to raise revenue. It</w:t>
      </w:r>
      <w:r w:rsidR="002B764E">
        <w:t>,</w:t>
      </w:r>
      <w:r w:rsidRPr="00272844">
        <w:t xml:space="preserve"> therefore</w:t>
      </w:r>
      <w:r w:rsidR="002B764E">
        <w:t>,</w:t>
      </w:r>
      <w:r w:rsidRPr="00272844">
        <w:t xml:space="preserve"> requires an amount of GST that is well below average to fund the remaining expenses.</w:t>
      </w:r>
    </w:p>
    <w:p w:rsidR="00037390" w:rsidRPr="00123B11" w:rsidRDefault="00037390" w:rsidP="00037390">
      <w:pPr>
        <w:pStyle w:val="CGCBulletlist"/>
        <w:numPr>
          <w:ilvl w:val="0"/>
          <w:numId w:val="1"/>
        </w:numPr>
        <w:tabs>
          <w:tab w:val="clear" w:pos="927"/>
          <w:tab w:val="left" w:pos="1134"/>
        </w:tabs>
        <w:ind w:left="1134" w:hanging="567"/>
      </w:pPr>
      <w:r w:rsidRPr="00123B11">
        <w:t xml:space="preserve">South Australia, Tasmania and the ACT require more GST per capita than average because they have a weaker </w:t>
      </w:r>
      <w:r w:rsidR="0030325C">
        <w:t>capacity</w:t>
      </w:r>
      <w:r w:rsidR="0030325C" w:rsidRPr="00123B11">
        <w:t xml:space="preserve"> </w:t>
      </w:r>
      <w:r w:rsidRPr="00123B11">
        <w:t xml:space="preserve">to raise their own revenues (that is, their assessed revenues are less than average). South Australia and Tasmania, </w:t>
      </w:r>
      <w:r>
        <w:t xml:space="preserve">also incur </w:t>
      </w:r>
      <w:r w:rsidRPr="00123B11">
        <w:t>above average</w:t>
      </w:r>
      <w:r w:rsidRPr="00DA188F">
        <w:t xml:space="preserve"> </w:t>
      </w:r>
      <w:r w:rsidRPr="00123B11">
        <w:t>cost</w:t>
      </w:r>
      <w:r>
        <w:t>s</w:t>
      </w:r>
      <w:r w:rsidRPr="00123B11">
        <w:t xml:space="preserve"> </w:t>
      </w:r>
      <w:r>
        <w:t>in</w:t>
      </w:r>
      <w:r w:rsidRPr="00123B11">
        <w:t xml:space="preserve"> providing </w:t>
      </w:r>
      <w:r>
        <w:t>the</w:t>
      </w:r>
      <w:r w:rsidRPr="00123B11">
        <w:t xml:space="preserve"> average level of services.</w:t>
      </w:r>
    </w:p>
    <w:p w:rsidR="00037390" w:rsidRDefault="00037390" w:rsidP="00037390">
      <w:pPr>
        <w:pStyle w:val="CGCBulletlist"/>
        <w:numPr>
          <w:ilvl w:val="0"/>
          <w:numId w:val="1"/>
        </w:numPr>
        <w:tabs>
          <w:tab w:val="clear" w:pos="927"/>
          <w:tab w:val="left" w:pos="1134"/>
        </w:tabs>
        <w:ind w:left="1134" w:hanging="567"/>
      </w:pPr>
      <w:r w:rsidRPr="00123B11">
        <w:t xml:space="preserve">The Northern Territory would incur the highest expenditure per capita to deliver the average level of service. Despite receiving the highest per capita amount of Commonwealth payments, </w:t>
      </w:r>
      <w:proofErr w:type="spellStart"/>
      <w:r w:rsidRPr="00123B11">
        <w:t>its</w:t>
      </w:r>
      <w:proofErr w:type="spellEnd"/>
      <w:r w:rsidRPr="00123B11">
        <w:t xml:space="preserve"> very high expenses and low revenue </w:t>
      </w:r>
      <w:r w:rsidRPr="00123B11">
        <w:lastRenderedPageBreak/>
        <w:t>capacity mean it requires over five times the average per capita GST to provide the average service.</w:t>
      </w:r>
    </w:p>
    <w:p w:rsidR="00037390" w:rsidRDefault="00D01233" w:rsidP="002B764E">
      <w:pPr>
        <w:pStyle w:val="Caption"/>
      </w:pPr>
      <w:bookmarkStart w:id="486" w:name="_Ref411600595"/>
      <w:r w:rsidRPr="00D01233">
        <w:t>Box 1</w:t>
      </w:r>
      <w:r w:rsidR="00037390">
        <w:tab/>
        <w:t>Equalising to the strongest fiscal capacity</w:t>
      </w:r>
      <w:bookmarkEnd w:id="486"/>
    </w:p>
    <w:tbl>
      <w:tblPr>
        <w:tblStyle w:val="TableGrid"/>
        <w:tblW w:w="0" w:type="auto"/>
        <w:tblLayout w:type="fixed"/>
        <w:tblLook w:val="04A0" w:firstRow="1" w:lastRow="0" w:firstColumn="1" w:lastColumn="0" w:noHBand="0" w:noVBand="1"/>
        <w:tblDescription w:val=" "/>
      </w:tblPr>
      <w:tblGrid>
        <w:gridCol w:w="9167"/>
      </w:tblGrid>
      <w:tr w:rsidR="00037390" w:rsidTr="009F3FA7">
        <w:tc>
          <w:tcPr>
            <w:tcW w:w="9167" w:type="dxa"/>
            <w:tcBorders>
              <w:top w:val="nil"/>
              <w:left w:val="nil"/>
              <w:bottom w:val="nil"/>
              <w:right w:val="nil"/>
            </w:tcBorders>
            <w:shd w:val="clear" w:color="auto" w:fill="D9F3E6"/>
          </w:tcPr>
          <w:p w:rsidR="00891E6C" w:rsidRDefault="00037390" w:rsidP="009F3FA7">
            <w:pPr>
              <w:spacing w:before="120" w:after="120"/>
            </w:pPr>
            <w:r>
              <w:t>Our standard approach to illustr</w:t>
            </w:r>
            <w:r w:rsidR="00891E6C">
              <w:t>ating equalisation, as shown in</w:t>
            </w:r>
            <w:r w:rsidR="002B764E">
              <w:t xml:space="preserve"> </w:t>
            </w:r>
            <w:r w:rsidR="002B764E">
              <w:fldChar w:fldCharType="begin"/>
            </w:r>
            <w:r w:rsidR="002B764E">
              <w:instrText xml:space="preserve"> REF _Ref411604678 \h </w:instrText>
            </w:r>
            <w:r w:rsidR="002B764E">
              <w:fldChar w:fldCharType="separate"/>
            </w:r>
            <w:r w:rsidR="003A5DEE" w:rsidRPr="00123B11">
              <w:t xml:space="preserve">Table </w:t>
            </w:r>
            <w:r w:rsidR="003A5DEE">
              <w:rPr>
                <w:noProof/>
              </w:rPr>
              <w:t>3</w:t>
            </w:r>
            <w:r w:rsidR="002B764E">
              <w:fldChar w:fldCharType="end"/>
            </w:r>
            <w:r>
              <w:t>, is to nominally allocate the entire GST pool equal per capita, and then add or subtract GST to reflect whether a State has a</w:t>
            </w:r>
            <w:r w:rsidR="007C0043">
              <w:t>n</w:t>
            </w:r>
            <w:r>
              <w:t xml:space="preserve"> above or</w:t>
            </w:r>
            <w:r w:rsidR="00891E6C">
              <w:t xml:space="preserve"> below average fiscal capacity.</w:t>
            </w:r>
          </w:p>
          <w:p w:rsidR="00037390" w:rsidRPr="00123B11" w:rsidRDefault="00037390" w:rsidP="00891E6C">
            <w:pPr>
              <w:spacing w:before="120" w:after="120"/>
            </w:pPr>
            <w:r w:rsidRPr="00123B11">
              <w:t xml:space="preserve">Alternatively, </w:t>
            </w:r>
            <w:r>
              <w:t xml:space="preserve">the table below </w:t>
            </w:r>
            <w:r w:rsidRPr="00123B11">
              <w:t>shows how each State’s share of the illustrative GST consists of an equalisation requirement (the amount required to bring each State to the fiscal capacity</w:t>
            </w:r>
            <w:r>
              <w:t xml:space="preserve"> of the strongest State</w:t>
            </w:r>
            <w:r w:rsidRPr="00123B11">
              <w:t xml:space="preserve">) and an EPC distribution of the remaining GST among all States. The only difference between these </w:t>
            </w:r>
            <w:r>
              <w:t>approaches</w:t>
            </w:r>
            <w:r w:rsidRPr="00123B11">
              <w:t xml:space="preserve"> is the way the distribution is presented.</w:t>
            </w:r>
          </w:p>
          <w:p w:rsidR="00037390" w:rsidRPr="00123B11" w:rsidRDefault="00037390" w:rsidP="00891E6C">
            <w:pPr>
              <w:spacing w:before="120" w:after="120"/>
            </w:pPr>
            <w:r w:rsidRPr="00123B11">
              <w:t>Western Australia had the strongest fiscal capacity over the years 2011</w:t>
            </w:r>
            <w:r w:rsidRPr="00123B11">
              <w:noBreakHyphen/>
              <w:t>12 to 2013</w:t>
            </w:r>
            <w:r w:rsidRPr="00123B11">
              <w:noBreakHyphen/>
              <w:t xml:space="preserve">14. Every other State requires GST to raise its fiscal capacity to that of Western Australia — </w:t>
            </w:r>
            <w:r w:rsidR="0030325C">
              <w:t xml:space="preserve">For example, </w:t>
            </w:r>
            <w:r w:rsidRPr="00123B11">
              <w:t xml:space="preserve">Victoria would require </w:t>
            </w:r>
            <w:r w:rsidR="00922480">
              <w:t xml:space="preserve">an additional </w:t>
            </w:r>
            <w:r w:rsidRPr="00123B11">
              <w:t>$</w:t>
            </w:r>
            <w:r>
              <w:t xml:space="preserve">1 410 </w:t>
            </w:r>
            <w:r w:rsidRPr="00123B11">
              <w:t>per capita and the Northern Territory</w:t>
            </w:r>
            <w:r>
              <w:t xml:space="preserve"> $12</w:t>
            </w:r>
            <w:r w:rsidR="0030325C">
              <w:t> </w:t>
            </w:r>
            <w:r>
              <w:t>539</w:t>
            </w:r>
            <w:r w:rsidRPr="00123B11">
              <w:t> per capita. After capacities are equalised,</w:t>
            </w:r>
            <w:r>
              <w:t xml:space="preserve"> $714 </w:t>
            </w:r>
            <w:r w:rsidRPr="00123B11">
              <w:t>per capita remains for distrib</w:t>
            </w:r>
            <w:r w:rsidR="00891E6C">
              <w:t>ution to all States in 2015</w:t>
            </w:r>
            <w:r w:rsidR="00891E6C">
              <w:noBreakHyphen/>
              <w:t>16.</w:t>
            </w:r>
          </w:p>
          <w:p w:rsidR="00037390" w:rsidRDefault="00037390" w:rsidP="008256D5">
            <w:pPr>
              <w:pStyle w:val="CGCTableHeading"/>
            </w:pPr>
            <w:bookmarkStart w:id="487" w:name="_Toc316728063"/>
            <w:bookmarkStart w:id="488" w:name="_Toc316735962"/>
            <w:bookmarkStart w:id="489" w:name="_Toc347833830"/>
            <w:r w:rsidRPr="00123B11">
              <w:t>Illustrative distribution of 2015</w:t>
            </w:r>
            <w:r w:rsidRPr="00123B11">
              <w:noBreakHyphen/>
              <w:t>16 GST</w:t>
            </w:r>
            <w:bookmarkEnd w:id="487"/>
            <w:bookmarkEnd w:id="488"/>
            <w:bookmarkEnd w:id="489"/>
          </w:p>
          <w:tbl>
            <w:tblPr>
              <w:tblW w:w="8858" w:type="dxa"/>
              <w:tblLayout w:type="fixed"/>
              <w:tblCellMar>
                <w:left w:w="0" w:type="dxa"/>
                <w:right w:w="0" w:type="dxa"/>
              </w:tblCellMar>
              <w:tblLook w:val="04A0" w:firstRow="1" w:lastRow="0" w:firstColumn="1" w:lastColumn="0" w:noHBand="0" w:noVBand="1"/>
            </w:tblPr>
            <w:tblGrid>
              <w:gridCol w:w="2339"/>
              <w:gridCol w:w="724"/>
              <w:gridCol w:w="724"/>
              <w:gridCol w:w="725"/>
              <w:gridCol w:w="724"/>
              <w:gridCol w:w="724"/>
              <w:gridCol w:w="725"/>
              <w:gridCol w:w="724"/>
              <w:gridCol w:w="724"/>
              <w:gridCol w:w="725"/>
            </w:tblGrid>
            <w:tr w:rsidR="006C1F79" w:rsidRPr="001A031C" w:rsidTr="009F3FA7">
              <w:trPr>
                <w:trHeight w:val="379"/>
              </w:trPr>
              <w:tc>
                <w:tcPr>
                  <w:tcW w:w="2339" w:type="dxa"/>
                  <w:tcBorders>
                    <w:top w:val="single" w:sz="4" w:space="0" w:color="auto"/>
                    <w:left w:val="nil"/>
                    <w:bottom w:val="single" w:sz="4" w:space="0" w:color="auto"/>
                    <w:right w:val="nil"/>
                  </w:tcBorders>
                  <w:shd w:val="clear" w:color="auto" w:fill="auto"/>
                  <w:noWrap/>
                  <w:vAlign w:val="center"/>
                  <w:hideMark/>
                </w:tcPr>
                <w:p w:rsidR="006C1F79" w:rsidRPr="001A031C" w:rsidRDefault="006C1F79" w:rsidP="009F3FA7">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 </w:t>
                  </w:r>
                </w:p>
              </w:tc>
              <w:tc>
                <w:tcPr>
                  <w:tcW w:w="724" w:type="dxa"/>
                  <w:tcBorders>
                    <w:top w:val="single" w:sz="4" w:space="0" w:color="auto"/>
                    <w:left w:val="nil"/>
                    <w:bottom w:val="single" w:sz="4" w:space="0" w:color="auto"/>
                    <w:right w:val="nil"/>
                  </w:tcBorders>
                  <w:shd w:val="clear" w:color="auto" w:fill="auto"/>
                  <w:noWrap/>
                  <w:vAlign w:val="center"/>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NSW</w:t>
                  </w:r>
                </w:p>
              </w:tc>
              <w:tc>
                <w:tcPr>
                  <w:tcW w:w="724" w:type="dxa"/>
                  <w:tcBorders>
                    <w:top w:val="single" w:sz="4" w:space="0" w:color="auto"/>
                    <w:left w:val="nil"/>
                    <w:bottom w:val="single" w:sz="4" w:space="0" w:color="auto"/>
                    <w:right w:val="nil"/>
                  </w:tcBorders>
                  <w:shd w:val="clear" w:color="auto" w:fill="auto"/>
                  <w:noWrap/>
                  <w:vAlign w:val="center"/>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Vic</w:t>
                  </w:r>
                </w:p>
              </w:tc>
              <w:tc>
                <w:tcPr>
                  <w:tcW w:w="725" w:type="dxa"/>
                  <w:tcBorders>
                    <w:top w:val="single" w:sz="4" w:space="0" w:color="auto"/>
                    <w:left w:val="nil"/>
                    <w:bottom w:val="single" w:sz="4" w:space="0" w:color="auto"/>
                    <w:right w:val="nil"/>
                  </w:tcBorders>
                  <w:shd w:val="clear" w:color="auto" w:fill="auto"/>
                  <w:noWrap/>
                  <w:vAlign w:val="center"/>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Qld</w:t>
                  </w:r>
                </w:p>
              </w:tc>
              <w:tc>
                <w:tcPr>
                  <w:tcW w:w="724" w:type="dxa"/>
                  <w:tcBorders>
                    <w:top w:val="single" w:sz="4" w:space="0" w:color="auto"/>
                    <w:left w:val="nil"/>
                    <w:bottom w:val="single" w:sz="4" w:space="0" w:color="auto"/>
                    <w:right w:val="nil"/>
                  </w:tcBorders>
                  <w:shd w:val="clear" w:color="auto" w:fill="auto"/>
                  <w:noWrap/>
                  <w:vAlign w:val="center"/>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WA</w:t>
                  </w:r>
                </w:p>
              </w:tc>
              <w:tc>
                <w:tcPr>
                  <w:tcW w:w="724" w:type="dxa"/>
                  <w:tcBorders>
                    <w:top w:val="single" w:sz="4" w:space="0" w:color="auto"/>
                    <w:left w:val="nil"/>
                    <w:bottom w:val="single" w:sz="4" w:space="0" w:color="auto"/>
                    <w:right w:val="nil"/>
                  </w:tcBorders>
                  <w:shd w:val="clear" w:color="auto" w:fill="auto"/>
                  <w:noWrap/>
                  <w:vAlign w:val="center"/>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SA</w:t>
                  </w:r>
                </w:p>
              </w:tc>
              <w:tc>
                <w:tcPr>
                  <w:tcW w:w="725" w:type="dxa"/>
                  <w:tcBorders>
                    <w:top w:val="single" w:sz="4" w:space="0" w:color="auto"/>
                    <w:left w:val="nil"/>
                    <w:bottom w:val="single" w:sz="4" w:space="0" w:color="auto"/>
                    <w:right w:val="nil"/>
                  </w:tcBorders>
                  <w:shd w:val="clear" w:color="auto" w:fill="auto"/>
                  <w:noWrap/>
                  <w:vAlign w:val="center"/>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1A031C">
                    <w:rPr>
                      <w:rFonts w:ascii="Calibri" w:eastAsia="Times New Roman" w:hAnsi="Calibri" w:cs="Times New Roman"/>
                      <w:sz w:val="20"/>
                      <w:szCs w:val="20"/>
                      <w:lang w:eastAsia="en-AU"/>
                    </w:rPr>
                    <w:t>Tas</w:t>
                  </w:r>
                  <w:proofErr w:type="spellEnd"/>
                </w:p>
              </w:tc>
              <w:tc>
                <w:tcPr>
                  <w:tcW w:w="724" w:type="dxa"/>
                  <w:tcBorders>
                    <w:top w:val="single" w:sz="4" w:space="0" w:color="auto"/>
                    <w:left w:val="nil"/>
                    <w:bottom w:val="single" w:sz="4" w:space="0" w:color="auto"/>
                    <w:right w:val="nil"/>
                  </w:tcBorders>
                  <w:shd w:val="clear" w:color="auto" w:fill="auto"/>
                  <w:noWrap/>
                  <w:vAlign w:val="center"/>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ACT</w:t>
                  </w:r>
                </w:p>
              </w:tc>
              <w:tc>
                <w:tcPr>
                  <w:tcW w:w="724" w:type="dxa"/>
                  <w:tcBorders>
                    <w:top w:val="single" w:sz="4" w:space="0" w:color="auto"/>
                    <w:left w:val="nil"/>
                    <w:bottom w:val="single" w:sz="4" w:space="0" w:color="auto"/>
                    <w:right w:val="nil"/>
                  </w:tcBorders>
                  <w:shd w:val="clear" w:color="auto" w:fill="auto"/>
                  <w:noWrap/>
                  <w:vAlign w:val="center"/>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NT</w:t>
                  </w:r>
                </w:p>
              </w:tc>
              <w:tc>
                <w:tcPr>
                  <w:tcW w:w="725" w:type="dxa"/>
                  <w:tcBorders>
                    <w:top w:val="single" w:sz="4" w:space="0" w:color="auto"/>
                    <w:left w:val="nil"/>
                    <w:bottom w:val="single" w:sz="4" w:space="0" w:color="auto"/>
                    <w:right w:val="nil"/>
                  </w:tcBorders>
                  <w:shd w:val="clear" w:color="auto" w:fill="auto"/>
                  <w:noWrap/>
                  <w:vAlign w:val="center"/>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Ave</w:t>
                  </w:r>
                </w:p>
              </w:tc>
            </w:tr>
            <w:tr w:rsidR="006C1F79" w:rsidRPr="001A031C" w:rsidTr="009F3FA7">
              <w:trPr>
                <w:trHeight w:val="259"/>
              </w:trPr>
              <w:tc>
                <w:tcPr>
                  <w:tcW w:w="2339"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724"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$pc</w:t>
                  </w:r>
                </w:p>
              </w:tc>
              <w:tc>
                <w:tcPr>
                  <w:tcW w:w="724"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$pc</w:t>
                  </w:r>
                </w:p>
              </w:tc>
              <w:tc>
                <w:tcPr>
                  <w:tcW w:w="725"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$pc</w:t>
                  </w:r>
                </w:p>
              </w:tc>
              <w:tc>
                <w:tcPr>
                  <w:tcW w:w="724"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$pc</w:t>
                  </w:r>
                </w:p>
              </w:tc>
              <w:tc>
                <w:tcPr>
                  <w:tcW w:w="724"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$pc</w:t>
                  </w:r>
                </w:p>
              </w:tc>
              <w:tc>
                <w:tcPr>
                  <w:tcW w:w="725"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$pc</w:t>
                  </w:r>
                </w:p>
              </w:tc>
              <w:tc>
                <w:tcPr>
                  <w:tcW w:w="724"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$pc</w:t>
                  </w:r>
                </w:p>
              </w:tc>
              <w:tc>
                <w:tcPr>
                  <w:tcW w:w="724"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$pc</w:t>
                  </w:r>
                </w:p>
              </w:tc>
              <w:tc>
                <w:tcPr>
                  <w:tcW w:w="725"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$pc</w:t>
                  </w:r>
                </w:p>
              </w:tc>
            </w:tr>
            <w:tr w:rsidR="006C1F79" w:rsidRPr="001A031C" w:rsidTr="009F3FA7">
              <w:trPr>
                <w:trHeight w:val="315"/>
              </w:trPr>
              <w:tc>
                <w:tcPr>
                  <w:tcW w:w="2339"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Equal per capita</w:t>
                  </w:r>
                </w:p>
              </w:tc>
              <w:tc>
                <w:tcPr>
                  <w:tcW w:w="724"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714</w:t>
                  </w:r>
                </w:p>
              </w:tc>
              <w:tc>
                <w:tcPr>
                  <w:tcW w:w="724"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714</w:t>
                  </w:r>
                </w:p>
              </w:tc>
              <w:tc>
                <w:tcPr>
                  <w:tcW w:w="725"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714</w:t>
                  </w:r>
                </w:p>
              </w:tc>
              <w:tc>
                <w:tcPr>
                  <w:tcW w:w="724"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714</w:t>
                  </w:r>
                </w:p>
              </w:tc>
              <w:tc>
                <w:tcPr>
                  <w:tcW w:w="724"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714</w:t>
                  </w:r>
                </w:p>
              </w:tc>
              <w:tc>
                <w:tcPr>
                  <w:tcW w:w="725"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714</w:t>
                  </w:r>
                </w:p>
              </w:tc>
              <w:tc>
                <w:tcPr>
                  <w:tcW w:w="724"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714</w:t>
                  </w:r>
                </w:p>
              </w:tc>
              <w:tc>
                <w:tcPr>
                  <w:tcW w:w="724"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714</w:t>
                  </w:r>
                </w:p>
              </w:tc>
              <w:tc>
                <w:tcPr>
                  <w:tcW w:w="725" w:type="dxa"/>
                  <w:tcBorders>
                    <w:top w:val="nil"/>
                    <w:left w:val="nil"/>
                    <w:bottom w:val="nil"/>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714</w:t>
                  </w:r>
                </w:p>
              </w:tc>
            </w:tr>
            <w:tr w:rsidR="006C1F79" w:rsidRPr="001A031C" w:rsidTr="009F3FA7">
              <w:trPr>
                <w:trHeight w:val="315"/>
              </w:trPr>
              <w:tc>
                <w:tcPr>
                  <w:tcW w:w="2339"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Equalisation requirement</w:t>
                  </w:r>
                </w:p>
              </w:tc>
              <w:tc>
                <w:tcPr>
                  <w:tcW w:w="724"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1 540</w:t>
                  </w:r>
                </w:p>
              </w:tc>
              <w:tc>
                <w:tcPr>
                  <w:tcW w:w="724"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1 410</w:t>
                  </w:r>
                </w:p>
              </w:tc>
              <w:tc>
                <w:tcPr>
                  <w:tcW w:w="725"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1 969</w:t>
                  </w:r>
                </w:p>
              </w:tc>
              <w:tc>
                <w:tcPr>
                  <w:tcW w:w="724"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0</w:t>
                  </w:r>
                </w:p>
              </w:tc>
              <w:tc>
                <w:tcPr>
                  <w:tcW w:w="724"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2 519</w:t>
                  </w:r>
                </w:p>
              </w:tc>
              <w:tc>
                <w:tcPr>
                  <w:tcW w:w="725"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3 614</w:t>
                  </w:r>
                </w:p>
              </w:tc>
              <w:tc>
                <w:tcPr>
                  <w:tcW w:w="724"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1 904</w:t>
                  </w:r>
                </w:p>
              </w:tc>
              <w:tc>
                <w:tcPr>
                  <w:tcW w:w="724"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12 539</w:t>
                  </w:r>
                </w:p>
              </w:tc>
              <w:tc>
                <w:tcPr>
                  <w:tcW w:w="725" w:type="dxa"/>
                  <w:tcBorders>
                    <w:top w:val="nil"/>
                    <w:left w:val="nil"/>
                    <w:bottom w:val="nil"/>
                    <w:right w:val="nil"/>
                  </w:tcBorders>
                  <w:shd w:val="clear" w:color="auto" w:fill="auto"/>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1 656</w:t>
                  </w:r>
                </w:p>
              </w:tc>
            </w:tr>
            <w:tr w:rsidR="006C1F79" w:rsidRPr="001A031C" w:rsidTr="009F3FA7">
              <w:trPr>
                <w:trHeight w:val="315"/>
              </w:trPr>
              <w:tc>
                <w:tcPr>
                  <w:tcW w:w="2339" w:type="dxa"/>
                  <w:tcBorders>
                    <w:top w:val="nil"/>
                    <w:left w:val="nil"/>
                    <w:bottom w:val="single" w:sz="4" w:space="0" w:color="auto"/>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Per capita allocation</w:t>
                  </w:r>
                </w:p>
              </w:tc>
              <w:tc>
                <w:tcPr>
                  <w:tcW w:w="724" w:type="dxa"/>
                  <w:tcBorders>
                    <w:top w:val="nil"/>
                    <w:left w:val="nil"/>
                    <w:bottom w:val="single" w:sz="4" w:space="0" w:color="auto"/>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2 254</w:t>
                  </w:r>
                </w:p>
              </w:tc>
              <w:tc>
                <w:tcPr>
                  <w:tcW w:w="724" w:type="dxa"/>
                  <w:tcBorders>
                    <w:top w:val="nil"/>
                    <w:left w:val="nil"/>
                    <w:bottom w:val="single" w:sz="4" w:space="0" w:color="auto"/>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2 123</w:t>
                  </w:r>
                </w:p>
              </w:tc>
              <w:tc>
                <w:tcPr>
                  <w:tcW w:w="725" w:type="dxa"/>
                  <w:tcBorders>
                    <w:top w:val="nil"/>
                    <w:left w:val="nil"/>
                    <w:bottom w:val="single" w:sz="4" w:space="0" w:color="auto"/>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2 682</w:t>
                  </w:r>
                </w:p>
              </w:tc>
              <w:tc>
                <w:tcPr>
                  <w:tcW w:w="724" w:type="dxa"/>
                  <w:tcBorders>
                    <w:top w:val="nil"/>
                    <w:left w:val="nil"/>
                    <w:bottom w:val="single" w:sz="4" w:space="0" w:color="auto"/>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714</w:t>
                  </w:r>
                </w:p>
              </w:tc>
              <w:tc>
                <w:tcPr>
                  <w:tcW w:w="724" w:type="dxa"/>
                  <w:tcBorders>
                    <w:top w:val="nil"/>
                    <w:left w:val="nil"/>
                    <w:bottom w:val="single" w:sz="4" w:space="0" w:color="auto"/>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3 233</w:t>
                  </w:r>
                </w:p>
              </w:tc>
              <w:tc>
                <w:tcPr>
                  <w:tcW w:w="725" w:type="dxa"/>
                  <w:tcBorders>
                    <w:top w:val="nil"/>
                    <w:left w:val="nil"/>
                    <w:bottom w:val="single" w:sz="4" w:space="0" w:color="auto"/>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4 328</w:t>
                  </w:r>
                </w:p>
              </w:tc>
              <w:tc>
                <w:tcPr>
                  <w:tcW w:w="724" w:type="dxa"/>
                  <w:tcBorders>
                    <w:top w:val="nil"/>
                    <w:left w:val="nil"/>
                    <w:bottom w:val="single" w:sz="4" w:space="0" w:color="auto"/>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2 617</w:t>
                  </w:r>
                </w:p>
              </w:tc>
              <w:tc>
                <w:tcPr>
                  <w:tcW w:w="724" w:type="dxa"/>
                  <w:tcBorders>
                    <w:top w:val="nil"/>
                    <w:left w:val="nil"/>
                    <w:bottom w:val="single" w:sz="4" w:space="0" w:color="auto"/>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13 252</w:t>
                  </w:r>
                </w:p>
              </w:tc>
              <w:tc>
                <w:tcPr>
                  <w:tcW w:w="725" w:type="dxa"/>
                  <w:tcBorders>
                    <w:top w:val="nil"/>
                    <w:left w:val="nil"/>
                    <w:bottom w:val="single" w:sz="4" w:space="0" w:color="auto"/>
                    <w:right w:val="nil"/>
                  </w:tcBorders>
                  <w:shd w:val="clear" w:color="auto" w:fill="auto"/>
                  <w:noWrap/>
                  <w:vAlign w:val="bottom"/>
                  <w:hideMark/>
                </w:tcPr>
                <w:p w:rsidR="006C1F79" w:rsidRPr="001A031C" w:rsidRDefault="006C1F79" w:rsidP="009F3FA7">
                  <w:pPr>
                    <w:keepNext/>
                    <w:keepLines/>
                    <w:tabs>
                      <w:tab w:val="clear" w:pos="567"/>
                    </w:tabs>
                    <w:spacing w:after="0" w:line="240" w:lineRule="auto"/>
                    <w:jc w:val="right"/>
                    <w:rPr>
                      <w:rFonts w:ascii="Calibri" w:eastAsia="Times New Roman" w:hAnsi="Calibri" w:cs="Times New Roman"/>
                      <w:sz w:val="20"/>
                      <w:szCs w:val="20"/>
                      <w:lang w:eastAsia="en-AU"/>
                    </w:rPr>
                  </w:pPr>
                  <w:r w:rsidRPr="001A031C">
                    <w:rPr>
                      <w:rFonts w:ascii="Calibri" w:eastAsia="Times New Roman" w:hAnsi="Calibri" w:cs="Times New Roman"/>
                      <w:sz w:val="20"/>
                      <w:szCs w:val="20"/>
                      <w:lang w:eastAsia="en-AU"/>
                    </w:rPr>
                    <w:t>2 370</w:t>
                  </w:r>
                </w:p>
              </w:tc>
            </w:tr>
          </w:tbl>
          <w:p w:rsidR="00037390" w:rsidRPr="00EC1947" w:rsidRDefault="00037390" w:rsidP="008256D5">
            <w:pPr>
              <w:tabs>
                <w:tab w:val="clear" w:pos="567"/>
                <w:tab w:val="left" w:pos="851"/>
              </w:tabs>
              <w:ind w:left="851" w:hanging="851"/>
              <w:rPr>
                <w:b/>
                <w:sz w:val="20"/>
              </w:rPr>
            </w:pPr>
            <w:r w:rsidRPr="00123B11">
              <w:rPr>
                <w:sz w:val="20"/>
              </w:rPr>
              <w:t>Source:</w:t>
            </w:r>
            <w:r w:rsidRPr="00123B11">
              <w:rPr>
                <w:sz w:val="20"/>
              </w:rPr>
              <w:tab/>
              <w:t>Commission calculation.</w:t>
            </w:r>
            <w:r w:rsidRPr="00123B11">
              <w:rPr>
                <w:b/>
                <w:sz w:val="20"/>
              </w:rPr>
              <w:t xml:space="preserve"> </w:t>
            </w:r>
          </w:p>
        </w:tc>
      </w:tr>
    </w:tbl>
    <w:p w:rsidR="00037390" w:rsidRPr="00123B11" w:rsidRDefault="000F7939" w:rsidP="00037390">
      <w:pPr>
        <w:pStyle w:val="Heading3"/>
      </w:pPr>
      <w:bookmarkStart w:id="490" w:name="_Toc411924607"/>
      <w:r>
        <w:t>What drives different fiscal capacities</w:t>
      </w:r>
      <w:r w:rsidR="00037390" w:rsidRPr="00123B11">
        <w:t>?</w:t>
      </w:r>
      <w:bookmarkEnd w:id="490"/>
    </w:p>
    <w:p w:rsidR="00037390" w:rsidRDefault="00037390" w:rsidP="00037390">
      <w:pPr>
        <w:pStyle w:val="CGCNumberedPara"/>
        <w:numPr>
          <w:ilvl w:val="1"/>
          <w:numId w:val="2"/>
        </w:numPr>
      </w:pPr>
      <w:r w:rsidRPr="002A5EB4">
        <w:t xml:space="preserve">Many factors cause a State to have above or below average fiscal capacity. These factors include mineral endowments, levels of business activity, real estate markets, population demographics and population dispersion. </w:t>
      </w:r>
      <w:r w:rsidRPr="00123B11">
        <w:fldChar w:fldCharType="begin"/>
      </w:r>
      <w:r w:rsidRPr="00123B11">
        <w:instrText xml:space="preserve"> REF _Ref348709337 \h  \* MERGEFORMAT </w:instrText>
      </w:r>
      <w:r w:rsidRPr="00123B11">
        <w:fldChar w:fldCharType="separate"/>
      </w:r>
      <w:r w:rsidR="003A5DEE" w:rsidRPr="00123B11">
        <w:t xml:space="preserve">Table </w:t>
      </w:r>
      <w:r w:rsidR="003A5DEE">
        <w:rPr>
          <w:noProof/>
        </w:rPr>
        <w:t>4</w:t>
      </w:r>
      <w:r w:rsidRPr="00123B11">
        <w:fldChar w:fldCharType="end"/>
      </w:r>
      <w:r w:rsidRPr="00123B11">
        <w:t xml:space="preserve"> illustrates how much each State’s assessed fiscal capacity differs from average due to each underlying driver. </w:t>
      </w:r>
      <w:r>
        <w:t>We explain why</w:t>
      </w:r>
      <w:r w:rsidRPr="00123B11">
        <w:t xml:space="preserve"> and how they affect individual States </w:t>
      </w:r>
      <w:r>
        <w:t>below.</w:t>
      </w:r>
    </w:p>
    <w:p w:rsidR="008C01A9" w:rsidRDefault="008C01A9" w:rsidP="00037390">
      <w:pPr>
        <w:pStyle w:val="CGCNumberedPara"/>
        <w:numPr>
          <w:ilvl w:val="1"/>
          <w:numId w:val="2"/>
        </w:numPr>
      </w:pPr>
      <w:r w:rsidRPr="003B5EE5">
        <w:t>More information presented on a State basis is provided in Volume 2, Attachment 5 – Main reasons for difference from EPC, State analysis.</w:t>
      </w:r>
    </w:p>
    <w:p w:rsidR="00037390" w:rsidRDefault="00037390" w:rsidP="00037390">
      <w:pPr>
        <w:pStyle w:val="CGCTableHeading"/>
        <w:ind w:left="0" w:firstLine="0"/>
      </w:pPr>
      <w:bookmarkStart w:id="491" w:name="_Ref311209940"/>
      <w:bookmarkStart w:id="492" w:name="_Ref348709337"/>
      <w:bookmarkStart w:id="493" w:name="_Toc315959994"/>
      <w:bookmarkStart w:id="494" w:name="_Toc316727522"/>
      <w:bookmarkStart w:id="495" w:name="_Toc316727827"/>
      <w:bookmarkStart w:id="496" w:name="_Toc347833833"/>
      <w:bookmarkStart w:id="497" w:name="_Ref405558177"/>
      <w:r w:rsidRPr="00123B11">
        <w:lastRenderedPageBreak/>
        <w:t xml:space="preserve">Table </w:t>
      </w:r>
      <w:fldSimple w:instr=" SEQ Table \* ARABIC ">
        <w:r w:rsidR="003A5DEE">
          <w:rPr>
            <w:noProof/>
          </w:rPr>
          <w:t>4</w:t>
        </w:r>
      </w:fldSimple>
      <w:bookmarkEnd w:id="491"/>
      <w:bookmarkEnd w:id="492"/>
      <w:r w:rsidRPr="00123B11">
        <w:tab/>
        <w:t>Drivers of illustrative difference from EPC distribution of GST, 2015-16</w:t>
      </w:r>
      <w:bookmarkEnd w:id="493"/>
      <w:bookmarkEnd w:id="494"/>
      <w:bookmarkEnd w:id="495"/>
      <w:bookmarkEnd w:id="496"/>
      <w:bookmarkEnd w:id="497"/>
    </w:p>
    <w:tbl>
      <w:tblPr>
        <w:tblW w:w="9057" w:type="dxa"/>
        <w:tblLayout w:type="fixed"/>
        <w:tblCellMar>
          <w:left w:w="0" w:type="dxa"/>
          <w:right w:w="0" w:type="dxa"/>
        </w:tblCellMar>
        <w:tblLook w:val="04A0" w:firstRow="1" w:lastRow="0" w:firstColumn="1" w:lastColumn="0" w:noHBand="0" w:noVBand="1"/>
      </w:tblPr>
      <w:tblGrid>
        <w:gridCol w:w="3233"/>
        <w:gridCol w:w="639"/>
        <w:gridCol w:w="676"/>
        <w:gridCol w:w="636"/>
        <w:gridCol w:w="676"/>
        <w:gridCol w:w="636"/>
        <w:gridCol w:w="636"/>
        <w:gridCol w:w="552"/>
        <w:gridCol w:w="636"/>
        <w:gridCol w:w="737"/>
      </w:tblGrid>
      <w:tr w:rsidR="001E023E" w:rsidRPr="00622ED1" w:rsidTr="001E023E">
        <w:trPr>
          <w:trHeight w:val="379"/>
        </w:trPr>
        <w:tc>
          <w:tcPr>
            <w:tcW w:w="3233" w:type="dxa"/>
            <w:tcBorders>
              <w:top w:val="single" w:sz="4" w:space="0" w:color="auto"/>
              <w:left w:val="nil"/>
              <w:bottom w:val="single" w:sz="4" w:space="0" w:color="auto"/>
              <w:right w:val="nil"/>
            </w:tcBorders>
            <w:shd w:val="clear" w:color="auto" w:fill="auto"/>
            <w:noWrap/>
            <w:vAlign w:val="center"/>
            <w:hideMark/>
          </w:tcPr>
          <w:p w:rsidR="001E023E" w:rsidRPr="00622ED1" w:rsidRDefault="001E023E" w:rsidP="001E023E">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 </w:t>
            </w:r>
          </w:p>
        </w:tc>
        <w:tc>
          <w:tcPr>
            <w:tcW w:w="639" w:type="dxa"/>
            <w:tcBorders>
              <w:top w:val="single" w:sz="4" w:space="0" w:color="auto"/>
              <w:left w:val="nil"/>
              <w:bottom w:val="single" w:sz="4" w:space="0" w:color="auto"/>
              <w:right w:val="nil"/>
            </w:tcBorders>
            <w:shd w:val="clear" w:color="auto" w:fill="auto"/>
            <w:noWrap/>
            <w:vAlign w:val="center"/>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NSW</w:t>
            </w:r>
          </w:p>
        </w:tc>
        <w:tc>
          <w:tcPr>
            <w:tcW w:w="676" w:type="dxa"/>
            <w:tcBorders>
              <w:top w:val="single" w:sz="4" w:space="0" w:color="auto"/>
              <w:left w:val="nil"/>
              <w:bottom w:val="single" w:sz="4" w:space="0" w:color="auto"/>
              <w:right w:val="nil"/>
            </w:tcBorders>
            <w:shd w:val="clear" w:color="auto" w:fill="auto"/>
            <w:noWrap/>
            <w:vAlign w:val="center"/>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Vic</w:t>
            </w:r>
          </w:p>
        </w:tc>
        <w:tc>
          <w:tcPr>
            <w:tcW w:w="636" w:type="dxa"/>
            <w:tcBorders>
              <w:top w:val="single" w:sz="4" w:space="0" w:color="auto"/>
              <w:left w:val="nil"/>
              <w:bottom w:val="single" w:sz="4" w:space="0" w:color="auto"/>
              <w:right w:val="nil"/>
            </w:tcBorders>
            <w:shd w:val="clear" w:color="auto" w:fill="auto"/>
            <w:noWrap/>
            <w:vAlign w:val="center"/>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Qld</w:t>
            </w:r>
          </w:p>
        </w:tc>
        <w:tc>
          <w:tcPr>
            <w:tcW w:w="676" w:type="dxa"/>
            <w:tcBorders>
              <w:top w:val="single" w:sz="4" w:space="0" w:color="auto"/>
              <w:left w:val="nil"/>
              <w:bottom w:val="single" w:sz="4" w:space="0" w:color="auto"/>
              <w:right w:val="nil"/>
            </w:tcBorders>
            <w:shd w:val="clear" w:color="auto" w:fill="auto"/>
            <w:noWrap/>
            <w:vAlign w:val="center"/>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WA</w:t>
            </w:r>
          </w:p>
        </w:tc>
        <w:tc>
          <w:tcPr>
            <w:tcW w:w="636" w:type="dxa"/>
            <w:tcBorders>
              <w:top w:val="single" w:sz="4" w:space="0" w:color="auto"/>
              <w:left w:val="nil"/>
              <w:bottom w:val="single" w:sz="4" w:space="0" w:color="auto"/>
              <w:right w:val="nil"/>
            </w:tcBorders>
            <w:shd w:val="clear" w:color="auto" w:fill="auto"/>
            <w:noWrap/>
            <w:vAlign w:val="center"/>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SA</w:t>
            </w:r>
          </w:p>
        </w:tc>
        <w:tc>
          <w:tcPr>
            <w:tcW w:w="636" w:type="dxa"/>
            <w:tcBorders>
              <w:top w:val="single" w:sz="4" w:space="0" w:color="auto"/>
              <w:left w:val="nil"/>
              <w:bottom w:val="single" w:sz="4" w:space="0" w:color="auto"/>
              <w:right w:val="nil"/>
            </w:tcBorders>
            <w:shd w:val="clear" w:color="auto" w:fill="auto"/>
            <w:noWrap/>
            <w:vAlign w:val="center"/>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622ED1">
              <w:rPr>
                <w:rFonts w:ascii="Calibri" w:eastAsia="Times New Roman" w:hAnsi="Calibri" w:cs="Times New Roman"/>
                <w:sz w:val="20"/>
                <w:szCs w:val="20"/>
                <w:lang w:eastAsia="en-AU"/>
              </w:rPr>
              <w:t>Tas</w:t>
            </w:r>
            <w:proofErr w:type="spellEnd"/>
          </w:p>
        </w:tc>
        <w:tc>
          <w:tcPr>
            <w:tcW w:w="552" w:type="dxa"/>
            <w:tcBorders>
              <w:top w:val="single" w:sz="4" w:space="0" w:color="auto"/>
              <w:left w:val="nil"/>
              <w:bottom w:val="single" w:sz="4" w:space="0" w:color="auto"/>
              <w:right w:val="nil"/>
            </w:tcBorders>
            <w:shd w:val="clear" w:color="auto" w:fill="auto"/>
            <w:noWrap/>
            <w:vAlign w:val="center"/>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ACT</w:t>
            </w:r>
          </w:p>
        </w:tc>
        <w:tc>
          <w:tcPr>
            <w:tcW w:w="636" w:type="dxa"/>
            <w:tcBorders>
              <w:top w:val="single" w:sz="4" w:space="0" w:color="auto"/>
              <w:left w:val="nil"/>
              <w:bottom w:val="single" w:sz="4" w:space="0" w:color="auto"/>
              <w:right w:val="nil"/>
            </w:tcBorders>
            <w:shd w:val="clear" w:color="auto" w:fill="auto"/>
            <w:noWrap/>
            <w:vAlign w:val="center"/>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NT</w:t>
            </w:r>
          </w:p>
        </w:tc>
        <w:tc>
          <w:tcPr>
            <w:tcW w:w="737" w:type="dxa"/>
            <w:tcBorders>
              <w:top w:val="single" w:sz="4" w:space="0" w:color="auto"/>
              <w:left w:val="nil"/>
              <w:bottom w:val="single" w:sz="4" w:space="0" w:color="auto"/>
              <w:right w:val="nil"/>
            </w:tcBorders>
            <w:shd w:val="clear" w:color="auto" w:fill="auto"/>
            <w:noWrap/>
            <w:vAlign w:val="center"/>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622ED1">
              <w:rPr>
                <w:rFonts w:ascii="Calibri" w:eastAsia="Times New Roman" w:hAnsi="Calibri" w:cs="Times New Roman"/>
                <w:sz w:val="20"/>
                <w:szCs w:val="20"/>
                <w:lang w:eastAsia="en-AU"/>
              </w:rPr>
              <w:t>Redist</w:t>
            </w:r>
            <w:proofErr w:type="spellEnd"/>
          </w:p>
        </w:tc>
      </w:tr>
      <w:tr w:rsidR="001E023E" w:rsidRPr="00622ED1" w:rsidTr="001E023E">
        <w:trPr>
          <w:trHeight w:val="259"/>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639"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$m</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$m</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$m</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$m</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$m</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$m</w:t>
            </w:r>
          </w:p>
        </w:tc>
        <w:tc>
          <w:tcPr>
            <w:tcW w:w="552"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$m</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$m</w:t>
            </w:r>
          </w:p>
        </w:tc>
        <w:tc>
          <w:tcPr>
            <w:tcW w:w="737"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$m</w:t>
            </w:r>
          </w:p>
        </w:tc>
      </w:tr>
      <w:tr w:rsidR="001E023E" w:rsidRPr="00622ED1" w:rsidTr="001E023E">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hanging="142"/>
              <w:rPr>
                <w:rFonts w:ascii="Calibri" w:eastAsia="Times New Roman" w:hAnsi="Calibri" w:cs="Times New Roman"/>
                <w:b/>
                <w:bCs/>
                <w:sz w:val="20"/>
                <w:szCs w:val="20"/>
                <w:lang w:eastAsia="en-AU"/>
              </w:rPr>
            </w:pPr>
            <w:r w:rsidRPr="00622ED1">
              <w:rPr>
                <w:rFonts w:ascii="Calibri" w:eastAsia="Times New Roman" w:hAnsi="Calibri" w:cs="Times New Roman"/>
                <w:b/>
                <w:bCs/>
                <w:sz w:val="20"/>
                <w:szCs w:val="20"/>
                <w:lang w:eastAsia="en-AU"/>
              </w:rPr>
              <w:t>Effects of revenue raising capacity</w:t>
            </w:r>
          </w:p>
        </w:tc>
        <w:tc>
          <w:tcPr>
            <w:tcW w:w="639"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76"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36"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76"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36"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36"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552"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36"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37"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r>
      <w:tr w:rsidR="001E023E" w:rsidRPr="00622ED1" w:rsidTr="001E023E">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Mining production</w:t>
            </w:r>
          </w:p>
        </w:tc>
        <w:tc>
          <w:tcPr>
            <w:tcW w:w="639"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2 262</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2 993</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-274</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-5 911</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529</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209</w:t>
            </w:r>
          </w:p>
        </w:tc>
        <w:tc>
          <w:tcPr>
            <w:tcW w:w="552"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205</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-12</w:t>
            </w:r>
          </w:p>
        </w:tc>
        <w:tc>
          <w:tcPr>
            <w:tcW w:w="737"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6 197</w:t>
            </w:r>
          </w:p>
        </w:tc>
      </w:tr>
      <w:tr w:rsidR="001E023E" w:rsidRPr="00622ED1" w:rsidTr="001E023E">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Payrolls paid</w:t>
            </w:r>
          </w:p>
        </w:tc>
        <w:tc>
          <w:tcPr>
            <w:tcW w:w="639"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-145</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460</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205</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-1 114</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387</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208</w:t>
            </w:r>
          </w:p>
        </w:tc>
        <w:tc>
          <w:tcPr>
            <w:tcW w:w="552"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-18</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16</w:t>
            </w:r>
          </w:p>
        </w:tc>
        <w:tc>
          <w:tcPr>
            <w:tcW w:w="737"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1 276</w:t>
            </w:r>
          </w:p>
        </w:tc>
      </w:tr>
      <w:tr w:rsidR="001E023E" w:rsidRPr="00622ED1" w:rsidTr="001E023E">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Property sales</w:t>
            </w:r>
          </w:p>
        </w:tc>
        <w:tc>
          <w:tcPr>
            <w:tcW w:w="639"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-762</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-25</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247</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-174</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483</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177</w:t>
            </w:r>
          </w:p>
        </w:tc>
        <w:tc>
          <w:tcPr>
            <w:tcW w:w="552"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10</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44</w:t>
            </w:r>
          </w:p>
        </w:tc>
        <w:tc>
          <w:tcPr>
            <w:tcW w:w="737"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961</w:t>
            </w:r>
          </w:p>
        </w:tc>
      </w:tr>
      <w:tr w:rsidR="001E023E" w:rsidRPr="00622ED1" w:rsidTr="00A949A1">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Land values</w:t>
            </w:r>
          </w:p>
        </w:tc>
        <w:tc>
          <w:tcPr>
            <w:tcW w:w="639" w:type="dxa"/>
            <w:tcBorders>
              <w:top w:val="nil"/>
              <w:left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36</w:t>
            </w:r>
          </w:p>
        </w:tc>
        <w:tc>
          <w:tcPr>
            <w:tcW w:w="676" w:type="dxa"/>
            <w:tcBorders>
              <w:top w:val="nil"/>
              <w:left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-122</w:t>
            </w:r>
          </w:p>
        </w:tc>
        <w:tc>
          <w:tcPr>
            <w:tcW w:w="636" w:type="dxa"/>
            <w:tcBorders>
              <w:top w:val="nil"/>
              <w:left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-31</w:t>
            </w:r>
          </w:p>
        </w:tc>
        <w:tc>
          <w:tcPr>
            <w:tcW w:w="676" w:type="dxa"/>
            <w:tcBorders>
              <w:top w:val="nil"/>
              <w:left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-269</w:t>
            </w:r>
          </w:p>
        </w:tc>
        <w:tc>
          <w:tcPr>
            <w:tcW w:w="636" w:type="dxa"/>
            <w:tcBorders>
              <w:top w:val="nil"/>
              <w:left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229</w:t>
            </w:r>
          </w:p>
        </w:tc>
        <w:tc>
          <w:tcPr>
            <w:tcW w:w="636" w:type="dxa"/>
            <w:tcBorders>
              <w:top w:val="nil"/>
              <w:left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81</w:t>
            </w:r>
          </w:p>
        </w:tc>
        <w:tc>
          <w:tcPr>
            <w:tcW w:w="552" w:type="dxa"/>
            <w:tcBorders>
              <w:top w:val="nil"/>
              <w:left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53</w:t>
            </w:r>
          </w:p>
        </w:tc>
        <w:tc>
          <w:tcPr>
            <w:tcW w:w="636" w:type="dxa"/>
            <w:tcBorders>
              <w:top w:val="nil"/>
              <w:left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23</w:t>
            </w:r>
          </w:p>
        </w:tc>
        <w:tc>
          <w:tcPr>
            <w:tcW w:w="737" w:type="dxa"/>
            <w:tcBorders>
              <w:top w:val="nil"/>
              <w:left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422</w:t>
            </w:r>
          </w:p>
        </w:tc>
      </w:tr>
      <w:tr w:rsidR="001E023E" w:rsidRPr="00622ED1" w:rsidTr="00A949A1">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Other revenue effects</w:t>
            </w:r>
          </w:p>
        </w:tc>
        <w:tc>
          <w:tcPr>
            <w:tcW w:w="639" w:type="dxa"/>
            <w:tcBorders>
              <w:top w:val="nil"/>
              <w:left w:val="nil"/>
              <w:bottom w:val="single" w:sz="4" w:space="0" w:color="auto"/>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247</w:t>
            </w:r>
          </w:p>
        </w:tc>
        <w:tc>
          <w:tcPr>
            <w:tcW w:w="676" w:type="dxa"/>
            <w:tcBorders>
              <w:top w:val="nil"/>
              <w:left w:val="nil"/>
              <w:bottom w:val="single" w:sz="4" w:space="0" w:color="auto"/>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60</w:t>
            </w:r>
          </w:p>
        </w:tc>
        <w:tc>
          <w:tcPr>
            <w:tcW w:w="636" w:type="dxa"/>
            <w:tcBorders>
              <w:top w:val="nil"/>
              <w:left w:val="nil"/>
              <w:bottom w:val="single" w:sz="4" w:space="0" w:color="auto"/>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-104</w:t>
            </w:r>
          </w:p>
        </w:tc>
        <w:tc>
          <w:tcPr>
            <w:tcW w:w="676" w:type="dxa"/>
            <w:tcBorders>
              <w:top w:val="nil"/>
              <w:left w:val="nil"/>
              <w:bottom w:val="single" w:sz="4" w:space="0" w:color="auto"/>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-246</w:t>
            </w:r>
          </w:p>
        </w:tc>
        <w:tc>
          <w:tcPr>
            <w:tcW w:w="636" w:type="dxa"/>
            <w:tcBorders>
              <w:top w:val="nil"/>
              <w:left w:val="nil"/>
              <w:bottom w:val="single" w:sz="4" w:space="0" w:color="auto"/>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-31</w:t>
            </w:r>
          </w:p>
        </w:tc>
        <w:tc>
          <w:tcPr>
            <w:tcW w:w="636" w:type="dxa"/>
            <w:tcBorders>
              <w:top w:val="nil"/>
              <w:left w:val="nil"/>
              <w:bottom w:val="single" w:sz="4" w:space="0" w:color="auto"/>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19</w:t>
            </w:r>
          </w:p>
        </w:tc>
        <w:tc>
          <w:tcPr>
            <w:tcW w:w="552" w:type="dxa"/>
            <w:tcBorders>
              <w:top w:val="nil"/>
              <w:left w:val="nil"/>
              <w:bottom w:val="single" w:sz="4" w:space="0" w:color="auto"/>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40</w:t>
            </w:r>
          </w:p>
        </w:tc>
        <w:tc>
          <w:tcPr>
            <w:tcW w:w="636" w:type="dxa"/>
            <w:tcBorders>
              <w:top w:val="nil"/>
              <w:left w:val="nil"/>
              <w:bottom w:val="single" w:sz="4" w:space="0" w:color="auto"/>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15</w:t>
            </w:r>
          </w:p>
        </w:tc>
        <w:tc>
          <w:tcPr>
            <w:tcW w:w="737" w:type="dxa"/>
            <w:tcBorders>
              <w:top w:val="nil"/>
              <w:left w:val="nil"/>
              <w:bottom w:val="single" w:sz="4" w:space="0" w:color="auto"/>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382</w:t>
            </w:r>
          </w:p>
        </w:tc>
      </w:tr>
      <w:tr w:rsidR="001E023E" w:rsidRPr="00622ED1" w:rsidTr="00A949A1">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Total revenue effects</w:t>
            </w:r>
          </w:p>
        </w:tc>
        <w:tc>
          <w:tcPr>
            <w:tcW w:w="639" w:type="dxa"/>
            <w:tcBorders>
              <w:top w:val="single" w:sz="4" w:space="0" w:color="auto"/>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1 638</w:t>
            </w:r>
          </w:p>
        </w:tc>
        <w:tc>
          <w:tcPr>
            <w:tcW w:w="676" w:type="dxa"/>
            <w:tcBorders>
              <w:top w:val="single" w:sz="4" w:space="0" w:color="auto"/>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3 366</w:t>
            </w:r>
          </w:p>
        </w:tc>
        <w:tc>
          <w:tcPr>
            <w:tcW w:w="636" w:type="dxa"/>
            <w:tcBorders>
              <w:top w:val="single" w:sz="4" w:space="0" w:color="auto"/>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43</w:t>
            </w:r>
          </w:p>
        </w:tc>
        <w:tc>
          <w:tcPr>
            <w:tcW w:w="676" w:type="dxa"/>
            <w:tcBorders>
              <w:top w:val="single" w:sz="4" w:space="0" w:color="auto"/>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-7 714</w:t>
            </w:r>
          </w:p>
        </w:tc>
        <w:tc>
          <w:tcPr>
            <w:tcW w:w="636" w:type="dxa"/>
            <w:tcBorders>
              <w:top w:val="single" w:sz="4" w:space="0" w:color="auto"/>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1 598</w:t>
            </w:r>
          </w:p>
        </w:tc>
        <w:tc>
          <w:tcPr>
            <w:tcW w:w="636" w:type="dxa"/>
            <w:tcBorders>
              <w:top w:val="single" w:sz="4" w:space="0" w:color="auto"/>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694</w:t>
            </w:r>
          </w:p>
        </w:tc>
        <w:tc>
          <w:tcPr>
            <w:tcW w:w="552" w:type="dxa"/>
            <w:tcBorders>
              <w:top w:val="single" w:sz="4" w:space="0" w:color="auto"/>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291</w:t>
            </w:r>
          </w:p>
        </w:tc>
        <w:tc>
          <w:tcPr>
            <w:tcW w:w="636" w:type="dxa"/>
            <w:tcBorders>
              <w:top w:val="single" w:sz="4" w:space="0" w:color="auto"/>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85</w:t>
            </w:r>
          </w:p>
        </w:tc>
        <w:tc>
          <w:tcPr>
            <w:tcW w:w="737" w:type="dxa"/>
            <w:tcBorders>
              <w:top w:val="single" w:sz="4" w:space="0" w:color="auto"/>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7 714</w:t>
            </w:r>
          </w:p>
        </w:tc>
      </w:tr>
      <w:tr w:rsidR="001E023E" w:rsidRPr="00622ED1" w:rsidTr="001E023E">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hanging="142"/>
              <w:rPr>
                <w:rFonts w:ascii="Calibri" w:eastAsia="Times New Roman" w:hAnsi="Calibri" w:cs="Times New Roman"/>
                <w:b/>
                <w:bCs/>
                <w:sz w:val="20"/>
                <w:szCs w:val="20"/>
                <w:lang w:eastAsia="en-AU"/>
              </w:rPr>
            </w:pPr>
            <w:r w:rsidRPr="00622ED1">
              <w:rPr>
                <w:rFonts w:ascii="Calibri" w:eastAsia="Times New Roman" w:hAnsi="Calibri" w:cs="Times New Roman"/>
                <w:b/>
                <w:bCs/>
                <w:sz w:val="20"/>
                <w:szCs w:val="20"/>
                <w:lang w:eastAsia="en-AU"/>
              </w:rPr>
              <w:t>Effects of expenditure requirements</w:t>
            </w:r>
          </w:p>
        </w:tc>
        <w:tc>
          <w:tcPr>
            <w:tcW w:w="639"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76"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36"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76"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36"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36"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552"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36"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37"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r>
      <w:tr w:rsidR="001E023E" w:rsidRPr="00622ED1" w:rsidTr="001E023E">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Socio-demographic features</w:t>
            </w:r>
          </w:p>
        </w:tc>
        <w:tc>
          <w:tcPr>
            <w:tcW w:w="639"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76"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36"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76"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36"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36"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552"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36"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37"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
        </w:tc>
      </w:tr>
      <w:tr w:rsidR="001E023E" w:rsidRPr="00622ED1" w:rsidTr="001E023E">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Remoteness and regional costs</w:t>
            </w:r>
          </w:p>
        </w:tc>
        <w:tc>
          <w:tcPr>
            <w:tcW w:w="639"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-1 336</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-1 113</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696</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508</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130</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377</w:t>
            </w:r>
          </w:p>
        </w:tc>
        <w:tc>
          <w:tcPr>
            <w:tcW w:w="552"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-153</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890</w:t>
            </w:r>
          </w:p>
        </w:tc>
        <w:tc>
          <w:tcPr>
            <w:tcW w:w="737"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2 601</w:t>
            </w:r>
          </w:p>
        </w:tc>
      </w:tr>
      <w:tr w:rsidR="001E023E" w:rsidRPr="00622ED1" w:rsidTr="001E023E">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Indigenous status</w:t>
            </w:r>
          </w:p>
        </w:tc>
        <w:tc>
          <w:tcPr>
            <w:tcW w:w="639"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-118</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-1 298</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594</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190</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-120</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84</w:t>
            </w:r>
          </w:p>
        </w:tc>
        <w:tc>
          <w:tcPr>
            <w:tcW w:w="552"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-55</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722</w:t>
            </w:r>
          </w:p>
        </w:tc>
        <w:tc>
          <w:tcPr>
            <w:tcW w:w="737"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1 591</w:t>
            </w:r>
          </w:p>
        </w:tc>
      </w:tr>
      <w:tr w:rsidR="001E023E" w:rsidRPr="00622ED1" w:rsidTr="001E023E">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Socio-economic status</w:t>
            </w:r>
          </w:p>
        </w:tc>
        <w:tc>
          <w:tcPr>
            <w:tcW w:w="639"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376</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-79</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-64</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-293</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310</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36</w:t>
            </w:r>
          </w:p>
        </w:tc>
        <w:tc>
          <w:tcPr>
            <w:tcW w:w="552"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-210</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-76</w:t>
            </w:r>
          </w:p>
        </w:tc>
        <w:tc>
          <w:tcPr>
            <w:tcW w:w="737"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722</w:t>
            </w:r>
          </w:p>
        </w:tc>
      </w:tr>
      <w:tr w:rsidR="001E023E" w:rsidRPr="00622ED1" w:rsidTr="001E023E">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A4352C">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 xml:space="preserve">Other </w:t>
            </w:r>
            <w:r w:rsidR="00A4352C">
              <w:rPr>
                <w:rFonts w:ascii="Calibri" w:eastAsia="Times New Roman" w:hAnsi="Calibri" w:cs="Times New Roman"/>
                <w:sz w:val="20"/>
                <w:szCs w:val="20"/>
                <w:lang w:eastAsia="en-AU"/>
              </w:rPr>
              <w:t>s</w:t>
            </w:r>
            <w:r w:rsidR="00A4352C" w:rsidRPr="00622ED1">
              <w:rPr>
                <w:rFonts w:ascii="Calibri" w:eastAsia="Times New Roman" w:hAnsi="Calibri" w:cs="Times New Roman"/>
                <w:sz w:val="20"/>
                <w:szCs w:val="20"/>
                <w:lang w:eastAsia="en-AU"/>
              </w:rPr>
              <w:t>ocio-demographic</w:t>
            </w:r>
          </w:p>
        </w:tc>
        <w:tc>
          <w:tcPr>
            <w:tcW w:w="639"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-43</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-368</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326</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-111</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96</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27</w:t>
            </w:r>
          </w:p>
        </w:tc>
        <w:tc>
          <w:tcPr>
            <w:tcW w:w="552"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-35</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108</w:t>
            </w:r>
          </w:p>
        </w:tc>
        <w:tc>
          <w:tcPr>
            <w:tcW w:w="737"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557</w:t>
            </w:r>
          </w:p>
        </w:tc>
      </w:tr>
      <w:tr w:rsidR="001E023E" w:rsidRPr="00622ED1" w:rsidTr="001E023E">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Wage costs</w:t>
            </w:r>
          </w:p>
        </w:tc>
        <w:tc>
          <w:tcPr>
            <w:tcW w:w="639"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348</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-629</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-464</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842</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-164</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-111</w:t>
            </w:r>
          </w:p>
        </w:tc>
        <w:tc>
          <w:tcPr>
            <w:tcW w:w="552"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84</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93</w:t>
            </w:r>
          </w:p>
        </w:tc>
        <w:tc>
          <w:tcPr>
            <w:tcW w:w="737"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1 368</w:t>
            </w:r>
          </w:p>
        </w:tc>
      </w:tr>
      <w:tr w:rsidR="001E023E" w:rsidRPr="00622ED1" w:rsidTr="001E023E">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Population growth</w:t>
            </w:r>
          </w:p>
        </w:tc>
        <w:tc>
          <w:tcPr>
            <w:tcW w:w="639"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-737</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-151</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157</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1 011</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-268</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-156</w:t>
            </w:r>
          </w:p>
        </w:tc>
        <w:tc>
          <w:tcPr>
            <w:tcW w:w="552"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-37</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181</w:t>
            </w:r>
          </w:p>
        </w:tc>
        <w:tc>
          <w:tcPr>
            <w:tcW w:w="737"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1 349</w:t>
            </w:r>
          </w:p>
        </w:tc>
      </w:tr>
      <w:tr w:rsidR="001E023E" w:rsidRPr="00622ED1" w:rsidTr="001E023E">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Urban centre size</w:t>
            </w:r>
          </w:p>
        </w:tc>
        <w:tc>
          <w:tcPr>
            <w:tcW w:w="639"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323</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744</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-563</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25</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-152</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-211</w:t>
            </w:r>
          </w:p>
        </w:tc>
        <w:tc>
          <w:tcPr>
            <w:tcW w:w="552"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-54</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-112</w:t>
            </w:r>
          </w:p>
        </w:tc>
        <w:tc>
          <w:tcPr>
            <w:tcW w:w="737"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1 092</w:t>
            </w:r>
          </w:p>
        </w:tc>
      </w:tr>
      <w:tr w:rsidR="001E023E" w:rsidRPr="00622ED1" w:rsidTr="001E023E">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Administrative scale</w:t>
            </w:r>
          </w:p>
        </w:tc>
        <w:tc>
          <w:tcPr>
            <w:tcW w:w="639"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-443</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-280</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-173</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42</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118</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225</w:t>
            </w:r>
          </w:p>
        </w:tc>
        <w:tc>
          <w:tcPr>
            <w:tcW w:w="552"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237</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273</w:t>
            </w:r>
          </w:p>
        </w:tc>
        <w:tc>
          <w:tcPr>
            <w:tcW w:w="737"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896</w:t>
            </w:r>
          </w:p>
        </w:tc>
      </w:tr>
      <w:tr w:rsidR="001E023E" w:rsidRPr="00622ED1" w:rsidTr="001E023E">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Natural disaster relief</w:t>
            </w:r>
          </w:p>
        </w:tc>
        <w:tc>
          <w:tcPr>
            <w:tcW w:w="639"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-216</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-236</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661</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-75</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-89</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-25</w:t>
            </w:r>
          </w:p>
        </w:tc>
        <w:tc>
          <w:tcPr>
            <w:tcW w:w="552"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-17</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w:t>
            </w:r>
          </w:p>
        </w:tc>
        <w:tc>
          <w:tcPr>
            <w:tcW w:w="737"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661</w:t>
            </w:r>
          </w:p>
        </w:tc>
      </w:tr>
      <w:tr w:rsidR="001E023E" w:rsidRPr="00622ED1" w:rsidTr="001E023E">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Small communities</w:t>
            </w:r>
          </w:p>
        </w:tc>
        <w:tc>
          <w:tcPr>
            <w:tcW w:w="639"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-311</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-274</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95</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187</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63</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22</w:t>
            </w:r>
          </w:p>
        </w:tc>
        <w:tc>
          <w:tcPr>
            <w:tcW w:w="552"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-19</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238</w:t>
            </w:r>
          </w:p>
        </w:tc>
        <w:tc>
          <w:tcPr>
            <w:tcW w:w="737"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605</w:t>
            </w:r>
          </w:p>
        </w:tc>
      </w:tr>
      <w:tr w:rsidR="001E023E" w:rsidRPr="00622ED1" w:rsidTr="001E023E">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Non-State sector</w:t>
            </w:r>
          </w:p>
        </w:tc>
        <w:tc>
          <w:tcPr>
            <w:tcW w:w="639"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-332</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-229</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25</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428</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-35</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62</w:t>
            </w:r>
          </w:p>
        </w:tc>
        <w:tc>
          <w:tcPr>
            <w:tcW w:w="552"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59</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21</w:t>
            </w:r>
          </w:p>
        </w:tc>
        <w:tc>
          <w:tcPr>
            <w:tcW w:w="737"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595</w:t>
            </w:r>
          </w:p>
        </w:tc>
      </w:tr>
      <w:tr w:rsidR="001E023E" w:rsidRPr="00622ED1" w:rsidTr="001E023E">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Other expense effects</w:t>
            </w:r>
          </w:p>
        </w:tc>
        <w:tc>
          <w:tcPr>
            <w:tcW w:w="639"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-476</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-990</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262</w:t>
            </w:r>
          </w:p>
        </w:tc>
        <w:tc>
          <w:tcPr>
            <w:tcW w:w="67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491</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119</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24</w:t>
            </w:r>
          </w:p>
        </w:tc>
        <w:tc>
          <w:tcPr>
            <w:tcW w:w="552"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-43</w:t>
            </w:r>
          </w:p>
        </w:tc>
        <w:tc>
          <w:tcPr>
            <w:tcW w:w="636"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613</w:t>
            </w:r>
          </w:p>
        </w:tc>
        <w:tc>
          <w:tcPr>
            <w:tcW w:w="737"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1 510</w:t>
            </w:r>
          </w:p>
        </w:tc>
      </w:tr>
      <w:tr w:rsidR="001E023E" w:rsidRPr="00622ED1" w:rsidTr="00624685">
        <w:trPr>
          <w:trHeight w:val="315"/>
        </w:trPr>
        <w:tc>
          <w:tcPr>
            <w:tcW w:w="3233" w:type="dxa"/>
            <w:tcBorders>
              <w:top w:val="nil"/>
              <w:left w:val="nil"/>
              <w:bottom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Total expense and investment effects</w:t>
            </w:r>
          </w:p>
        </w:tc>
        <w:tc>
          <w:tcPr>
            <w:tcW w:w="639" w:type="dxa"/>
            <w:tcBorders>
              <w:top w:val="single" w:sz="4" w:space="0" w:color="auto"/>
              <w:left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-2 965</w:t>
            </w:r>
          </w:p>
        </w:tc>
        <w:tc>
          <w:tcPr>
            <w:tcW w:w="676" w:type="dxa"/>
            <w:tcBorders>
              <w:top w:val="single" w:sz="4" w:space="0" w:color="auto"/>
              <w:left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-4 904</w:t>
            </w:r>
          </w:p>
        </w:tc>
        <w:tc>
          <w:tcPr>
            <w:tcW w:w="636" w:type="dxa"/>
            <w:tcBorders>
              <w:top w:val="single" w:sz="4" w:space="0" w:color="auto"/>
              <w:left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1 552</w:t>
            </w:r>
          </w:p>
        </w:tc>
        <w:tc>
          <w:tcPr>
            <w:tcW w:w="676" w:type="dxa"/>
            <w:tcBorders>
              <w:top w:val="single" w:sz="4" w:space="0" w:color="auto"/>
              <w:left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3 247</w:t>
            </w:r>
          </w:p>
        </w:tc>
        <w:tc>
          <w:tcPr>
            <w:tcW w:w="636" w:type="dxa"/>
            <w:tcBorders>
              <w:top w:val="single" w:sz="4" w:space="0" w:color="auto"/>
              <w:left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9</w:t>
            </w:r>
          </w:p>
        </w:tc>
        <w:tc>
          <w:tcPr>
            <w:tcW w:w="636" w:type="dxa"/>
            <w:tcBorders>
              <w:top w:val="single" w:sz="4" w:space="0" w:color="auto"/>
              <w:left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356</w:t>
            </w:r>
          </w:p>
        </w:tc>
        <w:tc>
          <w:tcPr>
            <w:tcW w:w="552" w:type="dxa"/>
            <w:tcBorders>
              <w:top w:val="single" w:sz="4" w:space="0" w:color="auto"/>
              <w:left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-243</w:t>
            </w:r>
          </w:p>
        </w:tc>
        <w:tc>
          <w:tcPr>
            <w:tcW w:w="636" w:type="dxa"/>
            <w:tcBorders>
              <w:top w:val="single" w:sz="4" w:space="0" w:color="auto"/>
              <w:left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2 948</w:t>
            </w:r>
          </w:p>
        </w:tc>
        <w:tc>
          <w:tcPr>
            <w:tcW w:w="737" w:type="dxa"/>
            <w:tcBorders>
              <w:top w:val="single" w:sz="4" w:space="0" w:color="auto"/>
              <w:left w:val="nil"/>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8 112</w:t>
            </w:r>
          </w:p>
        </w:tc>
      </w:tr>
      <w:tr w:rsidR="001E023E" w:rsidRPr="00622ED1" w:rsidTr="00624685">
        <w:trPr>
          <w:trHeight w:val="315"/>
        </w:trPr>
        <w:tc>
          <w:tcPr>
            <w:tcW w:w="3233" w:type="dxa"/>
            <w:tcBorders>
              <w:top w:val="nil"/>
              <w:left w:val="nil"/>
              <w:bottom w:val="nil"/>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hanging="142"/>
              <w:rPr>
                <w:rFonts w:ascii="Calibri" w:eastAsia="Times New Roman" w:hAnsi="Calibri" w:cs="Times New Roman"/>
                <w:b/>
                <w:bCs/>
                <w:sz w:val="20"/>
                <w:szCs w:val="20"/>
                <w:lang w:eastAsia="en-AU"/>
              </w:rPr>
            </w:pPr>
            <w:r w:rsidRPr="00622ED1">
              <w:rPr>
                <w:rFonts w:ascii="Calibri" w:eastAsia="Times New Roman" w:hAnsi="Calibri" w:cs="Times New Roman"/>
                <w:b/>
                <w:bCs/>
                <w:sz w:val="20"/>
                <w:szCs w:val="20"/>
                <w:lang w:eastAsia="en-AU"/>
              </w:rPr>
              <w:t>Effects of Commonwealth payments</w:t>
            </w:r>
          </w:p>
        </w:tc>
        <w:tc>
          <w:tcPr>
            <w:tcW w:w="639" w:type="dxa"/>
            <w:tcBorders>
              <w:top w:val="nil"/>
              <w:left w:val="nil"/>
              <w:bottom w:val="single" w:sz="4" w:space="0" w:color="auto"/>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438</w:t>
            </w:r>
          </w:p>
        </w:tc>
        <w:tc>
          <w:tcPr>
            <w:tcW w:w="676" w:type="dxa"/>
            <w:tcBorders>
              <w:top w:val="nil"/>
              <w:left w:val="nil"/>
              <w:bottom w:val="single" w:sz="4" w:space="0" w:color="auto"/>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59</w:t>
            </w:r>
          </w:p>
        </w:tc>
        <w:tc>
          <w:tcPr>
            <w:tcW w:w="636" w:type="dxa"/>
            <w:tcBorders>
              <w:top w:val="nil"/>
              <w:left w:val="nil"/>
              <w:bottom w:val="single" w:sz="4" w:space="0" w:color="auto"/>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-74</w:t>
            </w:r>
          </w:p>
        </w:tc>
        <w:tc>
          <w:tcPr>
            <w:tcW w:w="676" w:type="dxa"/>
            <w:tcBorders>
              <w:top w:val="nil"/>
              <w:left w:val="nil"/>
              <w:bottom w:val="single" w:sz="4" w:space="0" w:color="auto"/>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-22</w:t>
            </w:r>
          </w:p>
        </w:tc>
        <w:tc>
          <w:tcPr>
            <w:tcW w:w="636" w:type="dxa"/>
            <w:tcBorders>
              <w:top w:val="nil"/>
              <w:left w:val="nil"/>
              <w:bottom w:val="single" w:sz="4" w:space="0" w:color="auto"/>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-132</w:t>
            </w:r>
          </w:p>
        </w:tc>
        <w:tc>
          <w:tcPr>
            <w:tcW w:w="636" w:type="dxa"/>
            <w:tcBorders>
              <w:top w:val="nil"/>
              <w:left w:val="nil"/>
              <w:bottom w:val="single" w:sz="4" w:space="0" w:color="auto"/>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-38</w:t>
            </w:r>
          </w:p>
        </w:tc>
        <w:tc>
          <w:tcPr>
            <w:tcW w:w="552" w:type="dxa"/>
            <w:tcBorders>
              <w:top w:val="nil"/>
              <w:left w:val="nil"/>
              <w:bottom w:val="single" w:sz="4" w:space="0" w:color="auto"/>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51</w:t>
            </w:r>
          </w:p>
        </w:tc>
        <w:tc>
          <w:tcPr>
            <w:tcW w:w="636" w:type="dxa"/>
            <w:tcBorders>
              <w:top w:val="nil"/>
              <w:left w:val="nil"/>
              <w:bottom w:val="single" w:sz="4" w:space="0" w:color="auto"/>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-282</w:t>
            </w:r>
          </w:p>
        </w:tc>
        <w:tc>
          <w:tcPr>
            <w:tcW w:w="737" w:type="dxa"/>
            <w:tcBorders>
              <w:top w:val="nil"/>
              <w:left w:val="nil"/>
              <w:bottom w:val="single" w:sz="4" w:space="0" w:color="auto"/>
              <w:right w:val="nil"/>
            </w:tcBorders>
            <w:shd w:val="clear" w:color="auto" w:fill="auto"/>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547</w:t>
            </w:r>
          </w:p>
        </w:tc>
      </w:tr>
      <w:tr w:rsidR="001E023E" w:rsidRPr="00622ED1" w:rsidTr="00624685">
        <w:trPr>
          <w:trHeight w:val="315"/>
        </w:trPr>
        <w:tc>
          <w:tcPr>
            <w:tcW w:w="3233" w:type="dxa"/>
            <w:tcBorders>
              <w:top w:val="nil"/>
              <w:left w:val="nil"/>
              <w:bottom w:val="single" w:sz="4" w:space="0" w:color="auto"/>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ind w:left="193" w:hanging="142"/>
              <w:rPr>
                <w:rFonts w:ascii="Calibri" w:eastAsia="Times New Roman" w:hAnsi="Calibri" w:cs="Times New Roman"/>
                <w:b/>
                <w:bCs/>
                <w:sz w:val="20"/>
                <w:szCs w:val="20"/>
                <w:lang w:eastAsia="en-AU"/>
              </w:rPr>
            </w:pPr>
            <w:r w:rsidRPr="00622ED1">
              <w:rPr>
                <w:rFonts w:ascii="Calibri" w:eastAsia="Times New Roman" w:hAnsi="Calibri" w:cs="Times New Roman"/>
                <w:b/>
                <w:bCs/>
                <w:sz w:val="20"/>
                <w:szCs w:val="20"/>
                <w:lang w:eastAsia="en-AU"/>
              </w:rPr>
              <w:t>Total</w:t>
            </w:r>
          </w:p>
        </w:tc>
        <w:tc>
          <w:tcPr>
            <w:tcW w:w="639" w:type="dxa"/>
            <w:tcBorders>
              <w:top w:val="single" w:sz="4" w:space="0" w:color="auto"/>
              <w:left w:val="nil"/>
              <w:bottom w:val="single" w:sz="4" w:space="0" w:color="auto"/>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-889</w:t>
            </w:r>
          </w:p>
        </w:tc>
        <w:tc>
          <w:tcPr>
            <w:tcW w:w="676" w:type="dxa"/>
            <w:tcBorders>
              <w:top w:val="single" w:sz="4" w:space="0" w:color="auto"/>
              <w:left w:val="nil"/>
              <w:bottom w:val="single" w:sz="4" w:space="0" w:color="auto"/>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-1 479</w:t>
            </w:r>
          </w:p>
        </w:tc>
        <w:tc>
          <w:tcPr>
            <w:tcW w:w="636" w:type="dxa"/>
            <w:tcBorders>
              <w:top w:val="single" w:sz="4" w:space="0" w:color="auto"/>
              <w:left w:val="nil"/>
              <w:bottom w:val="single" w:sz="4" w:space="0" w:color="auto"/>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1 521</w:t>
            </w:r>
          </w:p>
        </w:tc>
        <w:tc>
          <w:tcPr>
            <w:tcW w:w="676" w:type="dxa"/>
            <w:tcBorders>
              <w:top w:val="single" w:sz="4" w:space="0" w:color="auto"/>
              <w:left w:val="nil"/>
              <w:bottom w:val="single" w:sz="4" w:space="0" w:color="auto"/>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-4 490</w:t>
            </w:r>
          </w:p>
        </w:tc>
        <w:tc>
          <w:tcPr>
            <w:tcW w:w="636" w:type="dxa"/>
            <w:tcBorders>
              <w:top w:val="single" w:sz="4" w:space="0" w:color="auto"/>
              <w:left w:val="nil"/>
              <w:bottom w:val="single" w:sz="4" w:space="0" w:color="auto"/>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1 475</w:t>
            </w:r>
          </w:p>
        </w:tc>
        <w:tc>
          <w:tcPr>
            <w:tcW w:w="636" w:type="dxa"/>
            <w:tcBorders>
              <w:top w:val="single" w:sz="4" w:space="0" w:color="auto"/>
              <w:left w:val="nil"/>
              <w:bottom w:val="single" w:sz="4" w:space="0" w:color="auto"/>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1 012</w:t>
            </w:r>
          </w:p>
        </w:tc>
        <w:tc>
          <w:tcPr>
            <w:tcW w:w="552" w:type="dxa"/>
            <w:tcBorders>
              <w:top w:val="single" w:sz="4" w:space="0" w:color="auto"/>
              <w:left w:val="nil"/>
              <w:bottom w:val="single" w:sz="4" w:space="0" w:color="auto"/>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98</w:t>
            </w:r>
          </w:p>
        </w:tc>
        <w:tc>
          <w:tcPr>
            <w:tcW w:w="636" w:type="dxa"/>
            <w:tcBorders>
              <w:top w:val="single" w:sz="4" w:space="0" w:color="auto"/>
              <w:left w:val="nil"/>
              <w:bottom w:val="single" w:sz="4" w:space="0" w:color="auto"/>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2 752</w:t>
            </w:r>
          </w:p>
        </w:tc>
        <w:tc>
          <w:tcPr>
            <w:tcW w:w="737" w:type="dxa"/>
            <w:tcBorders>
              <w:top w:val="single" w:sz="4" w:space="0" w:color="auto"/>
              <w:left w:val="nil"/>
              <w:bottom w:val="single" w:sz="4" w:space="0" w:color="auto"/>
              <w:right w:val="nil"/>
            </w:tcBorders>
            <w:shd w:val="clear" w:color="auto" w:fill="auto"/>
            <w:noWrap/>
            <w:vAlign w:val="bottom"/>
            <w:hideMark/>
          </w:tcPr>
          <w:p w:rsidR="001E023E" w:rsidRPr="00622ED1"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622ED1">
              <w:rPr>
                <w:rFonts w:ascii="Calibri" w:eastAsia="Times New Roman" w:hAnsi="Calibri" w:cs="Times New Roman"/>
                <w:sz w:val="20"/>
                <w:szCs w:val="20"/>
                <w:lang w:eastAsia="en-AU"/>
              </w:rPr>
              <w:t>6 858</w:t>
            </w:r>
          </w:p>
        </w:tc>
      </w:tr>
    </w:tbl>
    <w:p w:rsidR="00037390" w:rsidRPr="00880D3E" w:rsidRDefault="00037390" w:rsidP="00880D3E">
      <w:pPr>
        <w:pStyle w:val="CGCTableFootnote"/>
      </w:pPr>
      <w:bookmarkStart w:id="498" w:name="_Toc316722125"/>
      <w:bookmarkStart w:id="499" w:name="_Toc380590532"/>
      <w:bookmarkStart w:id="500" w:name="_Toc380590650"/>
      <w:r w:rsidRPr="00880D3E">
        <w:t>Note:</w:t>
      </w:r>
      <w:r w:rsidRPr="00880D3E">
        <w:tab/>
        <w:t xml:space="preserve">For explanations of what each disability factor includes, please see the supporting information to this report located on </w:t>
      </w:r>
      <w:r w:rsidR="00A730F0">
        <w:t xml:space="preserve">the </w:t>
      </w:r>
      <w:hyperlink r:id="rId68" w:history="1">
        <w:r w:rsidR="00A730F0" w:rsidRPr="00D05F5E">
          <w:rPr>
            <w:rStyle w:val="Hyperlink"/>
          </w:rPr>
          <w:t>Commission’s website</w:t>
        </w:r>
      </w:hyperlink>
      <w:r w:rsidRPr="00880D3E">
        <w:t xml:space="preserve"> </w:t>
      </w:r>
      <w:r w:rsidRPr="00880D3E">
        <w:rPr>
          <w:rStyle w:val="CGCTableStubChar"/>
          <w:szCs w:val="24"/>
        </w:rPr>
        <w:t>(</w:t>
      </w:r>
      <w:r w:rsidR="00D05F5E" w:rsidRPr="00D05F5E">
        <w:t>https://www.cgc.gov.au/</w:t>
      </w:r>
      <w:r w:rsidRPr="00880D3E">
        <w:rPr>
          <w:rStyle w:val="CGCTableStubChar"/>
          <w:szCs w:val="24"/>
        </w:rPr>
        <w:t>).</w:t>
      </w:r>
    </w:p>
    <w:p w:rsidR="00037390" w:rsidRDefault="00037390" w:rsidP="00880D3E">
      <w:pPr>
        <w:pStyle w:val="CGCTableFootnote"/>
      </w:pPr>
      <w:r w:rsidRPr="00880D3E">
        <w:t xml:space="preserve">Source: </w:t>
      </w:r>
      <w:r w:rsidRPr="00880D3E">
        <w:tab/>
        <w:t>Commission calculation</w:t>
      </w:r>
      <w:r w:rsidR="00880D3E" w:rsidRPr="00880D3E">
        <w:t>.</w:t>
      </w:r>
    </w:p>
    <w:p w:rsidR="00922480" w:rsidRPr="00922480" w:rsidRDefault="00922480" w:rsidP="00922480">
      <w:pPr>
        <w:pStyle w:val="CGCNumberedPara"/>
        <w:numPr>
          <w:ilvl w:val="1"/>
          <w:numId w:val="2"/>
        </w:numPr>
      </w:pPr>
      <w:r>
        <w:fldChar w:fldCharType="begin"/>
      </w:r>
      <w:r>
        <w:instrText xml:space="preserve"> REF _Ref411946759 \h </w:instrText>
      </w:r>
      <w:r>
        <w:fldChar w:fldCharType="separate"/>
      </w:r>
      <w:r w:rsidR="003A5DEE">
        <w:t xml:space="preserve">Figure </w:t>
      </w:r>
      <w:r w:rsidR="003A5DEE">
        <w:rPr>
          <w:noProof/>
        </w:rPr>
        <w:t>1</w:t>
      </w:r>
      <w:r>
        <w:fldChar w:fldCharType="end"/>
      </w:r>
      <w:r>
        <w:t xml:space="preserve"> </w:t>
      </w:r>
      <w:r w:rsidRPr="002A5EB4">
        <w:t xml:space="preserve">shows the main underlying drivers contributing to the GST distribution in the 2015 Review. Mining production, </w:t>
      </w:r>
      <w:r w:rsidR="001E023E" w:rsidRPr="002A5EB4">
        <w:t xml:space="preserve">the effect of location on service use </w:t>
      </w:r>
      <w:r w:rsidR="001E023E">
        <w:t xml:space="preserve">and unit cost </w:t>
      </w:r>
      <w:r w:rsidR="001E023E" w:rsidRPr="002A5EB4">
        <w:t>(remoteness</w:t>
      </w:r>
      <w:r w:rsidR="001E023E">
        <w:t xml:space="preserve"> and regional costs</w:t>
      </w:r>
      <w:r w:rsidR="001E023E" w:rsidRPr="002A5EB4">
        <w:t>) and Indigenous status are the three main causes of differenc</w:t>
      </w:r>
      <w:r w:rsidR="00EB09C8">
        <w:t>es in assessed fiscal capacity.</w:t>
      </w:r>
    </w:p>
    <w:p w:rsidR="00037390" w:rsidRDefault="00037390" w:rsidP="00037390">
      <w:pPr>
        <w:pStyle w:val="Caption"/>
      </w:pPr>
      <w:bookmarkStart w:id="501" w:name="_Ref410829709"/>
      <w:bookmarkStart w:id="502" w:name="_Ref411931015"/>
      <w:bookmarkStart w:id="503" w:name="_Ref411946759"/>
      <w:bookmarkStart w:id="504" w:name="_Toc316727521"/>
      <w:bookmarkStart w:id="505" w:name="_Toc316727826"/>
      <w:bookmarkStart w:id="506" w:name="_Ref316732724"/>
      <w:bookmarkStart w:id="507" w:name="_Toc347833768"/>
      <w:bookmarkEnd w:id="498"/>
      <w:bookmarkEnd w:id="499"/>
      <w:bookmarkEnd w:id="500"/>
      <w:r>
        <w:lastRenderedPageBreak/>
        <w:t xml:space="preserve">Figure </w:t>
      </w:r>
      <w:bookmarkEnd w:id="501"/>
      <w:bookmarkEnd w:id="502"/>
      <w:r w:rsidR="006C1F79">
        <w:fldChar w:fldCharType="begin"/>
      </w:r>
      <w:r w:rsidR="006C1F79">
        <w:instrText xml:space="preserve"> SEQ Figure \* ARABIC \r1 </w:instrText>
      </w:r>
      <w:r w:rsidR="006C1F79">
        <w:fldChar w:fldCharType="separate"/>
      </w:r>
      <w:proofErr w:type="gramStart"/>
      <w:r w:rsidR="003A5DEE">
        <w:rPr>
          <w:noProof/>
        </w:rPr>
        <w:t>1</w:t>
      </w:r>
      <w:r w:rsidR="006C1F79">
        <w:fldChar w:fldCharType="end"/>
      </w:r>
      <w:bookmarkEnd w:id="503"/>
      <w:r w:rsidRPr="00123B11">
        <w:tab/>
        <w:t>Main contributors</w:t>
      </w:r>
      <w:proofErr w:type="gramEnd"/>
      <w:r w:rsidRPr="00123B11">
        <w:t xml:space="preserve"> to the redistribution of GST in the 201</w:t>
      </w:r>
      <w:bookmarkEnd w:id="504"/>
      <w:bookmarkEnd w:id="505"/>
      <w:bookmarkEnd w:id="506"/>
      <w:bookmarkEnd w:id="507"/>
      <w:r w:rsidRPr="00123B11">
        <w:t>5 Review</w:t>
      </w:r>
    </w:p>
    <w:p w:rsidR="001E023E" w:rsidRDefault="001E023E" w:rsidP="001E023E">
      <w:r w:rsidRPr="00622ED1">
        <w:rPr>
          <w:noProof/>
          <w:lang w:eastAsia="en-AU"/>
        </w:rPr>
        <w:drawing>
          <wp:inline distT="0" distB="0" distL="0" distR="0" wp14:anchorId="7EC3DD48" wp14:editId="3B0D04FA">
            <wp:extent cx="5656580" cy="3561715"/>
            <wp:effectExtent l="0" t="0" r="1270" b="635"/>
            <wp:docPr id="15" name="Picture 15" descr="This figure shows the main underlying drivers contributing to the GST distribution in the 2015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56580" cy="3561715"/>
                    </a:xfrm>
                    <a:prstGeom prst="rect">
                      <a:avLst/>
                    </a:prstGeom>
                    <a:noFill/>
                    <a:ln>
                      <a:noFill/>
                    </a:ln>
                  </pic:spPr>
                </pic:pic>
              </a:graphicData>
            </a:graphic>
          </wp:inline>
        </w:drawing>
      </w:r>
    </w:p>
    <w:p w:rsidR="001E023E" w:rsidRDefault="001E023E" w:rsidP="007C0043">
      <w:pPr>
        <w:pStyle w:val="CGCTableFootnote"/>
      </w:pPr>
      <w:r>
        <w:t>(a)</w:t>
      </w:r>
      <w:r>
        <w:tab/>
        <w:t>Includes remoteness and regional costs.</w:t>
      </w:r>
    </w:p>
    <w:p w:rsidR="00037390" w:rsidRDefault="00037390" w:rsidP="007C0043">
      <w:pPr>
        <w:pStyle w:val="CGCTableFootnote"/>
      </w:pPr>
      <w:r w:rsidRPr="00123B11">
        <w:t>Source:</w:t>
      </w:r>
      <w:r w:rsidRPr="00123B11">
        <w:tab/>
        <w:t>Commission calculation.</w:t>
      </w:r>
    </w:p>
    <w:p w:rsidR="00037390" w:rsidRDefault="00037390" w:rsidP="00037390">
      <w:pPr>
        <w:pStyle w:val="Heading3"/>
      </w:pPr>
      <w:bookmarkStart w:id="508" w:name="_Toc411924608"/>
      <w:r>
        <w:t>Revenue</w:t>
      </w:r>
      <w:bookmarkEnd w:id="508"/>
    </w:p>
    <w:p w:rsidR="00037390" w:rsidRPr="00123B11" w:rsidRDefault="00037390" w:rsidP="00037390">
      <w:pPr>
        <w:pStyle w:val="Heading4"/>
      </w:pPr>
      <w:r>
        <w:t>M</w:t>
      </w:r>
      <w:r w:rsidRPr="00123B11">
        <w:t>ining production</w:t>
      </w:r>
    </w:p>
    <w:p w:rsidR="00037390" w:rsidRPr="00821D6D" w:rsidRDefault="00037390" w:rsidP="00037390">
      <w:pPr>
        <w:pStyle w:val="CGCNumberedPara"/>
        <w:numPr>
          <w:ilvl w:val="1"/>
          <w:numId w:val="2"/>
        </w:numPr>
      </w:pPr>
      <w:r w:rsidRPr="00123B11">
        <w:t xml:space="preserve">Mining is unevenly distributed between </w:t>
      </w:r>
      <w:r w:rsidRPr="00821D6D">
        <w:t>the States, much more so than all other revenue bases. Therefore</w:t>
      </w:r>
      <w:r w:rsidR="005B4DC0">
        <w:t>,</w:t>
      </w:r>
      <w:r w:rsidRPr="00821D6D">
        <w:t xml:space="preserve"> it is responsible for 80%, or $6.2 billion of the $7.7 billion redistributed due to differences in States’ abilities to raise revenue. This is the largest single driver of differences in State fiscal capacities, even though only 9.</w:t>
      </w:r>
      <w:r>
        <w:t>7</w:t>
      </w:r>
      <w:r w:rsidRPr="00821D6D">
        <w:t>% of State own-source revenue was directly collected from mining during 2011</w:t>
      </w:r>
      <w:r w:rsidRPr="00821D6D">
        <w:noBreakHyphen/>
        <w:t>12 to 2013</w:t>
      </w:r>
      <w:r w:rsidRPr="00821D6D">
        <w:noBreakHyphen/>
        <w:t>14.</w:t>
      </w:r>
    </w:p>
    <w:p w:rsidR="00037390" w:rsidRPr="00123B11" w:rsidRDefault="00037390" w:rsidP="00037390">
      <w:pPr>
        <w:pStyle w:val="CGCNumberedPara"/>
        <w:numPr>
          <w:ilvl w:val="1"/>
          <w:numId w:val="2"/>
        </w:numPr>
      </w:pPr>
      <w:r w:rsidRPr="00821D6D">
        <w:t>Given the value of mining production</w:t>
      </w:r>
      <w:r w:rsidRPr="001974FC">
        <w:t xml:space="preserve"> </w:t>
      </w:r>
      <w:r>
        <w:t xml:space="preserve">in </w:t>
      </w:r>
      <w:r w:rsidRPr="00821D6D">
        <w:t xml:space="preserve">2011-12 </w:t>
      </w:r>
      <w:r>
        <w:t>to</w:t>
      </w:r>
      <w:r w:rsidRPr="00821D6D">
        <w:t xml:space="preserve"> 2013-14, and the royalty rates States typically appl</w:t>
      </w:r>
      <w:r>
        <w:t>ied</w:t>
      </w:r>
      <w:r w:rsidRPr="00821D6D">
        <w:t xml:space="preserve"> to different minerals, Western Australia had the capacity to earn 5</w:t>
      </w:r>
      <w:r>
        <w:t>8</w:t>
      </w:r>
      <w:r w:rsidRPr="00821D6D">
        <w:t xml:space="preserve">% of the total revenue States received from this source even though it </w:t>
      </w:r>
      <w:r>
        <w:t>had</w:t>
      </w:r>
      <w:r w:rsidRPr="00821D6D">
        <w:t xml:space="preserve"> only 11% of Australia’s population </w:t>
      </w:r>
      <w:r>
        <w:t>in those years</w:t>
      </w:r>
      <w:r w:rsidRPr="00821D6D">
        <w:t>. Queensland also had the capacity to earn above average per capita revenue from mining, with 23%</w:t>
      </w:r>
      <w:r w:rsidR="009F3FA7">
        <w:t xml:space="preserve"> of mining royalty capacity</w:t>
      </w:r>
      <w:r w:rsidRPr="00123B11">
        <w:t xml:space="preserve"> and 20% of the population. </w:t>
      </w:r>
      <w:r w:rsidRPr="00123B11">
        <w:fldChar w:fldCharType="begin"/>
      </w:r>
      <w:r w:rsidRPr="00123B11">
        <w:instrText xml:space="preserve"> REF _Ref316732932 \h  \* MERGEFORMAT </w:instrText>
      </w:r>
      <w:r w:rsidRPr="00123B11">
        <w:fldChar w:fldCharType="separate"/>
      </w:r>
      <w:r w:rsidR="003A5DEE" w:rsidRPr="00123B11">
        <w:t xml:space="preserve">Figure </w:t>
      </w:r>
      <w:r w:rsidR="003A5DEE">
        <w:t>2</w:t>
      </w:r>
      <w:r w:rsidRPr="00123B11">
        <w:fldChar w:fldCharType="end"/>
      </w:r>
      <w:r w:rsidRPr="00123B11">
        <w:t xml:space="preserve"> illustrates the differences in capacity between the States.</w:t>
      </w:r>
    </w:p>
    <w:p w:rsidR="00037390" w:rsidRPr="00123B11" w:rsidRDefault="00037390" w:rsidP="00037390">
      <w:pPr>
        <w:pStyle w:val="CGCTableHeading"/>
      </w:pPr>
      <w:bookmarkStart w:id="509" w:name="_Ref316732932"/>
      <w:bookmarkStart w:id="510" w:name="_Toc316727524"/>
      <w:bookmarkStart w:id="511" w:name="_Toc316727829"/>
      <w:bookmarkStart w:id="512" w:name="_Toc347833769"/>
      <w:r w:rsidRPr="00123B11">
        <w:lastRenderedPageBreak/>
        <w:t xml:space="preserve">Figure </w:t>
      </w:r>
      <w:fldSimple w:instr=" SEQ Figure \* ARABIC ">
        <w:r w:rsidR="003A5DEE">
          <w:rPr>
            <w:noProof/>
          </w:rPr>
          <w:t>2</w:t>
        </w:r>
      </w:fldSimple>
      <w:bookmarkEnd w:id="509"/>
      <w:r w:rsidRPr="00123B11">
        <w:tab/>
      </w:r>
      <w:r w:rsidRPr="00123B11">
        <w:tab/>
        <w:t>Assessed mining revenue, 2011</w:t>
      </w:r>
      <w:r w:rsidRPr="00123B11">
        <w:noBreakHyphen/>
        <w:t>12 to 201</w:t>
      </w:r>
      <w:bookmarkEnd w:id="510"/>
      <w:bookmarkEnd w:id="511"/>
      <w:bookmarkEnd w:id="512"/>
      <w:r w:rsidRPr="00123B11">
        <w:t>3</w:t>
      </w:r>
      <w:r w:rsidRPr="00123B11">
        <w:noBreakHyphen/>
        <w:t>14</w:t>
      </w:r>
    </w:p>
    <w:p w:rsidR="00037390" w:rsidRPr="00123B11" w:rsidRDefault="006C1F79" w:rsidP="006C1F79">
      <w:r w:rsidRPr="00FC71A4">
        <w:rPr>
          <w:noProof/>
          <w:lang w:eastAsia="en-AU"/>
        </w:rPr>
        <w:drawing>
          <wp:inline distT="0" distB="0" distL="0" distR="0" wp14:anchorId="7D84B1ED" wp14:editId="66AAB965">
            <wp:extent cx="5656580" cy="3551555"/>
            <wp:effectExtent l="0" t="0" r="1270" b="0"/>
            <wp:docPr id="22" name="Picture 22" descr="This figure illustrates the differences in assessed mining revenue between the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56580" cy="3551555"/>
                    </a:xfrm>
                    <a:prstGeom prst="rect">
                      <a:avLst/>
                    </a:prstGeom>
                    <a:noFill/>
                    <a:ln>
                      <a:noFill/>
                    </a:ln>
                  </pic:spPr>
                </pic:pic>
              </a:graphicData>
            </a:graphic>
          </wp:inline>
        </w:drawing>
      </w:r>
    </w:p>
    <w:p w:rsidR="00037390" w:rsidRPr="00123B11" w:rsidRDefault="00037390" w:rsidP="007C0043">
      <w:pPr>
        <w:pStyle w:val="CGCTableFootnote"/>
      </w:pPr>
      <w:r w:rsidRPr="00123B11">
        <w:t>Source:</w:t>
      </w:r>
      <w:r w:rsidRPr="00123B11">
        <w:tab/>
        <w:t>Commission calculation.</w:t>
      </w:r>
    </w:p>
    <w:p w:rsidR="00037390" w:rsidRPr="00123B11" w:rsidRDefault="00037390" w:rsidP="00037390">
      <w:pPr>
        <w:pStyle w:val="Heading4"/>
      </w:pPr>
      <w:bookmarkStart w:id="513" w:name="_Toc380590533"/>
      <w:bookmarkStart w:id="514" w:name="_Toc380590651"/>
      <w:r w:rsidRPr="00123B11">
        <w:t>Other tax bases</w:t>
      </w:r>
      <w:bookmarkEnd w:id="513"/>
      <w:bookmarkEnd w:id="514"/>
      <w:r w:rsidRPr="00123B11">
        <w:t xml:space="preserve"> </w:t>
      </w:r>
    </w:p>
    <w:p w:rsidR="00037390" w:rsidRPr="00F91285" w:rsidRDefault="00037390" w:rsidP="00037390">
      <w:pPr>
        <w:pStyle w:val="CGCNumberedPara"/>
        <w:numPr>
          <w:ilvl w:val="1"/>
          <w:numId w:val="2"/>
        </w:numPr>
      </w:pPr>
      <w:r w:rsidRPr="00F91285">
        <w:t>The relative strength of individual tax bases over 2011-12 to 2013-14</w:t>
      </w:r>
      <w:r>
        <w:t xml:space="preserve"> has varied </w:t>
      </w:r>
      <w:r w:rsidRPr="00F91285">
        <w:t>in the three most populous States. For example, New South Wales had relatively strong property sales, payroll tax and insurance bases, but a relatively weak motor vehicle registration base. Victoria had a below average payroll base, but its other bases were around average. Queensland had below average payroll and property sales bases, but its other bases were around average.</w:t>
      </w:r>
    </w:p>
    <w:p w:rsidR="00037390" w:rsidRPr="00123B11" w:rsidRDefault="00037390" w:rsidP="00037390">
      <w:pPr>
        <w:pStyle w:val="CGCNumberedPara"/>
        <w:numPr>
          <w:ilvl w:val="1"/>
          <w:numId w:val="2"/>
        </w:numPr>
      </w:pPr>
      <w:r w:rsidRPr="00123B11">
        <w:t>Excluding mining, overall tax bases in New South Wales were slightly stronger than average and those in Victoria and Queensland were weaker.</w:t>
      </w:r>
    </w:p>
    <w:p w:rsidR="00037390" w:rsidRPr="00123B11" w:rsidRDefault="00037390" w:rsidP="00037390">
      <w:pPr>
        <w:pStyle w:val="CGCNumberedPara"/>
        <w:numPr>
          <w:ilvl w:val="1"/>
          <w:numId w:val="2"/>
        </w:numPr>
      </w:pPr>
      <w:r w:rsidRPr="00123B11">
        <w:t xml:space="preserve">Western Australia had </w:t>
      </w:r>
      <w:r>
        <w:t xml:space="preserve">above average </w:t>
      </w:r>
      <w:r w:rsidRPr="00123B11">
        <w:t>capacity to raise revenue across most of its tax bases.</w:t>
      </w:r>
    </w:p>
    <w:p w:rsidR="00037390" w:rsidRPr="00123B11" w:rsidRDefault="00037390" w:rsidP="00037390">
      <w:pPr>
        <w:pStyle w:val="CGCNumberedPara"/>
        <w:numPr>
          <w:ilvl w:val="1"/>
          <w:numId w:val="2"/>
        </w:numPr>
      </w:pPr>
      <w:r w:rsidRPr="00123B11">
        <w:t xml:space="preserve">With minor exceptions, all other States had </w:t>
      </w:r>
      <w:r>
        <w:t>below average</w:t>
      </w:r>
      <w:r w:rsidRPr="00123B11">
        <w:t xml:space="preserve"> revenue raising capacities across their tax bases.</w:t>
      </w:r>
    </w:p>
    <w:p w:rsidR="00037390" w:rsidRDefault="00037390" w:rsidP="00037390">
      <w:pPr>
        <w:pStyle w:val="Heading3"/>
      </w:pPr>
      <w:bookmarkStart w:id="515" w:name="_Toc411924609"/>
      <w:r>
        <w:lastRenderedPageBreak/>
        <w:t>Expenditure</w:t>
      </w:r>
      <w:bookmarkEnd w:id="515"/>
    </w:p>
    <w:p w:rsidR="00037390" w:rsidRPr="00123B11" w:rsidRDefault="00D749E2" w:rsidP="00037390">
      <w:pPr>
        <w:pStyle w:val="Heading4"/>
      </w:pPr>
      <w:r>
        <w:t>Socio-demographic</w:t>
      </w:r>
      <w:r w:rsidRPr="00123B11">
        <w:t xml:space="preserve"> </w:t>
      </w:r>
      <w:r w:rsidR="00037390" w:rsidRPr="00123B11">
        <w:t>features</w:t>
      </w:r>
    </w:p>
    <w:p w:rsidR="00037390" w:rsidRPr="00123B11" w:rsidRDefault="00037390" w:rsidP="00037390">
      <w:pPr>
        <w:pStyle w:val="CGCNumberedPara"/>
        <w:numPr>
          <w:ilvl w:val="1"/>
          <w:numId w:val="2"/>
        </w:numPr>
      </w:pPr>
      <w:r w:rsidRPr="00123B11">
        <w:t>Our assessments take account of the effects on State expenses of many socio</w:t>
      </w:r>
      <w:r w:rsidRPr="00123B11">
        <w:noBreakHyphen/>
        <w:t xml:space="preserve">demographic characteristics of State populations (such as Indigenous status, </w:t>
      </w:r>
      <w:r w:rsidR="001E023E">
        <w:t>location</w:t>
      </w:r>
      <w:r>
        <w:t xml:space="preserve">, </w:t>
      </w:r>
      <w:proofErr w:type="gramStart"/>
      <w:r w:rsidRPr="00123B11">
        <w:t>socio</w:t>
      </w:r>
      <w:proofErr w:type="gramEnd"/>
      <w:r w:rsidRPr="00123B11">
        <w:noBreakHyphen/>
        <w:t xml:space="preserve">economic status and age distribution). </w:t>
      </w:r>
      <w:r>
        <w:t xml:space="preserve">They can influence State expenses because of differences in how people with particular characteristics use services and also because of differences in the cost of delivering services to those people. </w:t>
      </w:r>
      <w:r w:rsidRPr="00123B11">
        <w:t>We also take account of the effects of population growth on investment and net borrowing requirements.</w:t>
      </w:r>
    </w:p>
    <w:p w:rsidR="00037390" w:rsidRPr="00123B11" w:rsidRDefault="00037390" w:rsidP="00037390">
      <w:pPr>
        <w:pStyle w:val="CGCNumberedPara"/>
        <w:numPr>
          <w:ilvl w:val="1"/>
          <w:numId w:val="2"/>
        </w:numPr>
      </w:pPr>
      <w:r w:rsidRPr="00123B11">
        <w:t xml:space="preserve">The effect of each of these characteristics on the GST distribution depends on the number of people in the relevant group, their interstate distribution and the significance of the population characteristic in influencing State spending patterns. </w:t>
      </w:r>
    </w:p>
    <w:p w:rsidR="00037390" w:rsidRPr="00123B11" w:rsidRDefault="00037390" w:rsidP="00037390">
      <w:pPr>
        <w:pStyle w:val="CGCNumberedPara"/>
        <w:numPr>
          <w:ilvl w:val="1"/>
          <w:numId w:val="2"/>
        </w:numPr>
      </w:pPr>
      <w:r w:rsidRPr="00123B11">
        <w:t>Since socio-demographic characteristics often overlap (for example, Indigenous people are disproportionately represented in remote area populations and in the population with low socio-economic status), many calculations use demographic data that are cross-classified by the</w:t>
      </w:r>
      <w:r>
        <w:t>se</w:t>
      </w:r>
      <w:r w:rsidRPr="00123B11">
        <w:t xml:space="preserve"> characteristics</w:t>
      </w:r>
      <w:r>
        <w:t xml:space="preserve"> to </w:t>
      </w:r>
      <w:r w:rsidRPr="00123B11">
        <w:t xml:space="preserve">avoid double counting. </w:t>
      </w:r>
      <w:r>
        <w:t>However</w:t>
      </w:r>
      <w:r w:rsidR="008246D0">
        <w:t>,</w:t>
      </w:r>
      <w:r>
        <w:t xml:space="preserve"> that means that estimates of the impact of individual characteristics depend on how the attribution process is undertaken. In </w:t>
      </w:r>
      <w:r w:rsidR="00922480">
        <w:t>our</w:t>
      </w:r>
      <w:r>
        <w:t xml:space="preserve"> analysis, we have separated the impacts captured in socio-demographic disabilities from, for example, those captured in </w:t>
      </w:r>
      <w:r w:rsidR="001E023E">
        <w:t xml:space="preserve">urban centre size </w:t>
      </w:r>
      <w:r>
        <w:t>and population growth disabilities. We have also needed to choose an order in which to undertake the socio-demographic composition analysis. While a different process would change the illustrative impacts, we are confident that the relative importance of different characteristics would not be significantly affected. We have also illustrated how different attributions can tell particular stories in a number of boxes.</w:t>
      </w:r>
    </w:p>
    <w:p w:rsidR="00037390" w:rsidRDefault="00037390" w:rsidP="00037390">
      <w:pPr>
        <w:pStyle w:val="CGCNumberedPara"/>
        <w:numPr>
          <w:ilvl w:val="1"/>
          <w:numId w:val="2"/>
        </w:numPr>
      </w:pPr>
      <w:r w:rsidRPr="00123B11">
        <w:t xml:space="preserve">Our estimates of the impact of socio-demographic characteristics on GST shares are </w:t>
      </w:r>
      <w:r>
        <w:t xml:space="preserve">also </w:t>
      </w:r>
      <w:r w:rsidRPr="00123B11">
        <w:t xml:space="preserve">partial estimates because they include only the effects reflected in our calculations. For example, the lower employment rates for Indigenous people may mean States with more Indigenous people have lower payroll tax bases. However, this is not attributed to </w:t>
      </w:r>
      <w:r w:rsidR="002E105B">
        <w:t>Indigenous status</w:t>
      </w:r>
      <w:r w:rsidRPr="00123B11">
        <w:t>, but to the size of the payroll base.</w:t>
      </w:r>
    </w:p>
    <w:p w:rsidR="001E023E" w:rsidRPr="00781175" w:rsidRDefault="001E023E" w:rsidP="001E023E">
      <w:pPr>
        <w:pStyle w:val="Heading5"/>
      </w:pPr>
      <w:bookmarkStart w:id="516" w:name="_Toc380590536"/>
      <w:bookmarkStart w:id="517" w:name="_Toc380590654"/>
      <w:r w:rsidRPr="00781175">
        <w:t>Remoteness and regional costs</w:t>
      </w:r>
    </w:p>
    <w:p w:rsidR="001E023E" w:rsidRPr="00781175" w:rsidRDefault="00D74175" w:rsidP="001E023E">
      <w:pPr>
        <w:pStyle w:val="CGCNumberedPara"/>
        <w:numPr>
          <w:ilvl w:val="1"/>
          <w:numId w:val="2"/>
        </w:numPr>
      </w:pPr>
      <w:r w:rsidRPr="00781175">
        <w:fldChar w:fldCharType="begin"/>
      </w:r>
      <w:r w:rsidRPr="00781175">
        <w:instrText xml:space="preserve"> REF _Ref412625670 \h </w:instrText>
      </w:r>
      <w:r w:rsidR="00A8191D" w:rsidRPr="00781175">
        <w:instrText xml:space="preserve"> \* MERGEFORMAT </w:instrText>
      </w:r>
      <w:r w:rsidRPr="00781175">
        <w:fldChar w:fldCharType="separate"/>
      </w:r>
      <w:r w:rsidR="003A5DEE" w:rsidRPr="00781175">
        <w:t xml:space="preserve">Figure </w:t>
      </w:r>
      <w:r w:rsidR="003A5DEE">
        <w:rPr>
          <w:noProof/>
        </w:rPr>
        <w:t>3</w:t>
      </w:r>
      <w:r w:rsidRPr="00781175">
        <w:fldChar w:fldCharType="end"/>
      </w:r>
      <w:r w:rsidR="001E023E" w:rsidRPr="00781175">
        <w:t xml:space="preserve"> shows that, across many categories, States spend</w:t>
      </w:r>
      <w:r w:rsidR="00781175">
        <w:t xml:space="preserve"> i</w:t>
      </w:r>
      <w:r w:rsidR="00781175" w:rsidRPr="00781175">
        <w:t>n aggregate</w:t>
      </w:r>
      <w:r w:rsidR="00781175">
        <w:t>,</w:t>
      </w:r>
      <w:r w:rsidR="00781175" w:rsidRPr="00781175">
        <w:t xml:space="preserve"> $2 700 more </w:t>
      </w:r>
      <w:r w:rsidR="001E023E" w:rsidRPr="00781175">
        <w:t xml:space="preserve">per capita in very remote areas than in major cities. This can be because people in remote areas use more services than people in accessible areas or because services in remote areas cost more to deliver than services in accessible areas. </w:t>
      </w:r>
    </w:p>
    <w:p w:rsidR="001E023E" w:rsidRPr="00781175" w:rsidRDefault="001E023E" w:rsidP="001E023E">
      <w:pPr>
        <w:pStyle w:val="Caption"/>
      </w:pPr>
      <w:bookmarkStart w:id="518" w:name="_Ref412625670"/>
      <w:r w:rsidRPr="00781175">
        <w:lastRenderedPageBreak/>
        <w:t xml:space="preserve">Figure </w:t>
      </w:r>
      <w:fldSimple w:instr=" SEQ Figure \* ARABIC ">
        <w:r w:rsidR="003A5DEE">
          <w:rPr>
            <w:noProof/>
          </w:rPr>
          <w:t>3</w:t>
        </w:r>
      </w:fldSimple>
      <w:bookmarkEnd w:id="518"/>
      <w:r w:rsidRPr="00781175">
        <w:tab/>
        <w:t>Standardised impact of remoteness and regional costs on average spend by category, 2013-14</w:t>
      </w:r>
    </w:p>
    <w:p w:rsidR="001E023E" w:rsidRPr="00781175" w:rsidRDefault="001E023E" w:rsidP="001E023E">
      <w:r w:rsidRPr="00781175">
        <w:rPr>
          <w:noProof/>
          <w:lang w:eastAsia="en-AU"/>
        </w:rPr>
        <w:drawing>
          <wp:inline distT="0" distB="0" distL="0" distR="0" wp14:anchorId="3E9751E6" wp14:editId="4E2DC835">
            <wp:extent cx="5652770" cy="3562350"/>
            <wp:effectExtent l="0" t="0" r="5080" b="0"/>
            <wp:docPr id="25" name="Picture 25" descr="This figure shows that, across many categories, States spend in aggregate, $2 700 more per capita in very remote areas than in major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52770" cy="3562350"/>
                    </a:xfrm>
                    <a:prstGeom prst="rect">
                      <a:avLst/>
                    </a:prstGeom>
                    <a:noFill/>
                    <a:ln>
                      <a:noFill/>
                    </a:ln>
                  </pic:spPr>
                </pic:pic>
              </a:graphicData>
            </a:graphic>
          </wp:inline>
        </w:drawing>
      </w:r>
    </w:p>
    <w:p w:rsidR="001E023E" w:rsidRPr="00781175" w:rsidRDefault="001E023E" w:rsidP="001E023E">
      <w:pPr>
        <w:pStyle w:val="CGCTableFootnote"/>
      </w:pPr>
      <w:r w:rsidRPr="00781175">
        <w:t>Note:</w:t>
      </w:r>
      <w:r w:rsidRPr="00781175">
        <w:tab/>
        <w:t xml:space="preserve">Differences are those attributed to remoteness in socio-demographic composition and regional costs assessments. For example, the impact of larger Indigenous populations in remote areas has been excluded from this impact. </w:t>
      </w:r>
    </w:p>
    <w:p w:rsidR="001E023E" w:rsidRPr="00781175" w:rsidRDefault="001E023E" w:rsidP="001E023E">
      <w:pPr>
        <w:pStyle w:val="CGCTableFootnote"/>
      </w:pPr>
      <w:r w:rsidRPr="00781175">
        <w:t xml:space="preserve">Source: </w:t>
      </w:r>
      <w:r w:rsidRPr="00781175">
        <w:tab/>
        <w:t>Commission calculation.</w:t>
      </w:r>
    </w:p>
    <w:p w:rsidR="001E023E" w:rsidRPr="00781175" w:rsidRDefault="001E023E" w:rsidP="001E023E">
      <w:pPr>
        <w:pStyle w:val="CGCNumberedPara"/>
        <w:numPr>
          <w:ilvl w:val="1"/>
          <w:numId w:val="2"/>
        </w:numPr>
      </w:pPr>
      <w:r w:rsidRPr="00781175">
        <w:t>In the assessment of the effects of the socio-demographic composition (SDC) of State populations (remoteness) on State expenses, we mainly capture the</w:t>
      </w:r>
      <w:r w:rsidR="001862DC" w:rsidRPr="00781175">
        <w:t xml:space="preserve"> impact of differences in use. </w:t>
      </w:r>
      <w:r w:rsidRPr="00781175">
        <w:t xml:space="preserve">But this is not exclusively the case because for some categories, such as Health, the impact of use and unit costs are assessed together because of the available data. </w:t>
      </w:r>
    </w:p>
    <w:p w:rsidR="001E023E" w:rsidRPr="00781175" w:rsidRDefault="00781175" w:rsidP="001E023E">
      <w:pPr>
        <w:pStyle w:val="CGCNumberedPara"/>
        <w:numPr>
          <w:ilvl w:val="1"/>
          <w:numId w:val="2"/>
        </w:numPr>
      </w:pPr>
      <w:r>
        <w:t>In several categories, t</w:t>
      </w:r>
      <w:r w:rsidR="001E023E" w:rsidRPr="00781175">
        <w:t xml:space="preserve">he regional costs assessment captures the higher costs in more remote areas. This is shown in </w:t>
      </w:r>
      <w:r w:rsidR="00D74175" w:rsidRPr="00781175">
        <w:fldChar w:fldCharType="begin"/>
      </w:r>
      <w:r w:rsidR="00D74175" w:rsidRPr="00781175">
        <w:instrText xml:space="preserve"> REF _Ref412625684 \h </w:instrText>
      </w:r>
      <w:r w:rsidR="00A8191D" w:rsidRPr="00781175">
        <w:instrText xml:space="preserve"> \* MERGEFORMAT </w:instrText>
      </w:r>
      <w:r w:rsidR="00D74175" w:rsidRPr="00781175">
        <w:fldChar w:fldCharType="separate"/>
      </w:r>
      <w:r w:rsidR="003A5DEE" w:rsidRPr="00781175">
        <w:t xml:space="preserve">Figure </w:t>
      </w:r>
      <w:r w:rsidR="003A5DEE">
        <w:rPr>
          <w:noProof/>
        </w:rPr>
        <w:t>4</w:t>
      </w:r>
      <w:r w:rsidR="00D74175" w:rsidRPr="00781175">
        <w:fldChar w:fldCharType="end"/>
      </w:r>
      <w:r w:rsidR="001E023E" w:rsidRPr="00781175">
        <w:t xml:space="preserve"> and occurs because States offer higher wages, pay higher freight and communications costs, and sometimes provide housing and other subsidies in those</w:t>
      </w:r>
      <w:r w:rsidR="001862DC" w:rsidRPr="00781175">
        <w:t xml:space="preserve"> areas.</w:t>
      </w:r>
    </w:p>
    <w:p w:rsidR="001E023E" w:rsidRPr="00781175" w:rsidRDefault="001E023E" w:rsidP="001E023E">
      <w:pPr>
        <w:pStyle w:val="CGCNumberedPara"/>
        <w:numPr>
          <w:ilvl w:val="1"/>
          <w:numId w:val="2"/>
        </w:numPr>
      </w:pPr>
      <w:r w:rsidRPr="00781175">
        <w:t xml:space="preserve">As a result, States with more remote populations need more GST to deliver the same level of service. </w:t>
      </w:r>
      <w:r w:rsidR="00D74175" w:rsidRPr="00781175">
        <w:fldChar w:fldCharType="begin"/>
      </w:r>
      <w:r w:rsidR="00D74175" w:rsidRPr="00781175">
        <w:instrText xml:space="preserve"> REF _Ref412625812 \h </w:instrText>
      </w:r>
      <w:r w:rsidR="00A8191D" w:rsidRPr="00781175">
        <w:instrText xml:space="preserve"> \* MERGEFORMAT </w:instrText>
      </w:r>
      <w:r w:rsidR="00D74175" w:rsidRPr="00781175">
        <w:fldChar w:fldCharType="separate"/>
      </w:r>
      <w:r w:rsidR="003A5DEE" w:rsidRPr="00781175">
        <w:t xml:space="preserve">Table </w:t>
      </w:r>
      <w:r w:rsidR="003A5DEE">
        <w:rPr>
          <w:noProof/>
        </w:rPr>
        <w:t>5</w:t>
      </w:r>
      <w:r w:rsidR="00D74175" w:rsidRPr="00781175">
        <w:fldChar w:fldCharType="end"/>
      </w:r>
      <w:r w:rsidRPr="00781175">
        <w:t xml:space="preserve"> shows the distribution of population by remoteness areas across States. It shows, for example, that New South Wales, Victoria and the ACT have a much larger share of the population in major cities and inner regional areas than their share of the total population and that Queensland, Western Australia and the Northern Territory have much larger shares of the population in remote and very remote areas than their shares of the total population. Western Australia also has a larger share of the population in major cities than its share of total population.</w:t>
      </w:r>
    </w:p>
    <w:p w:rsidR="001E023E" w:rsidRPr="00781175" w:rsidRDefault="001E023E" w:rsidP="001E023E">
      <w:pPr>
        <w:pStyle w:val="CGCTableHeading"/>
      </w:pPr>
      <w:bookmarkStart w:id="519" w:name="_Ref412625684"/>
      <w:r w:rsidRPr="00781175">
        <w:lastRenderedPageBreak/>
        <w:t xml:space="preserve">Figure </w:t>
      </w:r>
      <w:fldSimple w:instr=" SEQ Figure \* ARABIC ">
        <w:r w:rsidR="003A5DEE">
          <w:rPr>
            <w:noProof/>
          </w:rPr>
          <w:t>4</w:t>
        </w:r>
      </w:fldSimple>
      <w:bookmarkEnd w:id="519"/>
      <w:r w:rsidRPr="00781175">
        <w:tab/>
        <w:t>Assessed regional cost gradient, 2013</w:t>
      </w:r>
      <w:r w:rsidRPr="00781175">
        <w:noBreakHyphen/>
        <w:t>14</w:t>
      </w:r>
    </w:p>
    <w:p w:rsidR="001E023E" w:rsidRPr="00781175" w:rsidRDefault="001E023E" w:rsidP="001E023E">
      <w:r w:rsidRPr="00781175">
        <w:rPr>
          <w:noProof/>
          <w:lang w:eastAsia="en-AU"/>
        </w:rPr>
        <w:drawing>
          <wp:inline distT="0" distB="0" distL="0" distR="0" wp14:anchorId="4D66896C" wp14:editId="71B2CAD9">
            <wp:extent cx="5659120" cy="3562985"/>
            <wp:effectExtent l="0" t="0" r="0" b="0"/>
            <wp:docPr id="30" name="Picture 30" descr="This figure shows the schools, police and general regional costs grade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59120" cy="3562985"/>
                    </a:xfrm>
                    <a:prstGeom prst="rect">
                      <a:avLst/>
                    </a:prstGeom>
                    <a:noFill/>
                    <a:ln>
                      <a:noFill/>
                    </a:ln>
                  </pic:spPr>
                </pic:pic>
              </a:graphicData>
            </a:graphic>
          </wp:inline>
        </w:drawing>
      </w:r>
    </w:p>
    <w:p w:rsidR="001E023E" w:rsidRPr="00781175" w:rsidRDefault="001E023E" w:rsidP="001E023E">
      <w:pPr>
        <w:pStyle w:val="CGCTableFootnote"/>
      </w:pPr>
      <w:r w:rsidRPr="00781175">
        <w:t>Note:</w:t>
      </w:r>
      <w:r w:rsidRPr="00781175">
        <w:tab/>
        <w:t>To reflect uncertainty about the applicability of the general gradient, a medium level discount is applied (not reflected in the chart).</w:t>
      </w:r>
    </w:p>
    <w:p w:rsidR="001E023E" w:rsidRPr="00781175" w:rsidRDefault="001E023E" w:rsidP="001E023E">
      <w:pPr>
        <w:pStyle w:val="CGCTableFootnote"/>
        <w:rPr>
          <w:b/>
        </w:rPr>
      </w:pPr>
      <w:r w:rsidRPr="00781175">
        <w:t xml:space="preserve">Source: </w:t>
      </w:r>
      <w:r w:rsidRPr="00781175">
        <w:tab/>
        <w:t>Commission calculation.</w:t>
      </w:r>
    </w:p>
    <w:p w:rsidR="001E023E" w:rsidRPr="00781175" w:rsidRDefault="001E023E" w:rsidP="001E023E">
      <w:pPr>
        <w:pStyle w:val="Caption"/>
      </w:pPr>
      <w:bookmarkStart w:id="520" w:name="_Ref412625812"/>
      <w:r w:rsidRPr="00781175">
        <w:t xml:space="preserve">Table </w:t>
      </w:r>
      <w:fldSimple w:instr=" SEQ Table \* ARABIC ">
        <w:r w:rsidR="003A5DEE">
          <w:rPr>
            <w:noProof/>
          </w:rPr>
          <w:t>5</w:t>
        </w:r>
      </w:fldSimple>
      <w:bookmarkEnd w:id="520"/>
      <w:r w:rsidRPr="00781175">
        <w:tab/>
        <w:t>Distribution of population across States by ABS remoteness areas</w:t>
      </w:r>
    </w:p>
    <w:tbl>
      <w:tblPr>
        <w:tblW w:w="8955" w:type="dxa"/>
        <w:tblLayout w:type="fixed"/>
        <w:tblCellMar>
          <w:left w:w="0" w:type="dxa"/>
          <w:right w:w="0" w:type="dxa"/>
        </w:tblCellMar>
        <w:tblLook w:val="04A0" w:firstRow="1" w:lastRow="0" w:firstColumn="1" w:lastColumn="0" w:noHBand="0" w:noVBand="1"/>
      </w:tblPr>
      <w:tblGrid>
        <w:gridCol w:w="1860"/>
        <w:gridCol w:w="615"/>
        <w:gridCol w:w="820"/>
        <w:gridCol w:w="820"/>
        <w:gridCol w:w="820"/>
        <w:gridCol w:w="820"/>
        <w:gridCol w:w="720"/>
        <w:gridCol w:w="720"/>
        <w:gridCol w:w="820"/>
        <w:gridCol w:w="940"/>
      </w:tblGrid>
      <w:tr w:rsidR="001E023E" w:rsidRPr="00781175" w:rsidTr="001E023E">
        <w:trPr>
          <w:trHeight w:val="379"/>
        </w:trPr>
        <w:tc>
          <w:tcPr>
            <w:tcW w:w="1860" w:type="dxa"/>
            <w:tcBorders>
              <w:top w:val="single" w:sz="4" w:space="0" w:color="auto"/>
              <w:left w:val="nil"/>
              <w:bottom w:val="single" w:sz="4" w:space="0" w:color="auto"/>
              <w:right w:val="nil"/>
            </w:tcBorders>
            <w:shd w:val="clear" w:color="auto" w:fill="auto"/>
            <w:noWrap/>
            <w:vAlign w:val="center"/>
            <w:hideMark/>
          </w:tcPr>
          <w:p w:rsidR="001E023E" w:rsidRPr="00781175" w:rsidRDefault="001E023E" w:rsidP="001E023E">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w:t>
            </w:r>
          </w:p>
        </w:tc>
        <w:tc>
          <w:tcPr>
            <w:tcW w:w="615" w:type="dxa"/>
            <w:tcBorders>
              <w:top w:val="single" w:sz="4" w:space="0" w:color="auto"/>
              <w:left w:val="nil"/>
              <w:bottom w:val="single" w:sz="4" w:space="0" w:color="auto"/>
              <w:right w:val="nil"/>
            </w:tcBorders>
            <w:shd w:val="clear" w:color="auto" w:fill="auto"/>
            <w:noWrap/>
            <w:vAlign w:val="center"/>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NSW</w:t>
            </w:r>
          </w:p>
        </w:tc>
        <w:tc>
          <w:tcPr>
            <w:tcW w:w="820" w:type="dxa"/>
            <w:tcBorders>
              <w:top w:val="single" w:sz="4" w:space="0" w:color="auto"/>
              <w:left w:val="nil"/>
              <w:bottom w:val="single" w:sz="4" w:space="0" w:color="auto"/>
              <w:right w:val="nil"/>
            </w:tcBorders>
            <w:shd w:val="clear" w:color="auto" w:fill="auto"/>
            <w:noWrap/>
            <w:vAlign w:val="center"/>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Vic</w:t>
            </w:r>
          </w:p>
        </w:tc>
        <w:tc>
          <w:tcPr>
            <w:tcW w:w="820" w:type="dxa"/>
            <w:tcBorders>
              <w:top w:val="single" w:sz="4" w:space="0" w:color="auto"/>
              <w:left w:val="nil"/>
              <w:bottom w:val="single" w:sz="4" w:space="0" w:color="auto"/>
              <w:right w:val="nil"/>
            </w:tcBorders>
            <w:shd w:val="clear" w:color="auto" w:fill="auto"/>
            <w:noWrap/>
            <w:vAlign w:val="center"/>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Qld</w:t>
            </w:r>
          </w:p>
        </w:tc>
        <w:tc>
          <w:tcPr>
            <w:tcW w:w="820" w:type="dxa"/>
            <w:tcBorders>
              <w:top w:val="single" w:sz="4" w:space="0" w:color="auto"/>
              <w:left w:val="nil"/>
              <w:bottom w:val="single" w:sz="4" w:space="0" w:color="auto"/>
              <w:right w:val="nil"/>
            </w:tcBorders>
            <w:shd w:val="clear" w:color="auto" w:fill="auto"/>
            <w:noWrap/>
            <w:vAlign w:val="center"/>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WA</w:t>
            </w:r>
          </w:p>
        </w:tc>
        <w:tc>
          <w:tcPr>
            <w:tcW w:w="820" w:type="dxa"/>
            <w:tcBorders>
              <w:top w:val="single" w:sz="4" w:space="0" w:color="auto"/>
              <w:left w:val="nil"/>
              <w:bottom w:val="single" w:sz="4" w:space="0" w:color="auto"/>
              <w:right w:val="nil"/>
            </w:tcBorders>
            <w:shd w:val="clear" w:color="auto" w:fill="auto"/>
            <w:noWrap/>
            <w:vAlign w:val="center"/>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SA</w:t>
            </w:r>
          </w:p>
        </w:tc>
        <w:tc>
          <w:tcPr>
            <w:tcW w:w="720" w:type="dxa"/>
            <w:tcBorders>
              <w:top w:val="single" w:sz="4" w:space="0" w:color="auto"/>
              <w:left w:val="nil"/>
              <w:bottom w:val="single" w:sz="4" w:space="0" w:color="auto"/>
              <w:right w:val="nil"/>
            </w:tcBorders>
            <w:shd w:val="clear" w:color="auto" w:fill="auto"/>
            <w:noWrap/>
            <w:vAlign w:val="center"/>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781175">
              <w:rPr>
                <w:rFonts w:ascii="Calibri" w:eastAsia="Times New Roman" w:hAnsi="Calibri" w:cs="Times New Roman"/>
                <w:sz w:val="20"/>
                <w:szCs w:val="20"/>
                <w:lang w:eastAsia="en-AU"/>
              </w:rPr>
              <w:t>Tas</w:t>
            </w:r>
            <w:proofErr w:type="spellEnd"/>
          </w:p>
        </w:tc>
        <w:tc>
          <w:tcPr>
            <w:tcW w:w="720" w:type="dxa"/>
            <w:tcBorders>
              <w:top w:val="single" w:sz="4" w:space="0" w:color="auto"/>
              <w:left w:val="nil"/>
              <w:bottom w:val="single" w:sz="4" w:space="0" w:color="auto"/>
              <w:right w:val="nil"/>
            </w:tcBorders>
            <w:shd w:val="clear" w:color="auto" w:fill="auto"/>
            <w:noWrap/>
            <w:vAlign w:val="center"/>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ACT</w:t>
            </w:r>
          </w:p>
        </w:tc>
        <w:tc>
          <w:tcPr>
            <w:tcW w:w="820" w:type="dxa"/>
            <w:tcBorders>
              <w:top w:val="single" w:sz="4" w:space="0" w:color="auto"/>
              <w:left w:val="nil"/>
              <w:bottom w:val="single" w:sz="4" w:space="0" w:color="auto"/>
              <w:right w:val="nil"/>
            </w:tcBorders>
            <w:shd w:val="clear" w:color="auto" w:fill="auto"/>
            <w:noWrap/>
            <w:vAlign w:val="center"/>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NT</w:t>
            </w:r>
          </w:p>
        </w:tc>
        <w:tc>
          <w:tcPr>
            <w:tcW w:w="940" w:type="dxa"/>
            <w:tcBorders>
              <w:top w:val="single" w:sz="4" w:space="0" w:color="auto"/>
              <w:left w:val="nil"/>
              <w:bottom w:val="single" w:sz="4" w:space="0" w:color="auto"/>
              <w:right w:val="nil"/>
            </w:tcBorders>
            <w:shd w:val="clear" w:color="auto" w:fill="auto"/>
            <w:noWrap/>
            <w:vAlign w:val="center"/>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Total</w:t>
            </w:r>
          </w:p>
        </w:tc>
      </w:tr>
      <w:tr w:rsidR="001E023E" w:rsidRPr="00781175" w:rsidTr="001E023E">
        <w:trPr>
          <w:trHeight w:val="259"/>
        </w:trPr>
        <w:tc>
          <w:tcPr>
            <w:tcW w:w="186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615"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t>
            </w:r>
          </w:p>
        </w:tc>
        <w:tc>
          <w:tcPr>
            <w:tcW w:w="7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t>
            </w:r>
          </w:p>
        </w:tc>
        <w:tc>
          <w:tcPr>
            <w:tcW w:w="7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t>
            </w:r>
          </w:p>
        </w:tc>
        <w:tc>
          <w:tcPr>
            <w:tcW w:w="94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t>
            </w:r>
          </w:p>
        </w:tc>
      </w:tr>
      <w:tr w:rsidR="001E023E" w:rsidRPr="00781175" w:rsidTr="001E023E">
        <w:trPr>
          <w:trHeight w:val="315"/>
        </w:trPr>
        <w:tc>
          <w:tcPr>
            <w:tcW w:w="186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Major cities</w:t>
            </w:r>
          </w:p>
        </w:tc>
        <w:tc>
          <w:tcPr>
            <w:tcW w:w="615"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33.7</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26.9</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17.7</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11.9</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7.5</w:t>
            </w:r>
          </w:p>
        </w:tc>
        <w:tc>
          <w:tcPr>
            <w:tcW w:w="7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0.0</w:t>
            </w:r>
          </w:p>
        </w:tc>
        <w:tc>
          <w:tcPr>
            <w:tcW w:w="7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2.3</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0.0</w:t>
            </w:r>
          </w:p>
        </w:tc>
        <w:tc>
          <w:tcPr>
            <w:tcW w:w="94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100.0</w:t>
            </w:r>
          </w:p>
        </w:tc>
      </w:tr>
      <w:tr w:rsidR="001E023E" w:rsidRPr="00781175" w:rsidTr="001E023E">
        <w:trPr>
          <w:trHeight w:val="315"/>
        </w:trPr>
        <w:tc>
          <w:tcPr>
            <w:tcW w:w="186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Inner regional</w:t>
            </w:r>
          </w:p>
        </w:tc>
        <w:tc>
          <w:tcPr>
            <w:tcW w:w="615"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33.9</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26.0</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22.4</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5.4</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4.3</w:t>
            </w:r>
          </w:p>
        </w:tc>
        <w:tc>
          <w:tcPr>
            <w:tcW w:w="7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7.9</w:t>
            </w:r>
          </w:p>
        </w:tc>
        <w:tc>
          <w:tcPr>
            <w:tcW w:w="7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0.0</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0.0</w:t>
            </w:r>
          </w:p>
        </w:tc>
        <w:tc>
          <w:tcPr>
            <w:tcW w:w="94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100.0</w:t>
            </w:r>
          </w:p>
        </w:tc>
      </w:tr>
      <w:tr w:rsidR="001E023E" w:rsidRPr="00781175" w:rsidTr="001E023E">
        <w:trPr>
          <w:trHeight w:val="315"/>
        </w:trPr>
        <w:tc>
          <w:tcPr>
            <w:tcW w:w="186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Outer regional</w:t>
            </w:r>
          </w:p>
        </w:tc>
        <w:tc>
          <w:tcPr>
            <w:tcW w:w="615"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21.5</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11.9</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33.1</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9.1</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9.7</w:t>
            </w:r>
          </w:p>
        </w:tc>
        <w:tc>
          <w:tcPr>
            <w:tcW w:w="7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8.0</w:t>
            </w:r>
          </w:p>
        </w:tc>
        <w:tc>
          <w:tcPr>
            <w:tcW w:w="7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0.0</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6.6</w:t>
            </w:r>
          </w:p>
        </w:tc>
        <w:tc>
          <w:tcPr>
            <w:tcW w:w="94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100.0</w:t>
            </w:r>
          </w:p>
        </w:tc>
      </w:tr>
      <w:tr w:rsidR="001E023E" w:rsidRPr="00781175" w:rsidTr="001E023E">
        <w:trPr>
          <w:trHeight w:val="315"/>
        </w:trPr>
        <w:tc>
          <w:tcPr>
            <w:tcW w:w="186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Remote</w:t>
            </w:r>
          </w:p>
        </w:tc>
        <w:tc>
          <w:tcPr>
            <w:tcW w:w="615"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9.5</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1.4</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24.7</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32.3</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14.1</w:t>
            </w:r>
          </w:p>
        </w:tc>
        <w:tc>
          <w:tcPr>
            <w:tcW w:w="7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2.5</w:t>
            </w:r>
          </w:p>
        </w:tc>
        <w:tc>
          <w:tcPr>
            <w:tcW w:w="7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0.0</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15.5</w:t>
            </w:r>
          </w:p>
        </w:tc>
        <w:tc>
          <w:tcPr>
            <w:tcW w:w="94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100.0</w:t>
            </w:r>
          </w:p>
        </w:tc>
      </w:tr>
      <w:tr w:rsidR="001E023E" w:rsidRPr="00781175" w:rsidTr="001E023E">
        <w:trPr>
          <w:trHeight w:val="315"/>
        </w:trPr>
        <w:tc>
          <w:tcPr>
            <w:tcW w:w="186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Very remote</w:t>
            </w:r>
          </w:p>
        </w:tc>
        <w:tc>
          <w:tcPr>
            <w:tcW w:w="615"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4.1</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0.0</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28.6</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32.4</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7.2</w:t>
            </w:r>
          </w:p>
        </w:tc>
        <w:tc>
          <w:tcPr>
            <w:tcW w:w="7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1.1</w:t>
            </w:r>
          </w:p>
        </w:tc>
        <w:tc>
          <w:tcPr>
            <w:tcW w:w="7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0.0</w:t>
            </w:r>
          </w:p>
        </w:tc>
        <w:tc>
          <w:tcPr>
            <w:tcW w:w="82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26.6</w:t>
            </w:r>
          </w:p>
        </w:tc>
        <w:tc>
          <w:tcPr>
            <w:tcW w:w="940" w:type="dxa"/>
            <w:tcBorders>
              <w:top w:val="nil"/>
              <w:left w:val="nil"/>
              <w:bottom w:val="nil"/>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100.0</w:t>
            </w:r>
          </w:p>
        </w:tc>
      </w:tr>
      <w:tr w:rsidR="001E023E" w:rsidRPr="00781175" w:rsidTr="001E023E">
        <w:trPr>
          <w:trHeight w:val="315"/>
        </w:trPr>
        <w:tc>
          <w:tcPr>
            <w:tcW w:w="1860" w:type="dxa"/>
            <w:tcBorders>
              <w:top w:val="nil"/>
              <w:left w:val="nil"/>
              <w:bottom w:val="single" w:sz="4" w:space="0" w:color="auto"/>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Total</w:t>
            </w:r>
          </w:p>
        </w:tc>
        <w:tc>
          <w:tcPr>
            <w:tcW w:w="615" w:type="dxa"/>
            <w:tcBorders>
              <w:top w:val="single" w:sz="4" w:space="0" w:color="auto"/>
              <w:left w:val="nil"/>
              <w:bottom w:val="single" w:sz="4" w:space="0" w:color="auto"/>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32.0</w:t>
            </w:r>
          </w:p>
        </w:tc>
        <w:tc>
          <w:tcPr>
            <w:tcW w:w="820" w:type="dxa"/>
            <w:tcBorders>
              <w:top w:val="single" w:sz="4" w:space="0" w:color="auto"/>
              <w:left w:val="nil"/>
              <w:bottom w:val="single" w:sz="4" w:space="0" w:color="auto"/>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24.8</w:t>
            </w:r>
          </w:p>
        </w:tc>
        <w:tc>
          <w:tcPr>
            <w:tcW w:w="820" w:type="dxa"/>
            <w:tcBorders>
              <w:top w:val="single" w:sz="4" w:space="0" w:color="auto"/>
              <w:left w:val="nil"/>
              <w:bottom w:val="single" w:sz="4" w:space="0" w:color="auto"/>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20.1</w:t>
            </w:r>
          </w:p>
        </w:tc>
        <w:tc>
          <w:tcPr>
            <w:tcW w:w="820" w:type="dxa"/>
            <w:tcBorders>
              <w:top w:val="single" w:sz="4" w:space="0" w:color="auto"/>
              <w:left w:val="nil"/>
              <w:bottom w:val="single" w:sz="4" w:space="0" w:color="auto"/>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10.9</w:t>
            </w:r>
          </w:p>
        </w:tc>
        <w:tc>
          <w:tcPr>
            <w:tcW w:w="820" w:type="dxa"/>
            <w:tcBorders>
              <w:top w:val="single" w:sz="4" w:space="0" w:color="auto"/>
              <w:left w:val="nil"/>
              <w:bottom w:val="single" w:sz="4" w:space="0" w:color="auto"/>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7.2</w:t>
            </w:r>
          </w:p>
        </w:tc>
        <w:tc>
          <w:tcPr>
            <w:tcW w:w="720" w:type="dxa"/>
            <w:tcBorders>
              <w:top w:val="single" w:sz="4" w:space="0" w:color="auto"/>
              <w:left w:val="nil"/>
              <w:bottom w:val="single" w:sz="4" w:space="0" w:color="auto"/>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2.2</w:t>
            </w:r>
          </w:p>
        </w:tc>
        <w:tc>
          <w:tcPr>
            <w:tcW w:w="720" w:type="dxa"/>
            <w:tcBorders>
              <w:top w:val="single" w:sz="4" w:space="0" w:color="auto"/>
              <w:left w:val="nil"/>
              <w:bottom w:val="single" w:sz="4" w:space="0" w:color="auto"/>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1.6</w:t>
            </w:r>
          </w:p>
        </w:tc>
        <w:tc>
          <w:tcPr>
            <w:tcW w:w="820" w:type="dxa"/>
            <w:tcBorders>
              <w:top w:val="single" w:sz="4" w:space="0" w:color="auto"/>
              <w:left w:val="nil"/>
              <w:bottom w:val="single" w:sz="4" w:space="0" w:color="auto"/>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1.0</w:t>
            </w:r>
          </w:p>
        </w:tc>
        <w:tc>
          <w:tcPr>
            <w:tcW w:w="940" w:type="dxa"/>
            <w:tcBorders>
              <w:top w:val="single" w:sz="4" w:space="0" w:color="auto"/>
              <w:left w:val="nil"/>
              <w:bottom w:val="single" w:sz="4" w:space="0" w:color="auto"/>
              <w:right w:val="nil"/>
            </w:tcBorders>
            <w:shd w:val="clear" w:color="auto" w:fill="auto"/>
            <w:noWrap/>
            <w:vAlign w:val="bottom"/>
            <w:hideMark/>
          </w:tcPr>
          <w:p w:rsidR="001E023E" w:rsidRPr="00781175" w:rsidRDefault="001E023E" w:rsidP="001E023E">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100.0</w:t>
            </w:r>
          </w:p>
        </w:tc>
      </w:tr>
    </w:tbl>
    <w:p w:rsidR="001E023E" w:rsidRDefault="001E023E" w:rsidP="001E023E">
      <w:pPr>
        <w:pStyle w:val="CGCDataCaption"/>
      </w:pPr>
      <w:r w:rsidRPr="00781175">
        <w:t>Note:</w:t>
      </w:r>
      <w:r w:rsidRPr="00781175">
        <w:tab/>
        <w:t>Under the ASGS, Tasmania and the Northern Territory are considered to have no major cities, as neither have cities with a population of more than 250 000 people.</w:t>
      </w:r>
    </w:p>
    <w:p w:rsidR="005558EE" w:rsidRPr="005558EE" w:rsidRDefault="005558EE" w:rsidP="005558EE">
      <w:pPr>
        <w:pStyle w:val="CGCTableFootnote"/>
      </w:pPr>
      <w:r>
        <w:t>Source:</w:t>
      </w:r>
      <w:r>
        <w:tab/>
        <w:t>ABS.</w:t>
      </w:r>
    </w:p>
    <w:p w:rsidR="001E023E" w:rsidRPr="00781175" w:rsidRDefault="001E023E" w:rsidP="001E023E">
      <w:pPr>
        <w:pStyle w:val="CGCNumberedPara"/>
        <w:numPr>
          <w:ilvl w:val="1"/>
          <w:numId w:val="2"/>
        </w:numPr>
      </w:pPr>
      <w:r w:rsidRPr="00781175">
        <w:t>Because the regional distribution of populations varies significantly between States</w:t>
      </w:r>
      <w:r w:rsidR="001862DC" w:rsidRPr="00781175">
        <w:t>,</w:t>
      </w:r>
      <w:r w:rsidRPr="00781175">
        <w:t xml:space="preserve"> the remoteness and regional cost assessments have a large impact on the GST distribution, moving over $1 billion from each of the less remote States of New South Wales and Victoria (and $153 million from the ACT) to the more remote States, such as Queensland, Western Australia</w:t>
      </w:r>
      <w:r w:rsidR="00781175">
        <w:t>, Tasmania</w:t>
      </w:r>
      <w:r w:rsidRPr="00781175">
        <w:t xml:space="preserve"> and the Northern Territory.</w:t>
      </w:r>
    </w:p>
    <w:p w:rsidR="000409D6" w:rsidRPr="00781175" w:rsidRDefault="001E023E" w:rsidP="000409D6">
      <w:pPr>
        <w:pStyle w:val="CGCNumberedPara"/>
        <w:numPr>
          <w:ilvl w:val="1"/>
          <w:numId w:val="2"/>
        </w:numPr>
      </w:pPr>
      <w:r w:rsidRPr="00781175">
        <w:t xml:space="preserve">The impact of remoteness and regional costs in the context of other aspects of where people live is described in Box </w:t>
      </w:r>
      <w:r w:rsidR="00D74175" w:rsidRPr="00781175">
        <w:t>2</w:t>
      </w:r>
      <w:r w:rsidRPr="00781175">
        <w:t>.</w:t>
      </w:r>
    </w:p>
    <w:p w:rsidR="000409D6" w:rsidRPr="00781175" w:rsidRDefault="000409D6" w:rsidP="000409D6">
      <w:pPr>
        <w:pStyle w:val="Caption"/>
        <w:ind w:left="0" w:firstLine="0"/>
      </w:pPr>
      <w:r w:rsidRPr="00781175">
        <w:lastRenderedPageBreak/>
        <w:t xml:space="preserve">Box </w:t>
      </w:r>
      <w:r w:rsidR="00D74175" w:rsidRPr="00781175">
        <w:t>2</w:t>
      </w:r>
      <w:r w:rsidRPr="00781175">
        <w:tab/>
        <w:t>GST impact of where people live, 2015-16</w:t>
      </w:r>
    </w:p>
    <w:tbl>
      <w:tblPr>
        <w:tblStyle w:val="TableGrid"/>
        <w:tblW w:w="0" w:type="auto"/>
        <w:tblLook w:val="04A0" w:firstRow="1" w:lastRow="0" w:firstColumn="1" w:lastColumn="0" w:noHBand="0" w:noVBand="1"/>
        <w:tblDescription w:val=" "/>
      </w:tblPr>
      <w:tblGrid>
        <w:gridCol w:w="9167"/>
      </w:tblGrid>
      <w:tr w:rsidR="000409D6" w:rsidRPr="00781175" w:rsidTr="006E155D">
        <w:trPr>
          <w:cantSplit/>
        </w:trPr>
        <w:tc>
          <w:tcPr>
            <w:tcW w:w="9167" w:type="dxa"/>
            <w:tcBorders>
              <w:top w:val="nil"/>
              <w:left w:val="nil"/>
              <w:bottom w:val="nil"/>
              <w:right w:val="nil"/>
            </w:tcBorders>
            <w:shd w:val="clear" w:color="auto" w:fill="D9F3E6"/>
          </w:tcPr>
          <w:p w:rsidR="000409D6" w:rsidRPr="00781175" w:rsidRDefault="000409D6" w:rsidP="006E155D">
            <w:pPr>
              <w:spacing w:before="120" w:after="120"/>
            </w:pPr>
            <w:r w:rsidRPr="00781175">
              <w:t xml:space="preserve">Different aspects of where people live have different impacts on State spending, and on the distribution of the GST. It includes the impact of higher spending in more remote areas because of use and unit cost differences and the higher spending in large cities because they require more transport services than small cities. </w:t>
            </w:r>
          </w:p>
          <w:p w:rsidR="000409D6" w:rsidRPr="00781175" w:rsidRDefault="000409D6" w:rsidP="006E155D">
            <w:pPr>
              <w:spacing w:before="120" w:after="120"/>
            </w:pPr>
            <w:r w:rsidRPr="00781175">
              <w:t>The net impact of where people live moves GST from States with less dispersed populations to those with more remote populations. The table below shows how our assessments capture the main influences. It brings together different influences described separately in the main analysis.</w:t>
            </w:r>
          </w:p>
          <w:p w:rsidR="000409D6" w:rsidRPr="00781175" w:rsidRDefault="000409D6" w:rsidP="006E155D">
            <w:pPr>
              <w:pStyle w:val="CGCTableHeading"/>
            </w:pPr>
            <w:r w:rsidRPr="00781175">
              <w:t>Different impacts on the GST of where people live across States, 2015-16 (a)</w:t>
            </w:r>
          </w:p>
          <w:tbl>
            <w:tblPr>
              <w:tblW w:w="8960" w:type="dxa"/>
              <w:tblCellMar>
                <w:left w:w="0" w:type="dxa"/>
                <w:right w:w="0" w:type="dxa"/>
              </w:tblCellMar>
              <w:tblLook w:val="04A0" w:firstRow="1" w:lastRow="0" w:firstColumn="1" w:lastColumn="0" w:noHBand="0" w:noVBand="1"/>
            </w:tblPr>
            <w:tblGrid>
              <w:gridCol w:w="3352"/>
              <w:gridCol w:w="623"/>
              <w:gridCol w:w="703"/>
              <w:gridCol w:w="605"/>
              <w:gridCol w:w="546"/>
              <w:gridCol w:w="546"/>
              <w:gridCol w:w="605"/>
              <w:gridCol w:w="605"/>
              <w:gridCol w:w="644"/>
              <w:gridCol w:w="722"/>
            </w:tblGrid>
            <w:tr w:rsidR="000409D6" w:rsidRPr="00781175" w:rsidTr="006E155D">
              <w:trPr>
                <w:trHeight w:val="379"/>
              </w:trPr>
              <w:tc>
                <w:tcPr>
                  <w:tcW w:w="3400" w:type="dxa"/>
                  <w:tcBorders>
                    <w:top w:val="single" w:sz="4" w:space="0" w:color="auto"/>
                    <w:left w:val="nil"/>
                    <w:bottom w:val="single" w:sz="4" w:space="0" w:color="auto"/>
                    <w:right w:val="nil"/>
                  </w:tcBorders>
                  <w:shd w:val="clear" w:color="auto" w:fill="auto"/>
                  <w:noWrap/>
                  <w:vAlign w:val="center"/>
                  <w:hideMark/>
                </w:tcPr>
                <w:p w:rsidR="000409D6" w:rsidRPr="00781175" w:rsidRDefault="000409D6" w:rsidP="006E155D">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w:t>
                  </w:r>
                </w:p>
              </w:tc>
              <w:tc>
                <w:tcPr>
                  <w:tcW w:w="620" w:type="dxa"/>
                  <w:tcBorders>
                    <w:top w:val="single" w:sz="4" w:space="0" w:color="auto"/>
                    <w:left w:val="nil"/>
                    <w:bottom w:val="single" w:sz="4" w:space="0" w:color="auto"/>
                    <w:right w:val="nil"/>
                  </w:tcBorders>
                  <w:shd w:val="clear" w:color="auto" w:fill="auto"/>
                  <w:noWrap/>
                  <w:vAlign w:val="center"/>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NSW</w:t>
                  </w:r>
                </w:p>
              </w:tc>
              <w:tc>
                <w:tcPr>
                  <w:tcW w:w="700" w:type="dxa"/>
                  <w:tcBorders>
                    <w:top w:val="single" w:sz="4" w:space="0" w:color="auto"/>
                    <w:left w:val="nil"/>
                    <w:bottom w:val="single" w:sz="4" w:space="0" w:color="auto"/>
                    <w:right w:val="nil"/>
                  </w:tcBorders>
                  <w:shd w:val="clear" w:color="auto" w:fill="auto"/>
                  <w:noWrap/>
                  <w:vAlign w:val="center"/>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Vic</w:t>
                  </w:r>
                </w:p>
              </w:tc>
              <w:tc>
                <w:tcPr>
                  <w:tcW w:w="600" w:type="dxa"/>
                  <w:tcBorders>
                    <w:top w:val="single" w:sz="4" w:space="0" w:color="auto"/>
                    <w:left w:val="nil"/>
                    <w:bottom w:val="single" w:sz="4" w:space="0" w:color="auto"/>
                    <w:right w:val="nil"/>
                  </w:tcBorders>
                  <w:shd w:val="clear" w:color="auto" w:fill="auto"/>
                  <w:noWrap/>
                  <w:vAlign w:val="center"/>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Qld</w:t>
                  </w:r>
                </w:p>
              </w:tc>
              <w:tc>
                <w:tcPr>
                  <w:tcW w:w="540" w:type="dxa"/>
                  <w:tcBorders>
                    <w:top w:val="single" w:sz="4" w:space="0" w:color="auto"/>
                    <w:left w:val="nil"/>
                    <w:bottom w:val="single" w:sz="4" w:space="0" w:color="auto"/>
                    <w:right w:val="nil"/>
                  </w:tcBorders>
                  <w:shd w:val="clear" w:color="auto" w:fill="auto"/>
                  <w:noWrap/>
                  <w:vAlign w:val="center"/>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WA</w:t>
                  </w:r>
                </w:p>
              </w:tc>
              <w:tc>
                <w:tcPr>
                  <w:tcW w:w="540" w:type="dxa"/>
                  <w:tcBorders>
                    <w:top w:val="single" w:sz="4" w:space="0" w:color="auto"/>
                    <w:left w:val="nil"/>
                    <w:bottom w:val="single" w:sz="4" w:space="0" w:color="auto"/>
                    <w:right w:val="nil"/>
                  </w:tcBorders>
                  <w:shd w:val="clear" w:color="auto" w:fill="auto"/>
                  <w:noWrap/>
                  <w:vAlign w:val="center"/>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SA</w:t>
                  </w:r>
                </w:p>
              </w:tc>
              <w:tc>
                <w:tcPr>
                  <w:tcW w:w="600" w:type="dxa"/>
                  <w:tcBorders>
                    <w:top w:val="single" w:sz="4" w:space="0" w:color="auto"/>
                    <w:left w:val="nil"/>
                    <w:bottom w:val="single" w:sz="4" w:space="0" w:color="auto"/>
                    <w:right w:val="nil"/>
                  </w:tcBorders>
                  <w:shd w:val="clear" w:color="auto" w:fill="auto"/>
                  <w:noWrap/>
                  <w:vAlign w:val="center"/>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781175">
                    <w:rPr>
                      <w:rFonts w:ascii="Calibri" w:eastAsia="Times New Roman" w:hAnsi="Calibri" w:cs="Times New Roman"/>
                      <w:sz w:val="20"/>
                      <w:szCs w:val="20"/>
                      <w:lang w:eastAsia="en-AU"/>
                    </w:rPr>
                    <w:t>Tas</w:t>
                  </w:r>
                  <w:proofErr w:type="spellEnd"/>
                </w:p>
              </w:tc>
              <w:tc>
                <w:tcPr>
                  <w:tcW w:w="600" w:type="dxa"/>
                  <w:tcBorders>
                    <w:top w:val="single" w:sz="4" w:space="0" w:color="auto"/>
                    <w:left w:val="nil"/>
                    <w:bottom w:val="single" w:sz="4" w:space="0" w:color="auto"/>
                    <w:right w:val="nil"/>
                  </w:tcBorders>
                  <w:shd w:val="clear" w:color="auto" w:fill="auto"/>
                  <w:noWrap/>
                  <w:vAlign w:val="center"/>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ACT</w:t>
                  </w:r>
                </w:p>
              </w:tc>
              <w:tc>
                <w:tcPr>
                  <w:tcW w:w="640" w:type="dxa"/>
                  <w:tcBorders>
                    <w:top w:val="single" w:sz="4" w:space="0" w:color="auto"/>
                    <w:left w:val="nil"/>
                    <w:bottom w:val="single" w:sz="4" w:space="0" w:color="auto"/>
                    <w:right w:val="nil"/>
                  </w:tcBorders>
                  <w:shd w:val="clear" w:color="auto" w:fill="auto"/>
                  <w:noWrap/>
                  <w:vAlign w:val="center"/>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NT</w:t>
                  </w:r>
                </w:p>
              </w:tc>
              <w:tc>
                <w:tcPr>
                  <w:tcW w:w="720" w:type="dxa"/>
                  <w:tcBorders>
                    <w:top w:val="single" w:sz="4" w:space="0" w:color="auto"/>
                    <w:left w:val="nil"/>
                    <w:bottom w:val="single" w:sz="4" w:space="0" w:color="auto"/>
                    <w:right w:val="nil"/>
                  </w:tcBorders>
                  <w:shd w:val="clear" w:color="auto" w:fill="auto"/>
                  <w:noWrap/>
                  <w:vAlign w:val="center"/>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781175">
                    <w:rPr>
                      <w:rFonts w:ascii="Calibri" w:eastAsia="Times New Roman" w:hAnsi="Calibri" w:cs="Times New Roman"/>
                      <w:sz w:val="20"/>
                      <w:szCs w:val="20"/>
                      <w:lang w:eastAsia="en-AU"/>
                    </w:rPr>
                    <w:t>Redist</w:t>
                  </w:r>
                  <w:proofErr w:type="spellEnd"/>
                </w:p>
              </w:tc>
            </w:tr>
            <w:tr w:rsidR="000409D6" w:rsidRPr="00781175" w:rsidTr="006E155D">
              <w:trPr>
                <w:trHeight w:val="259"/>
              </w:trPr>
              <w:tc>
                <w:tcPr>
                  <w:tcW w:w="3400" w:type="dxa"/>
                  <w:tcBorders>
                    <w:top w:val="nil"/>
                    <w:left w:val="nil"/>
                    <w:bottom w:val="nil"/>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620" w:type="dxa"/>
                  <w:tcBorders>
                    <w:top w:val="nil"/>
                    <w:left w:val="nil"/>
                    <w:bottom w:val="nil"/>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$m</w:t>
                  </w:r>
                </w:p>
              </w:tc>
              <w:tc>
                <w:tcPr>
                  <w:tcW w:w="600" w:type="dxa"/>
                  <w:tcBorders>
                    <w:top w:val="nil"/>
                    <w:left w:val="nil"/>
                    <w:bottom w:val="nil"/>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$m</w:t>
                  </w:r>
                </w:p>
              </w:tc>
              <w:tc>
                <w:tcPr>
                  <w:tcW w:w="540" w:type="dxa"/>
                  <w:tcBorders>
                    <w:top w:val="nil"/>
                    <w:left w:val="nil"/>
                    <w:bottom w:val="nil"/>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$m</w:t>
                  </w:r>
                </w:p>
              </w:tc>
              <w:tc>
                <w:tcPr>
                  <w:tcW w:w="540" w:type="dxa"/>
                  <w:tcBorders>
                    <w:top w:val="nil"/>
                    <w:left w:val="nil"/>
                    <w:bottom w:val="nil"/>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$m</w:t>
                  </w:r>
                </w:p>
              </w:tc>
              <w:tc>
                <w:tcPr>
                  <w:tcW w:w="600" w:type="dxa"/>
                  <w:tcBorders>
                    <w:top w:val="nil"/>
                    <w:left w:val="nil"/>
                    <w:bottom w:val="nil"/>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$m</w:t>
                  </w:r>
                </w:p>
              </w:tc>
              <w:tc>
                <w:tcPr>
                  <w:tcW w:w="600" w:type="dxa"/>
                  <w:tcBorders>
                    <w:top w:val="nil"/>
                    <w:left w:val="nil"/>
                    <w:bottom w:val="nil"/>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$m</w:t>
                  </w:r>
                </w:p>
              </w:tc>
            </w:tr>
            <w:tr w:rsidR="000409D6" w:rsidRPr="00781175" w:rsidTr="006E155D">
              <w:trPr>
                <w:trHeight w:val="315"/>
              </w:trPr>
              <w:tc>
                <w:tcPr>
                  <w:tcW w:w="3400" w:type="dxa"/>
                  <w:tcBorders>
                    <w:top w:val="nil"/>
                    <w:left w:val="nil"/>
                    <w:bottom w:val="nil"/>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Remoteness</w:t>
                  </w:r>
                </w:p>
              </w:tc>
              <w:tc>
                <w:tcPr>
                  <w:tcW w:w="62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-1 336</w:t>
                  </w:r>
                </w:p>
              </w:tc>
              <w:tc>
                <w:tcPr>
                  <w:tcW w:w="7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-1 113</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696</w:t>
                  </w:r>
                </w:p>
              </w:tc>
              <w:tc>
                <w:tcPr>
                  <w:tcW w:w="5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508</w:t>
                  </w:r>
                </w:p>
              </w:tc>
              <w:tc>
                <w:tcPr>
                  <w:tcW w:w="5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130</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377</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-153</w:t>
                  </w:r>
                </w:p>
              </w:tc>
              <w:tc>
                <w:tcPr>
                  <w:tcW w:w="6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890</w:t>
                  </w:r>
                </w:p>
              </w:tc>
              <w:tc>
                <w:tcPr>
                  <w:tcW w:w="720" w:type="dxa"/>
                  <w:tcBorders>
                    <w:top w:val="nil"/>
                    <w:left w:val="nil"/>
                    <w:bottom w:val="nil"/>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2 601</w:t>
                  </w:r>
                </w:p>
              </w:tc>
            </w:tr>
            <w:tr w:rsidR="000409D6" w:rsidRPr="00781175" w:rsidTr="006E155D">
              <w:trPr>
                <w:trHeight w:val="315"/>
              </w:trPr>
              <w:tc>
                <w:tcPr>
                  <w:tcW w:w="34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Influence of remoteness in SDC</w:t>
                  </w:r>
                </w:p>
              </w:tc>
              <w:tc>
                <w:tcPr>
                  <w:tcW w:w="62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-802</w:t>
                  </w:r>
                </w:p>
              </w:tc>
              <w:tc>
                <w:tcPr>
                  <w:tcW w:w="7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-580</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415</w:t>
                  </w:r>
                </w:p>
              </w:tc>
              <w:tc>
                <w:tcPr>
                  <w:tcW w:w="5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147</w:t>
                  </w:r>
                </w:p>
              </w:tc>
              <w:tc>
                <w:tcPr>
                  <w:tcW w:w="5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43</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308</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-129</w:t>
                  </w:r>
                </w:p>
              </w:tc>
              <w:tc>
                <w:tcPr>
                  <w:tcW w:w="6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599</w:t>
                  </w:r>
                </w:p>
              </w:tc>
              <w:tc>
                <w:tcPr>
                  <w:tcW w:w="720" w:type="dxa"/>
                  <w:tcBorders>
                    <w:top w:val="nil"/>
                    <w:left w:val="nil"/>
                    <w:bottom w:val="nil"/>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1 512</w:t>
                  </w:r>
                </w:p>
              </w:tc>
            </w:tr>
            <w:tr w:rsidR="000409D6" w:rsidRPr="00781175" w:rsidTr="006E155D">
              <w:trPr>
                <w:trHeight w:val="315"/>
              </w:trPr>
              <w:tc>
                <w:tcPr>
                  <w:tcW w:w="3400" w:type="dxa"/>
                  <w:tcBorders>
                    <w:top w:val="nil"/>
                    <w:left w:val="nil"/>
                    <w:bottom w:val="nil"/>
                    <w:right w:val="nil"/>
                  </w:tcBorders>
                  <w:shd w:val="clear" w:color="auto" w:fill="auto"/>
                  <w:noWrap/>
                  <w:vAlign w:val="bottom"/>
                  <w:hideMark/>
                </w:tcPr>
                <w:p w:rsidR="000409D6" w:rsidRPr="00781175" w:rsidRDefault="000409D6" w:rsidP="001862DC">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Regional costs</w:t>
                  </w:r>
                </w:p>
              </w:tc>
              <w:tc>
                <w:tcPr>
                  <w:tcW w:w="62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-524</w:t>
                  </w:r>
                </w:p>
              </w:tc>
              <w:tc>
                <w:tcPr>
                  <w:tcW w:w="7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-525</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287</w:t>
                  </w:r>
                </w:p>
              </w:tc>
              <w:tc>
                <w:tcPr>
                  <w:tcW w:w="5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274</w:t>
                  </w:r>
                </w:p>
              </w:tc>
              <w:tc>
                <w:tcPr>
                  <w:tcW w:w="5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89</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105</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-60</w:t>
                  </w:r>
                </w:p>
              </w:tc>
              <w:tc>
                <w:tcPr>
                  <w:tcW w:w="6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353</w:t>
                  </w:r>
                </w:p>
              </w:tc>
              <w:tc>
                <w:tcPr>
                  <w:tcW w:w="720" w:type="dxa"/>
                  <w:tcBorders>
                    <w:top w:val="nil"/>
                    <w:left w:val="nil"/>
                    <w:bottom w:val="nil"/>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1 109</w:t>
                  </w:r>
                </w:p>
              </w:tc>
            </w:tr>
            <w:tr w:rsidR="000409D6" w:rsidRPr="00781175" w:rsidTr="006E155D">
              <w:trPr>
                <w:trHeight w:val="315"/>
              </w:trPr>
              <w:tc>
                <w:tcPr>
                  <w:tcW w:w="3400" w:type="dxa"/>
                  <w:tcBorders>
                    <w:top w:val="nil"/>
                    <w:left w:val="nil"/>
                    <w:bottom w:val="nil"/>
                    <w:right w:val="nil"/>
                  </w:tcBorders>
                  <w:shd w:val="clear" w:color="auto" w:fill="auto"/>
                  <w:noWrap/>
                  <w:vAlign w:val="bottom"/>
                  <w:hideMark/>
                </w:tcPr>
                <w:p w:rsidR="000409D6" w:rsidRPr="00781175" w:rsidRDefault="000409D6" w:rsidP="001862DC">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Location adjustment</w:t>
                  </w:r>
                </w:p>
              </w:tc>
              <w:tc>
                <w:tcPr>
                  <w:tcW w:w="62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-9</w:t>
                  </w:r>
                </w:p>
              </w:tc>
              <w:tc>
                <w:tcPr>
                  <w:tcW w:w="7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-7</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-6</w:t>
                  </w:r>
                </w:p>
              </w:tc>
              <w:tc>
                <w:tcPr>
                  <w:tcW w:w="5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87</w:t>
                  </w:r>
                </w:p>
              </w:tc>
              <w:tc>
                <w:tcPr>
                  <w:tcW w:w="5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-36</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37</w:t>
                  </w:r>
                </w:p>
              </w:tc>
              <w:tc>
                <w:tcPr>
                  <w:tcW w:w="6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-63</w:t>
                  </w:r>
                </w:p>
              </w:tc>
              <w:tc>
                <w:tcPr>
                  <w:tcW w:w="720" w:type="dxa"/>
                  <w:tcBorders>
                    <w:top w:val="nil"/>
                    <w:left w:val="nil"/>
                    <w:bottom w:val="nil"/>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124</w:t>
                  </w:r>
                </w:p>
              </w:tc>
            </w:tr>
            <w:tr w:rsidR="000409D6" w:rsidRPr="00781175" w:rsidTr="006E155D">
              <w:trPr>
                <w:trHeight w:val="315"/>
              </w:trPr>
              <w:tc>
                <w:tcPr>
                  <w:tcW w:w="34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Urban Transport – urban centre size (b)</w:t>
                  </w:r>
                </w:p>
              </w:tc>
              <w:tc>
                <w:tcPr>
                  <w:tcW w:w="62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323</w:t>
                  </w:r>
                </w:p>
              </w:tc>
              <w:tc>
                <w:tcPr>
                  <w:tcW w:w="7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744</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-563</w:t>
                  </w:r>
                </w:p>
              </w:tc>
              <w:tc>
                <w:tcPr>
                  <w:tcW w:w="5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25</w:t>
                  </w:r>
                </w:p>
              </w:tc>
              <w:tc>
                <w:tcPr>
                  <w:tcW w:w="5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-152</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-211</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-54</w:t>
                  </w:r>
                </w:p>
              </w:tc>
              <w:tc>
                <w:tcPr>
                  <w:tcW w:w="6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-112</w:t>
                  </w:r>
                </w:p>
              </w:tc>
              <w:tc>
                <w:tcPr>
                  <w:tcW w:w="720" w:type="dxa"/>
                  <w:tcBorders>
                    <w:top w:val="nil"/>
                    <w:left w:val="nil"/>
                    <w:bottom w:val="nil"/>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1 092</w:t>
                  </w:r>
                </w:p>
              </w:tc>
            </w:tr>
            <w:tr w:rsidR="000409D6" w:rsidRPr="00781175" w:rsidTr="006E155D">
              <w:trPr>
                <w:trHeight w:val="315"/>
              </w:trPr>
              <w:tc>
                <w:tcPr>
                  <w:tcW w:w="34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Small remote communities – utilities</w:t>
                  </w:r>
                </w:p>
              </w:tc>
              <w:tc>
                <w:tcPr>
                  <w:tcW w:w="62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-311</w:t>
                  </w:r>
                </w:p>
              </w:tc>
              <w:tc>
                <w:tcPr>
                  <w:tcW w:w="7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-274</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95</w:t>
                  </w:r>
                </w:p>
              </w:tc>
              <w:tc>
                <w:tcPr>
                  <w:tcW w:w="5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187</w:t>
                  </w:r>
                </w:p>
              </w:tc>
              <w:tc>
                <w:tcPr>
                  <w:tcW w:w="5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63</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22</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-19</w:t>
                  </w:r>
                </w:p>
              </w:tc>
              <w:tc>
                <w:tcPr>
                  <w:tcW w:w="6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238</w:t>
                  </w:r>
                </w:p>
              </w:tc>
              <w:tc>
                <w:tcPr>
                  <w:tcW w:w="720" w:type="dxa"/>
                  <w:tcBorders>
                    <w:top w:val="nil"/>
                    <w:left w:val="nil"/>
                    <w:bottom w:val="nil"/>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605</w:t>
                  </w:r>
                </w:p>
              </w:tc>
            </w:tr>
            <w:tr w:rsidR="000409D6" w:rsidRPr="00781175" w:rsidTr="006E155D">
              <w:trPr>
                <w:trHeight w:val="315"/>
              </w:trPr>
              <w:tc>
                <w:tcPr>
                  <w:tcW w:w="34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Urban/rural road length</w:t>
                  </w:r>
                </w:p>
              </w:tc>
              <w:tc>
                <w:tcPr>
                  <w:tcW w:w="62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-198</w:t>
                  </w:r>
                </w:p>
              </w:tc>
              <w:tc>
                <w:tcPr>
                  <w:tcW w:w="7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-219</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97</w:t>
                  </w:r>
                </w:p>
              </w:tc>
              <w:tc>
                <w:tcPr>
                  <w:tcW w:w="5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192</w:t>
                  </w:r>
                </w:p>
              </w:tc>
              <w:tc>
                <w:tcPr>
                  <w:tcW w:w="5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51</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-12</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-21</w:t>
                  </w:r>
                </w:p>
              </w:tc>
              <w:tc>
                <w:tcPr>
                  <w:tcW w:w="6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110</w:t>
                  </w:r>
                </w:p>
              </w:tc>
              <w:tc>
                <w:tcPr>
                  <w:tcW w:w="720" w:type="dxa"/>
                  <w:tcBorders>
                    <w:top w:val="nil"/>
                    <w:left w:val="nil"/>
                    <w:bottom w:val="nil"/>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450</w:t>
                  </w:r>
                </w:p>
              </w:tc>
            </w:tr>
            <w:tr w:rsidR="000409D6" w:rsidRPr="00781175" w:rsidTr="006E155D">
              <w:trPr>
                <w:trHeight w:val="315"/>
              </w:trPr>
              <w:tc>
                <w:tcPr>
                  <w:tcW w:w="34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Other (c)</w:t>
                  </w:r>
                </w:p>
              </w:tc>
              <w:tc>
                <w:tcPr>
                  <w:tcW w:w="62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43</w:t>
                  </w:r>
                </w:p>
              </w:tc>
              <w:tc>
                <w:tcPr>
                  <w:tcW w:w="7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-197</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187</w:t>
                  </w:r>
                </w:p>
              </w:tc>
              <w:tc>
                <w:tcPr>
                  <w:tcW w:w="5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-60</w:t>
                  </w:r>
                </w:p>
              </w:tc>
              <w:tc>
                <w:tcPr>
                  <w:tcW w:w="5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38</w:t>
                  </w:r>
                </w:p>
              </w:tc>
              <w:tc>
                <w:tcPr>
                  <w:tcW w:w="60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-42</w:t>
                  </w:r>
                </w:p>
              </w:tc>
              <w:tc>
                <w:tcPr>
                  <w:tcW w:w="640" w:type="dxa"/>
                  <w:tcBorders>
                    <w:top w:val="nil"/>
                    <w:left w:val="nil"/>
                    <w:bottom w:val="nil"/>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33</w:t>
                  </w:r>
                </w:p>
              </w:tc>
              <w:tc>
                <w:tcPr>
                  <w:tcW w:w="720" w:type="dxa"/>
                  <w:tcBorders>
                    <w:top w:val="nil"/>
                    <w:left w:val="nil"/>
                    <w:bottom w:val="nil"/>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301</w:t>
                  </w:r>
                </w:p>
              </w:tc>
            </w:tr>
            <w:tr w:rsidR="000409D6" w:rsidRPr="00781175" w:rsidTr="006E155D">
              <w:trPr>
                <w:trHeight w:val="315"/>
              </w:trPr>
              <w:tc>
                <w:tcPr>
                  <w:tcW w:w="3400" w:type="dxa"/>
                  <w:tcBorders>
                    <w:top w:val="nil"/>
                    <w:left w:val="nil"/>
                    <w:bottom w:val="single" w:sz="4" w:space="0" w:color="auto"/>
                    <w:right w:val="nil"/>
                  </w:tcBorders>
                  <w:shd w:val="clear" w:color="auto" w:fill="auto"/>
                  <w:vAlign w:val="bottom"/>
                  <w:hideMark/>
                </w:tcPr>
                <w:p w:rsidR="000409D6" w:rsidRPr="00781175" w:rsidRDefault="000409D6" w:rsidP="006E155D">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Total</w:t>
                  </w:r>
                </w:p>
              </w:tc>
              <w:tc>
                <w:tcPr>
                  <w:tcW w:w="620" w:type="dxa"/>
                  <w:tcBorders>
                    <w:top w:val="single" w:sz="4" w:space="0" w:color="auto"/>
                    <w:left w:val="nil"/>
                    <w:bottom w:val="single" w:sz="4" w:space="0" w:color="auto"/>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-1 479</w:t>
                  </w:r>
                </w:p>
              </w:tc>
              <w:tc>
                <w:tcPr>
                  <w:tcW w:w="700" w:type="dxa"/>
                  <w:tcBorders>
                    <w:top w:val="single" w:sz="4" w:space="0" w:color="auto"/>
                    <w:left w:val="nil"/>
                    <w:bottom w:val="single" w:sz="4" w:space="0" w:color="auto"/>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-1 059</w:t>
                  </w:r>
                </w:p>
              </w:tc>
              <w:tc>
                <w:tcPr>
                  <w:tcW w:w="600" w:type="dxa"/>
                  <w:tcBorders>
                    <w:top w:val="single" w:sz="4" w:space="0" w:color="auto"/>
                    <w:left w:val="nil"/>
                    <w:bottom w:val="single" w:sz="4" w:space="0" w:color="auto"/>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512</w:t>
                  </w:r>
                </w:p>
              </w:tc>
              <w:tc>
                <w:tcPr>
                  <w:tcW w:w="540" w:type="dxa"/>
                  <w:tcBorders>
                    <w:top w:val="single" w:sz="4" w:space="0" w:color="auto"/>
                    <w:left w:val="nil"/>
                    <w:bottom w:val="single" w:sz="4" w:space="0" w:color="auto"/>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852</w:t>
                  </w:r>
                </w:p>
              </w:tc>
              <w:tc>
                <w:tcPr>
                  <w:tcW w:w="540" w:type="dxa"/>
                  <w:tcBorders>
                    <w:top w:val="single" w:sz="4" w:space="0" w:color="auto"/>
                    <w:left w:val="nil"/>
                    <w:bottom w:val="single" w:sz="4" w:space="0" w:color="auto"/>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89</w:t>
                  </w:r>
                </w:p>
              </w:tc>
              <w:tc>
                <w:tcPr>
                  <w:tcW w:w="600" w:type="dxa"/>
                  <w:tcBorders>
                    <w:top w:val="single" w:sz="4" w:space="0" w:color="auto"/>
                    <w:left w:val="nil"/>
                    <w:bottom w:val="single" w:sz="4" w:space="0" w:color="auto"/>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214</w:t>
                  </w:r>
                </w:p>
              </w:tc>
              <w:tc>
                <w:tcPr>
                  <w:tcW w:w="600" w:type="dxa"/>
                  <w:tcBorders>
                    <w:top w:val="single" w:sz="4" w:space="0" w:color="auto"/>
                    <w:left w:val="nil"/>
                    <w:bottom w:val="single" w:sz="4" w:space="0" w:color="auto"/>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-290</w:t>
                  </w:r>
                </w:p>
              </w:tc>
              <w:tc>
                <w:tcPr>
                  <w:tcW w:w="640" w:type="dxa"/>
                  <w:tcBorders>
                    <w:top w:val="single" w:sz="4" w:space="0" w:color="auto"/>
                    <w:left w:val="nil"/>
                    <w:bottom w:val="single" w:sz="4" w:space="0" w:color="auto"/>
                    <w:right w:val="nil"/>
                  </w:tcBorders>
                  <w:shd w:val="clear" w:color="auto" w:fill="auto"/>
                  <w:noWrap/>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1 160</w:t>
                  </w:r>
                </w:p>
              </w:tc>
              <w:tc>
                <w:tcPr>
                  <w:tcW w:w="720" w:type="dxa"/>
                  <w:tcBorders>
                    <w:top w:val="single" w:sz="4" w:space="0" w:color="auto"/>
                    <w:left w:val="nil"/>
                    <w:bottom w:val="single" w:sz="4" w:space="0" w:color="auto"/>
                    <w:right w:val="nil"/>
                  </w:tcBorders>
                  <w:shd w:val="clear" w:color="auto" w:fill="auto"/>
                  <w:vAlign w:val="bottom"/>
                  <w:hideMark/>
                </w:tcPr>
                <w:p w:rsidR="000409D6" w:rsidRPr="00781175" w:rsidRDefault="000409D6" w:rsidP="006E155D">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2 827</w:t>
                  </w:r>
                </w:p>
              </w:tc>
            </w:tr>
          </w:tbl>
          <w:p w:rsidR="000409D6" w:rsidRPr="00781175" w:rsidRDefault="000409D6" w:rsidP="006E155D">
            <w:pPr>
              <w:pStyle w:val="CGCTableFootnote"/>
            </w:pPr>
            <w:r w:rsidRPr="00781175">
              <w:t>(a)</w:t>
            </w:r>
            <w:r w:rsidRPr="00781175">
              <w:tab/>
              <w:t>Unless specified, effects on investment are not included in this analysis</w:t>
            </w:r>
          </w:p>
          <w:p w:rsidR="000409D6" w:rsidRPr="00781175" w:rsidRDefault="000409D6" w:rsidP="006E155D">
            <w:pPr>
              <w:pStyle w:val="CGCTableFootnote"/>
            </w:pPr>
            <w:r w:rsidRPr="00781175">
              <w:t>(b)</w:t>
            </w:r>
            <w:r w:rsidRPr="00781175">
              <w:tab/>
              <w:t>Effects of urban city size on urban transport expenses and investment, excluding investment attributed to population growth.</w:t>
            </w:r>
          </w:p>
          <w:p w:rsidR="000409D6" w:rsidRPr="00781175" w:rsidRDefault="000409D6" w:rsidP="006E155D">
            <w:pPr>
              <w:pStyle w:val="CGCTableFootnote"/>
            </w:pPr>
            <w:r w:rsidRPr="00781175">
              <w:t>(c)</w:t>
            </w:r>
            <w:r w:rsidRPr="00781175">
              <w:tab/>
              <w:t xml:space="preserve">Includes </w:t>
            </w:r>
            <w:r w:rsidR="008E10E8" w:rsidRPr="00781175">
              <w:t>s</w:t>
            </w:r>
            <w:r w:rsidRPr="00781175">
              <w:t>tudent transport, non-urban transport and service delivery scale.</w:t>
            </w:r>
          </w:p>
          <w:p w:rsidR="000409D6" w:rsidRPr="00781175" w:rsidRDefault="000409D6" w:rsidP="006E155D">
            <w:pPr>
              <w:pStyle w:val="CGCTableFootnote"/>
            </w:pPr>
            <w:r w:rsidRPr="00781175">
              <w:t>Source:</w:t>
            </w:r>
            <w:r w:rsidRPr="00781175">
              <w:tab/>
              <w:t>Commission calculation.</w:t>
            </w:r>
          </w:p>
          <w:p w:rsidR="000409D6" w:rsidRPr="00781175" w:rsidRDefault="000409D6" w:rsidP="006E155D">
            <w:pPr>
              <w:spacing w:before="120" w:after="120"/>
            </w:pPr>
            <w:r w:rsidRPr="00781175">
              <w:t>The</w:t>
            </w:r>
            <w:r w:rsidR="00781175">
              <w:t xml:space="preserve"> table shows that remoteness </w:t>
            </w:r>
            <w:r w:rsidRPr="00781175">
              <w:t>impacts are somewhat moderated by the transport services and infrastructure assessments, where residents of the largest cities like Sydney and Melbourne are assessed as requiring significantly more to be spent on them at average policy than residents of smaller cities or more remote areas.</w:t>
            </w:r>
          </w:p>
          <w:p w:rsidR="000409D6" w:rsidRPr="00781175" w:rsidRDefault="000409D6" w:rsidP="006E155D">
            <w:pPr>
              <w:spacing w:before="120" w:after="120"/>
            </w:pPr>
            <w:r w:rsidRPr="00781175">
              <w:t>The settlement pattern of a State also affects road networks, the extent to which subsidies for electricity and water are required (mainly for people living in small remote communities) and the costs of transporting students to school.</w:t>
            </w:r>
          </w:p>
        </w:tc>
      </w:tr>
    </w:tbl>
    <w:p w:rsidR="00037390" w:rsidRPr="00781175" w:rsidRDefault="00037390" w:rsidP="00037390">
      <w:pPr>
        <w:pStyle w:val="Heading5"/>
      </w:pPr>
      <w:r w:rsidRPr="00781175">
        <w:t>Indigen</w:t>
      </w:r>
      <w:bookmarkEnd w:id="516"/>
      <w:bookmarkEnd w:id="517"/>
      <w:r w:rsidRPr="00781175">
        <w:t>ous status</w:t>
      </w:r>
    </w:p>
    <w:p w:rsidR="00037390" w:rsidRPr="00781175" w:rsidRDefault="00037390" w:rsidP="00037390">
      <w:pPr>
        <w:pStyle w:val="CGCNumberedPara"/>
        <w:numPr>
          <w:ilvl w:val="1"/>
          <w:numId w:val="2"/>
        </w:numPr>
      </w:pPr>
      <w:r w:rsidRPr="00781175">
        <w:t>States spend significantly more per capita on Indigenous people than on non</w:t>
      </w:r>
      <w:r w:rsidRPr="00781175">
        <w:noBreakHyphen/>
        <w:t xml:space="preserve">Indigenous people. </w:t>
      </w:r>
    </w:p>
    <w:p w:rsidR="00037390" w:rsidRPr="00781175" w:rsidRDefault="00037390" w:rsidP="00037390">
      <w:pPr>
        <w:pStyle w:val="CGCNumberedPara"/>
        <w:numPr>
          <w:ilvl w:val="1"/>
          <w:numId w:val="2"/>
        </w:numPr>
      </w:pPr>
      <w:r w:rsidRPr="00781175">
        <w:fldChar w:fldCharType="begin"/>
      </w:r>
      <w:r w:rsidRPr="00781175">
        <w:instrText xml:space="preserve"> REF _Ref312070173 \h  \* MERGEFORMAT </w:instrText>
      </w:r>
      <w:r w:rsidRPr="00781175">
        <w:fldChar w:fldCharType="separate"/>
      </w:r>
      <w:r w:rsidR="003A5DEE" w:rsidRPr="00781175">
        <w:t xml:space="preserve">Table </w:t>
      </w:r>
      <w:r w:rsidR="003A5DEE">
        <w:t>6</w:t>
      </w:r>
      <w:r w:rsidRPr="00781175">
        <w:fldChar w:fldCharType="end"/>
      </w:r>
      <w:r w:rsidRPr="00781175">
        <w:t xml:space="preserve"> shows how much more States spent in 2013-14</w:t>
      </w:r>
      <w:r w:rsidR="009F3FA7" w:rsidRPr="00781175">
        <w:t>,</w:t>
      </w:r>
      <w:r w:rsidRPr="00781175">
        <w:t xml:space="preserve"> on average</w:t>
      </w:r>
      <w:r w:rsidR="009F3FA7" w:rsidRPr="00781175">
        <w:t>, on an</w:t>
      </w:r>
      <w:r w:rsidRPr="00781175">
        <w:t xml:space="preserve"> Indigenous person than on a non-Indigenous person. The main services that contribute to the overall higher cost of Indigenous people are </w:t>
      </w:r>
      <w:r w:rsidR="0030325C" w:rsidRPr="00781175">
        <w:t xml:space="preserve">justice </w:t>
      </w:r>
      <w:r w:rsidRPr="00781175">
        <w:t xml:space="preserve">and </w:t>
      </w:r>
      <w:r w:rsidR="0030325C" w:rsidRPr="00781175">
        <w:t xml:space="preserve">health </w:t>
      </w:r>
      <w:r w:rsidRPr="00781175">
        <w:t xml:space="preserve">services. </w:t>
      </w:r>
    </w:p>
    <w:p w:rsidR="00037390" w:rsidRPr="00781175" w:rsidRDefault="00037390" w:rsidP="00037390">
      <w:pPr>
        <w:pStyle w:val="CGCTableHeading"/>
        <w:rPr>
          <w:i/>
        </w:rPr>
      </w:pPr>
      <w:bookmarkStart w:id="521" w:name="_Ref312070173"/>
      <w:bookmarkStart w:id="522" w:name="_Toc315959995"/>
      <w:bookmarkStart w:id="523" w:name="_Toc316727526"/>
      <w:bookmarkStart w:id="524" w:name="_Toc316727831"/>
      <w:bookmarkStart w:id="525" w:name="_Toc347833834"/>
      <w:r w:rsidRPr="00781175">
        <w:lastRenderedPageBreak/>
        <w:t xml:space="preserve">Table </w:t>
      </w:r>
      <w:fldSimple w:instr=" SEQ Table \* ARABIC ">
        <w:r w:rsidR="003A5DEE">
          <w:rPr>
            <w:noProof/>
          </w:rPr>
          <w:t>6</w:t>
        </w:r>
      </w:fldSimple>
      <w:bookmarkEnd w:id="521"/>
      <w:r w:rsidRPr="00781175">
        <w:tab/>
        <w:t xml:space="preserve">Estimated spending </w:t>
      </w:r>
      <w:r w:rsidR="008815AD" w:rsidRPr="00781175">
        <w:t xml:space="preserve">per capita </w:t>
      </w:r>
      <w:r w:rsidRPr="00781175">
        <w:t>on Indigenous and non</w:t>
      </w:r>
      <w:r w:rsidRPr="00781175">
        <w:noBreakHyphen/>
        <w:t>Indigenous people</w:t>
      </w:r>
      <w:bookmarkEnd w:id="522"/>
      <w:bookmarkEnd w:id="523"/>
      <w:bookmarkEnd w:id="524"/>
      <w:r w:rsidRPr="00781175">
        <w:t>, 2013</w:t>
      </w:r>
      <w:r w:rsidRPr="00781175">
        <w:noBreakHyphen/>
        <w:t>1</w:t>
      </w:r>
      <w:bookmarkEnd w:id="525"/>
      <w:r w:rsidRPr="00781175">
        <w:t>4</w:t>
      </w:r>
      <w:r w:rsidRPr="00781175">
        <w:rPr>
          <w:i/>
        </w:rPr>
        <w:t xml:space="preserve"> </w:t>
      </w:r>
    </w:p>
    <w:tbl>
      <w:tblPr>
        <w:tblW w:w="8960" w:type="dxa"/>
        <w:tblInd w:w="93" w:type="dxa"/>
        <w:tblLook w:val="04A0" w:firstRow="1" w:lastRow="0" w:firstColumn="1" w:lastColumn="0" w:noHBand="0" w:noVBand="1"/>
      </w:tblPr>
      <w:tblGrid>
        <w:gridCol w:w="3000"/>
        <w:gridCol w:w="1110"/>
        <w:gridCol w:w="2060"/>
        <w:gridCol w:w="1620"/>
        <w:gridCol w:w="1220"/>
      </w:tblGrid>
      <w:tr w:rsidR="006C1F79" w:rsidRPr="00781175" w:rsidTr="006C1F79">
        <w:trPr>
          <w:trHeight w:val="315"/>
        </w:trPr>
        <w:tc>
          <w:tcPr>
            <w:tcW w:w="3000" w:type="dxa"/>
            <w:tcBorders>
              <w:top w:val="single" w:sz="4" w:space="0" w:color="auto"/>
              <w:left w:val="nil"/>
              <w:bottom w:val="single" w:sz="4" w:space="0" w:color="auto"/>
              <w:right w:val="nil"/>
            </w:tcBorders>
            <w:shd w:val="clear" w:color="auto" w:fill="auto"/>
            <w:noWrap/>
            <w:vAlign w:val="bottom"/>
            <w:hideMark/>
          </w:tcPr>
          <w:p w:rsidR="006C1F79" w:rsidRPr="00781175" w:rsidRDefault="006C1F79" w:rsidP="006C1F79">
            <w:pPr>
              <w:tabs>
                <w:tab w:val="clear" w:pos="567"/>
              </w:tabs>
              <w:spacing w:after="0" w:line="240" w:lineRule="auto"/>
              <w:rPr>
                <w:rFonts w:ascii="Calibri" w:eastAsia="Times New Roman" w:hAnsi="Calibri" w:cs="Times New Roman"/>
                <w:sz w:val="20"/>
                <w:szCs w:val="20"/>
                <w:lang w:eastAsia="en-AU"/>
              </w:rPr>
            </w:pPr>
            <w:bookmarkStart w:id="526" w:name="RANGE!A4:E13"/>
            <w:r w:rsidRPr="00781175">
              <w:rPr>
                <w:rFonts w:ascii="Calibri" w:eastAsia="Times New Roman" w:hAnsi="Calibri" w:cs="Times New Roman"/>
                <w:sz w:val="20"/>
                <w:szCs w:val="20"/>
                <w:lang w:eastAsia="en-AU"/>
              </w:rPr>
              <w:t> </w:t>
            </w:r>
            <w:bookmarkEnd w:id="526"/>
          </w:p>
        </w:tc>
        <w:tc>
          <w:tcPr>
            <w:tcW w:w="1060" w:type="dxa"/>
            <w:tcBorders>
              <w:top w:val="single" w:sz="4" w:space="0" w:color="auto"/>
              <w:left w:val="nil"/>
              <w:bottom w:val="single" w:sz="4" w:space="0" w:color="auto"/>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Indigenous</w:t>
            </w:r>
          </w:p>
        </w:tc>
        <w:tc>
          <w:tcPr>
            <w:tcW w:w="2060" w:type="dxa"/>
            <w:tcBorders>
              <w:top w:val="single" w:sz="4" w:space="0" w:color="auto"/>
              <w:left w:val="nil"/>
              <w:bottom w:val="single" w:sz="4" w:space="0" w:color="auto"/>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Non-Indigenous</w:t>
            </w:r>
          </w:p>
        </w:tc>
        <w:tc>
          <w:tcPr>
            <w:tcW w:w="1620" w:type="dxa"/>
            <w:tcBorders>
              <w:top w:val="single" w:sz="4" w:space="0" w:color="auto"/>
              <w:left w:val="nil"/>
              <w:bottom w:val="single" w:sz="4" w:space="0" w:color="auto"/>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Difference</w:t>
            </w:r>
          </w:p>
        </w:tc>
        <w:tc>
          <w:tcPr>
            <w:tcW w:w="1220" w:type="dxa"/>
            <w:tcBorders>
              <w:top w:val="single" w:sz="4" w:space="0" w:color="auto"/>
              <w:left w:val="nil"/>
              <w:bottom w:val="single" w:sz="4" w:space="0" w:color="auto"/>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Ratio</w:t>
            </w:r>
          </w:p>
        </w:tc>
      </w:tr>
      <w:tr w:rsidR="006C1F79" w:rsidRPr="00781175" w:rsidTr="006C1F79">
        <w:trPr>
          <w:trHeight w:val="259"/>
        </w:trPr>
        <w:tc>
          <w:tcPr>
            <w:tcW w:w="300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p>
        </w:tc>
        <w:tc>
          <w:tcPr>
            <w:tcW w:w="106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$pc</w:t>
            </w:r>
          </w:p>
        </w:tc>
        <w:tc>
          <w:tcPr>
            <w:tcW w:w="206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$pc</w:t>
            </w:r>
          </w:p>
        </w:tc>
        <w:tc>
          <w:tcPr>
            <w:tcW w:w="1620" w:type="dxa"/>
            <w:tcBorders>
              <w:top w:val="nil"/>
              <w:left w:val="nil"/>
              <w:bottom w:val="nil"/>
              <w:right w:val="nil"/>
            </w:tcBorders>
            <w:shd w:val="clear" w:color="auto" w:fill="auto"/>
            <w:noWrap/>
            <w:vAlign w:val="bottom"/>
            <w:hideMark/>
          </w:tcPr>
          <w:p w:rsidR="006C1F79" w:rsidRPr="00781175" w:rsidRDefault="008815AD"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$pc</w:t>
            </w:r>
          </w:p>
        </w:tc>
        <w:tc>
          <w:tcPr>
            <w:tcW w:w="122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p>
        </w:tc>
      </w:tr>
      <w:tr w:rsidR="006C1F79" w:rsidRPr="00781175" w:rsidTr="006C1F79">
        <w:trPr>
          <w:trHeight w:val="315"/>
        </w:trPr>
        <w:tc>
          <w:tcPr>
            <w:tcW w:w="300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Schools</w:t>
            </w:r>
          </w:p>
        </w:tc>
        <w:tc>
          <w:tcPr>
            <w:tcW w:w="106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3 244</w:t>
            </w:r>
          </w:p>
        </w:tc>
        <w:tc>
          <w:tcPr>
            <w:tcW w:w="206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1 248</w:t>
            </w:r>
          </w:p>
        </w:tc>
        <w:tc>
          <w:tcPr>
            <w:tcW w:w="162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1 996</w:t>
            </w:r>
          </w:p>
        </w:tc>
        <w:tc>
          <w:tcPr>
            <w:tcW w:w="122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2.6</w:t>
            </w:r>
          </w:p>
        </w:tc>
      </w:tr>
      <w:tr w:rsidR="006C1F79" w:rsidRPr="00781175" w:rsidTr="006C1F79">
        <w:trPr>
          <w:trHeight w:val="315"/>
        </w:trPr>
        <w:tc>
          <w:tcPr>
            <w:tcW w:w="300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Post-secondary</w:t>
            </w:r>
          </w:p>
        </w:tc>
        <w:tc>
          <w:tcPr>
            <w:tcW w:w="106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500</w:t>
            </w:r>
          </w:p>
        </w:tc>
        <w:tc>
          <w:tcPr>
            <w:tcW w:w="206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241</w:t>
            </w:r>
          </w:p>
        </w:tc>
        <w:tc>
          <w:tcPr>
            <w:tcW w:w="162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259</w:t>
            </w:r>
          </w:p>
        </w:tc>
        <w:tc>
          <w:tcPr>
            <w:tcW w:w="122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2.1</w:t>
            </w:r>
          </w:p>
        </w:tc>
      </w:tr>
      <w:tr w:rsidR="006C1F79" w:rsidRPr="00781175" w:rsidTr="006C1F79">
        <w:trPr>
          <w:trHeight w:val="315"/>
        </w:trPr>
        <w:tc>
          <w:tcPr>
            <w:tcW w:w="300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Health</w:t>
            </w:r>
          </w:p>
        </w:tc>
        <w:tc>
          <w:tcPr>
            <w:tcW w:w="106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4 561</w:t>
            </w:r>
          </w:p>
        </w:tc>
        <w:tc>
          <w:tcPr>
            <w:tcW w:w="206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2 008</w:t>
            </w:r>
          </w:p>
        </w:tc>
        <w:tc>
          <w:tcPr>
            <w:tcW w:w="162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2 553</w:t>
            </w:r>
          </w:p>
        </w:tc>
        <w:tc>
          <w:tcPr>
            <w:tcW w:w="122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2.3</w:t>
            </w:r>
          </w:p>
        </w:tc>
      </w:tr>
      <w:tr w:rsidR="006C1F79" w:rsidRPr="00781175" w:rsidTr="006C1F79">
        <w:trPr>
          <w:trHeight w:val="315"/>
        </w:trPr>
        <w:tc>
          <w:tcPr>
            <w:tcW w:w="300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Housing</w:t>
            </w:r>
          </w:p>
        </w:tc>
        <w:tc>
          <w:tcPr>
            <w:tcW w:w="106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1 215</w:t>
            </w:r>
          </w:p>
        </w:tc>
        <w:tc>
          <w:tcPr>
            <w:tcW w:w="206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162</w:t>
            </w:r>
          </w:p>
        </w:tc>
        <w:tc>
          <w:tcPr>
            <w:tcW w:w="162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1 053</w:t>
            </w:r>
          </w:p>
        </w:tc>
        <w:tc>
          <w:tcPr>
            <w:tcW w:w="122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7.5</w:t>
            </w:r>
          </w:p>
        </w:tc>
      </w:tr>
      <w:tr w:rsidR="006C1F79" w:rsidRPr="00781175" w:rsidTr="006C1F79">
        <w:trPr>
          <w:trHeight w:val="315"/>
        </w:trPr>
        <w:tc>
          <w:tcPr>
            <w:tcW w:w="300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Welfare - family and child</w:t>
            </w:r>
          </w:p>
        </w:tc>
        <w:tc>
          <w:tcPr>
            <w:tcW w:w="106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2 001</w:t>
            </w:r>
          </w:p>
        </w:tc>
        <w:tc>
          <w:tcPr>
            <w:tcW w:w="206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130</w:t>
            </w:r>
          </w:p>
        </w:tc>
        <w:tc>
          <w:tcPr>
            <w:tcW w:w="162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1 871</w:t>
            </w:r>
          </w:p>
        </w:tc>
        <w:tc>
          <w:tcPr>
            <w:tcW w:w="122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15.3</w:t>
            </w:r>
          </w:p>
        </w:tc>
      </w:tr>
      <w:tr w:rsidR="006C1F79" w:rsidRPr="00781175" w:rsidTr="006C1F79">
        <w:trPr>
          <w:trHeight w:val="315"/>
        </w:trPr>
        <w:tc>
          <w:tcPr>
            <w:tcW w:w="300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Services to communities</w:t>
            </w:r>
          </w:p>
        </w:tc>
        <w:tc>
          <w:tcPr>
            <w:tcW w:w="106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387</w:t>
            </w:r>
          </w:p>
        </w:tc>
        <w:tc>
          <w:tcPr>
            <w:tcW w:w="206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71</w:t>
            </w:r>
          </w:p>
        </w:tc>
        <w:tc>
          <w:tcPr>
            <w:tcW w:w="162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316</w:t>
            </w:r>
          </w:p>
        </w:tc>
        <w:tc>
          <w:tcPr>
            <w:tcW w:w="122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5.5</w:t>
            </w:r>
          </w:p>
        </w:tc>
      </w:tr>
      <w:tr w:rsidR="006C1F79" w:rsidRPr="00781175" w:rsidTr="006C1F79">
        <w:trPr>
          <w:trHeight w:val="315"/>
        </w:trPr>
        <w:tc>
          <w:tcPr>
            <w:tcW w:w="300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Justice</w:t>
            </w:r>
          </w:p>
        </w:tc>
        <w:tc>
          <w:tcPr>
            <w:tcW w:w="106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3 415</w:t>
            </w:r>
          </w:p>
        </w:tc>
        <w:tc>
          <w:tcPr>
            <w:tcW w:w="206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623</w:t>
            </w:r>
          </w:p>
        </w:tc>
        <w:tc>
          <w:tcPr>
            <w:tcW w:w="162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2 792</w:t>
            </w:r>
          </w:p>
        </w:tc>
        <w:tc>
          <w:tcPr>
            <w:tcW w:w="1220" w:type="dxa"/>
            <w:tcBorders>
              <w:top w:val="nil"/>
              <w:left w:val="nil"/>
              <w:bottom w:val="nil"/>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5.5</w:t>
            </w:r>
          </w:p>
        </w:tc>
      </w:tr>
      <w:tr w:rsidR="006C1F79" w:rsidRPr="00781175" w:rsidTr="006C1F79">
        <w:trPr>
          <w:trHeight w:val="315"/>
        </w:trPr>
        <w:tc>
          <w:tcPr>
            <w:tcW w:w="3000" w:type="dxa"/>
            <w:tcBorders>
              <w:top w:val="nil"/>
              <w:left w:val="nil"/>
              <w:bottom w:val="single" w:sz="4" w:space="0" w:color="auto"/>
              <w:right w:val="nil"/>
            </w:tcBorders>
            <w:shd w:val="clear" w:color="auto" w:fill="auto"/>
            <w:noWrap/>
            <w:vAlign w:val="bottom"/>
            <w:hideMark/>
          </w:tcPr>
          <w:p w:rsidR="006C1F79" w:rsidRPr="00781175" w:rsidRDefault="006C1F79" w:rsidP="006C1F79">
            <w:pPr>
              <w:tabs>
                <w:tab w:val="clear" w:pos="567"/>
              </w:tabs>
              <w:spacing w:after="0" w:line="240" w:lineRule="auto"/>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Total</w:t>
            </w:r>
          </w:p>
        </w:tc>
        <w:tc>
          <w:tcPr>
            <w:tcW w:w="1060" w:type="dxa"/>
            <w:tcBorders>
              <w:top w:val="single" w:sz="4" w:space="0" w:color="auto"/>
              <w:left w:val="nil"/>
              <w:bottom w:val="single" w:sz="4" w:space="0" w:color="auto"/>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15 323</w:t>
            </w:r>
          </w:p>
        </w:tc>
        <w:tc>
          <w:tcPr>
            <w:tcW w:w="2060" w:type="dxa"/>
            <w:tcBorders>
              <w:top w:val="single" w:sz="4" w:space="0" w:color="auto"/>
              <w:left w:val="nil"/>
              <w:bottom w:val="single" w:sz="4" w:space="0" w:color="auto"/>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4 483</w:t>
            </w:r>
          </w:p>
        </w:tc>
        <w:tc>
          <w:tcPr>
            <w:tcW w:w="1620" w:type="dxa"/>
            <w:tcBorders>
              <w:top w:val="single" w:sz="4" w:space="0" w:color="auto"/>
              <w:left w:val="nil"/>
              <w:bottom w:val="single" w:sz="4" w:space="0" w:color="auto"/>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 10 840</w:t>
            </w:r>
          </w:p>
        </w:tc>
        <w:tc>
          <w:tcPr>
            <w:tcW w:w="1220" w:type="dxa"/>
            <w:tcBorders>
              <w:top w:val="single" w:sz="4" w:space="0" w:color="auto"/>
              <w:left w:val="nil"/>
              <w:bottom w:val="single" w:sz="4" w:space="0" w:color="auto"/>
              <w:right w:val="nil"/>
            </w:tcBorders>
            <w:shd w:val="clear" w:color="auto" w:fill="auto"/>
            <w:noWrap/>
            <w:vAlign w:val="bottom"/>
            <w:hideMark/>
          </w:tcPr>
          <w:p w:rsidR="006C1F79" w:rsidRPr="00781175" w:rsidRDefault="006C1F79" w:rsidP="006C1F79">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3.4</w:t>
            </w:r>
          </w:p>
        </w:tc>
      </w:tr>
    </w:tbl>
    <w:p w:rsidR="00037390" w:rsidRPr="00781175" w:rsidRDefault="00037390" w:rsidP="00037390">
      <w:pPr>
        <w:pStyle w:val="CGCTableFootnote"/>
      </w:pPr>
      <w:r w:rsidRPr="00781175">
        <w:t>Note:</w:t>
      </w:r>
      <w:r w:rsidRPr="00781175">
        <w:tab/>
        <w:t>Differences in the average spending on Indigenous and non-</w:t>
      </w:r>
      <w:r w:rsidR="008E10E8" w:rsidRPr="00781175">
        <w:t>I</w:t>
      </w:r>
      <w:r w:rsidRPr="00781175">
        <w:t>ndigenous people include differences in the age, remoteness, socio-economic status and other attributes between the two populations.</w:t>
      </w:r>
    </w:p>
    <w:p w:rsidR="00037390" w:rsidRPr="00781175" w:rsidRDefault="00037390" w:rsidP="00037390">
      <w:pPr>
        <w:tabs>
          <w:tab w:val="clear" w:pos="567"/>
          <w:tab w:val="left" w:pos="851"/>
        </w:tabs>
        <w:spacing w:after="240" w:line="240" w:lineRule="auto"/>
        <w:ind w:left="851" w:hanging="851"/>
        <w:rPr>
          <w:b/>
          <w:sz w:val="20"/>
        </w:rPr>
      </w:pPr>
      <w:r w:rsidRPr="00781175">
        <w:rPr>
          <w:sz w:val="20"/>
        </w:rPr>
        <w:t>Source:</w:t>
      </w:r>
      <w:r w:rsidRPr="00781175">
        <w:rPr>
          <w:sz w:val="20"/>
        </w:rPr>
        <w:tab/>
        <w:t xml:space="preserve">Commission calculation. </w:t>
      </w:r>
    </w:p>
    <w:p w:rsidR="00037390" w:rsidRPr="00781175" w:rsidRDefault="00037390" w:rsidP="00037390">
      <w:pPr>
        <w:pStyle w:val="CGCNumberedPara"/>
        <w:numPr>
          <w:ilvl w:val="1"/>
          <w:numId w:val="2"/>
        </w:numPr>
      </w:pPr>
      <w:r w:rsidRPr="00781175">
        <w:t>These spending differences are accentuated by large differences in the distribution of the Indigenous population across States. States whose share of the Indigenous population is greater than their share of the total population, in particular the Northern Territory, Western Australia and Queensland, require significantly more GST to give them the national average capacity to provide services. The Northern Territory is at one extreme. It has 1% of the total population but 10% of the Indigenous population. Victoria is at the other extreme with 25% of the national population, but only 7% of the Indigenous population.</w:t>
      </w:r>
    </w:p>
    <w:p w:rsidR="00037390" w:rsidRPr="00781175" w:rsidRDefault="00037390" w:rsidP="00037390">
      <w:pPr>
        <w:pStyle w:val="CGCNumberedPara"/>
        <w:numPr>
          <w:ilvl w:val="1"/>
          <w:numId w:val="2"/>
        </w:numPr>
      </w:pPr>
      <w:r w:rsidRPr="00781175">
        <w:t>Overall, the differences in spending and in State shares of the Indigenous population redistribute about $1.6 billion of GST, mainly from Victoria to Queensland and the Northern Territory.</w:t>
      </w:r>
    </w:p>
    <w:p w:rsidR="00781175" w:rsidRDefault="00037390" w:rsidP="00D01233">
      <w:pPr>
        <w:pStyle w:val="CGCNumberedPara"/>
      </w:pPr>
      <w:r w:rsidRPr="00781175">
        <w:t xml:space="preserve">It is not meaningful to compare the redistribution due to Indigenous status with </w:t>
      </w:r>
      <w:r w:rsidR="008815AD" w:rsidRPr="00781175">
        <w:t xml:space="preserve">the </w:t>
      </w:r>
      <w:r w:rsidRPr="00781175">
        <w:t xml:space="preserve">redistribution due to </w:t>
      </w:r>
      <w:proofErr w:type="spellStart"/>
      <w:r w:rsidRPr="00781175">
        <w:t>Indigeneity</w:t>
      </w:r>
      <w:proofErr w:type="spellEnd"/>
      <w:r w:rsidRPr="00781175">
        <w:t xml:space="preserve"> we published in previous updates. This is explained in </w:t>
      </w:r>
      <w:r w:rsidR="00D01233" w:rsidRPr="00781175">
        <w:t xml:space="preserve">Box </w:t>
      </w:r>
      <w:r w:rsidR="00D74175" w:rsidRPr="00781175">
        <w:t>3</w:t>
      </w:r>
      <w:r w:rsidRPr="00781175">
        <w:t>.</w:t>
      </w:r>
    </w:p>
    <w:p w:rsidR="00781175" w:rsidRDefault="00781175">
      <w:pPr>
        <w:tabs>
          <w:tab w:val="clear" w:pos="567"/>
        </w:tabs>
        <w:rPr>
          <w:szCs w:val="24"/>
        </w:rPr>
      </w:pPr>
      <w:r>
        <w:br w:type="page"/>
      </w:r>
    </w:p>
    <w:p w:rsidR="00037390" w:rsidRPr="00781175" w:rsidRDefault="00D01233" w:rsidP="00037390">
      <w:pPr>
        <w:pStyle w:val="Caption"/>
      </w:pPr>
      <w:r w:rsidRPr="00781175">
        <w:lastRenderedPageBreak/>
        <w:t xml:space="preserve">Box </w:t>
      </w:r>
      <w:r w:rsidR="00D74175" w:rsidRPr="00781175">
        <w:t>3</w:t>
      </w:r>
      <w:r w:rsidR="00037390" w:rsidRPr="00781175">
        <w:tab/>
      </w:r>
      <w:proofErr w:type="spellStart"/>
      <w:r w:rsidR="00781175">
        <w:t>Indigeneity</w:t>
      </w:r>
      <w:proofErr w:type="spellEnd"/>
      <w:r w:rsidR="00781175">
        <w:t xml:space="preserve"> and Indigenous status</w:t>
      </w:r>
    </w:p>
    <w:tbl>
      <w:tblPr>
        <w:tblStyle w:val="TableGrid"/>
        <w:tblW w:w="0" w:type="auto"/>
        <w:tblLook w:val="04A0" w:firstRow="1" w:lastRow="0" w:firstColumn="1" w:lastColumn="0" w:noHBand="0" w:noVBand="1"/>
        <w:tblDescription w:val=" "/>
      </w:tblPr>
      <w:tblGrid>
        <w:gridCol w:w="9167"/>
      </w:tblGrid>
      <w:tr w:rsidR="00037390" w:rsidRPr="00781175" w:rsidTr="00781175">
        <w:tc>
          <w:tcPr>
            <w:tcW w:w="9167" w:type="dxa"/>
            <w:tcBorders>
              <w:top w:val="nil"/>
              <w:left w:val="nil"/>
              <w:bottom w:val="nil"/>
              <w:right w:val="nil"/>
            </w:tcBorders>
            <w:shd w:val="clear" w:color="auto" w:fill="D9F3E6"/>
          </w:tcPr>
          <w:p w:rsidR="008815AD" w:rsidRPr="00781175" w:rsidRDefault="00037390" w:rsidP="008815AD">
            <w:pPr>
              <w:spacing w:before="120" w:after="120"/>
            </w:pPr>
            <w:r w:rsidRPr="00781175">
              <w:t>In the 2014 Update, the ‘</w:t>
            </w:r>
            <w:proofErr w:type="spellStart"/>
            <w:r w:rsidRPr="00781175">
              <w:t>Indigeneity</w:t>
            </w:r>
            <w:proofErr w:type="spellEnd"/>
            <w:r w:rsidRPr="00781175">
              <w:t xml:space="preserve"> moved’ concept measured how different the redistribution would be if States spent the same per capita amount on Indigenous people as </w:t>
            </w:r>
            <w:r w:rsidRPr="00781175">
              <w:rPr>
                <w:i/>
              </w:rPr>
              <w:t>comparable</w:t>
            </w:r>
            <w:r w:rsidRPr="00781175">
              <w:t xml:space="preserve"> non-Indigenous people. We can no longer calculate that concept because, unlike in the 2014 Update where we used a single index to measure the socio-economic status </w:t>
            </w:r>
            <w:r w:rsidR="008815AD" w:rsidRPr="00781175">
              <w:t xml:space="preserve">(SES) </w:t>
            </w:r>
            <w:r w:rsidRPr="00781175">
              <w:t xml:space="preserve">of Indigenous and non-Indigenous people, we now use separate indices. </w:t>
            </w:r>
          </w:p>
          <w:p w:rsidR="00037390" w:rsidRPr="00781175" w:rsidRDefault="00037390" w:rsidP="008815AD">
            <w:pPr>
              <w:spacing w:before="120" w:after="120"/>
            </w:pPr>
            <w:r w:rsidRPr="00781175">
              <w:t>Under the previous approach</w:t>
            </w:r>
            <w:r w:rsidR="008815AD" w:rsidRPr="00781175">
              <w:t>,</w:t>
            </w:r>
            <w:r w:rsidRPr="00781175">
              <w:t xml:space="preserve"> an Indigenous person in the bottom </w:t>
            </w:r>
            <w:r w:rsidR="008815AD" w:rsidRPr="00781175">
              <w:t xml:space="preserve">SES </w:t>
            </w:r>
            <w:r w:rsidRPr="00781175">
              <w:t>quintile could be thought of as being comparable to a non-Indigenous person in the same quintile except for their Indigen</w:t>
            </w:r>
            <w:r w:rsidR="008815AD" w:rsidRPr="00781175">
              <w:t>ous status</w:t>
            </w:r>
            <w:r w:rsidRPr="00781175">
              <w:t xml:space="preserve">. However, because the separate indices are </w:t>
            </w:r>
            <w:r w:rsidR="008815AD" w:rsidRPr="00781175">
              <w:t xml:space="preserve">now </w:t>
            </w:r>
            <w:r w:rsidRPr="00781175">
              <w:t xml:space="preserve">constructed in different ways, an Indigenous person in the bottom </w:t>
            </w:r>
            <w:r w:rsidR="008815AD" w:rsidRPr="00781175">
              <w:t xml:space="preserve">SES </w:t>
            </w:r>
            <w:r w:rsidRPr="00781175">
              <w:t xml:space="preserve">quintile of their distribution cannot meaningfully be compared to a non-Indigenous person in the bottom </w:t>
            </w:r>
            <w:r w:rsidR="008815AD" w:rsidRPr="00781175">
              <w:t xml:space="preserve">SES </w:t>
            </w:r>
            <w:r w:rsidRPr="00781175">
              <w:t xml:space="preserve">quintile of their distribution. </w:t>
            </w:r>
          </w:p>
          <w:p w:rsidR="00037390" w:rsidRPr="00781175" w:rsidRDefault="00037390" w:rsidP="008815AD">
            <w:pPr>
              <w:spacing w:before="120" w:after="120"/>
            </w:pPr>
            <w:r w:rsidRPr="00781175">
              <w:t xml:space="preserve">So, we </w:t>
            </w:r>
            <w:r w:rsidR="00922480" w:rsidRPr="00781175">
              <w:t xml:space="preserve">have </w:t>
            </w:r>
            <w:r w:rsidRPr="00781175">
              <w:t>changed the way we measure the elements of socio-demographic composition. We calculate these elements in a stepwise manner.</w:t>
            </w:r>
          </w:p>
          <w:p w:rsidR="00037390" w:rsidRPr="00781175" w:rsidRDefault="00037390" w:rsidP="008256D5">
            <w:pPr>
              <w:pStyle w:val="CGCNumeralList"/>
              <w:ind w:left="924" w:hanging="357"/>
            </w:pPr>
            <w:r w:rsidRPr="00781175">
              <w:t xml:space="preserve">The difference between an EPC </w:t>
            </w:r>
            <w:proofErr w:type="gramStart"/>
            <w:r w:rsidRPr="00781175">
              <w:t>assessment,</w:t>
            </w:r>
            <w:proofErr w:type="gramEnd"/>
            <w:r w:rsidRPr="00781175">
              <w:t xml:space="preserve"> and one that only contains Indigenous status </w:t>
            </w:r>
            <w:r w:rsidR="008815AD" w:rsidRPr="00781175">
              <w:t xml:space="preserve">as a disability </w:t>
            </w:r>
            <w:r w:rsidRPr="00781175">
              <w:t>is the redistribution attributed to Indigenous status.</w:t>
            </w:r>
          </w:p>
          <w:p w:rsidR="00037390" w:rsidRPr="00781175" w:rsidRDefault="00037390" w:rsidP="008256D5">
            <w:pPr>
              <w:pStyle w:val="CGCNumeralList"/>
              <w:ind w:left="924" w:hanging="357"/>
            </w:pPr>
            <w:r w:rsidRPr="00781175">
              <w:t>The difference between an assessment based on Indigenous status, and one that uses Indigenous status and remoteness areas is the redistribution attributed to remoteness.</w:t>
            </w:r>
          </w:p>
          <w:p w:rsidR="00037390" w:rsidRPr="00781175" w:rsidRDefault="00037390" w:rsidP="008256D5">
            <w:pPr>
              <w:pStyle w:val="CGCNumeralList"/>
              <w:ind w:left="924" w:hanging="357"/>
            </w:pPr>
            <w:r w:rsidRPr="00781175">
              <w:t xml:space="preserve">The difference between that assessment, and one in which the Indigenous population is also disaggregated by </w:t>
            </w:r>
            <w:r w:rsidR="008815AD" w:rsidRPr="00781175">
              <w:t xml:space="preserve">SES (measured using </w:t>
            </w:r>
            <w:r w:rsidRPr="00781175">
              <w:t>IRSEO</w:t>
            </w:r>
            <w:r w:rsidR="008815AD" w:rsidRPr="00781175">
              <w:t>)</w:t>
            </w:r>
            <w:r w:rsidRPr="00781175">
              <w:t xml:space="preserve"> is attributed to Indigenous disadvantage.</w:t>
            </w:r>
          </w:p>
          <w:p w:rsidR="00037390" w:rsidRPr="00781175" w:rsidRDefault="00037390" w:rsidP="008256D5">
            <w:pPr>
              <w:pStyle w:val="CGCNumeralList"/>
              <w:ind w:left="924" w:hanging="357"/>
            </w:pPr>
            <w:r w:rsidRPr="00781175">
              <w:t xml:space="preserve">In the next step, we also disaggregate the non-Indigenous population by </w:t>
            </w:r>
            <w:r w:rsidR="008815AD" w:rsidRPr="00781175">
              <w:t xml:space="preserve">SES (measured using </w:t>
            </w:r>
            <w:r w:rsidRPr="00781175">
              <w:t>NISEIFA</w:t>
            </w:r>
            <w:r w:rsidR="008815AD" w:rsidRPr="00781175">
              <w:t>)</w:t>
            </w:r>
            <w:r w:rsidRPr="00781175">
              <w:t>, and attribute this change to non-Indigenous disadvantage.</w:t>
            </w:r>
          </w:p>
          <w:p w:rsidR="00037390" w:rsidRPr="00781175" w:rsidRDefault="00037390" w:rsidP="008256D5">
            <w:pPr>
              <w:pStyle w:val="CGCNumeralList"/>
              <w:ind w:left="924" w:hanging="357"/>
            </w:pPr>
            <w:r w:rsidRPr="00781175">
              <w:t>Finally, we include age in the disaggregation to measure the impact of age.</w:t>
            </w:r>
          </w:p>
          <w:p w:rsidR="008815AD" w:rsidRPr="00781175" w:rsidRDefault="00037390" w:rsidP="008815AD">
            <w:pPr>
              <w:spacing w:before="120" w:after="120"/>
            </w:pPr>
            <w:r w:rsidRPr="00781175">
              <w:t xml:space="preserve">This approach means any interactions between elements are attributed to the first to be measured. For example, interactions between Indigenous status and remoteness are classified as Indigenous status. The redistribution attributed to each element is sensitive to the order in which we undertake the analysis, and this is somewhat arbitrary. However, this analysis is only used to illustrate the impacts of different influences on the GST distribution and does not change the overall distribution. </w:t>
            </w:r>
          </w:p>
          <w:p w:rsidR="0030325C" w:rsidRPr="00781175" w:rsidRDefault="00037390" w:rsidP="00781175">
            <w:pPr>
              <w:spacing w:before="120" w:after="120"/>
            </w:pPr>
            <w:r w:rsidRPr="00781175">
              <w:t>In some cases, it is partial. For example, we have been u</w:t>
            </w:r>
            <w:r w:rsidR="008815AD" w:rsidRPr="00781175">
              <w:t>nable to disaggregate all socio</w:t>
            </w:r>
            <w:r w:rsidR="008815AD" w:rsidRPr="00781175">
              <w:noBreakHyphen/>
            </w:r>
            <w:r w:rsidRPr="00781175">
              <w:t xml:space="preserve">economic status influences into their Indigenous and non-Indigenous components because </w:t>
            </w:r>
            <w:r w:rsidR="008815AD" w:rsidRPr="00781175">
              <w:t xml:space="preserve">some </w:t>
            </w:r>
            <w:r w:rsidRPr="00781175">
              <w:t xml:space="preserve">information, such as the Indigenous status of concession </w:t>
            </w:r>
            <w:r w:rsidR="00A12E48" w:rsidRPr="00781175">
              <w:t xml:space="preserve">card </w:t>
            </w:r>
            <w:r w:rsidRPr="00781175">
              <w:t xml:space="preserve">holders, is not available. The table below shows the illustrative </w:t>
            </w:r>
            <w:r w:rsidR="00A12E48" w:rsidRPr="00781175">
              <w:t>impact of the elements of socio</w:t>
            </w:r>
            <w:r w:rsidR="00A12E48" w:rsidRPr="00781175">
              <w:noBreakHyphen/>
            </w:r>
            <w:r w:rsidRPr="00781175">
              <w:t>demographic composition, measured in the way set out above.</w:t>
            </w:r>
          </w:p>
        </w:tc>
      </w:tr>
      <w:tr w:rsidR="00781175" w:rsidTr="00781175">
        <w:tc>
          <w:tcPr>
            <w:tcW w:w="9167" w:type="dxa"/>
            <w:tcBorders>
              <w:top w:val="nil"/>
              <w:left w:val="nil"/>
              <w:bottom w:val="nil"/>
              <w:right w:val="nil"/>
            </w:tcBorders>
            <w:shd w:val="clear" w:color="auto" w:fill="D9F3E6"/>
          </w:tcPr>
          <w:p w:rsidR="00781175" w:rsidRPr="00781175" w:rsidRDefault="00781175" w:rsidP="00781175">
            <w:pPr>
              <w:pStyle w:val="CGCTableHeading"/>
            </w:pPr>
            <w:r w:rsidRPr="00781175">
              <w:lastRenderedPageBreak/>
              <w:t>Illustrative redistribution from socio-demographic composition, 2015-16</w:t>
            </w:r>
          </w:p>
          <w:tbl>
            <w:tblPr>
              <w:tblW w:w="9040" w:type="dxa"/>
              <w:tblCellMar>
                <w:left w:w="0" w:type="dxa"/>
                <w:right w:w="0" w:type="dxa"/>
              </w:tblCellMar>
              <w:tblLook w:val="04A0" w:firstRow="1" w:lastRow="0" w:firstColumn="1" w:lastColumn="0" w:noHBand="0" w:noVBand="1"/>
            </w:tblPr>
            <w:tblGrid>
              <w:gridCol w:w="2040"/>
              <w:gridCol w:w="638"/>
              <w:gridCol w:w="872"/>
              <w:gridCol w:w="813"/>
              <w:gridCol w:w="755"/>
              <w:gridCol w:w="755"/>
              <w:gridCol w:w="697"/>
              <w:gridCol w:w="755"/>
              <w:gridCol w:w="813"/>
              <w:gridCol w:w="813"/>
            </w:tblGrid>
            <w:tr w:rsidR="00781175" w:rsidRPr="00781175" w:rsidTr="00C72921">
              <w:trPr>
                <w:trHeight w:val="379"/>
              </w:trPr>
              <w:tc>
                <w:tcPr>
                  <w:tcW w:w="2080" w:type="dxa"/>
                  <w:tcBorders>
                    <w:top w:val="single" w:sz="4" w:space="0" w:color="auto"/>
                    <w:left w:val="nil"/>
                    <w:bottom w:val="single" w:sz="4" w:space="0" w:color="auto"/>
                    <w:right w:val="nil"/>
                  </w:tcBorders>
                  <w:shd w:val="clear" w:color="auto" w:fill="auto"/>
                  <w:noWrap/>
                  <w:vAlign w:val="center"/>
                  <w:hideMark/>
                </w:tcPr>
                <w:p w:rsidR="00781175" w:rsidRPr="00781175" w:rsidRDefault="00781175" w:rsidP="00C72921">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w:t>
                  </w:r>
                </w:p>
              </w:tc>
              <w:tc>
                <w:tcPr>
                  <w:tcW w:w="640" w:type="dxa"/>
                  <w:tcBorders>
                    <w:top w:val="single" w:sz="4" w:space="0" w:color="auto"/>
                    <w:left w:val="nil"/>
                    <w:bottom w:val="single" w:sz="4" w:space="0" w:color="auto"/>
                    <w:right w:val="nil"/>
                  </w:tcBorders>
                  <w:shd w:val="clear" w:color="auto" w:fill="auto"/>
                  <w:noWrap/>
                  <w:vAlign w:val="center"/>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NSW</w:t>
                  </w:r>
                </w:p>
              </w:tc>
              <w:tc>
                <w:tcPr>
                  <w:tcW w:w="880" w:type="dxa"/>
                  <w:tcBorders>
                    <w:top w:val="single" w:sz="4" w:space="0" w:color="auto"/>
                    <w:left w:val="nil"/>
                    <w:bottom w:val="single" w:sz="4" w:space="0" w:color="auto"/>
                    <w:right w:val="nil"/>
                  </w:tcBorders>
                  <w:shd w:val="clear" w:color="auto" w:fill="auto"/>
                  <w:noWrap/>
                  <w:vAlign w:val="center"/>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Vic</w:t>
                  </w:r>
                </w:p>
              </w:tc>
              <w:tc>
                <w:tcPr>
                  <w:tcW w:w="820" w:type="dxa"/>
                  <w:tcBorders>
                    <w:top w:val="single" w:sz="4" w:space="0" w:color="auto"/>
                    <w:left w:val="nil"/>
                    <w:bottom w:val="single" w:sz="4" w:space="0" w:color="auto"/>
                    <w:right w:val="nil"/>
                  </w:tcBorders>
                  <w:shd w:val="clear" w:color="auto" w:fill="auto"/>
                  <w:noWrap/>
                  <w:vAlign w:val="center"/>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Qld</w:t>
                  </w:r>
                </w:p>
              </w:tc>
              <w:tc>
                <w:tcPr>
                  <w:tcW w:w="760" w:type="dxa"/>
                  <w:tcBorders>
                    <w:top w:val="single" w:sz="4" w:space="0" w:color="auto"/>
                    <w:left w:val="nil"/>
                    <w:bottom w:val="single" w:sz="4" w:space="0" w:color="auto"/>
                    <w:right w:val="nil"/>
                  </w:tcBorders>
                  <w:shd w:val="clear" w:color="auto" w:fill="auto"/>
                  <w:noWrap/>
                  <w:vAlign w:val="center"/>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WA</w:t>
                  </w:r>
                </w:p>
              </w:tc>
              <w:tc>
                <w:tcPr>
                  <w:tcW w:w="760" w:type="dxa"/>
                  <w:tcBorders>
                    <w:top w:val="single" w:sz="4" w:space="0" w:color="auto"/>
                    <w:left w:val="nil"/>
                    <w:bottom w:val="single" w:sz="4" w:space="0" w:color="auto"/>
                    <w:right w:val="nil"/>
                  </w:tcBorders>
                  <w:shd w:val="clear" w:color="auto" w:fill="auto"/>
                  <w:noWrap/>
                  <w:vAlign w:val="center"/>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SA</w:t>
                  </w:r>
                </w:p>
              </w:tc>
              <w:tc>
                <w:tcPr>
                  <w:tcW w:w="700" w:type="dxa"/>
                  <w:tcBorders>
                    <w:top w:val="single" w:sz="4" w:space="0" w:color="auto"/>
                    <w:left w:val="nil"/>
                    <w:bottom w:val="single" w:sz="4" w:space="0" w:color="auto"/>
                    <w:right w:val="nil"/>
                  </w:tcBorders>
                  <w:shd w:val="clear" w:color="auto" w:fill="auto"/>
                  <w:noWrap/>
                  <w:vAlign w:val="center"/>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781175">
                    <w:rPr>
                      <w:rFonts w:ascii="Calibri" w:eastAsia="Times New Roman" w:hAnsi="Calibri" w:cs="Times New Roman"/>
                      <w:sz w:val="20"/>
                      <w:szCs w:val="20"/>
                      <w:lang w:eastAsia="en-AU"/>
                    </w:rPr>
                    <w:t>Tas</w:t>
                  </w:r>
                  <w:proofErr w:type="spellEnd"/>
                </w:p>
              </w:tc>
              <w:tc>
                <w:tcPr>
                  <w:tcW w:w="760" w:type="dxa"/>
                  <w:tcBorders>
                    <w:top w:val="single" w:sz="4" w:space="0" w:color="auto"/>
                    <w:left w:val="nil"/>
                    <w:bottom w:val="single" w:sz="4" w:space="0" w:color="auto"/>
                    <w:right w:val="nil"/>
                  </w:tcBorders>
                  <w:shd w:val="clear" w:color="auto" w:fill="auto"/>
                  <w:noWrap/>
                  <w:vAlign w:val="center"/>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ACT</w:t>
                  </w:r>
                </w:p>
              </w:tc>
              <w:tc>
                <w:tcPr>
                  <w:tcW w:w="820" w:type="dxa"/>
                  <w:tcBorders>
                    <w:top w:val="single" w:sz="4" w:space="0" w:color="auto"/>
                    <w:left w:val="nil"/>
                    <w:bottom w:val="single" w:sz="4" w:space="0" w:color="auto"/>
                    <w:right w:val="nil"/>
                  </w:tcBorders>
                  <w:shd w:val="clear" w:color="auto" w:fill="auto"/>
                  <w:noWrap/>
                  <w:vAlign w:val="center"/>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NT</w:t>
                  </w:r>
                </w:p>
              </w:tc>
              <w:tc>
                <w:tcPr>
                  <w:tcW w:w="820" w:type="dxa"/>
                  <w:tcBorders>
                    <w:top w:val="single" w:sz="4" w:space="0" w:color="auto"/>
                    <w:left w:val="nil"/>
                    <w:bottom w:val="single" w:sz="4" w:space="0" w:color="auto"/>
                    <w:right w:val="nil"/>
                  </w:tcBorders>
                  <w:shd w:val="clear" w:color="auto" w:fill="auto"/>
                  <w:noWrap/>
                  <w:vAlign w:val="center"/>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781175">
                    <w:rPr>
                      <w:rFonts w:ascii="Calibri" w:eastAsia="Times New Roman" w:hAnsi="Calibri" w:cs="Times New Roman"/>
                      <w:sz w:val="20"/>
                      <w:szCs w:val="20"/>
                      <w:lang w:eastAsia="en-AU"/>
                    </w:rPr>
                    <w:t>Redist</w:t>
                  </w:r>
                  <w:proofErr w:type="spellEnd"/>
                </w:p>
              </w:tc>
            </w:tr>
            <w:tr w:rsidR="00781175" w:rsidRPr="00781175" w:rsidTr="00C72921">
              <w:trPr>
                <w:trHeight w:val="259"/>
              </w:trPr>
              <w:tc>
                <w:tcPr>
                  <w:tcW w:w="208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$m</w:t>
                  </w:r>
                </w:p>
              </w:tc>
              <w:tc>
                <w:tcPr>
                  <w:tcW w:w="88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$m</w:t>
                  </w:r>
                </w:p>
              </w:tc>
            </w:tr>
            <w:tr w:rsidR="00781175" w:rsidRPr="00781175" w:rsidTr="00C72921">
              <w:trPr>
                <w:trHeight w:val="555"/>
              </w:trPr>
              <w:tc>
                <w:tcPr>
                  <w:tcW w:w="2080" w:type="dxa"/>
                  <w:tcBorders>
                    <w:top w:val="nil"/>
                    <w:left w:val="nil"/>
                    <w:bottom w:val="nil"/>
                    <w:right w:val="nil"/>
                  </w:tcBorders>
                  <w:shd w:val="clear" w:color="auto" w:fill="auto"/>
                  <w:vAlign w:val="bottom"/>
                  <w:hideMark/>
                </w:tcPr>
                <w:p w:rsidR="00781175" w:rsidRPr="00781175" w:rsidRDefault="00781175" w:rsidP="00C7292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Remoteness and regional costs</w:t>
                  </w:r>
                </w:p>
              </w:tc>
              <w:tc>
                <w:tcPr>
                  <w:tcW w:w="64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-1 336</w:t>
                  </w:r>
                </w:p>
              </w:tc>
              <w:tc>
                <w:tcPr>
                  <w:tcW w:w="88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-1 113</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696</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508</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130</w:t>
                  </w:r>
                </w:p>
              </w:tc>
              <w:tc>
                <w:tcPr>
                  <w:tcW w:w="70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377</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-153</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890</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2 601</w:t>
                  </w:r>
                </w:p>
              </w:tc>
            </w:tr>
            <w:tr w:rsidR="00781175" w:rsidRPr="00781175" w:rsidTr="00C72921">
              <w:trPr>
                <w:trHeight w:val="315"/>
              </w:trPr>
              <w:tc>
                <w:tcPr>
                  <w:tcW w:w="208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Indigenous status</w:t>
                  </w:r>
                </w:p>
              </w:tc>
              <w:tc>
                <w:tcPr>
                  <w:tcW w:w="64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-118</w:t>
                  </w:r>
                </w:p>
              </w:tc>
              <w:tc>
                <w:tcPr>
                  <w:tcW w:w="88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-1 298</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594</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190</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-120</w:t>
                  </w:r>
                </w:p>
              </w:tc>
              <w:tc>
                <w:tcPr>
                  <w:tcW w:w="70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84</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-55</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722</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1 591</w:t>
                  </w:r>
                </w:p>
              </w:tc>
            </w:tr>
            <w:tr w:rsidR="00781175" w:rsidRPr="00781175" w:rsidTr="00C72921">
              <w:trPr>
                <w:trHeight w:val="315"/>
              </w:trPr>
              <w:tc>
                <w:tcPr>
                  <w:tcW w:w="208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Socio-economic status</w:t>
                  </w:r>
                </w:p>
              </w:tc>
              <w:tc>
                <w:tcPr>
                  <w:tcW w:w="64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376</w:t>
                  </w:r>
                </w:p>
              </w:tc>
              <w:tc>
                <w:tcPr>
                  <w:tcW w:w="88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-79</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-64</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-293</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310</w:t>
                  </w:r>
                </w:p>
              </w:tc>
              <w:tc>
                <w:tcPr>
                  <w:tcW w:w="70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36</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-210</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-76</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722</w:t>
                  </w:r>
                </w:p>
              </w:tc>
            </w:tr>
            <w:tr w:rsidR="00781175" w:rsidRPr="00781175" w:rsidTr="00C72921">
              <w:trPr>
                <w:trHeight w:val="315"/>
              </w:trPr>
              <w:tc>
                <w:tcPr>
                  <w:tcW w:w="208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Non-Indigenous SES</w:t>
                  </w:r>
                </w:p>
              </w:tc>
              <w:tc>
                <w:tcPr>
                  <w:tcW w:w="64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350</w:t>
                  </w:r>
                </w:p>
              </w:tc>
              <w:tc>
                <w:tcPr>
                  <w:tcW w:w="88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-50</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-34</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-305</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245</w:t>
                  </w:r>
                </w:p>
              </w:tc>
              <w:tc>
                <w:tcPr>
                  <w:tcW w:w="70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75</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-179</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-102</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670</w:t>
                  </w:r>
                </w:p>
              </w:tc>
            </w:tr>
            <w:tr w:rsidR="00781175" w:rsidRPr="00781175" w:rsidTr="00C72921">
              <w:trPr>
                <w:trHeight w:val="315"/>
              </w:trPr>
              <w:tc>
                <w:tcPr>
                  <w:tcW w:w="208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Indigenous SES</w:t>
                  </w:r>
                </w:p>
              </w:tc>
              <w:tc>
                <w:tcPr>
                  <w:tcW w:w="64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14</w:t>
                  </w:r>
                </w:p>
              </w:tc>
              <w:tc>
                <w:tcPr>
                  <w:tcW w:w="88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-45</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-31</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79</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27</w:t>
                  </w:r>
                </w:p>
              </w:tc>
              <w:tc>
                <w:tcPr>
                  <w:tcW w:w="70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-60</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-12</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28</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148</w:t>
                  </w:r>
                </w:p>
              </w:tc>
            </w:tr>
            <w:tr w:rsidR="00781175" w:rsidRPr="00781175" w:rsidTr="00C72921">
              <w:trPr>
                <w:trHeight w:val="315"/>
              </w:trPr>
              <w:tc>
                <w:tcPr>
                  <w:tcW w:w="2080" w:type="dxa"/>
                  <w:tcBorders>
                    <w:top w:val="nil"/>
                    <w:left w:val="nil"/>
                    <w:bottom w:val="nil"/>
                    <w:right w:val="nil"/>
                  </w:tcBorders>
                  <w:shd w:val="clear" w:color="auto" w:fill="auto"/>
                  <w:noWrap/>
                  <w:vAlign w:val="bottom"/>
                  <w:hideMark/>
                </w:tcPr>
                <w:p w:rsidR="00781175" w:rsidRPr="00781175" w:rsidRDefault="00781175" w:rsidP="00EB09C8">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Other (</w:t>
                  </w:r>
                  <w:r w:rsidR="00EB09C8">
                    <w:rPr>
                      <w:rFonts w:ascii="Calibri" w:eastAsia="Times New Roman" w:hAnsi="Calibri" w:cs="Times New Roman"/>
                      <w:sz w:val="20"/>
                      <w:szCs w:val="20"/>
                      <w:lang w:eastAsia="en-AU"/>
                    </w:rPr>
                    <w:t>a</w:t>
                  </w:r>
                  <w:r w:rsidRPr="00781175">
                    <w:rPr>
                      <w:rFonts w:ascii="Calibri" w:eastAsia="Times New Roman" w:hAnsi="Calibri" w:cs="Times New Roman"/>
                      <w:sz w:val="20"/>
                      <w:szCs w:val="20"/>
                      <w:lang w:eastAsia="en-AU"/>
                    </w:rPr>
                    <w:t>)</w:t>
                  </w:r>
                </w:p>
              </w:tc>
              <w:tc>
                <w:tcPr>
                  <w:tcW w:w="64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12</w:t>
                  </w:r>
                </w:p>
              </w:tc>
              <w:tc>
                <w:tcPr>
                  <w:tcW w:w="88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16</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-66</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38</w:t>
                  </w:r>
                </w:p>
              </w:tc>
              <w:tc>
                <w:tcPr>
                  <w:tcW w:w="70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21</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-18</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87</w:t>
                  </w:r>
                </w:p>
              </w:tc>
            </w:tr>
            <w:tr w:rsidR="00781175" w:rsidRPr="00781175" w:rsidTr="00C72921">
              <w:trPr>
                <w:trHeight w:val="315"/>
              </w:trPr>
              <w:tc>
                <w:tcPr>
                  <w:tcW w:w="208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Age</w:t>
                  </w:r>
                </w:p>
              </w:tc>
              <w:tc>
                <w:tcPr>
                  <w:tcW w:w="64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21</w:t>
                  </w:r>
                </w:p>
              </w:tc>
              <w:tc>
                <w:tcPr>
                  <w:tcW w:w="88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-167</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181</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-145</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72</w:t>
                  </w:r>
                </w:p>
              </w:tc>
              <w:tc>
                <w:tcPr>
                  <w:tcW w:w="70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-15</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23</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30</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326</w:t>
                  </w:r>
                </w:p>
              </w:tc>
            </w:tr>
            <w:tr w:rsidR="00781175" w:rsidRPr="00781175" w:rsidTr="00C72921">
              <w:trPr>
                <w:trHeight w:val="315"/>
              </w:trPr>
              <w:tc>
                <w:tcPr>
                  <w:tcW w:w="2080" w:type="dxa"/>
                  <w:tcBorders>
                    <w:top w:val="nil"/>
                    <w:left w:val="nil"/>
                    <w:bottom w:val="nil"/>
                    <w:right w:val="nil"/>
                  </w:tcBorders>
                  <w:shd w:val="clear" w:color="auto" w:fill="auto"/>
                  <w:noWrap/>
                  <w:vAlign w:val="bottom"/>
                  <w:hideMark/>
                </w:tcPr>
                <w:p w:rsidR="00781175" w:rsidRPr="00781175" w:rsidRDefault="00781175" w:rsidP="00EB09C8">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Other (</w:t>
                  </w:r>
                  <w:r w:rsidR="00EB09C8">
                    <w:rPr>
                      <w:rFonts w:ascii="Calibri" w:eastAsia="Times New Roman" w:hAnsi="Calibri" w:cs="Times New Roman"/>
                      <w:sz w:val="20"/>
                      <w:szCs w:val="20"/>
                      <w:lang w:eastAsia="en-AU"/>
                    </w:rPr>
                    <w:t>b</w:t>
                  </w:r>
                  <w:r w:rsidRPr="00781175">
                    <w:rPr>
                      <w:rFonts w:ascii="Calibri" w:eastAsia="Times New Roman" w:hAnsi="Calibri" w:cs="Times New Roman"/>
                      <w:sz w:val="20"/>
                      <w:szCs w:val="20"/>
                      <w:lang w:eastAsia="en-AU"/>
                    </w:rPr>
                    <w:t>)</w:t>
                  </w:r>
                </w:p>
              </w:tc>
              <w:tc>
                <w:tcPr>
                  <w:tcW w:w="64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-63</w:t>
                  </w:r>
                </w:p>
              </w:tc>
              <w:tc>
                <w:tcPr>
                  <w:tcW w:w="88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-202</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145</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33</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24</w:t>
                  </w:r>
                </w:p>
              </w:tc>
              <w:tc>
                <w:tcPr>
                  <w:tcW w:w="70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42</w:t>
                  </w:r>
                </w:p>
              </w:tc>
              <w:tc>
                <w:tcPr>
                  <w:tcW w:w="76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-58</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78</w:t>
                  </w:r>
                </w:p>
              </w:tc>
              <w:tc>
                <w:tcPr>
                  <w:tcW w:w="820" w:type="dxa"/>
                  <w:tcBorders>
                    <w:top w:val="nil"/>
                    <w:left w:val="nil"/>
                    <w:bottom w:val="nil"/>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323</w:t>
                  </w:r>
                </w:p>
              </w:tc>
            </w:tr>
            <w:tr w:rsidR="00781175" w:rsidRPr="00781175" w:rsidTr="00C72921">
              <w:trPr>
                <w:trHeight w:val="315"/>
              </w:trPr>
              <w:tc>
                <w:tcPr>
                  <w:tcW w:w="2080" w:type="dxa"/>
                  <w:tcBorders>
                    <w:top w:val="nil"/>
                    <w:left w:val="nil"/>
                    <w:bottom w:val="single" w:sz="4" w:space="0" w:color="auto"/>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Total</w:t>
                  </w:r>
                </w:p>
              </w:tc>
              <w:tc>
                <w:tcPr>
                  <w:tcW w:w="640" w:type="dxa"/>
                  <w:tcBorders>
                    <w:top w:val="single" w:sz="4" w:space="0" w:color="auto"/>
                    <w:left w:val="nil"/>
                    <w:bottom w:val="single" w:sz="4" w:space="0" w:color="auto"/>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-1 121</w:t>
                  </w:r>
                </w:p>
              </w:tc>
              <w:tc>
                <w:tcPr>
                  <w:tcW w:w="880" w:type="dxa"/>
                  <w:tcBorders>
                    <w:top w:val="single" w:sz="4" w:space="0" w:color="auto"/>
                    <w:left w:val="nil"/>
                    <w:bottom w:val="single" w:sz="4" w:space="0" w:color="auto"/>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-2 858</w:t>
                  </w:r>
                </w:p>
              </w:tc>
              <w:tc>
                <w:tcPr>
                  <w:tcW w:w="820" w:type="dxa"/>
                  <w:tcBorders>
                    <w:top w:val="single" w:sz="4" w:space="0" w:color="auto"/>
                    <w:left w:val="nil"/>
                    <w:bottom w:val="single" w:sz="4" w:space="0" w:color="auto"/>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1 552</w:t>
                  </w:r>
                </w:p>
              </w:tc>
              <w:tc>
                <w:tcPr>
                  <w:tcW w:w="760" w:type="dxa"/>
                  <w:tcBorders>
                    <w:top w:val="single" w:sz="4" w:space="0" w:color="auto"/>
                    <w:left w:val="nil"/>
                    <w:bottom w:val="single" w:sz="4" w:space="0" w:color="auto"/>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294</w:t>
                  </w:r>
                </w:p>
              </w:tc>
              <w:tc>
                <w:tcPr>
                  <w:tcW w:w="760" w:type="dxa"/>
                  <w:tcBorders>
                    <w:top w:val="single" w:sz="4" w:space="0" w:color="auto"/>
                    <w:left w:val="nil"/>
                    <w:bottom w:val="single" w:sz="4" w:space="0" w:color="auto"/>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417</w:t>
                  </w:r>
                </w:p>
              </w:tc>
              <w:tc>
                <w:tcPr>
                  <w:tcW w:w="700" w:type="dxa"/>
                  <w:tcBorders>
                    <w:top w:val="single" w:sz="4" w:space="0" w:color="auto"/>
                    <w:left w:val="nil"/>
                    <w:bottom w:val="single" w:sz="4" w:space="0" w:color="auto"/>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524</w:t>
                  </w:r>
                </w:p>
              </w:tc>
              <w:tc>
                <w:tcPr>
                  <w:tcW w:w="760" w:type="dxa"/>
                  <w:tcBorders>
                    <w:top w:val="single" w:sz="4" w:space="0" w:color="auto"/>
                    <w:left w:val="nil"/>
                    <w:bottom w:val="single" w:sz="4" w:space="0" w:color="auto"/>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-453</w:t>
                  </w:r>
                </w:p>
              </w:tc>
              <w:tc>
                <w:tcPr>
                  <w:tcW w:w="820" w:type="dxa"/>
                  <w:tcBorders>
                    <w:top w:val="single" w:sz="4" w:space="0" w:color="auto"/>
                    <w:left w:val="nil"/>
                    <w:bottom w:val="single" w:sz="4" w:space="0" w:color="auto"/>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1 644</w:t>
                  </w:r>
                </w:p>
              </w:tc>
              <w:tc>
                <w:tcPr>
                  <w:tcW w:w="820" w:type="dxa"/>
                  <w:tcBorders>
                    <w:top w:val="single" w:sz="4" w:space="0" w:color="auto"/>
                    <w:left w:val="nil"/>
                    <w:bottom w:val="single" w:sz="4" w:space="0" w:color="auto"/>
                    <w:right w:val="nil"/>
                  </w:tcBorders>
                  <w:shd w:val="clear" w:color="auto" w:fill="auto"/>
                  <w:noWrap/>
                  <w:vAlign w:val="bottom"/>
                  <w:hideMark/>
                </w:tcPr>
                <w:p w:rsidR="00781175" w:rsidRPr="00781175" w:rsidRDefault="00781175" w:rsidP="00C72921">
                  <w:pPr>
                    <w:keepNext/>
                    <w:keepLines/>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4 431</w:t>
                  </w:r>
                </w:p>
              </w:tc>
            </w:tr>
          </w:tbl>
          <w:p w:rsidR="00781175" w:rsidRPr="00781175" w:rsidRDefault="00781175" w:rsidP="00781175">
            <w:pPr>
              <w:pStyle w:val="CGCTableFootnote"/>
            </w:pPr>
            <w:r w:rsidRPr="00781175">
              <w:t>a)</w:t>
            </w:r>
            <w:r w:rsidRPr="00781175">
              <w:tab/>
              <w:t>Includes SES, where Indigenous status is not separately assessed, for example, with concession card holders.</w:t>
            </w:r>
          </w:p>
          <w:p w:rsidR="00781175" w:rsidRPr="00781175" w:rsidRDefault="00781175" w:rsidP="00781175">
            <w:pPr>
              <w:pStyle w:val="CGCTableFootnote"/>
            </w:pPr>
            <w:r>
              <w:t>b)</w:t>
            </w:r>
            <w:r w:rsidRPr="00781175">
              <w:tab/>
              <w:t>Includes the impact of student loadings embedded in Commonwealth funding of government schools (NERA or Students First funding), people with disabilities and household size.</w:t>
            </w:r>
          </w:p>
          <w:p w:rsidR="00781175" w:rsidRDefault="00781175" w:rsidP="00781175">
            <w:pPr>
              <w:pStyle w:val="CGCTableFootnote"/>
            </w:pPr>
            <w:r w:rsidRPr="00781175">
              <w:t>Source</w:t>
            </w:r>
            <w:r w:rsidR="008B5FE3">
              <w:t>:</w:t>
            </w:r>
            <w:r w:rsidRPr="00781175">
              <w:tab/>
              <w:t>Commission calculation.</w:t>
            </w:r>
          </w:p>
        </w:tc>
      </w:tr>
    </w:tbl>
    <w:p w:rsidR="00037390" w:rsidRPr="00781175" w:rsidRDefault="00037390" w:rsidP="00037390">
      <w:pPr>
        <w:pStyle w:val="Heading5"/>
      </w:pPr>
      <w:r w:rsidRPr="00781175">
        <w:t>Socio-economic status</w:t>
      </w:r>
    </w:p>
    <w:p w:rsidR="00037390" w:rsidRPr="00781175" w:rsidRDefault="00037390" w:rsidP="00037390">
      <w:pPr>
        <w:pStyle w:val="CGCNumberedPara"/>
        <w:numPr>
          <w:ilvl w:val="1"/>
          <w:numId w:val="2"/>
        </w:numPr>
      </w:pPr>
      <w:r w:rsidRPr="00781175">
        <w:t xml:space="preserve">States spend more per capita on people of low socio-economic status than high. </w:t>
      </w:r>
      <w:r w:rsidRPr="00781175">
        <w:fldChar w:fldCharType="begin"/>
      </w:r>
      <w:r w:rsidRPr="00781175">
        <w:instrText xml:space="preserve"> REF _Ref410815746 \h </w:instrText>
      </w:r>
      <w:r w:rsidR="00781175">
        <w:instrText xml:space="preserve"> \* MERGEFORMAT </w:instrText>
      </w:r>
      <w:r w:rsidRPr="00781175">
        <w:fldChar w:fldCharType="separate"/>
      </w:r>
      <w:r w:rsidR="003A5DEE" w:rsidRPr="00781175">
        <w:t xml:space="preserve">Figure </w:t>
      </w:r>
      <w:r w:rsidR="003A5DEE">
        <w:rPr>
          <w:noProof/>
        </w:rPr>
        <w:t>5</w:t>
      </w:r>
      <w:r w:rsidRPr="00781175">
        <w:fldChar w:fldCharType="end"/>
      </w:r>
      <w:r w:rsidRPr="00781175">
        <w:t xml:space="preserve"> shows that this is true for both Indigenous and non-Indigenous residents, but the difference is larger for Indigenous residents. Recognising this moves $806 million in GST to New South Wales, South Australia and Tasmania from the other States. </w:t>
      </w:r>
    </w:p>
    <w:p w:rsidR="00037390" w:rsidRPr="00781175" w:rsidRDefault="00037390" w:rsidP="00D01233">
      <w:pPr>
        <w:pStyle w:val="CGCNumberedPara"/>
      </w:pPr>
      <w:r w:rsidRPr="00781175">
        <w:t xml:space="preserve">In this review, to better capture the changing characteristics of the </w:t>
      </w:r>
      <w:r w:rsidR="00987084" w:rsidRPr="00781175">
        <w:t>I</w:t>
      </w:r>
      <w:r w:rsidRPr="00781175">
        <w:t xml:space="preserve">ndigenous population, we have used Indigenous and non-Indigenous specific classifications of the Indigenous and non-Indigenous populations. As explained in </w:t>
      </w:r>
      <w:r w:rsidR="00D01233" w:rsidRPr="00781175">
        <w:t xml:space="preserve">Box </w:t>
      </w:r>
      <w:r w:rsidR="001862DC" w:rsidRPr="00781175">
        <w:t>3</w:t>
      </w:r>
      <w:r w:rsidRPr="00781175">
        <w:t>, this has required a different approach to understand how the socio-economic status of the Indigenous and non-Indigenous populations affect the GST.</w:t>
      </w:r>
    </w:p>
    <w:p w:rsidR="00037390" w:rsidRPr="00781175" w:rsidRDefault="00037390" w:rsidP="00037390">
      <w:pPr>
        <w:pStyle w:val="Heading5"/>
      </w:pPr>
      <w:r w:rsidRPr="00781175">
        <w:t>Socio-economic status of Indigenous people</w:t>
      </w:r>
    </w:p>
    <w:p w:rsidR="00037390" w:rsidRPr="00781175" w:rsidRDefault="00037390" w:rsidP="00037390">
      <w:pPr>
        <w:pStyle w:val="CGCNumberedPara"/>
        <w:numPr>
          <w:ilvl w:val="1"/>
          <w:numId w:val="2"/>
        </w:numPr>
      </w:pPr>
      <w:r w:rsidRPr="00781175">
        <w:fldChar w:fldCharType="begin"/>
      </w:r>
      <w:r w:rsidRPr="00781175">
        <w:instrText xml:space="preserve"> REF _Ref410815746 \h </w:instrText>
      </w:r>
      <w:r w:rsidR="00781175">
        <w:instrText xml:space="preserve"> \* MERGEFORMAT </w:instrText>
      </w:r>
      <w:r w:rsidRPr="00781175">
        <w:fldChar w:fldCharType="separate"/>
      </w:r>
      <w:r w:rsidR="003A5DEE" w:rsidRPr="00781175">
        <w:t xml:space="preserve">Figure </w:t>
      </w:r>
      <w:r w:rsidR="003A5DEE">
        <w:rPr>
          <w:noProof/>
        </w:rPr>
        <w:t>5</w:t>
      </w:r>
      <w:r w:rsidRPr="00781175">
        <w:fldChar w:fldCharType="end"/>
      </w:r>
      <w:r w:rsidRPr="00781175">
        <w:t xml:space="preserve"> shows States spend twice as much on the most disadvantaged Indigenous people as on the least disadvantaged. This, and the different distribution of Indigenous socio-economic status among States, redistributes GST. </w:t>
      </w:r>
      <w:r w:rsidRPr="00781175">
        <w:fldChar w:fldCharType="begin"/>
      </w:r>
      <w:r w:rsidRPr="00781175">
        <w:instrText xml:space="preserve"> REF _Ref403996976 \h </w:instrText>
      </w:r>
      <w:r w:rsidR="00781175">
        <w:instrText xml:space="preserve"> \* MERGEFORMAT </w:instrText>
      </w:r>
      <w:r w:rsidRPr="00781175">
        <w:fldChar w:fldCharType="separate"/>
      </w:r>
      <w:r w:rsidR="003A5DEE" w:rsidRPr="00781175">
        <w:t>Table </w:t>
      </w:r>
      <w:r w:rsidR="003A5DEE">
        <w:t>7</w:t>
      </w:r>
      <w:r w:rsidRPr="00781175">
        <w:fldChar w:fldCharType="end"/>
      </w:r>
      <w:r w:rsidRPr="00781175">
        <w:t xml:space="preserve"> shows State shares of the total Indigenous population and by socio-economic status.</w:t>
      </w:r>
    </w:p>
    <w:p w:rsidR="00037390" w:rsidRPr="00781175" w:rsidRDefault="00037390" w:rsidP="00037390">
      <w:pPr>
        <w:pStyle w:val="Caption"/>
      </w:pPr>
      <w:bookmarkStart w:id="527" w:name="_Ref410815746"/>
      <w:bookmarkStart w:id="528" w:name="_Ref411597943"/>
      <w:r w:rsidRPr="00781175">
        <w:lastRenderedPageBreak/>
        <w:t xml:space="preserve">Figure </w:t>
      </w:r>
      <w:fldSimple w:instr=" SEQ Figure \* ARABIC ">
        <w:r w:rsidR="003A5DEE">
          <w:rPr>
            <w:noProof/>
          </w:rPr>
          <w:t>5</w:t>
        </w:r>
      </w:fldSimple>
      <w:bookmarkEnd w:id="527"/>
      <w:r w:rsidRPr="00781175">
        <w:tab/>
        <w:t>State spending by Indigenous status and socio-economic status (a), 2013-14</w:t>
      </w:r>
      <w:bookmarkEnd w:id="528"/>
    </w:p>
    <w:p w:rsidR="00037390" w:rsidRPr="00781175" w:rsidRDefault="006B46D2" w:rsidP="006B46D2">
      <w:bookmarkStart w:id="529" w:name="_Ref316379735"/>
      <w:bookmarkStart w:id="530" w:name="_Toc316727527"/>
      <w:bookmarkStart w:id="531" w:name="_Toc316727832"/>
      <w:bookmarkStart w:id="532" w:name="_Toc347833770"/>
      <w:r w:rsidRPr="00781175">
        <w:rPr>
          <w:noProof/>
          <w:lang w:eastAsia="en-AU"/>
        </w:rPr>
        <w:drawing>
          <wp:inline distT="0" distB="0" distL="0" distR="0" wp14:anchorId="731CE622" wp14:editId="36B59792">
            <wp:extent cx="5656580" cy="3561715"/>
            <wp:effectExtent l="0" t="0" r="1270" b="635"/>
            <wp:docPr id="24" name="Picture 24" descr="This figure shows States spend twice as much on the most disadvantaged Indigenous people as on the least disadvant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56580" cy="3561715"/>
                    </a:xfrm>
                    <a:prstGeom prst="rect">
                      <a:avLst/>
                    </a:prstGeom>
                    <a:noFill/>
                    <a:ln>
                      <a:noFill/>
                    </a:ln>
                  </pic:spPr>
                </pic:pic>
              </a:graphicData>
            </a:graphic>
          </wp:inline>
        </w:drawing>
      </w:r>
    </w:p>
    <w:p w:rsidR="00037390" w:rsidRPr="00781175" w:rsidRDefault="005558EE" w:rsidP="00037390">
      <w:pPr>
        <w:pStyle w:val="CGCTableFootnote"/>
        <w:keepNext/>
      </w:pPr>
      <w:r>
        <w:t>(a)</w:t>
      </w:r>
      <w:r w:rsidR="00037390" w:rsidRPr="00781175">
        <w:tab/>
        <w:t xml:space="preserve">Includes spending on </w:t>
      </w:r>
      <w:r w:rsidR="0030325C" w:rsidRPr="00781175">
        <w:t>s</w:t>
      </w:r>
      <w:r w:rsidR="00037390" w:rsidRPr="00781175">
        <w:t xml:space="preserve">chools, post-secondary education, health, housing, family and child welfare, services to communities and justice. </w:t>
      </w:r>
    </w:p>
    <w:p w:rsidR="00037390" w:rsidRPr="00781175" w:rsidRDefault="005558EE" w:rsidP="00037390">
      <w:pPr>
        <w:pStyle w:val="CGCTableFootnote"/>
        <w:keepNext/>
      </w:pPr>
      <w:r>
        <w:t>Note:</w:t>
      </w:r>
      <w:r w:rsidR="00037390" w:rsidRPr="00781175">
        <w:tab/>
        <w:t xml:space="preserve">Disadvantage measured using IRSEO and NISEIFA quintiles in all categories except housing, where </w:t>
      </w:r>
      <w:proofErr w:type="spellStart"/>
      <w:r w:rsidR="00037390" w:rsidRPr="00781175">
        <w:t>equivalised</w:t>
      </w:r>
      <w:proofErr w:type="spellEnd"/>
      <w:r w:rsidR="00037390" w:rsidRPr="00781175">
        <w:t xml:space="preserve"> income is used.</w:t>
      </w:r>
      <w:r w:rsidR="00037390" w:rsidRPr="00781175">
        <w:br/>
        <w:t>Differences in spending between these groups can reflect differences in age, remoteness or other socio-demographic attributes.</w:t>
      </w:r>
    </w:p>
    <w:p w:rsidR="00037390" w:rsidRPr="00781175" w:rsidRDefault="00037390" w:rsidP="00037390">
      <w:pPr>
        <w:pStyle w:val="CGCTableFootnote"/>
        <w:keepNext/>
      </w:pPr>
      <w:r w:rsidRPr="00781175">
        <w:t>Source:</w:t>
      </w:r>
      <w:r w:rsidRPr="00781175">
        <w:tab/>
        <w:t>Commission calculation</w:t>
      </w:r>
      <w:r w:rsidRPr="00781175">
        <w:tab/>
      </w:r>
    </w:p>
    <w:p w:rsidR="00037390" w:rsidRPr="00781175" w:rsidRDefault="00037390" w:rsidP="00037390">
      <w:pPr>
        <w:pStyle w:val="Caption"/>
      </w:pPr>
      <w:bookmarkStart w:id="533" w:name="_Ref403996976"/>
      <w:bookmarkStart w:id="534" w:name="_Ref405803839"/>
      <w:r w:rsidRPr="00781175">
        <w:t>Table </w:t>
      </w:r>
      <w:fldSimple w:instr=" SEQ Table \* ARABIC ">
        <w:r w:rsidR="003A5DEE">
          <w:rPr>
            <w:noProof/>
          </w:rPr>
          <w:t>7</w:t>
        </w:r>
      </w:fldSimple>
      <w:bookmarkEnd w:id="533"/>
      <w:r w:rsidRPr="00781175">
        <w:tab/>
        <w:t xml:space="preserve">State shares of Indigenous people by </w:t>
      </w:r>
      <w:r w:rsidR="0030325C" w:rsidRPr="00781175">
        <w:t>SES quintile, December </w:t>
      </w:r>
      <w:r w:rsidRPr="00781175">
        <w:t>2013</w:t>
      </w:r>
    </w:p>
    <w:tbl>
      <w:tblPr>
        <w:tblW w:w="8940" w:type="dxa"/>
        <w:tblInd w:w="93" w:type="dxa"/>
        <w:tblLook w:val="04A0" w:firstRow="1" w:lastRow="0" w:firstColumn="1" w:lastColumn="0" w:noHBand="0" w:noVBand="1"/>
      </w:tblPr>
      <w:tblGrid>
        <w:gridCol w:w="2260"/>
        <w:gridCol w:w="615"/>
        <w:gridCol w:w="780"/>
        <w:gridCol w:w="780"/>
        <w:gridCol w:w="780"/>
        <w:gridCol w:w="780"/>
        <w:gridCol w:w="680"/>
        <w:gridCol w:w="680"/>
        <w:gridCol w:w="780"/>
        <w:gridCol w:w="880"/>
      </w:tblGrid>
      <w:tr w:rsidR="00E11EF7" w:rsidRPr="00781175" w:rsidTr="00236E06">
        <w:trPr>
          <w:trHeight w:val="379"/>
        </w:trPr>
        <w:tc>
          <w:tcPr>
            <w:tcW w:w="2260" w:type="dxa"/>
            <w:tcBorders>
              <w:top w:val="single" w:sz="4" w:space="0" w:color="auto"/>
              <w:left w:val="nil"/>
              <w:bottom w:val="single" w:sz="4" w:space="0" w:color="auto"/>
              <w:right w:val="nil"/>
            </w:tcBorders>
            <w:shd w:val="clear" w:color="auto" w:fill="auto"/>
            <w:noWrap/>
            <w:vAlign w:val="center"/>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w:t>
            </w:r>
          </w:p>
        </w:tc>
        <w:tc>
          <w:tcPr>
            <w:tcW w:w="540" w:type="dxa"/>
            <w:tcBorders>
              <w:top w:val="single" w:sz="4" w:space="0" w:color="auto"/>
              <w:left w:val="nil"/>
              <w:bottom w:val="single" w:sz="4" w:space="0" w:color="auto"/>
              <w:right w:val="nil"/>
            </w:tcBorders>
            <w:shd w:val="clear" w:color="auto" w:fill="auto"/>
            <w:noWrap/>
            <w:vAlign w:val="center"/>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NSW</w:t>
            </w:r>
          </w:p>
        </w:tc>
        <w:tc>
          <w:tcPr>
            <w:tcW w:w="780" w:type="dxa"/>
            <w:tcBorders>
              <w:top w:val="single" w:sz="4" w:space="0" w:color="auto"/>
              <w:left w:val="nil"/>
              <w:bottom w:val="single" w:sz="4" w:space="0" w:color="auto"/>
              <w:right w:val="nil"/>
            </w:tcBorders>
            <w:shd w:val="clear" w:color="auto" w:fill="auto"/>
            <w:noWrap/>
            <w:vAlign w:val="center"/>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Vic</w:t>
            </w:r>
          </w:p>
        </w:tc>
        <w:tc>
          <w:tcPr>
            <w:tcW w:w="780" w:type="dxa"/>
            <w:tcBorders>
              <w:top w:val="single" w:sz="4" w:space="0" w:color="auto"/>
              <w:left w:val="nil"/>
              <w:bottom w:val="single" w:sz="4" w:space="0" w:color="auto"/>
              <w:right w:val="nil"/>
            </w:tcBorders>
            <w:shd w:val="clear" w:color="auto" w:fill="auto"/>
            <w:noWrap/>
            <w:vAlign w:val="center"/>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Qld</w:t>
            </w:r>
          </w:p>
        </w:tc>
        <w:tc>
          <w:tcPr>
            <w:tcW w:w="780" w:type="dxa"/>
            <w:tcBorders>
              <w:top w:val="single" w:sz="4" w:space="0" w:color="auto"/>
              <w:left w:val="nil"/>
              <w:bottom w:val="single" w:sz="4" w:space="0" w:color="auto"/>
              <w:right w:val="nil"/>
            </w:tcBorders>
            <w:shd w:val="clear" w:color="auto" w:fill="auto"/>
            <w:noWrap/>
            <w:vAlign w:val="center"/>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WA</w:t>
            </w:r>
          </w:p>
        </w:tc>
        <w:tc>
          <w:tcPr>
            <w:tcW w:w="780" w:type="dxa"/>
            <w:tcBorders>
              <w:top w:val="single" w:sz="4" w:space="0" w:color="auto"/>
              <w:left w:val="nil"/>
              <w:bottom w:val="single" w:sz="4" w:space="0" w:color="auto"/>
              <w:right w:val="nil"/>
            </w:tcBorders>
            <w:shd w:val="clear" w:color="auto" w:fill="auto"/>
            <w:noWrap/>
            <w:vAlign w:val="center"/>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SA</w:t>
            </w:r>
          </w:p>
        </w:tc>
        <w:tc>
          <w:tcPr>
            <w:tcW w:w="680" w:type="dxa"/>
            <w:tcBorders>
              <w:top w:val="single" w:sz="4" w:space="0" w:color="auto"/>
              <w:left w:val="nil"/>
              <w:bottom w:val="single" w:sz="4" w:space="0" w:color="auto"/>
              <w:right w:val="nil"/>
            </w:tcBorders>
            <w:shd w:val="clear" w:color="auto" w:fill="auto"/>
            <w:noWrap/>
            <w:vAlign w:val="center"/>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proofErr w:type="spellStart"/>
            <w:r w:rsidRPr="00781175">
              <w:rPr>
                <w:rFonts w:ascii="Calibri" w:eastAsia="Times New Roman" w:hAnsi="Calibri" w:cs="Times New Roman"/>
                <w:sz w:val="20"/>
                <w:szCs w:val="20"/>
                <w:lang w:eastAsia="en-AU"/>
              </w:rPr>
              <w:t>Tas</w:t>
            </w:r>
            <w:proofErr w:type="spellEnd"/>
          </w:p>
        </w:tc>
        <w:tc>
          <w:tcPr>
            <w:tcW w:w="680" w:type="dxa"/>
            <w:tcBorders>
              <w:top w:val="single" w:sz="4" w:space="0" w:color="auto"/>
              <w:left w:val="nil"/>
              <w:bottom w:val="single" w:sz="4" w:space="0" w:color="auto"/>
              <w:right w:val="nil"/>
            </w:tcBorders>
            <w:shd w:val="clear" w:color="auto" w:fill="auto"/>
            <w:noWrap/>
            <w:vAlign w:val="center"/>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ACT</w:t>
            </w:r>
          </w:p>
        </w:tc>
        <w:tc>
          <w:tcPr>
            <w:tcW w:w="780" w:type="dxa"/>
            <w:tcBorders>
              <w:top w:val="single" w:sz="4" w:space="0" w:color="auto"/>
              <w:left w:val="nil"/>
              <w:bottom w:val="single" w:sz="4" w:space="0" w:color="auto"/>
              <w:right w:val="nil"/>
            </w:tcBorders>
            <w:shd w:val="clear" w:color="auto" w:fill="auto"/>
            <w:noWrap/>
            <w:vAlign w:val="center"/>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NT</w:t>
            </w:r>
          </w:p>
        </w:tc>
        <w:tc>
          <w:tcPr>
            <w:tcW w:w="880" w:type="dxa"/>
            <w:tcBorders>
              <w:top w:val="single" w:sz="4" w:space="0" w:color="auto"/>
              <w:left w:val="nil"/>
              <w:bottom w:val="single" w:sz="4" w:space="0" w:color="auto"/>
              <w:right w:val="nil"/>
            </w:tcBorders>
            <w:shd w:val="clear" w:color="auto" w:fill="auto"/>
            <w:noWrap/>
            <w:vAlign w:val="center"/>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Total</w:t>
            </w:r>
          </w:p>
        </w:tc>
      </w:tr>
      <w:tr w:rsidR="00E11EF7" w:rsidRPr="00781175" w:rsidTr="00236E06">
        <w:trPr>
          <w:trHeight w:val="259"/>
        </w:trPr>
        <w:tc>
          <w:tcPr>
            <w:tcW w:w="226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p>
        </w:tc>
        <w:tc>
          <w:tcPr>
            <w:tcW w:w="54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t>
            </w:r>
          </w:p>
        </w:tc>
        <w:tc>
          <w:tcPr>
            <w:tcW w:w="6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t>
            </w:r>
          </w:p>
        </w:tc>
        <w:tc>
          <w:tcPr>
            <w:tcW w:w="6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t>
            </w:r>
          </w:p>
        </w:tc>
        <w:tc>
          <w:tcPr>
            <w:tcW w:w="8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w:t>
            </w:r>
          </w:p>
        </w:tc>
      </w:tr>
      <w:tr w:rsidR="00E11EF7" w:rsidRPr="00781175" w:rsidTr="00236E06">
        <w:trPr>
          <w:trHeight w:val="315"/>
        </w:trPr>
        <w:tc>
          <w:tcPr>
            <w:tcW w:w="2260" w:type="dxa"/>
            <w:tcBorders>
              <w:top w:val="nil"/>
              <w:left w:val="nil"/>
              <w:bottom w:val="nil"/>
              <w:right w:val="nil"/>
            </w:tcBorders>
            <w:shd w:val="clear" w:color="auto" w:fill="auto"/>
            <w:noWrap/>
            <w:vAlign w:val="bottom"/>
            <w:hideMark/>
          </w:tcPr>
          <w:p w:rsidR="00E11EF7" w:rsidRPr="00781175" w:rsidRDefault="00E11EF7" w:rsidP="0030325C">
            <w:pPr>
              <w:tabs>
                <w:tab w:val="clear" w:pos="567"/>
              </w:tabs>
              <w:spacing w:after="0" w:line="240" w:lineRule="auto"/>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Least </w:t>
            </w:r>
            <w:r w:rsidR="0030325C" w:rsidRPr="00781175">
              <w:rPr>
                <w:rFonts w:ascii="Calibri" w:eastAsia="Times New Roman" w:hAnsi="Calibri" w:cs="Times New Roman"/>
                <w:sz w:val="20"/>
                <w:szCs w:val="20"/>
                <w:lang w:eastAsia="en-AU"/>
              </w:rPr>
              <w:t>d</w:t>
            </w:r>
            <w:r w:rsidRPr="00781175">
              <w:rPr>
                <w:rFonts w:ascii="Calibri" w:eastAsia="Times New Roman" w:hAnsi="Calibri" w:cs="Times New Roman"/>
                <w:sz w:val="20"/>
                <w:szCs w:val="20"/>
                <w:lang w:eastAsia="en-AU"/>
              </w:rPr>
              <w:t>isadvantaged</w:t>
            </w:r>
          </w:p>
        </w:tc>
        <w:tc>
          <w:tcPr>
            <w:tcW w:w="54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33.5</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18.0</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29.8</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2.5</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2.3</w:t>
            </w:r>
          </w:p>
        </w:tc>
        <w:tc>
          <w:tcPr>
            <w:tcW w:w="6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6.4</w:t>
            </w:r>
          </w:p>
        </w:tc>
        <w:tc>
          <w:tcPr>
            <w:tcW w:w="6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4.5</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3.1</w:t>
            </w:r>
          </w:p>
        </w:tc>
        <w:tc>
          <w:tcPr>
            <w:tcW w:w="8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100.0</w:t>
            </w:r>
          </w:p>
        </w:tc>
      </w:tr>
      <w:tr w:rsidR="00E11EF7" w:rsidRPr="00781175" w:rsidTr="00236E06">
        <w:trPr>
          <w:trHeight w:val="315"/>
        </w:trPr>
        <w:tc>
          <w:tcPr>
            <w:tcW w:w="2260" w:type="dxa"/>
            <w:tcBorders>
              <w:top w:val="nil"/>
              <w:left w:val="nil"/>
              <w:bottom w:val="nil"/>
              <w:right w:val="nil"/>
            </w:tcBorders>
            <w:shd w:val="clear" w:color="auto" w:fill="auto"/>
            <w:noWrap/>
            <w:vAlign w:val="bottom"/>
            <w:hideMark/>
          </w:tcPr>
          <w:p w:rsidR="00E11EF7" w:rsidRPr="00781175" w:rsidRDefault="00E11EF7" w:rsidP="0030325C">
            <w:pPr>
              <w:tabs>
                <w:tab w:val="clear" w:pos="567"/>
              </w:tabs>
              <w:spacing w:after="0" w:line="240" w:lineRule="auto"/>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2nd </w:t>
            </w:r>
            <w:r w:rsidR="0030325C" w:rsidRPr="00781175">
              <w:rPr>
                <w:rFonts w:ascii="Calibri" w:eastAsia="Times New Roman" w:hAnsi="Calibri" w:cs="Times New Roman"/>
                <w:sz w:val="20"/>
                <w:szCs w:val="20"/>
                <w:lang w:eastAsia="en-AU"/>
              </w:rPr>
              <w:t>l</w:t>
            </w:r>
            <w:r w:rsidRPr="00781175">
              <w:rPr>
                <w:rFonts w:ascii="Calibri" w:eastAsia="Times New Roman" w:hAnsi="Calibri" w:cs="Times New Roman"/>
                <w:sz w:val="20"/>
                <w:szCs w:val="20"/>
                <w:lang w:eastAsia="en-AU"/>
              </w:rPr>
              <w:t xml:space="preserve">east </w:t>
            </w:r>
            <w:r w:rsidR="0030325C" w:rsidRPr="00781175">
              <w:rPr>
                <w:rFonts w:ascii="Calibri" w:eastAsia="Times New Roman" w:hAnsi="Calibri" w:cs="Times New Roman"/>
                <w:sz w:val="20"/>
                <w:szCs w:val="20"/>
                <w:lang w:eastAsia="en-AU"/>
              </w:rPr>
              <w:t>d</w:t>
            </w:r>
            <w:r w:rsidRPr="00781175">
              <w:rPr>
                <w:rFonts w:ascii="Calibri" w:eastAsia="Times New Roman" w:hAnsi="Calibri" w:cs="Times New Roman"/>
                <w:sz w:val="20"/>
                <w:szCs w:val="20"/>
                <w:lang w:eastAsia="en-AU"/>
              </w:rPr>
              <w:t>isadvantaged</w:t>
            </w:r>
          </w:p>
        </w:tc>
        <w:tc>
          <w:tcPr>
            <w:tcW w:w="54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41.4</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4.5</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26.6</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6.3</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6.4</w:t>
            </w:r>
          </w:p>
        </w:tc>
        <w:tc>
          <w:tcPr>
            <w:tcW w:w="6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9.5</w:t>
            </w:r>
          </w:p>
        </w:tc>
        <w:tc>
          <w:tcPr>
            <w:tcW w:w="6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0.0</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5.4</w:t>
            </w:r>
          </w:p>
        </w:tc>
        <w:tc>
          <w:tcPr>
            <w:tcW w:w="8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100.0</w:t>
            </w:r>
          </w:p>
        </w:tc>
      </w:tr>
      <w:tr w:rsidR="00E11EF7" w:rsidRPr="00781175" w:rsidTr="00236E06">
        <w:trPr>
          <w:trHeight w:val="315"/>
        </w:trPr>
        <w:tc>
          <w:tcPr>
            <w:tcW w:w="2260" w:type="dxa"/>
            <w:tcBorders>
              <w:top w:val="nil"/>
              <w:left w:val="nil"/>
              <w:bottom w:val="nil"/>
              <w:right w:val="nil"/>
            </w:tcBorders>
            <w:shd w:val="clear" w:color="auto" w:fill="auto"/>
            <w:noWrap/>
            <w:vAlign w:val="bottom"/>
            <w:hideMark/>
          </w:tcPr>
          <w:p w:rsidR="00E11EF7" w:rsidRPr="00781175" w:rsidRDefault="00E11EF7" w:rsidP="0030325C">
            <w:pPr>
              <w:tabs>
                <w:tab w:val="clear" w:pos="567"/>
              </w:tabs>
              <w:spacing w:after="0" w:line="240" w:lineRule="auto"/>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Middle </w:t>
            </w:r>
            <w:r w:rsidR="0030325C" w:rsidRPr="00781175">
              <w:rPr>
                <w:rFonts w:ascii="Calibri" w:eastAsia="Times New Roman" w:hAnsi="Calibri" w:cs="Times New Roman"/>
                <w:sz w:val="20"/>
                <w:szCs w:val="20"/>
                <w:lang w:eastAsia="en-AU"/>
              </w:rPr>
              <w:t>q</w:t>
            </w:r>
            <w:r w:rsidRPr="00781175">
              <w:rPr>
                <w:rFonts w:ascii="Calibri" w:eastAsia="Times New Roman" w:hAnsi="Calibri" w:cs="Times New Roman"/>
                <w:sz w:val="20"/>
                <w:szCs w:val="20"/>
                <w:lang w:eastAsia="en-AU"/>
              </w:rPr>
              <w:t>uintile</w:t>
            </w:r>
          </w:p>
        </w:tc>
        <w:tc>
          <w:tcPr>
            <w:tcW w:w="54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23.9</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8.7</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40.6</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18.1</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3.3</w:t>
            </w:r>
          </w:p>
        </w:tc>
        <w:tc>
          <w:tcPr>
            <w:tcW w:w="6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1.0</w:t>
            </w:r>
          </w:p>
        </w:tc>
        <w:tc>
          <w:tcPr>
            <w:tcW w:w="6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0.0</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4.4</w:t>
            </w:r>
          </w:p>
        </w:tc>
        <w:tc>
          <w:tcPr>
            <w:tcW w:w="8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100.0</w:t>
            </w:r>
          </w:p>
        </w:tc>
      </w:tr>
      <w:tr w:rsidR="00E11EF7" w:rsidRPr="00781175" w:rsidTr="00236E06">
        <w:trPr>
          <w:trHeight w:val="315"/>
        </w:trPr>
        <w:tc>
          <w:tcPr>
            <w:tcW w:w="2260" w:type="dxa"/>
            <w:tcBorders>
              <w:top w:val="nil"/>
              <w:left w:val="nil"/>
              <w:bottom w:val="nil"/>
              <w:right w:val="nil"/>
            </w:tcBorders>
            <w:shd w:val="clear" w:color="auto" w:fill="auto"/>
            <w:noWrap/>
            <w:vAlign w:val="bottom"/>
            <w:hideMark/>
          </w:tcPr>
          <w:p w:rsidR="00E11EF7" w:rsidRPr="00781175" w:rsidRDefault="00E11EF7" w:rsidP="0030325C">
            <w:pPr>
              <w:tabs>
                <w:tab w:val="clear" w:pos="567"/>
              </w:tabs>
              <w:spacing w:after="0" w:line="240" w:lineRule="auto"/>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2nd </w:t>
            </w:r>
            <w:r w:rsidR="0030325C" w:rsidRPr="00781175">
              <w:rPr>
                <w:rFonts w:ascii="Calibri" w:eastAsia="Times New Roman" w:hAnsi="Calibri" w:cs="Times New Roman"/>
                <w:sz w:val="20"/>
                <w:szCs w:val="20"/>
                <w:lang w:eastAsia="en-AU"/>
              </w:rPr>
              <w:t>m</w:t>
            </w:r>
            <w:r w:rsidRPr="00781175">
              <w:rPr>
                <w:rFonts w:ascii="Calibri" w:eastAsia="Times New Roman" w:hAnsi="Calibri" w:cs="Times New Roman"/>
                <w:sz w:val="20"/>
                <w:szCs w:val="20"/>
                <w:lang w:eastAsia="en-AU"/>
              </w:rPr>
              <w:t xml:space="preserve">ost </w:t>
            </w:r>
            <w:r w:rsidR="0030325C" w:rsidRPr="00781175">
              <w:rPr>
                <w:rFonts w:ascii="Calibri" w:eastAsia="Times New Roman" w:hAnsi="Calibri" w:cs="Times New Roman"/>
                <w:sz w:val="20"/>
                <w:szCs w:val="20"/>
                <w:lang w:eastAsia="en-AU"/>
              </w:rPr>
              <w:t>d</w:t>
            </w:r>
            <w:r w:rsidRPr="00781175">
              <w:rPr>
                <w:rFonts w:ascii="Calibri" w:eastAsia="Times New Roman" w:hAnsi="Calibri" w:cs="Times New Roman"/>
                <w:sz w:val="20"/>
                <w:szCs w:val="20"/>
                <w:lang w:eastAsia="en-AU"/>
              </w:rPr>
              <w:t>isadvantaged</w:t>
            </w:r>
          </w:p>
        </w:tc>
        <w:tc>
          <w:tcPr>
            <w:tcW w:w="54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38.9</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4.1</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27.8</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18.5</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9.0</w:t>
            </w:r>
          </w:p>
        </w:tc>
        <w:tc>
          <w:tcPr>
            <w:tcW w:w="6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0.8</w:t>
            </w:r>
          </w:p>
        </w:tc>
        <w:tc>
          <w:tcPr>
            <w:tcW w:w="6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0.0</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1.0</w:t>
            </w:r>
          </w:p>
        </w:tc>
        <w:tc>
          <w:tcPr>
            <w:tcW w:w="8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100.0</w:t>
            </w:r>
          </w:p>
        </w:tc>
      </w:tr>
      <w:tr w:rsidR="00E11EF7" w:rsidRPr="00781175" w:rsidTr="00236E06">
        <w:trPr>
          <w:trHeight w:val="315"/>
        </w:trPr>
        <w:tc>
          <w:tcPr>
            <w:tcW w:w="2260" w:type="dxa"/>
            <w:tcBorders>
              <w:top w:val="nil"/>
              <w:left w:val="nil"/>
              <w:bottom w:val="nil"/>
              <w:right w:val="nil"/>
            </w:tcBorders>
            <w:shd w:val="clear" w:color="auto" w:fill="auto"/>
            <w:noWrap/>
            <w:vAlign w:val="bottom"/>
            <w:hideMark/>
          </w:tcPr>
          <w:p w:rsidR="00E11EF7" w:rsidRPr="00781175" w:rsidRDefault="00E11EF7" w:rsidP="0030325C">
            <w:pPr>
              <w:tabs>
                <w:tab w:val="clear" w:pos="567"/>
              </w:tabs>
              <w:spacing w:after="0" w:line="240" w:lineRule="auto"/>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 xml:space="preserve">Most </w:t>
            </w:r>
            <w:r w:rsidR="0030325C" w:rsidRPr="00781175">
              <w:rPr>
                <w:rFonts w:ascii="Calibri" w:eastAsia="Times New Roman" w:hAnsi="Calibri" w:cs="Times New Roman"/>
                <w:sz w:val="20"/>
                <w:szCs w:val="20"/>
                <w:lang w:eastAsia="en-AU"/>
              </w:rPr>
              <w:t>d</w:t>
            </w:r>
            <w:r w:rsidRPr="00781175">
              <w:rPr>
                <w:rFonts w:ascii="Calibri" w:eastAsia="Times New Roman" w:hAnsi="Calibri" w:cs="Times New Roman"/>
                <w:sz w:val="20"/>
                <w:szCs w:val="20"/>
                <w:lang w:eastAsia="en-AU"/>
              </w:rPr>
              <w:t>isadvantaged</w:t>
            </w:r>
          </w:p>
        </w:tc>
        <w:tc>
          <w:tcPr>
            <w:tcW w:w="54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16.9</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0.0</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16.9</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21.4</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7.0</w:t>
            </w:r>
          </w:p>
        </w:tc>
        <w:tc>
          <w:tcPr>
            <w:tcW w:w="6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0.0</w:t>
            </w:r>
          </w:p>
        </w:tc>
        <w:tc>
          <w:tcPr>
            <w:tcW w:w="6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0.0</w:t>
            </w:r>
          </w:p>
        </w:tc>
        <w:tc>
          <w:tcPr>
            <w:tcW w:w="7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37.8</w:t>
            </w:r>
          </w:p>
        </w:tc>
        <w:tc>
          <w:tcPr>
            <w:tcW w:w="880" w:type="dxa"/>
            <w:tcBorders>
              <w:top w:val="nil"/>
              <w:left w:val="nil"/>
              <w:bottom w:val="nil"/>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100.0</w:t>
            </w:r>
          </w:p>
        </w:tc>
      </w:tr>
      <w:tr w:rsidR="00E11EF7" w:rsidRPr="00781175" w:rsidTr="00236E06">
        <w:trPr>
          <w:trHeight w:val="315"/>
        </w:trPr>
        <w:tc>
          <w:tcPr>
            <w:tcW w:w="2260" w:type="dxa"/>
            <w:tcBorders>
              <w:top w:val="nil"/>
              <w:left w:val="nil"/>
              <w:bottom w:val="single" w:sz="4" w:space="0" w:color="auto"/>
              <w:right w:val="nil"/>
            </w:tcBorders>
            <w:shd w:val="clear" w:color="auto" w:fill="auto"/>
            <w:noWrap/>
            <w:vAlign w:val="bottom"/>
            <w:hideMark/>
          </w:tcPr>
          <w:p w:rsidR="00E11EF7" w:rsidRPr="00781175" w:rsidRDefault="00E11EF7" w:rsidP="00236E06">
            <w:pPr>
              <w:tabs>
                <w:tab w:val="clear" w:pos="567"/>
              </w:tabs>
              <w:spacing w:after="0" w:line="240" w:lineRule="auto"/>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Total</w:t>
            </w:r>
          </w:p>
        </w:tc>
        <w:tc>
          <w:tcPr>
            <w:tcW w:w="540" w:type="dxa"/>
            <w:tcBorders>
              <w:top w:val="single" w:sz="4" w:space="0" w:color="auto"/>
              <w:left w:val="nil"/>
              <w:bottom w:val="single" w:sz="4" w:space="0" w:color="auto"/>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31.0</w:t>
            </w:r>
          </w:p>
        </w:tc>
        <w:tc>
          <w:tcPr>
            <w:tcW w:w="780" w:type="dxa"/>
            <w:tcBorders>
              <w:top w:val="single" w:sz="4" w:space="0" w:color="auto"/>
              <w:left w:val="nil"/>
              <w:bottom w:val="single" w:sz="4" w:space="0" w:color="auto"/>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7.1</w:t>
            </w:r>
          </w:p>
        </w:tc>
        <w:tc>
          <w:tcPr>
            <w:tcW w:w="780" w:type="dxa"/>
            <w:tcBorders>
              <w:top w:val="single" w:sz="4" w:space="0" w:color="auto"/>
              <w:left w:val="nil"/>
              <w:bottom w:val="single" w:sz="4" w:space="0" w:color="auto"/>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28.3</w:t>
            </w:r>
          </w:p>
        </w:tc>
        <w:tc>
          <w:tcPr>
            <w:tcW w:w="780" w:type="dxa"/>
            <w:tcBorders>
              <w:top w:val="single" w:sz="4" w:space="0" w:color="auto"/>
              <w:left w:val="nil"/>
              <w:bottom w:val="single" w:sz="4" w:space="0" w:color="auto"/>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13.2</w:t>
            </w:r>
          </w:p>
        </w:tc>
        <w:tc>
          <w:tcPr>
            <w:tcW w:w="780" w:type="dxa"/>
            <w:tcBorders>
              <w:top w:val="single" w:sz="4" w:space="0" w:color="auto"/>
              <w:left w:val="nil"/>
              <w:bottom w:val="single" w:sz="4" w:space="0" w:color="auto"/>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5.6</w:t>
            </w:r>
          </w:p>
        </w:tc>
        <w:tc>
          <w:tcPr>
            <w:tcW w:w="680" w:type="dxa"/>
            <w:tcBorders>
              <w:top w:val="single" w:sz="4" w:space="0" w:color="auto"/>
              <w:left w:val="nil"/>
              <w:bottom w:val="single" w:sz="4" w:space="0" w:color="auto"/>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3.6</w:t>
            </w:r>
          </w:p>
        </w:tc>
        <w:tc>
          <w:tcPr>
            <w:tcW w:w="680" w:type="dxa"/>
            <w:tcBorders>
              <w:top w:val="single" w:sz="4" w:space="0" w:color="auto"/>
              <w:left w:val="nil"/>
              <w:bottom w:val="single" w:sz="4" w:space="0" w:color="auto"/>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0.9</w:t>
            </w:r>
          </w:p>
        </w:tc>
        <w:tc>
          <w:tcPr>
            <w:tcW w:w="780" w:type="dxa"/>
            <w:tcBorders>
              <w:top w:val="single" w:sz="4" w:space="0" w:color="auto"/>
              <w:left w:val="nil"/>
              <w:bottom w:val="single" w:sz="4" w:space="0" w:color="auto"/>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10.2</w:t>
            </w:r>
          </w:p>
        </w:tc>
        <w:tc>
          <w:tcPr>
            <w:tcW w:w="880" w:type="dxa"/>
            <w:tcBorders>
              <w:top w:val="single" w:sz="4" w:space="0" w:color="auto"/>
              <w:left w:val="nil"/>
              <w:bottom w:val="single" w:sz="4" w:space="0" w:color="auto"/>
              <w:right w:val="nil"/>
            </w:tcBorders>
            <w:shd w:val="clear" w:color="auto" w:fill="auto"/>
            <w:noWrap/>
            <w:vAlign w:val="bottom"/>
            <w:hideMark/>
          </w:tcPr>
          <w:p w:rsidR="00E11EF7" w:rsidRPr="00781175"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781175">
              <w:rPr>
                <w:rFonts w:ascii="Calibri" w:eastAsia="Times New Roman" w:hAnsi="Calibri" w:cs="Times New Roman"/>
                <w:sz w:val="20"/>
                <w:szCs w:val="20"/>
                <w:lang w:eastAsia="en-AU"/>
              </w:rPr>
              <w:t>100.0</w:t>
            </w:r>
          </w:p>
        </w:tc>
      </w:tr>
    </w:tbl>
    <w:p w:rsidR="00037390" w:rsidRPr="00781175" w:rsidRDefault="00037390" w:rsidP="00037390">
      <w:pPr>
        <w:pStyle w:val="CGCDataCaption"/>
      </w:pPr>
      <w:r w:rsidRPr="00781175">
        <w:t>Source:</w:t>
      </w:r>
      <w:r w:rsidRPr="00781175">
        <w:tab/>
        <w:t>Commission calculation using ABS data request and IRSEO index.</w:t>
      </w:r>
    </w:p>
    <w:p w:rsidR="00037390" w:rsidRPr="00781175" w:rsidRDefault="00037390" w:rsidP="00D01233">
      <w:pPr>
        <w:pStyle w:val="CGCNumberedPara"/>
      </w:pPr>
      <w:r w:rsidRPr="00781175">
        <w:t>As a result, while $190 million is redistributed to Western Australia because it has a large Indigenous population, another $79 million is redistributed because that Indigenous population is relatively disadvantaged. On the other hand, Tasmania receives $84 million because it has the second largest proportion of Indigenous people. However, because it</w:t>
      </w:r>
      <w:r w:rsidR="0030325C" w:rsidRPr="00781175">
        <w:t>s</w:t>
      </w:r>
      <w:r w:rsidRPr="00781175">
        <w:t xml:space="preserve"> Indigenous p</w:t>
      </w:r>
      <w:r w:rsidR="0030325C" w:rsidRPr="00781175">
        <w:t>opulation</w:t>
      </w:r>
      <w:r w:rsidRPr="00781175">
        <w:t xml:space="preserve"> </w:t>
      </w:r>
      <w:r w:rsidR="00BC6419" w:rsidRPr="00781175">
        <w:t xml:space="preserve">is </w:t>
      </w:r>
      <w:r w:rsidRPr="00781175">
        <w:t>relatively advantaged, the net impact is reduced to $2</w:t>
      </w:r>
      <w:r w:rsidR="00710A71" w:rsidRPr="00781175">
        <w:t>5</w:t>
      </w:r>
      <w:r w:rsidRPr="00781175">
        <w:t xml:space="preserve"> million (</w:t>
      </w:r>
      <w:r w:rsidR="00D01233" w:rsidRPr="00781175">
        <w:t xml:space="preserve">Box </w:t>
      </w:r>
      <w:r w:rsidR="001862DC" w:rsidRPr="00781175">
        <w:t>3</w:t>
      </w:r>
      <w:r w:rsidRPr="00781175">
        <w:t>).</w:t>
      </w:r>
    </w:p>
    <w:p w:rsidR="00037390" w:rsidRPr="00781175" w:rsidRDefault="00037390" w:rsidP="00037390">
      <w:pPr>
        <w:pStyle w:val="CGCNumberedPara"/>
        <w:numPr>
          <w:ilvl w:val="1"/>
          <w:numId w:val="2"/>
        </w:numPr>
      </w:pPr>
      <w:bookmarkStart w:id="535" w:name="_Ref411604368"/>
      <w:r w:rsidRPr="00781175">
        <w:lastRenderedPageBreak/>
        <w:t xml:space="preserve">The Northern Territory receives significant redistributions due to both Indigenous status and remoteness. That is augmented by a small redistribution to reflect the socio-economic status of its Indigenous population. While the Northern Territory’s Indigenous population is more disadvantaged than the Australian average, because </w:t>
      </w:r>
      <w:proofErr w:type="gramStart"/>
      <w:r w:rsidRPr="00781175">
        <w:t>a large proportion live</w:t>
      </w:r>
      <w:proofErr w:type="gramEnd"/>
      <w:r w:rsidRPr="00781175">
        <w:t xml:space="preserve"> in remote areas, which nationally are generally </w:t>
      </w:r>
      <w:r w:rsidR="008B7CD6" w:rsidRPr="00781175">
        <w:t xml:space="preserve">of </w:t>
      </w:r>
      <w:r w:rsidRPr="00781175">
        <w:t>low socio</w:t>
      </w:r>
      <w:r w:rsidR="008B7CD6" w:rsidRPr="00781175">
        <w:noBreakHyphen/>
      </w:r>
      <w:r w:rsidRPr="00781175">
        <w:t xml:space="preserve">economic status, much of </w:t>
      </w:r>
      <w:r w:rsidR="00056A51">
        <w:t>its</w:t>
      </w:r>
      <w:r w:rsidRPr="00781175">
        <w:t xml:space="preserve"> higher GST requirement </w:t>
      </w:r>
      <w:r w:rsidR="00056A51">
        <w:t>is</w:t>
      </w:r>
      <w:r w:rsidRPr="00781175">
        <w:t xml:space="preserve"> attributed to remoteness. </w:t>
      </w:r>
      <w:bookmarkEnd w:id="534"/>
      <w:bookmarkEnd w:id="535"/>
    </w:p>
    <w:p w:rsidR="00037390" w:rsidRPr="00781175" w:rsidRDefault="00037390" w:rsidP="00037390">
      <w:pPr>
        <w:pStyle w:val="Heading5"/>
      </w:pPr>
      <w:r w:rsidRPr="00781175">
        <w:t xml:space="preserve">Socio-economic status of </w:t>
      </w:r>
      <w:r w:rsidR="00C6669A" w:rsidRPr="00781175">
        <w:t>n</w:t>
      </w:r>
      <w:r w:rsidRPr="00781175">
        <w:t>on-Indigenous people</w:t>
      </w:r>
    </w:p>
    <w:p w:rsidR="00037390" w:rsidRPr="00781175" w:rsidRDefault="00037390" w:rsidP="00037390">
      <w:pPr>
        <w:pStyle w:val="CGCNumberedPara"/>
        <w:numPr>
          <w:ilvl w:val="1"/>
          <w:numId w:val="2"/>
        </w:numPr>
      </w:pPr>
      <w:r w:rsidRPr="00781175">
        <w:t xml:space="preserve">Western Australia, the ACT and Northern Territory have below average proportions of disadvantaged non-Indigenous people, leading to </w:t>
      </w:r>
      <w:proofErr w:type="gramStart"/>
      <w:r w:rsidRPr="00781175">
        <w:t>a redistribution</w:t>
      </w:r>
      <w:proofErr w:type="gramEnd"/>
      <w:r w:rsidRPr="00781175">
        <w:t xml:space="preserve"> towards the States with the largest proportions </w:t>
      </w:r>
      <w:r w:rsidR="00987084" w:rsidRPr="00781175">
        <w:t xml:space="preserve">– </w:t>
      </w:r>
      <w:r w:rsidRPr="00781175">
        <w:t>New South Wales, South Australia and Tasmania.</w:t>
      </w:r>
    </w:p>
    <w:p w:rsidR="00037390" w:rsidRPr="00781175" w:rsidRDefault="00037390" w:rsidP="00037390">
      <w:pPr>
        <w:pStyle w:val="CGCNumberedPara"/>
        <w:numPr>
          <w:ilvl w:val="1"/>
          <w:numId w:val="2"/>
        </w:numPr>
      </w:pPr>
      <w:r w:rsidRPr="00781175">
        <w:t>While in past inquiries, we attributed significant amounts of the GST redistributed to Tasmania due to the relative disadvantage of its population, we now attribute much of that to the remoteness of Tasmania. Under the ABS remoteness classification, Tasmania has no population in the low</w:t>
      </w:r>
      <w:r w:rsidR="008246D0" w:rsidRPr="00781175">
        <w:t xml:space="preserve"> </w:t>
      </w:r>
      <w:r w:rsidRPr="00781175">
        <w:t>cost major cities category; they are all in higher cost regional or remote areas. Similar to the Northern Territory</w:t>
      </w:r>
      <w:r w:rsidR="0030325C" w:rsidRPr="00781175">
        <w:t>’s</w:t>
      </w:r>
      <w:r w:rsidRPr="00781175">
        <w:t xml:space="preserve"> experience described in paragraph </w:t>
      </w:r>
      <w:r w:rsidRPr="00781175">
        <w:fldChar w:fldCharType="begin"/>
      </w:r>
      <w:r w:rsidRPr="00781175">
        <w:instrText xml:space="preserve"> REF _Ref411604368 \r \h </w:instrText>
      </w:r>
      <w:r w:rsidR="00781175">
        <w:instrText xml:space="preserve"> \* MERGEFORMAT </w:instrText>
      </w:r>
      <w:r w:rsidRPr="00781175">
        <w:fldChar w:fldCharType="separate"/>
      </w:r>
      <w:r w:rsidR="003A5DEE">
        <w:t>34</w:t>
      </w:r>
      <w:r w:rsidRPr="00781175">
        <w:fldChar w:fldCharType="end"/>
      </w:r>
      <w:r w:rsidRPr="00781175">
        <w:t xml:space="preserve">, Tasmania’s non-Indigenous population is only slightly more disadvantaged than the Australian average for comparable levels of accessibility or remoteness. </w:t>
      </w:r>
    </w:p>
    <w:p w:rsidR="00037390" w:rsidRPr="00781175" w:rsidRDefault="000468B3" w:rsidP="00037390">
      <w:pPr>
        <w:pStyle w:val="Heading4"/>
      </w:pPr>
      <w:r w:rsidRPr="00781175">
        <w:t>Wage costs</w:t>
      </w:r>
    </w:p>
    <w:p w:rsidR="00037390" w:rsidRPr="00781175" w:rsidRDefault="00037390" w:rsidP="00037390">
      <w:pPr>
        <w:pStyle w:val="CGCNumberedPara"/>
        <w:numPr>
          <w:ilvl w:val="1"/>
          <w:numId w:val="2"/>
        </w:numPr>
      </w:pPr>
      <w:r w:rsidRPr="00781175">
        <w:t xml:space="preserve">Interstate differences in the underlying wage pressures States face in paying their employees mean States incur different costs to provide the same level of services and acquire the associated infrastructure. </w:t>
      </w:r>
    </w:p>
    <w:p w:rsidR="00037390" w:rsidRPr="00123B11" w:rsidRDefault="00037390" w:rsidP="00037390">
      <w:pPr>
        <w:pStyle w:val="CGCNumberedPara"/>
        <w:numPr>
          <w:ilvl w:val="1"/>
          <w:numId w:val="2"/>
        </w:numPr>
      </w:pPr>
      <w:r w:rsidRPr="00781175">
        <w:t>Our analysis shows a</w:t>
      </w:r>
      <w:r w:rsidRPr="00123B11">
        <w:t xml:space="preserve"> consistent picture of above average underlying wage levels in New South Wales, Western Australia, the ACT and the Northern Territory</w:t>
      </w:r>
      <w:r w:rsidR="0030325C">
        <w:t>,</w:t>
      </w:r>
      <w:r w:rsidRPr="00123B11">
        <w:t xml:space="preserve"> and below average wages in Victoria, Queensland, South Australia and Tasmania. The wage levels for 2011</w:t>
      </w:r>
      <w:r w:rsidRPr="00123B11">
        <w:noBreakHyphen/>
        <w:t>12 to 2013</w:t>
      </w:r>
      <w:r w:rsidRPr="00123B11">
        <w:noBreakHyphen/>
        <w:t xml:space="preserve">14 are shown in </w:t>
      </w:r>
      <w:r w:rsidRPr="00123B11">
        <w:fldChar w:fldCharType="begin"/>
      </w:r>
      <w:r w:rsidRPr="00123B11">
        <w:instrText xml:space="preserve"> REF _Ref311468651 \h  \* MERGEFORMAT </w:instrText>
      </w:r>
      <w:r w:rsidRPr="00123B11">
        <w:fldChar w:fldCharType="separate"/>
      </w:r>
      <w:r w:rsidR="003A5DEE" w:rsidRPr="00123B11">
        <w:t xml:space="preserve">Figure </w:t>
      </w:r>
      <w:r w:rsidR="003A5DEE">
        <w:rPr>
          <w:noProof/>
        </w:rPr>
        <w:t>6</w:t>
      </w:r>
      <w:r w:rsidRPr="00123B11">
        <w:fldChar w:fldCharType="end"/>
      </w:r>
      <w:r w:rsidRPr="00123B11">
        <w:t xml:space="preserve">. The differences in wages between States are relatively small. However, because wage costs represent a large part of State budgets the resultant GST distribution to States with above average wage levels is relatively large. </w:t>
      </w:r>
    </w:p>
    <w:p w:rsidR="00037390" w:rsidRPr="00123B11" w:rsidRDefault="00037390" w:rsidP="00037390">
      <w:pPr>
        <w:pStyle w:val="CGCTableHeading"/>
      </w:pPr>
      <w:bookmarkStart w:id="536" w:name="_Ref311468651"/>
      <w:bookmarkStart w:id="537" w:name="_Toc316727532"/>
      <w:bookmarkStart w:id="538" w:name="_Toc316727837"/>
      <w:bookmarkStart w:id="539" w:name="_Toc347833775"/>
      <w:r w:rsidRPr="00123B11">
        <w:lastRenderedPageBreak/>
        <w:t xml:space="preserve">Figure </w:t>
      </w:r>
      <w:fldSimple w:instr=" SEQ Figure \* ARABIC ">
        <w:r w:rsidR="003A5DEE">
          <w:rPr>
            <w:noProof/>
          </w:rPr>
          <w:t>6</w:t>
        </w:r>
      </w:fldSimple>
      <w:bookmarkEnd w:id="536"/>
      <w:r w:rsidRPr="00123B11">
        <w:tab/>
        <w:t>Relative wage levels, average of 2011</w:t>
      </w:r>
      <w:r w:rsidRPr="00123B11">
        <w:noBreakHyphen/>
        <w:t>12 to 201</w:t>
      </w:r>
      <w:bookmarkEnd w:id="537"/>
      <w:bookmarkEnd w:id="538"/>
      <w:bookmarkEnd w:id="539"/>
      <w:r w:rsidRPr="00123B11">
        <w:t>3</w:t>
      </w:r>
      <w:r w:rsidRPr="00123B11">
        <w:noBreakHyphen/>
        <w:t>14</w:t>
      </w:r>
    </w:p>
    <w:p w:rsidR="00037390" w:rsidRPr="00123B11" w:rsidRDefault="006B46D2" w:rsidP="006B46D2">
      <w:r w:rsidRPr="00241F3F">
        <w:rPr>
          <w:noProof/>
          <w:lang w:eastAsia="en-AU"/>
        </w:rPr>
        <w:drawing>
          <wp:inline distT="0" distB="0" distL="0" distR="0" wp14:anchorId="6F848132" wp14:editId="495D4E1B">
            <wp:extent cx="5656580" cy="3561715"/>
            <wp:effectExtent l="0" t="0" r="1270" b="635"/>
            <wp:docPr id="26" name="Picture 26" descr="This figure shows the wage levels for 2011-12 to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56580" cy="3561715"/>
                    </a:xfrm>
                    <a:prstGeom prst="rect">
                      <a:avLst/>
                    </a:prstGeom>
                    <a:noFill/>
                    <a:ln>
                      <a:noFill/>
                    </a:ln>
                  </pic:spPr>
                </pic:pic>
              </a:graphicData>
            </a:graphic>
          </wp:inline>
        </w:drawing>
      </w:r>
    </w:p>
    <w:p w:rsidR="00037390" w:rsidRPr="00123B11" w:rsidRDefault="00037390" w:rsidP="00037390">
      <w:pPr>
        <w:tabs>
          <w:tab w:val="clear" w:pos="567"/>
          <w:tab w:val="left" w:pos="851"/>
        </w:tabs>
        <w:spacing w:after="0" w:line="240" w:lineRule="auto"/>
        <w:ind w:left="851" w:hanging="851"/>
        <w:rPr>
          <w:b/>
          <w:sz w:val="20"/>
        </w:rPr>
      </w:pPr>
      <w:r w:rsidRPr="00123B11">
        <w:rPr>
          <w:sz w:val="20"/>
        </w:rPr>
        <w:t>Source:</w:t>
      </w:r>
      <w:r w:rsidRPr="00123B11">
        <w:rPr>
          <w:sz w:val="20"/>
        </w:rPr>
        <w:tab/>
        <w:t>Commission calculation.</w:t>
      </w:r>
    </w:p>
    <w:p w:rsidR="00037390" w:rsidRPr="00123B11" w:rsidRDefault="00037390" w:rsidP="00037390">
      <w:pPr>
        <w:pStyle w:val="CGCNumberedPara"/>
        <w:numPr>
          <w:ilvl w:val="1"/>
          <w:numId w:val="2"/>
        </w:numPr>
      </w:pPr>
      <w:r w:rsidRPr="00123B11">
        <w:t xml:space="preserve">Influences on State fiscal capacities do not always act in the same direction, and may act to at least partially offset each other in different assessments. </w:t>
      </w:r>
      <w:r>
        <w:t xml:space="preserve">For example, </w:t>
      </w:r>
      <w:r w:rsidRPr="00123B11">
        <w:t xml:space="preserve">wage levels also influence the size of payrolls subject to payroll tax. States with above average wages mostly have an above average payroll tax base, which redistributes GST away from those States. </w:t>
      </w:r>
      <w:r w:rsidRPr="00123B11">
        <w:fldChar w:fldCharType="begin"/>
      </w:r>
      <w:r w:rsidRPr="00123B11">
        <w:instrText xml:space="preserve"> REF _Ref346702669 \h  \* MERGEFORMAT </w:instrText>
      </w:r>
      <w:r w:rsidRPr="00123B11">
        <w:fldChar w:fldCharType="separate"/>
      </w:r>
      <w:r w:rsidR="003A5DEE" w:rsidRPr="00123B11">
        <w:t>Table </w:t>
      </w:r>
      <w:r w:rsidR="003A5DEE">
        <w:t>8</w:t>
      </w:r>
      <w:r w:rsidRPr="00123B11">
        <w:fldChar w:fldCharType="end"/>
      </w:r>
      <w:r w:rsidRPr="00123B11">
        <w:t xml:space="preserve"> shows that, for most States, redistributions from payroll tax partially offset redistributions from wage levels. </w:t>
      </w:r>
    </w:p>
    <w:p w:rsidR="00037390" w:rsidRPr="00123B11" w:rsidRDefault="00037390" w:rsidP="00037390">
      <w:pPr>
        <w:pStyle w:val="CGCTableHeading"/>
      </w:pPr>
      <w:bookmarkStart w:id="540" w:name="_Ref346702669"/>
      <w:bookmarkStart w:id="541" w:name="_Toc347833835"/>
      <w:r w:rsidRPr="00123B11">
        <w:t>Table </w:t>
      </w:r>
      <w:fldSimple w:instr=" SEQ Table \* ARABIC ">
        <w:r w:rsidR="003A5DEE">
          <w:rPr>
            <w:noProof/>
          </w:rPr>
          <w:t>8</w:t>
        </w:r>
      </w:fldSimple>
      <w:bookmarkEnd w:id="540"/>
      <w:r w:rsidRPr="00123B11">
        <w:tab/>
        <w:t>Offsetting effects of payroll tax base and wage levels on GST distribution, 2015</w:t>
      </w:r>
      <w:r w:rsidRPr="00123B11">
        <w:noBreakHyphen/>
        <w:t>16</w:t>
      </w:r>
      <w:bookmarkEnd w:id="541"/>
    </w:p>
    <w:tbl>
      <w:tblPr>
        <w:tblW w:w="9000" w:type="dxa"/>
        <w:tblInd w:w="93" w:type="dxa"/>
        <w:tblLook w:val="04A0" w:firstRow="1" w:lastRow="0" w:firstColumn="1" w:lastColumn="0" w:noHBand="0" w:noVBand="1"/>
      </w:tblPr>
      <w:tblGrid>
        <w:gridCol w:w="1560"/>
        <w:gridCol w:w="820"/>
        <w:gridCol w:w="820"/>
        <w:gridCol w:w="820"/>
        <w:gridCol w:w="960"/>
        <w:gridCol w:w="820"/>
        <w:gridCol w:w="820"/>
        <w:gridCol w:w="740"/>
        <w:gridCol w:w="760"/>
        <w:gridCol w:w="880"/>
      </w:tblGrid>
      <w:tr w:rsidR="006B46D2" w:rsidRPr="00FC71A4" w:rsidTr="00236E06">
        <w:trPr>
          <w:trHeight w:val="379"/>
        </w:trPr>
        <w:tc>
          <w:tcPr>
            <w:tcW w:w="1560" w:type="dxa"/>
            <w:tcBorders>
              <w:top w:val="single" w:sz="4" w:space="0" w:color="auto"/>
              <w:left w:val="nil"/>
              <w:bottom w:val="single" w:sz="4" w:space="0" w:color="auto"/>
              <w:right w:val="nil"/>
            </w:tcBorders>
            <w:shd w:val="clear" w:color="auto" w:fill="auto"/>
            <w:noWrap/>
            <w:vAlign w:val="center"/>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NSW</w:t>
            </w:r>
          </w:p>
        </w:tc>
        <w:tc>
          <w:tcPr>
            <w:tcW w:w="820" w:type="dxa"/>
            <w:tcBorders>
              <w:top w:val="single" w:sz="4" w:space="0" w:color="auto"/>
              <w:left w:val="nil"/>
              <w:bottom w:val="single" w:sz="4" w:space="0" w:color="auto"/>
              <w:right w:val="nil"/>
            </w:tcBorders>
            <w:shd w:val="clear" w:color="auto" w:fill="auto"/>
            <w:noWrap/>
            <w:vAlign w:val="center"/>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Vic</w:t>
            </w:r>
          </w:p>
        </w:tc>
        <w:tc>
          <w:tcPr>
            <w:tcW w:w="820" w:type="dxa"/>
            <w:tcBorders>
              <w:top w:val="single" w:sz="4" w:space="0" w:color="auto"/>
              <w:left w:val="nil"/>
              <w:bottom w:val="single" w:sz="4" w:space="0" w:color="auto"/>
              <w:right w:val="nil"/>
            </w:tcBorders>
            <w:shd w:val="clear" w:color="auto" w:fill="auto"/>
            <w:noWrap/>
            <w:vAlign w:val="center"/>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Qld</w:t>
            </w:r>
          </w:p>
        </w:tc>
        <w:tc>
          <w:tcPr>
            <w:tcW w:w="960" w:type="dxa"/>
            <w:tcBorders>
              <w:top w:val="single" w:sz="4" w:space="0" w:color="auto"/>
              <w:left w:val="nil"/>
              <w:bottom w:val="single" w:sz="4" w:space="0" w:color="auto"/>
              <w:right w:val="nil"/>
            </w:tcBorders>
            <w:shd w:val="clear" w:color="auto" w:fill="auto"/>
            <w:noWrap/>
            <w:vAlign w:val="center"/>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WA</w:t>
            </w:r>
          </w:p>
        </w:tc>
        <w:tc>
          <w:tcPr>
            <w:tcW w:w="820" w:type="dxa"/>
            <w:tcBorders>
              <w:top w:val="single" w:sz="4" w:space="0" w:color="auto"/>
              <w:left w:val="nil"/>
              <w:bottom w:val="single" w:sz="4" w:space="0" w:color="auto"/>
              <w:right w:val="nil"/>
            </w:tcBorders>
            <w:shd w:val="clear" w:color="auto" w:fill="auto"/>
            <w:noWrap/>
            <w:vAlign w:val="center"/>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SA</w:t>
            </w:r>
          </w:p>
        </w:tc>
        <w:tc>
          <w:tcPr>
            <w:tcW w:w="820" w:type="dxa"/>
            <w:tcBorders>
              <w:top w:val="single" w:sz="4" w:space="0" w:color="auto"/>
              <w:left w:val="nil"/>
              <w:bottom w:val="single" w:sz="4" w:space="0" w:color="auto"/>
              <w:right w:val="nil"/>
            </w:tcBorders>
            <w:shd w:val="clear" w:color="auto" w:fill="auto"/>
            <w:noWrap/>
            <w:vAlign w:val="center"/>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proofErr w:type="spellStart"/>
            <w:r w:rsidRPr="00FC71A4">
              <w:rPr>
                <w:rFonts w:ascii="Calibri" w:eastAsia="Times New Roman" w:hAnsi="Calibri" w:cs="Times New Roman"/>
                <w:sz w:val="20"/>
                <w:szCs w:val="20"/>
                <w:lang w:eastAsia="en-AU"/>
              </w:rPr>
              <w:t>Tas</w:t>
            </w:r>
            <w:proofErr w:type="spellEnd"/>
          </w:p>
        </w:tc>
        <w:tc>
          <w:tcPr>
            <w:tcW w:w="740" w:type="dxa"/>
            <w:tcBorders>
              <w:top w:val="single" w:sz="4" w:space="0" w:color="auto"/>
              <w:left w:val="nil"/>
              <w:bottom w:val="single" w:sz="4" w:space="0" w:color="auto"/>
              <w:right w:val="nil"/>
            </w:tcBorders>
            <w:shd w:val="clear" w:color="auto" w:fill="auto"/>
            <w:noWrap/>
            <w:vAlign w:val="center"/>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ACT</w:t>
            </w:r>
          </w:p>
        </w:tc>
        <w:tc>
          <w:tcPr>
            <w:tcW w:w="760" w:type="dxa"/>
            <w:tcBorders>
              <w:top w:val="single" w:sz="4" w:space="0" w:color="auto"/>
              <w:left w:val="nil"/>
              <w:bottom w:val="single" w:sz="4" w:space="0" w:color="auto"/>
              <w:right w:val="nil"/>
            </w:tcBorders>
            <w:shd w:val="clear" w:color="auto" w:fill="auto"/>
            <w:noWrap/>
            <w:vAlign w:val="center"/>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NT</w:t>
            </w:r>
          </w:p>
        </w:tc>
        <w:tc>
          <w:tcPr>
            <w:tcW w:w="880" w:type="dxa"/>
            <w:tcBorders>
              <w:top w:val="single" w:sz="4" w:space="0" w:color="auto"/>
              <w:left w:val="nil"/>
              <w:bottom w:val="single" w:sz="4" w:space="0" w:color="auto"/>
              <w:right w:val="nil"/>
            </w:tcBorders>
            <w:shd w:val="clear" w:color="auto" w:fill="auto"/>
            <w:noWrap/>
            <w:vAlign w:val="center"/>
            <w:hideMark/>
          </w:tcPr>
          <w:p w:rsidR="006B46D2" w:rsidRPr="00FC71A4" w:rsidRDefault="00A15A2F" w:rsidP="00236E06">
            <w:pPr>
              <w:tabs>
                <w:tab w:val="clear" w:pos="567"/>
              </w:tabs>
              <w:spacing w:after="0" w:line="240" w:lineRule="auto"/>
              <w:jc w:val="right"/>
              <w:rPr>
                <w:rFonts w:ascii="Calibri" w:eastAsia="Times New Roman" w:hAnsi="Calibri" w:cs="Times New Roman"/>
                <w:sz w:val="20"/>
                <w:szCs w:val="20"/>
                <w:lang w:eastAsia="en-AU"/>
              </w:rPr>
            </w:pPr>
            <w:proofErr w:type="spellStart"/>
            <w:r>
              <w:rPr>
                <w:rFonts w:ascii="Calibri" w:eastAsia="Times New Roman" w:hAnsi="Calibri" w:cs="Times New Roman"/>
                <w:sz w:val="20"/>
                <w:szCs w:val="20"/>
                <w:lang w:eastAsia="en-AU"/>
              </w:rPr>
              <w:t>Redist</w:t>
            </w:r>
            <w:proofErr w:type="spellEnd"/>
          </w:p>
        </w:tc>
      </w:tr>
      <w:tr w:rsidR="006B46D2" w:rsidRPr="00FC71A4" w:rsidTr="00236E06">
        <w:trPr>
          <w:trHeight w:val="259"/>
        </w:trPr>
        <w:tc>
          <w:tcPr>
            <w:tcW w:w="1560" w:type="dxa"/>
            <w:tcBorders>
              <w:top w:val="nil"/>
              <w:left w:val="nil"/>
              <w:bottom w:val="nil"/>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$m</w:t>
            </w:r>
          </w:p>
        </w:tc>
        <w:tc>
          <w:tcPr>
            <w:tcW w:w="960" w:type="dxa"/>
            <w:tcBorders>
              <w:top w:val="nil"/>
              <w:left w:val="nil"/>
              <w:bottom w:val="nil"/>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$m</w:t>
            </w:r>
          </w:p>
        </w:tc>
        <w:tc>
          <w:tcPr>
            <w:tcW w:w="880" w:type="dxa"/>
            <w:tcBorders>
              <w:top w:val="nil"/>
              <w:left w:val="nil"/>
              <w:bottom w:val="nil"/>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$m</w:t>
            </w:r>
          </w:p>
        </w:tc>
      </w:tr>
      <w:tr w:rsidR="006B46D2" w:rsidRPr="00FC71A4" w:rsidTr="007C0043">
        <w:trPr>
          <w:trHeight w:val="315"/>
        </w:trPr>
        <w:tc>
          <w:tcPr>
            <w:tcW w:w="1560" w:type="dxa"/>
            <w:tcBorders>
              <w:top w:val="nil"/>
              <w:left w:val="nil"/>
              <w:bottom w:val="nil"/>
              <w:right w:val="nil"/>
            </w:tcBorders>
            <w:shd w:val="clear" w:color="auto" w:fill="auto"/>
            <w:noWrap/>
            <w:vAlign w:val="bottom"/>
            <w:hideMark/>
          </w:tcPr>
          <w:p w:rsidR="006B46D2" w:rsidRPr="00FC71A4" w:rsidRDefault="006B46D2" w:rsidP="00236E06">
            <w:pPr>
              <w:tabs>
                <w:tab w:val="clear" w:pos="567"/>
              </w:tabs>
              <w:spacing w:after="0" w:line="240" w:lineRule="auto"/>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Payrolls paid</w:t>
            </w:r>
          </w:p>
        </w:tc>
        <w:tc>
          <w:tcPr>
            <w:tcW w:w="820" w:type="dxa"/>
            <w:tcBorders>
              <w:top w:val="nil"/>
              <w:left w:val="nil"/>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-145</w:t>
            </w:r>
          </w:p>
        </w:tc>
        <w:tc>
          <w:tcPr>
            <w:tcW w:w="820" w:type="dxa"/>
            <w:tcBorders>
              <w:top w:val="nil"/>
              <w:left w:val="nil"/>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460</w:t>
            </w:r>
          </w:p>
        </w:tc>
        <w:tc>
          <w:tcPr>
            <w:tcW w:w="820" w:type="dxa"/>
            <w:tcBorders>
              <w:top w:val="nil"/>
              <w:left w:val="nil"/>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205</w:t>
            </w:r>
          </w:p>
        </w:tc>
        <w:tc>
          <w:tcPr>
            <w:tcW w:w="960" w:type="dxa"/>
            <w:tcBorders>
              <w:top w:val="nil"/>
              <w:left w:val="nil"/>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-1 114</w:t>
            </w:r>
          </w:p>
        </w:tc>
        <w:tc>
          <w:tcPr>
            <w:tcW w:w="820" w:type="dxa"/>
            <w:tcBorders>
              <w:top w:val="nil"/>
              <w:left w:val="nil"/>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387</w:t>
            </w:r>
          </w:p>
        </w:tc>
        <w:tc>
          <w:tcPr>
            <w:tcW w:w="820" w:type="dxa"/>
            <w:tcBorders>
              <w:top w:val="nil"/>
              <w:left w:val="nil"/>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208</w:t>
            </w:r>
          </w:p>
        </w:tc>
        <w:tc>
          <w:tcPr>
            <w:tcW w:w="740" w:type="dxa"/>
            <w:tcBorders>
              <w:top w:val="nil"/>
              <w:left w:val="nil"/>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-18</w:t>
            </w:r>
          </w:p>
        </w:tc>
        <w:tc>
          <w:tcPr>
            <w:tcW w:w="760" w:type="dxa"/>
            <w:tcBorders>
              <w:top w:val="nil"/>
              <w:left w:val="nil"/>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16</w:t>
            </w:r>
          </w:p>
        </w:tc>
        <w:tc>
          <w:tcPr>
            <w:tcW w:w="880" w:type="dxa"/>
            <w:tcBorders>
              <w:top w:val="nil"/>
              <w:left w:val="nil"/>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1 276</w:t>
            </w:r>
          </w:p>
        </w:tc>
      </w:tr>
      <w:tr w:rsidR="006B46D2" w:rsidRPr="00FC71A4" w:rsidTr="007C0043">
        <w:trPr>
          <w:trHeight w:val="315"/>
        </w:trPr>
        <w:tc>
          <w:tcPr>
            <w:tcW w:w="1560" w:type="dxa"/>
            <w:tcBorders>
              <w:top w:val="nil"/>
              <w:left w:val="nil"/>
              <w:bottom w:val="nil"/>
              <w:right w:val="nil"/>
            </w:tcBorders>
            <w:shd w:val="clear" w:color="auto" w:fill="auto"/>
            <w:noWrap/>
            <w:vAlign w:val="bottom"/>
            <w:hideMark/>
          </w:tcPr>
          <w:p w:rsidR="006B46D2" w:rsidRPr="00FC71A4" w:rsidRDefault="006B46D2" w:rsidP="00236E06">
            <w:pPr>
              <w:tabs>
                <w:tab w:val="clear" w:pos="567"/>
              </w:tabs>
              <w:spacing w:after="0" w:line="240" w:lineRule="auto"/>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Wage costs</w:t>
            </w:r>
          </w:p>
        </w:tc>
        <w:tc>
          <w:tcPr>
            <w:tcW w:w="820" w:type="dxa"/>
            <w:tcBorders>
              <w:top w:val="nil"/>
              <w:left w:val="nil"/>
              <w:bottom w:val="single" w:sz="4" w:space="0" w:color="auto"/>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348</w:t>
            </w:r>
          </w:p>
        </w:tc>
        <w:tc>
          <w:tcPr>
            <w:tcW w:w="820" w:type="dxa"/>
            <w:tcBorders>
              <w:top w:val="nil"/>
              <w:left w:val="nil"/>
              <w:bottom w:val="single" w:sz="4" w:space="0" w:color="auto"/>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-629</w:t>
            </w:r>
          </w:p>
        </w:tc>
        <w:tc>
          <w:tcPr>
            <w:tcW w:w="820" w:type="dxa"/>
            <w:tcBorders>
              <w:top w:val="nil"/>
              <w:left w:val="nil"/>
              <w:bottom w:val="single" w:sz="4" w:space="0" w:color="auto"/>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-464</w:t>
            </w:r>
          </w:p>
        </w:tc>
        <w:tc>
          <w:tcPr>
            <w:tcW w:w="960" w:type="dxa"/>
            <w:tcBorders>
              <w:top w:val="nil"/>
              <w:left w:val="nil"/>
              <w:bottom w:val="single" w:sz="4" w:space="0" w:color="auto"/>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842</w:t>
            </w:r>
          </w:p>
        </w:tc>
        <w:tc>
          <w:tcPr>
            <w:tcW w:w="820" w:type="dxa"/>
            <w:tcBorders>
              <w:top w:val="nil"/>
              <w:left w:val="nil"/>
              <w:bottom w:val="single" w:sz="4" w:space="0" w:color="auto"/>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-164</w:t>
            </w:r>
          </w:p>
        </w:tc>
        <w:tc>
          <w:tcPr>
            <w:tcW w:w="820" w:type="dxa"/>
            <w:tcBorders>
              <w:top w:val="nil"/>
              <w:left w:val="nil"/>
              <w:bottom w:val="single" w:sz="4" w:space="0" w:color="auto"/>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-111</w:t>
            </w:r>
          </w:p>
        </w:tc>
        <w:tc>
          <w:tcPr>
            <w:tcW w:w="740" w:type="dxa"/>
            <w:tcBorders>
              <w:top w:val="nil"/>
              <w:left w:val="nil"/>
              <w:bottom w:val="single" w:sz="4" w:space="0" w:color="auto"/>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84</w:t>
            </w:r>
          </w:p>
        </w:tc>
        <w:tc>
          <w:tcPr>
            <w:tcW w:w="760" w:type="dxa"/>
            <w:tcBorders>
              <w:top w:val="nil"/>
              <w:left w:val="nil"/>
              <w:bottom w:val="single" w:sz="4" w:space="0" w:color="auto"/>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93</w:t>
            </w:r>
          </w:p>
        </w:tc>
        <w:tc>
          <w:tcPr>
            <w:tcW w:w="880" w:type="dxa"/>
            <w:tcBorders>
              <w:top w:val="nil"/>
              <w:left w:val="nil"/>
              <w:bottom w:val="single" w:sz="4" w:space="0" w:color="auto"/>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1 368</w:t>
            </w:r>
          </w:p>
        </w:tc>
      </w:tr>
      <w:tr w:rsidR="006B46D2" w:rsidRPr="00FC71A4" w:rsidTr="007C0043">
        <w:trPr>
          <w:trHeight w:val="315"/>
        </w:trPr>
        <w:tc>
          <w:tcPr>
            <w:tcW w:w="1560" w:type="dxa"/>
            <w:tcBorders>
              <w:top w:val="nil"/>
              <w:left w:val="nil"/>
              <w:bottom w:val="single" w:sz="4" w:space="0" w:color="auto"/>
              <w:right w:val="nil"/>
            </w:tcBorders>
            <w:shd w:val="clear" w:color="auto" w:fill="auto"/>
            <w:noWrap/>
            <w:vAlign w:val="bottom"/>
            <w:hideMark/>
          </w:tcPr>
          <w:p w:rsidR="006B46D2" w:rsidRPr="00FC71A4" w:rsidRDefault="006B46D2" w:rsidP="00236E06">
            <w:pPr>
              <w:tabs>
                <w:tab w:val="clear" w:pos="567"/>
              </w:tabs>
              <w:spacing w:after="0" w:line="240" w:lineRule="auto"/>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Combined</w:t>
            </w:r>
          </w:p>
        </w:tc>
        <w:tc>
          <w:tcPr>
            <w:tcW w:w="820" w:type="dxa"/>
            <w:tcBorders>
              <w:top w:val="single" w:sz="4" w:space="0" w:color="auto"/>
              <w:left w:val="nil"/>
              <w:bottom w:val="single" w:sz="4" w:space="0" w:color="auto"/>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203</w:t>
            </w:r>
          </w:p>
        </w:tc>
        <w:tc>
          <w:tcPr>
            <w:tcW w:w="820" w:type="dxa"/>
            <w:tcBorders>
              <w:top w:val="single" w:sz="4" w:space="0" w:color="auto"/>
              <w:left w:val="nil"/>
              <w:bottom w:val="single" w:sz="4" w:space="0" w:color="auto"/>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-169</w:t>
            </w:r>
          </w:p>
        </w:tc>
        <w:tc>
          <w:tcPr>
            <w:tcW w:w="820" w:type="dxa"/>
            <w:tcBorders>
              <w:top w:val="single" w:sz="4" w:space="0" w:color="auto"/>
              <w:left w:val="nil"/>
              <w:bottom w:val="single" w:sz="4" w:space="0" w:color="auto"/>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-258</w:t>
            </w:r>
          </w:p>
        </w:tc>
        <w:tc>
          <w:tcPr>
            <w:tcW w:w="960" w:type="dxa"/>
            <w:tcBorders>
              <w:top w:val="single" w:sz="4" w:space="0" w:color="auto"/>
              <w:left w:val="nil"/>
              <w:bottom w:val="single" w:sz="4" w:space="0" w:color="auto"/>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-272</w:t>
            </w:r>
          </w:p>
        </w:tc>
        <w:tc>
          <w:tcPr>
            <w:tcW w:w="820" w:type="dxa"/>
            <w:tcBorders>
              <w:top w:val="single" w:sz="4" w:space="0" w:color="auto"/>
              <w:left w:val="nil"/>
              <w:bottom w:val="single" w:sz="4" w:space="0" w:color="auto"/>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223</w:t>
            </w:r>
          </w:p>
        </w:tc>
        <w:tc>
          <w:tcPr>
            <w:tcW w:w="820" w:type="dxa"/>
            <w:tcBorders>
              <w:top w:val="single" w:sz="4" w:space="0" w:color="auto"/>
              <w:left w:val="nil"/>
              <w:bottom w:val="single" w:sz="4" w:space="0" w:color="auto"/>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98</w:t>
            </w:r>
          </w:p>
        </w:tc>
        <w:tc>
          <w:tcPr>
            <w:tcW w:w="740" w:type="dxa"/>
            <w:tcBorders>
              <w:top w:val="single" w:sz="4" w:space="0" w:color="auto"/>
              <w:left w:val="nil"/>
              <w:bottom w:val="single" w:sz="4" w:space="0" w:color="auto"/>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67</w:t>
            </w:r>
          </w:p>
        </w:tc>
        <w:tc>
          <w:tcPr>
            <w:tcW w:w="760" w:type="dxa"/>
            <w:tcBorders>
              <w:top w:val="single" w:sz="4" w:space="0" w:color="auto"/>
              <w:left w:val="nil"/>
              <w:bottom w:val="single" w:sz="4" w:space="0" w:color="auto"/>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109</w:t>
            </w:r>
          </w:p>
        </w:tc>
        <w:tc>
          <w:tcPr>
            <w:tcW w:w="880" w:type="dxa"/>
            <w:tcBorders>
              <w:top w:val="single" w:sz="4" w:space="0" w:color="auto"/>
              <w:left w:val="nil"/>
              <w:bottom w:val="single" w:sz="4" w:space="0" w:color="auto"/>
              <w:right w:val="nil"/>
            </w:tcBorders>
            <w:shd w:val="clear" w:color="auto" w:fill="auto"/>
            <w:noWrap/>
            <w:vAlign w:val="bottom"/>
            <w:hideMark/>
          </w:tcPr>
          <w:p w:rsidR="006B46D2" w:rsidRPr="00FC71A4"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700</w:t>
            </w:r>
          </w:p>
        </w:tc>
      </w:tr>
    </w:tbl>
    <w:p w:rsidR="008E495D" w:rsidRDefault="007C0043" w:rsidP="00037390">
      <w:pPr>
        <w:pStyle w:val="CGCTableFootnote"/>
      </w:pPr>
      <w:r>
        <w:t>Source:</w:t>
      </w:r>
      <w:r>
        <w:tab/>
        <w:t>Commission calculation.</w:t>
      </w:r>
    </w:p>
    <w:p w:rsidR="008E495D" w:rsidRDefault="008E495D">
      <w:pPr>
        <w:tabs>
          <w:tab w:val="clear" w:pos="567"/>
        </w:tabs>
        <w:rPr>
          <w:sz w:val="20"/>
          <w:szCs w:val="24"/>
        </w:rPr>
      </w:pPr>
      <w:r>
        <w:br w:type="page"/>
      </w:r>
    </w:p>
    <w:p w:rsidR="00037390" w:rsidRPr="00123B11" w:rsidRDefault="00037390" w:rsidP="00037390">
      <w:pPr>
        <w:pStyle w:val="Heading4"/>
      </w:pPr>
      <w:bookmarkStart w:id="542" w:name="_Toc316722130"/>
      <w:bookmarkStart w:id="543" w:name="_Toc348945283"/>
      <w:bookmarkStart w:id="544" w:name="_Toc348945459"/>
      <w:bookmarkStart w:id="545" w:name="_Toc348945618"/>
      <w:bookmarkStart w:id="546" w:name="_Toc348946495"/>
      <w:bookmarkStart w:id="547" w:name="_Toc348951172"/>
      <w:bookmarkStart w:id="548" w:name="_Toc348951622"/>
      <w:bookmarkStart w:id="549" w:name="_Toc348951821"/>
      <w:bookmarkStart w:id="550" w:name="_Toc348951916"/>
      <w:bookmarkStart w:id="551" w:name="_Toc348957551"/>
      <w:bookmarkStart w:id="552" w:name="_Toc348957667"/>
      <w:bookmarkStart w:id="553" w:name="_Toc380590541"/>
      <w:bookmarkStart w:id="554" w:name="_Toc380590659"/>
      <w:bookmarkEnd w:id="529"/>
      <w:bookmarkEnd w:id="530"/>
      <w:bookmarkEnd w:id="531"/>
      <w:bookmarkEnd w:id="532"/>
      <w:r w:rsidRPr="00123B11">
        <w:lastRenderedPageBreak/>
        <w:t>Population growth</w:t>
      </w:r>
      <w:bookmarkEnd w:id="542"/>
      <w:bookmarkEnd w:id="543"/>
      <w:bookmarkEnd w:id="544"/>
      <w:bookmarkEnd w:id="545"/>
      <w:bookmarkEnd w:id="546"/>
      <w:bookmarkEnd w:id="547"/>
      <w:bookmarkEnd w:id="548"/>
      <w:bookmarkEnd w:id="549"/>
      <w:bookmarkEnd w:id="550"/>
      <w:bookmarkEnd w:id="551"/>
      <w:bookmarkEnd w:id="552"/>
      <w:bookmarkEnd w:id="553"/>
      <w:bookmarkEnd w:id="554"/>
    </w:p>
    <w:p w:rsidR="00037390" w:rsidRPr="00123B11" w:rsidRDefault="00037390" w:rsidP="00037390">
      <w:pPr>
        <w:pStyle w:val="CGCNumberedPara"/>
        <w:numPr>
          <w:ilvl w:val="1"/>
          <w:numId w:val="2"/>
        </w:numPr>
      </w:pPr>
      <w:r w:rsidRPr="00123B11">
        <w:fldChar w:fldCharType="begin"/>
      </w:r>
      <w:r w:rsidRPr="00123B11">
        <w:instrText xml:space="preserve"> REF _Ref236199853 \h  \* MERGEFORMAT </w:instrText>
      </w:r>
      <w:r w:rsidRPr="00123B11">
        <w:fldChar w:fldCharType="separate"/>
      </w:r>
      <w:r w:rsidR="003A5DEE" w:rsidRPr="00123B11">
        <w:t xml:space="preserve">Figure </w:t>
      </w:r>
      <w:r w:rsidR="003A5DEE">
        <w:t>7</w:t>
      </w:r>
      <w:r w:rsidRPr="00123B11">
        <w:fldChar w:fldCharType="end"/>
      </w:r>
      <w:r w:rsidRPr="00123B11">
        <w:t xml:space="preserve"> shows that </w:t>
      </w:r>
      <w:r>
        <w:t xml:space="preserve">over the </w:t>
      </w:r>
      <w:r w:rsidR="008B7CD6">
        <w:t xml:space="preserve">assessment </w:t>
      </w:r>
      <w:r>
        <w:t xml:space="preserve">years of this review, </w:t>
      </w:r>
      <w:r w:rsidRPr="00123B11">
        <w:t xml:space="preserve">average population growth was </w:t>
      </w:r>
      <w:r>
        <w:t>5.1</w:t>
      </w:r>
      <w:r w:rsidRPr="00123B11">
        <w:t>% but it varied from 0.</w:t>
      </w:r>
      <w:r>
        <w:t>7</w:t>
      </w:r>
      <w:r w:rsidRPr="00123B11">
        <w:t xml:space="preserve">% in Tasmania to </w:t>
      </w:r>
      <w:r>
        <w:t>9.9</w:t>
      </w:r>
      <w:r w:rsidRPr="00123B11">
        <w:t xml:space="preserve">% in Western Australia. </w:t>
      </w:r>
      <w:r>
        <w:t>These differences move $1.3 billion in GST to Queensland, Western Australia, and the Northern Territory (which have experienced well above average population growth in the last three years) and away from the other States.</w:t>
      </w:r>
    </w:p>
    <w:p w:rsidR="00037390" w:rsidRPr="00123B11" w:rsidRDefault="00037390" w:rsidP="00037390">
      <w:pPr>
        <w:pStyle w:val="CGCNumberedPara"/>
        <w:numPr>
          <w:ilvl w:val="1"/>
          <w:numId w:val="2"/>
        </w:numPr>
      </w:pPr>
      <w:r w:rsidRPr="00123B11">
        <w:t xml:space="preserve">Other things being equal, </w:t>
      </w:r>
      <w:r>
        <w:t xml:space="preserve">if </w:t>
      </w:r>
      <w:r w:rsidRPr="00123B11">
        <w:t xml:space="preserve">States with above average population growth, particularly Western Australia, </w:t>
      </w:r>
      <w:r>
        <w:t>are to have average levels of infrastructure to provide services and average levels of debt, they need to invest and bo</w:t>
      </w:r>
      <w:r w:rsidR="000468B3">
        <w:t>rrow at above average rates per </w:t>
      </w:r>
      <w:r>
        <w:t xml:space="preserve">capita. The net impact is to lower their assessed fiscal capacity and increase their GST shares. </w:t>
      </w:r>
    </w:p>
    <w:p w:rsidR="00037390" w:rsidRPr="00123B11" w:rsidRDefault="00037390" w:rsidP="00037390">
      <w:pPr>
        <w:pStyle w:val="CGCTableHeading"/>
      </w:pPr>
      <w:bookmarkStart w:id="555" w:name="_Ref236199853"/>
      <w:bookmarkStart w:id="556" w:name="_Toc316727530"/>
      <w:bookmarkStart w:id="557" w:name="_Toc316727835"/>
      <w:bookmarkStart w:id="558" w:name="_Toc347833774"/>
      <w:r w:rsidRPr="00123B11">
        <w:t xml:space="preserve">Figure </w:t>
      </w:r>
      <w:r w:rsidR="0040491E">
        <w:fldChar w:fldCharType="begin"/>
      </w:r>
      <w:r w:rsidR="0040491E">
        <w:instrText xml:space="preserve"> SEQ Figure \* ARABIC </w:instrText>
      </w:r>
      <w:r w:rsidR="0040491E">
        <w:fldChar w:fldCharType="separate"/>
      </w:r>
      <w:proofErr w:type="gramStart"/>
      <w:r w:rsidR="003A5DEE">
        <w:rPr>
          <w:noProof/>
        </w:rPr>
        <w:t>7</w:t>
      </w:r>
      <w:r w:rsidR="0040491E">
        <w:rPr>
          <w:noProof/>
        </w:rPr>
        <w:fldChar w:fldCharType="end"/>
      </w:r>
      <w:bookmarkEnd w:id="555"/>
      <w:r w:rsidRPr="00123B11">
        <w:tab/>
        <w:t>Population growth</w:t>
      </w:r>
      <w:proofErr w:type="gramEnd"/>
      <w:r w:rsidRPr="00123B11">
        <w:t>, December 2010 to December 201</w:t>
      </w:r>
      <w:bookmarkEnd w:id="556"/>
      <w:bookmarkEnd w:id="557"/>
      <w:bookmarkEnd w:id="558"/>
      <w:r w:rsidRPr="00123B11">
        <w:t>3</w:t>
      </w:r>
    </w:p>
    <w:p w:rsidR="00037390" w:rsidRPr="00760E36" w:rsidRDefault="006B46D2" w:rsidP="00037390">
      <w:pPr>
        <w:keepNext/>
        <w:keepLines/>
        <w:tabs>
          <w:tab w:val="clear" w:pos="567"/>
          <w:tab w:val="left" w:pos="1418"/>
        </w:tabs>
        <w:spacing w:before="240" w:after="120" w:line="240" w:lineRule="auto"/>
        <w:ind w:left="1418" w:hanging="1418"/>
        <w:rPr>
          <w:bCs/>
          <w:szCs w:val="20"/>
        </w:rPr>
      </w:pPr>
      <w:r w:rsidRPr="002C2A04">
        <w:rPr>
          <w:noProof/>
          <w:lang w:eastAsia="en-AU"/>
        </w:rPr>
        <w:drawing>
          <wp:inline distT="0" distB="0" distL="0" distR="0" wp14:anchorId="1B8A2DDD" wp14:editId="1F0E38C6">
            <wp:extent cx="5656580" cy="3561715"/>
            <wp:effectExtent l="0" t="0" r="1270" b="635"/>
            <wp:docPr id="27" name="Picture 27" descr="This figure shows that over the assessment years of this review, average population growth was 5.1% but it varied from 0.7% in Tasmania to 9.9%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56580" cy="3561715"/>
                    </a:xfrm>
                    <a:prstGeom prst="rect">
                      <a:avLst/>
                    </a:prstGeom>
                    <a:noFill/>
                    <a:ln>
                      <a:noFill/>
                    </a:ln>
                  </pic:spPr>
                </pic:pic>
              </a:graphicData>
            </a:graphic>
          </wp:inline>
        </w:drawing>
      </w:r>
    </w:p>
    <w:p w:rsidR="008E495D" w:rsidRDefault="00037390" w:rsidP="00037390">
      <w:pPr>
        <w:tabs>
          <w:tab w:val="clear" w:pos="567"/>
          <w:tab w:val="left" w:pos="851"/>
        </w:tabs>
        <w:spacing w:after="0" w:line="240" w:lineRule="auto"/>
        <w:ind w:left="851" w:hanging="851"/>
        <w:rPr>
          <w:sz w:val="20"/>
        </w:rPr>
      </w:pPr>
      <w:r w:rsidRPr="00123B11">
        <w:rPr>
          <w:sz w:val="20"/>
        </w:rPr>
        <w:t>Source:</w:t>
      </w:r>
      <w:r w:rsidRPr="00123B11">
        <w:rPr>
          <w:sz w:val="20"/>
        </w:rPr>
        <w:tab/>
        <w:t xml:space="preserve">ABS Estimated Resident Population, Cat. </w:t>
      </w:r>
      <w:proofErr w:type="gramStart"/>
      <w:r w:rsidRPr="00123B11">
        <w:rPr>
          <w:sz w:val="20"/>
        </w:rPr>
        <w:t>No. 3101.0.</w:t>
      </w:r>
      <w:proofErr w:type="gramEnd"/>
    </w:p>
    <w:p w:rsidR="008E495D" w:rsidRDefault="008E495D">
      <w:pPr>
        <w:tabs>
          <w:tab w:val="clear" w:pos="567"/>
        </w:tabs>
        <w:rPr>
          <w:sz w:val="20"/>
        </w:rPr>
      </w:pPr>
      <w:r>
        <w:rPr>
          <w:sz w:val="20"/>
        </w:rPr>
        <w:br w:type="page"/>
      </w:r>
    </w:p>
    <w:p w:rsidR="00037390" w:rsidRDefault="00037390" w:rsidP="00037390">
      <w:pPr>
        <w:pStyle w:val="Heading4"/>
      </w:pPr>
      <w:bookmarkStart w:id="559" w:name="_Toc316722132"/>
      <w:bookmarkStart w:id="560" w:name="_Toc348945280"/>
      <w:bookmarkStart w:id="561" w:name="_Toc348945456"/>
      <w:bookmarkStart w:id="562" w:name="_Toc348945615"/>
      <w:bookmarkStart w:id="563" w:name="_Toc348946492"/>
      <w:bookmarkStart w:id="564" w:name="_Toc348951169"/>
      <w:bookmarkStart w:id="565" w:name="_Toc348951619"/>
      <w:bookmarkStart w:id="566" w:name="_Toc348951818"/>
      <w:bookmarkStart w:id="567" w:name="_Toc348951913"/>
      <w:bookmarkStart w:id="568" w:name="_Toc348957548"/>
      <w:bookmarkStart w:id="569" w:name="_Toc348957664"/>
      <w:bookmarkStart w:id="570" w:name="_Toc380590538"/>
      <w:bookmarkStart w:id="571" w:name="_Toc380590656"/>
      <w:bookmarkStart w:id="572" w:name="_Toc316722129"/>
      <w:r>
        <w:lastRenderedPageBreak/>
        <w:t xml:space="preserve">Urban transport </w:t>
      </w:r>
      <w:r>
        <w:noBreakHyphen/>
        <w:t xml:space="preserve"> urban centre size</w:t>
      </w:r>
    </w:p>
    <w:p w:rsidR="00037390" w:rsidRPr="00352674" w:rsidRDefault="00037390" w:rsidP="00037390">
      <w:pPr>
        <w:pStyle w:val="CGCNumberedPara"/>
        <w:numPr>
          <w:ilvl w:val="1"/>
          <w:numId w:val="2"/>
        </w:numPr>
      </w:pPr>
      <w:r>
        <w:t xml:space="preserve">Data show that States spend more on providing urban transport services and associated infrastructure requirements in larger cities than in smaller ones. </w:t>
      </w:r>
      <w:r>
        <w:fldChar w:fldCharType="begin"/>
      </w:r>
      <w:r>
        <w:instrText xml:space="preserve"> REF _Ref311209940 \h </w:instrText>
      </w:r>
      <w:r>
        <w:fldChar w:fldCharType="separate"/>
      </w:r>
      <w:r w:rsidR="003A5DEE" w:rsidRPr="00123B11">
        <w:t xml:space="preserve">Table </w:t>
      </w:r>
      <w:r w:rsidR="003A5DEE">
        <w:rPr>
          <w:noProof/>
        </w:rPr>
        <w:t>4</w:t>
      </w:r>
      <w:r>
        <w:fldChar w:fldCharType="end"/>
      </w:r>
      <w:r>
        <w:t xml:space="preserve"> shows that New South Wales and Victoria, each with a very large capital city and a number of other larger cities, require more GST (over $1 billion) to deliver urban transport services, including infrastructure, at average levels. Other States (except Western Australia which requires a small above average amount) require less GST than an equal per capita amount to be able to deliver equivalent services.</w:t>
      </w:r>
    </w:p>
    <w:p w:rsidR="00037390" w:rsidRPr="00123B11" w:rsidRDefault="00037390" w:rsidP="00037390">
      <w:pPr>
        <w:pStyle w:val="Heading4"/>
      </w:pPr>
      <w:r>
        <w:t>Administrative Scale</w:t>
      </w:r>
    </w:p>
    <w:p w:rsidR="00037390" w:rsidRPr="00123B11" w:rsidRDefault="00037390" w:rsidP="00037390">
      <w:pPr>
        <w:pStyle w:val="CGCNumberedPara"/>
        <w:numPr>
          <w:ilvl w:val="1"/>
          <w:numId w:val="2"/>
        </w:numPr>
      </w:pPr>
      <w:r w:rsidRPr="00123B11">
        <w:t>States with small populations have intrinsically higher per capita costs because the minimum functions of government have to be spread over a smaller number of residents. The administrative cost that would be incurred independent of population size has been estimated at $243 million in 2013</w:t>
      </w:r>
      <w:r w:rsidRPr="00123B11">
        <w:noBreakHyphen/>
        <w:t>14. This includes costs associated with:</w:t>
      </w:r>
    </w:p>
    <w:p w:rsidR="00037390" w:rsidRPr="00123B11" w:rsidRDefault="00037390" w:rsidP="000468B3">
      <w:pPr>
        <w:pStyle w:val="CGCBulletlist"/>
      </w:pPr>
      <w:r w:rsidRPr="00123B11">
        <w:t>core head office functions of departments (for example, corporate services, policy and planning functions, but not all staffing and other resources delivering these functions)</w:t>
      </w:r>
    </w:p>
    <w:p w:rsidR="00037390" w:rsidRPr="00123B11" w:rsidRDefault="00037390" w:rsidP="000468B3">
      <w:pPr>
        <w:pStyle w:val="CGCBulletlist"/>
      </w:pPr>
      <w:proofErr w:type="gramStart"/>
      <w:r w:rsidRPr="00123B11">
        <w:t>services</w:t>
      </w:r>
      <w:proofErr w:type="gramEnd"/>
      <w:r w:rsidRPr="00123B11">
        <w:t xml:space="preserve"> provided for the whole of the State (for example, the legislature, the judiciary, the Treasury, the revenue office, and a State museum but not all staffing and other resources delivering these services).</w:t>
      </w:r>
    </w:p>
    <w:p w:rsidR="00037390" w:rsidRPr="00123B11" w:rsidRDefault="00037390" w:rsidP="00037390">
      <w:pPr>
        <w:pStyle w:val="CGCNumberedPara"/>
        <w:numPr>
          <w:ilvl w:val="1"/>
          <w:numId w:val="2"/>
        </w:numPr>
      </w:pPr>
      <w:r w:rsidRPr="00123B11">
        <w:t>The minimum costs represent $33 per capita in New South Wales but $</w:t>
      </w:r>
      <w:r w:rsidR="00710A71">
        <w:t>995</w:t>
      </w:r>
      <w:r w:rsidRPr="00123B11">
        <w:t xml:space="preserve"> per capita in the Northern Territory. We</w:t>
      </w:r>
      <w:r w:rsidR="000468B3">
        <w:t>,</w:t>
      </w:r>
      <w:r w:rsidRPr="00123B11">
        <w:t xml:space="preserve"> therefore</w:t>
      </w:r>
      <w:r w:rsidR="000468B3">
        <w:t>,</w:t>
      </w:r>
      <w:r w:rsidRPr="00123B11">
        <w:t xml:space="preserve"> assess a weaker fiscal capacity in the </w:t>
      </w:r>
      <w:r>
        <w:t>less populous</w:t>
      </w:r>
      <w:r w:rsidRPr="00123B11">
        <w:t xml:space="preserve"> States, and a stronger fiscal capacity in the </w:t>
      </w:r>
      <w:r>
        <w:t xml:space="preserve">more populous </w:t>
      </w:r>
      <w:r w:rsidRPr="00123B11">
        <w:t>States</w:t>
      </w:r>
      <w:r>
        <w:t xml:space="preserve">, leading to the redistribution of $900 million in GST from New South Wales, Victoria and Queensland to the other States, </w:t>
      </w:r>
      <w:r w:rsidR="0030325C">
        <w:t xml:space="preserve">as </w:t>
      </w:r>
      <w:r>
        <w:t xml:space="preserve">shown in </w:t>
      </w:r>
      <w:r>
        <w:fldChar w:fldCharType="begin"/>
      </w:r>
      <w:r>
        <w:instrText xml:space="preserve"> REF _Ref348709337 \h </w:instrText>
      </w:r>
      <w:r>
        <w:fldChar w:fldCharType="separate"/>
      </w:r>
      <w:r w:rsidR="003A5DEE" w:rsidRPr="00123B11">
        <w:t xml:space="preserve">Table </w:t>
      </w:r>
      <w:r w:rsidR="003A5DEE">
        <w:rPr>
          <w:noProof/>
        </w:rPr>
        <w:t>4</w:t>
      </w:r>
      <w:r>
        <w:fldChar w:fldCharType="end"/>
      </w:r>
      <w:r w:rsidRPr="00123B11">
        <w:t xml:space="preserve">. </w:t>
      </w:r>
    </w:p>
    <w:p w:rsidR="00037390" w:rsidRPr="00123B11" w:rsidRDefault="00037390" w:rsidP="00037390">
      <w:pPr>
        <w:pStyle w:val="Heading4"/>
      </w:pPr>
      <w:bookmarkStart w:id="573" w:name="_Toc316722133"/>
      <w:bookmarkStart w:id="574" w:name="_Toc348945281"/>
      <w:bookmarkStart w:id="575" w:name="_Toc348945457"/>
      <w:bookmarkStart w:id="576" w:name="_Toc348945616"/>
      <w:bookmarkStart w:id="577" w:name="_Toc348946493"/>
      <w:bookmarkStart w:id="578" w:name="_Toc348951170"/>
      <w:bookmarkStart w:id="579" w:name="_Toc348951620"/>
      <w:bookmarkStart w:id="580" w:name="_Toc348951819"/>
      <w:bookmarkStart w:id="581" w:name="_Toc348951914"/>
      <w:bookmarkStart w:id="582" w:name="_Toc348957549"/>
      <w:bookmarkStart w:id="583" w:name="_Toc348957665"/>
      <w:bookmarkStart w:id="584" w:name="_Toc380590539"/>
      <w:bookmarkStart w:id="585" w:name="_Toc380590657"/>
      <w:bookmarkEnd w:id="559"/>
      <w:bookmarkEnd w:id="560"/>
      <w:bookmarkEnd w:id="561"/>
      <w:bookmarkEnd w:id="562"/>
      <w:bookmarkEnd w:id="563"/>
      <w:bookmarkEnd w:id="564"/>
      <w:bookmarkEnd w:id="565"/>
      <w:bookmarkEnd w:id="566"/>
      <w:bookmarkEnd w:id="567"/>
      <w:bookmarkEnd w:id="568"/>
      <w:bookmarkEnd w:id="569"/>
      <w:bookmarkEnd w:id="570"/>
      <w:bookmarkEnd w:id="571"/>
      <w:r w:rsidRPr="00123B11">
        <w:t>Natural disaster relief</w:t>
      </w:r>
    </w:p>
    <w:p w:rsidR="00037390" w:rsidRPr="00123B11" w:rsidRDefault="00037390" w:rsidP="00037390">
      <w:pPr>
        <w:pStyle w:val="CGCNumberedPara"/>
        <w:numPr>
          <w:ilvl w:val="1"/>
          <w:numId w:val="2"/>
        </w:numPr>
      </w:pPr>
      <w:r w:rsidRPr="00123B11">
        <w:t xml:space="preserve">Natural disaster relief expenses reflect the net cost to States of damage caused by natural disasters after </w:t>
      </w:r>
      <w:r>
        <w:t>receiving payments from</w:t>
      </w:r>
      <w:r w:rsidRPr="00123B11">
        <w:t xml:space="preserve"> the Commonwealth under the Natural Disaster Relief and Recovery Arrangements (NDRRA).</w:t>
      </w:r>
    </w:p>
    <w:p w:rsidR="00037390" w:rsidRPr="00FF4850" w:rsidRDefault="00037390" w:rsidP="00037390">
      <w:pPr>
        <w:pStyle w:val="CGCNumberedPara"/>
        <w:numPr>
          <w:ilvl w:val="1"/>
          <w:numId w:val="2"/>
        </w:numPr>
      </w:pPr>
      <w:r>
        <w:t>The large redistribution of GST to Queensland of $660 million is due to the very large expenses</w:t>
      </w:r>
      <w:r w:rsidRPr="00123B11">
        <w:t xml:space="preserve"> Queensland has faced </w:t>
      </w:r>
      <w:r>
        <w:t>o</w:t>
      </w:r>
      <w:r w:rsidRPr="00123B11">
        <w:t>ver the last few years, principally relating to the flood and cyclone events of 2011 and 2012</w:t>
      </w:r>
      <w:r w:rsidRPr="00FF4850">
        <w:t>. On the other hand, New South Wales</w:t>
      </w:r>
      <w:r w:rsidR="00987084">
        <w:t>’</w:t>
      </w:r>
      <w:r w:rsidRPr="00FF4850">
        <w:t xml:space="preserve"> and Victoria</w:t>
      </w:r>
      <w:r w:rsidR="00987084">
        <w:t>’s</w:t>
      </w:r>
      <w:r w:rsidRPr="00FF4850">
        <w:t xml:space="preserve"> expenses in 2013</w:t>
      </w:r>
      <w:r w:rsidRPr="00FF4850">
        <w:noBreakHyphen/>
        <w:t>14 were more than offset by Commonwealth reimbursements for expenditure incurred in previous years.</w:t>
      </w:r>
    </w:p>
    <w:p w:rsidR="00037390" w:rsidRDefault="00037390" w:rsidP="00037390">
      <w:pPr>
        <w:pStyle w:val="Heading4"/>
      </w:pPr>
      <w:r>
        <w:lastRenderedPageBreak/>
        <w:t>Small communities</w:t>
      </w:r>
    </w:p>
    <w:p w:rsidR="00037390" w:rsidRDefault="00037390" w:rsidP="00037390">
      <w:pPr>
        <w:pStyle w:val="CGCNumberedPara"/>
        <w:numPr>
          <w:ilvl w:val="1"/>
          <w:numId w:val="2"/>
        </w:numPr>
      </w:pPr>
      <w:r>
        <w:t xml:space="preserve">States provide higher subsidies for water and electricity in small remote communities. States with above average proportions of their populations living in these centres, such as the Queensland, Western Australia and the Northern Territory, require more GST per capita to provide these subsidies at average levels. </w:t>
      </w:r>
      <w:r>
        <w:fldChar w:fldCharType="begin"/>
      </w:r>
      <w:r>
        <w:instrText xml:space="preserve"> REF _Ref411604936 \h </w:instrText>
      </w:r>
      <w:r>
        <w:fldChar w:fldCharType="separate"/>
      </w:r>
      <w:r w:rsidR="003A5DEE">
        <w:t xml:space="preserve">Table </w:t>
      </w:r>
      <w:r w:rsidR="003A5DEE">
        <w:rPr>
          <w:noProof/>
        </w:rPr>
        <w:t>9</w:t>
      </w:r>
      <w:r>
        <w:fldChar w:fldCharType="end"/>
      </w:r>
      <w:r>
        <w:t xml:space="preserve"> shows State shares of the population living in these communities. </w:t>
      </w:r>
      <w:r>
        <w:fldChar w:fldCharType="begin"/>
      </w:r>
      <w:r>
        <w:instrText xml:space="preserve"> REF _Ref311209940 \h </w:instrText>
      </w:r>
      <w:r>
        <w:fldChar w:fldCharType="separate"/>
      </w:r>
      <w:r w:rsidR="003A5DEE" w:rsidRPr="00123B11">
        <w:t xml:space="preserve">Table </w:t>
      </w:r>
      <w:r w:rsidR="003A5DEE">
        <w:rPr>
          <w:noProof/>
        </w:rPr>
        <w:t>4</w:t>
      </w:r>
      <w:r>
        <w:fldChar w:fldCharType="end"/>
      </w:r>
      <w:r>
        <w:t xml:space="preserve"> shows that $605 million in GST is distributed from New South Wales</w:t>
      </w:r>
      <w:r w:rsidR="0030325C">
        <w:t>,</w:t>
      </w:r>
      <w:r>
        <w:t xml:space="preserve"> Victoria and the ACT to the other States to </w:t>
      </w:r>
      <w:r w:rsidR="0030325C">
        <w:t>give</w:t>
      </w:r>
      <w:r>
        <w:t xml:space="preserve"> equal capacity to deliver these services.</w:t>
      </w:r>
    </w:p>
    <w:p w:rsidR="00037390" w:rsidRDefault="00037390" w:rsidP="00037390">
      <w:pPr>
        <w:pStyle w:val="Caption"/>
      </w:pPr>
      <w:bookmarkStart w:id="586" w:name="_Ref411604936"/>
      <w:r>
        <w:t xml:space="preserve">Table </w:t>
      </w:r>
      <w:fldSimple w:instr=" SEQ Table \* ARABIC ">
        <w:r w:rsidR="003A5DEE">
          <w:rPr>
            <w:noProof/>
          </w:rPr>
          <w:t>9</w:t>
        </w:r>
      </w:fldSimple>
      <w:bookmarkEnd w:id="586"/>
      <w:r>
        <w:tab/>
        <w:t>Estimated resident population in small remote communities, December 2011</w:t>
      </w:r>
    </w:p>
    <w:tbl>
      <w:tblPr>
        <w:tblW w:w="8980" w:type="dxa"/>
        <w:tblInd w:w="93" w:type="dxa"/>
        <w:tblLook w:val="04A0" w:firstRow="1" w:lastRow="0" w:firstColumn="1" w:lastColumn="0" w:noHBand="0" w:noVBand="1"/>
      </w:tblPr>
      <w:tblGrid>
        <w:gridCol w:w="3500"/>
        <w:gridCol w:w="615"/>
        <w:gridCol w:w="540"/>
        <w:gridCol w:w="640"/>
        <w:gridCol w:w="640"/>
        <w:gridCol w:w="640"/>
        <w:gridCol w:w="540"/>
        <w:gridCol w:w="540"/>
        <w:gridCol w:w="640"/>
        <w:gridCol w:w="700"/>
      </w:tblGrid>
      <w:tr w:rsidR="006B46D2" w:rsidRPr="00C43CE5" w:rsidTr="00236E06">
        <w:trPr>
          <w:trHeight w:val="379"/>
        </w:trPr>
        <w:tc>
          <w:tcPr>
            <w:tcW w:w="3500" w:type="dxa"/>
            <w:tcBorders>
              <w:top w:val="single" w:sz="4" w:space="0" w:color="auto"/>
              <w:left w:val="nil"/>
              <w:bottom w:val="single" w:sz="4" w:space="0" w:color="auto"/>
              <w:right w:val="nil"/>
            </w:tcBorders>
            <w:shd w:val="clear" w:color="auto" w:fill="auto"/>
            <w:noWrap/>
            <w:vAlign w:val="center"/>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bookmarkStart w:id="587" w:name="RANGE!A5:J7"/>
            <w:r w:rsidRPr="00C43CE5">
              <w:rPr>
                <w:rFonts w:ascii="Calibri" w:eastAsia="Times New Roman" w:hAnsi="Calibri" w:cs="Times New Roman"/>
                <w:sz w:val="20"/>
                <w:szCs w:val="20"/>
                <w:lang w:eastAsia="en-AU"/>
              </w:rPr>
              <w:t> </w:t>
            </w:r>
            <w:bookmarkEnd w:id="587"/>
          </w:p>
        </w:tc>
        <w:tc>
          <w:tcPr>
            <w:tcW w:w="600" w:type="dxa"/>
            <w:tcBorders>
              <w:top w:val="single" w:sz="4" w:space="0" w:color="auto"/>
              <w:left w:val="nil"/>
              <w:bottom w:val="single" w:sz="4" w:space="0" w:color="auto"/>
              <w:right w:val="nil"/>
            </w:tcBorders>
            <w:shd w:val="clear" w:color="auto" w:fill="auto"/>
            <w:noWrap/>
            <w:vAlign w:val="center"/>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NSW</w:t>
            </w:r>
          </w:p>
        </w:tc>
        <w:tc>
          <w:tcPr>
            <w:tcW w:w="540" w:type="dxa"/>
            <w:tcBorders>
              <w:top w:val="single" w:sz="4" w:space="0" w:color="auto"/>
              <w:left w:val="nil"/>
              <w:bottom w:val="single" w:sz="4" w:space="0" w:color="auto"/>
              <w:right w:val="nil"/>
            </w:tcBorders>
            <w:shd w:val="clear" w:color="auto" w:fill="auto"/>
            <w:noWrap/>
            <w:vAlign w:val="center"/>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Vic</w:t>
            </w:r>
          </w:p>
        </w:tc>
        <w:tc>
          <w:tcPr>
            <w:tcW w:w="640" w:type="dxa"/>
            <w:tcBorders>
              <w:top w:val="single" w:sz="4" w:space="0" w:color="auto"/>
              <w:left w:val="nil"/>
              <w:bottom w:val="single" w:sz="4" w:space="0" w:color="auto"/>
              <w:right w:val="nil"/>
            </w:tcBorders>
            <w:shd w:val="clear" w:color="auto" w:fill="auto"/>
            <w:noWrap/>
            <w:vAlign w:val="center"/>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Qld</w:t>
            </w:r>
          </w:p>
        </w:tc>
        <w:tc>
          <w:tcPr>
            <w:tcW w:w="640" w:type="dxa"/>
            <w:tcBorders>
              <w:top w:val="single" w:sz="4" w:space="0" w:color="auto"/>
              <w:left w:val="nil"/>
              <w:bottom w:val="single" w:sz="4" w:space="0" w:color="auto"/>
              <w:right w:val="nil"/>
            </w:tcBorders>
            <w:shd w:val="clear" w:color="auto" w:fill="auto"/>
            <w:noWrap/>
            <w:vAlign w:val="center"/>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WA</w:t>
            </w:r>
          </w:p>
        </w:tc>
        <w:tc>
          <w:tcPr>
            <w:tcW w:w="640" w:type="dxa"/>
            <w:tcBorders>
              <w:top w:val="single" w:sz="4" w:space="0" w:color="auto"/>
              <w:left w:val="nil"/>
              <w:bottom w:val="single" w:sz="4" w:space="0" w:color="auto"/>
              <w:right w:val="nil"/>
            </w:tcBorders>
            <w:shd w:val="clear" w:color="auto" w:fill="auto"/>
            <w:noWrap/>
            <w:vAlign w:val="center"/>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SA</w:t>
            </w:r>
          </w:p>
        </w:tc>
        <w:tc>
          <w:tcPr>
            <w:tcW w:w="540" w:type="dxa"/>
            <w:tcBorders>
              <w:top w:val="single" w:sz="4" w:space="0" w:color="auto"/>
              <w:left w:val="nil"/>
              <w:bottom w:val="single" w:sz="4" w:space="0" w:color="auto"/>
              <w:right w:val="nil"/>
            </w:tcBorders>
            <w:shd w:val="clear" w:color="auto" w:fill="auto"/>
            <w:noWrap/>
            <w:vAlign w:val="center"/>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proofErr w:type="spellStart"/>
            <w:r w:rsidRPr="00C43CE5">
              <w:rPr>
                <w:rFonts w:ascii="Calibri" w:eastAsia="Times New Roman" w:hAnsi="Calibri" w:cs="Times New Roman"/>
                <w:sz w:val="20"/>
                <w:szCs w:val="20"/>
                <w:lang w:eastAsia="en-AU"/>
              </w:rPr>
              <w:t>Tas</w:t>
            </w:r>
            <w:proofErr w:type="spellEnd"/>
          </w:p>
        </w:tc>
        <w:tc>
          <w:tcPr>
            <w:tcW w:w="540" w:type="dxa"/>
            <w:tcBorders>
              <w:top w:val="single" w:sz="4" w:space="0" w:color="auto"/>
              <w:left w:val="nil"/>
              <w:bottom w:val="single" w:sz="4" w:space="0" w:color="auto"/>
              <w:right w:val="nil"/>
            </w:tcBorders>
            <w:shd w:val="clear" w:color="auto" w:fill="auto"/>
            <w:noWrap/>
            <w:vAlign w:val="center"/>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ACT</w:t>
            </w:r>
          </w:p>
        </w:tc>
        <w:tc>
          <w:tcPr>
            <w:tcW w:w="640" w:type="dxa"/>
            <w:tcBorders>
              <w:top w:val="single" w:sz="4" w:space="0" w:color="auto"/>
              <w:left w:val="nil"/>
              <w:bottom w:val="single" w:sz="4" w:space="0" w:color="auto"/>
              <w:right w:val="nil"/>
            </w:tcBorders>
            <w:shd w:val="clear" w:color="auto" w:fill="auto"/>
            <w:noWrap/>
            <w:vAlign w:val="center"/>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NT</w:t>
            </w:r>
          </w:p>
        </w:tc>
        <w:tc>
          <w:tcPr>
            <w:tcW w:w="700" w:type="dxa"/>
            <w:tcBorders>
              <w:top w:val="single" w:sz="4" w:space="0" w:color="auto"/>
              <w:left w:val="nil"/>
              <w:bottom w:val="single" w:sz="4" w:space="0" w:color="auto"/>
              <w:right w:val="nil"/>
            </w:tcBorders>
            <w:shd w:val="clear" w:color="auto" w:fill="auto"/>
            <w:noWrap/>
            <w:vAlign w:val="center"/>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Total</w:t>
            </w:r>
          </w:p>
        </w:tc>
      </w:tr>
      <w:tr w:rsidR="006B46D2" w:rsidRPr="00C43CE5" w:rsidTr="00236E06">
        <w:trPr>
          <w:trHeight w:val="259"/>
        </w:trPr>
        <w:tc>
          <w:tcPr>
            <w:tcW w:w="3500" w:type="dxa"/>
            <w:tcBorders>
              <w:top w:val="nil"/>
              <w:left w:val="nil"/>
              <w:bottom w:val="nil"/>
              <w:right w:val="nil"/>
            </w:tcBorders>
            <w:shd w:val="clear" w:color="auto" w:fill="auto"/>
            <w:noWrap/>
            <w:vAlign w:val="bottom"/>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p>
        </w:tc>
        <w:tc>
          <w:tcPr>
            <w:tcW w:w="600" w:type="dxa"/>
            <w:tcBorders>
              <w:top w:val="nil"/>
              <w:left w:val="nil"/>
              <w:bottom w:val="nil"/>
              <w:right w:val="nil"/>
            </w:tcBorders>
            <w:shd w:val="clear" w:color="auto" w:fill="auto"/>
            <w:noWrap/>
            <w:vAlign w:val="bottom"/>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w:t>
            </w:r>
          </w:p>
        </w:tc>
        <w:tc>
          <w:tcPr>
            <w:tcW w:w="540" w:type="dxa"/>
            <w:tcBorders>
              <w:top w:val="nil"/>
              <w:left w:val="nil"/>
              <w:bottom w:val="nil"/>
              <w:right w:val="nil"/>
            </w:tcBorders>
            <w:shd w:val="clear" w:color="auto" w:fill="auto"/>
            <w:noWrap/>
            <w:vAlign w:val="bottom"/>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w:t>
            </w:r>
          </w:p>
        </w:tc>
        <w:tc>
          <w:tcPr>
            <w:tcW w:w="640" w:type="dxa"/>
            <w:tcBorders>
              <w:top w:val="nil"/>
              <w:left w:val="nil"/>
              <w:bottom w:val="nil"/>
              <w:right w:val="nil"/>
            </w:tcBorders>
            <w:shd w:val="clear" w:color="auto" w:fill="auto"/>
            <w:noWrap/>
            <w:vAlign w:val="bottom"/>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w:t>
            </w:r>
          </w:p>
        </w:tc>
        <w:tc>
          <w:tcPr>
            <w:tcW w:w="640" w:type="dxa"/>
            <w:tcBorders>
              <w:top w:val="nil"/>
              <w:left w:val="nil"/>
              <w:bottom w:val="nil"/>
              <w:right w:val="nil"/>
            </w:tcBorders>
            <w:shd w:val="clear" w:color="auto" w:fill="auto"/>
            <w:noWrap/>
            <w:vAlign w:val="bottom"/>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w:t>
            </w:r>
          </w:p>
        </w:tc>
        <w:tc>
          <w:tcPr>
            <w:tcW w:w="640" w:type="dxa"/>
            <w:tcBorders>
              <w:top w:val="nil"/>
              <w:left w:val="nil"/>
              <w:bottom w:val="nil"/>
              <w:right w:val="nil"/>
            </w:tcBorders>
            <w:shd w:val="clear" w:color="auto" w:fill="auto"/>
            <w:noWrap/>
            <w:vAlign w:val="bottom"/>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w:t>
            </w:r>
          </w:p>
        </w:tc>
        <w:tc>
          <w:tcPr>
            <w:tcW w:w="540" w:type="dxa"/>
            <w:tcBorders>
              <w:top w:val="nil"/>
              <w:left w:val="nil"/>
              <w:bottom w:val="nil"/>
              <w:right w:val="nil"/>
            </w:tcBorders>
            <w:shd w:val="clear" w:color="auto" w:fill="auto"/>
            <w:noWrap/>
            <w:vAlign w:val="bottom"/>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w:t>
            </w:r>
          </w:p>
        </w:tc>
        <w:tc>
          <w:tcPr>
            <w:tcW w:w="540" w:type="dxa"/>
            <w:tcBorders>
              <w:top w:val="nil"/>
              <w:left w:val="nil"/>
              <w:bottom w:val="nil"/>
              <w:right w:val="nil"/>
            </w:tcBorders>
            <w:shd w:val="clear" w:color="auto" w:fill="auto"/>
            <w:noWrap/>
            <w:vAlign w:val="bottom"/>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w:t>
            </w:r>
          </w:p>
        </w:tc>
        <w:tc>
          <w:tcPr>
            <w:tcW w:w="640" w:type="dxa"/>
            <w:tcBorders>
              <w:top w:val="nil"/>
              <w:left w:val="nil"/>
              <w:bottom w:val="nil"/>
              <w:right w:val="nil"/>
            </w:tcBorders>
            <w:shd w:val="clear" w:color="auto" w:fill="auto"/>
            <w:noWrap/>
            <w:vAlign w:val="bottom"/>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w:t>
            </w:r>
          </w:p>
        </w:tc>
        <w:tc>
          <w:tcPr>
            <w:tcW w:w="700" w:type="dxa"/>
            <w:tcBorders>
              <w:top w:val="nil"/>
              <w:left w:val="nil"/>
              <w:bottom w:val="nil"/>
              <w:right w:val="nil"/>
            </w:tcBorders>
            <w:shd w:val="clear" w:color="auto" w:fill="auto"/>
            <w:noWrap/>
            <w:vAlign w:val="bottom"/>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w:t>
            </w:r>
          </w:p>
        </w:tc>
      </w:tr>
      <w:tr w:rsidR="006B46D2" w:rsidRPr="00C43CE5" w:rsidTr="00236E06">
        <w:trPr>
          <w:trHeight w:val="315"/>
        </w:trPr>
        <w:tc>
          <w:tcPr>
            <w:tcW w:w="3500" w:type="dxa"/>
            <w:tcBorders>
              <w:top w:val="nil"/>
              <w:left w:val="nil"/>
              <w:bottom w:val="single" w:sz="4" w:space="0" w:color="auto"/>
              <w:right w:val="nil"/>
            </w:tcBorders>
            <w:shd w:val="clear" w:color="auto" w:fill="auto"/>
            <w:vAlign w:val="bottom"/>
            <w:hideMark/>
          </w:tcPr>
          <w:p w:rsidR="006B46D2" w:rsidRPr="00C43CE5" w:rsidRDefault="006B46D2" w:rsidP="00236E06">
            <w:pPr>
              <w:tabs>
                <w:tab w:val="clear" w:pos="567"/>
              </w:tabs>
              <w:spacing w:after="0" w:line="240" w:lineRule="auto"/>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Remote communities of 50-1000 people</w:t>
            </w:r>
          </w:p>
        </w:tc>
        <w:tc>
          <w:tcPr>
            <w:tcW w:w="600" w:type="dxa"/>
            <w:tcBorders>
              <w:top w:val="nil"/>
              <w:left w:val="nil"/>
              <w:bottom w:val="single" w:sz="4" w:space="0" w:color="auto"/>
              <w:right w:val="nil"/>
            </w:tcBorders>
            <w:shd w:val="clear" w:color="auto" w:fill="auto"/>
            <w:vAlign w:val="bottom"/>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5.6</w:t>
            </w:r>
          </w:p>
        </w:tc>
        <w:tc>
          <w:tcPr>
            <w:tcW w:w="540" w:type="dxa"/>
            <w:tcBorders>
              <w:top w:val="nil"/>
              <w:left w:val="nil"/>
              <w:bottom w:val="single" w:sz="4" w:space="0" w:color="auto"/>
              <w:right w:val="nil"/>
            </w:tcBorders>
            <w:shd w:val="clear" w:color="auto" w:fill="auto"/>
            <w:vAlign w:val="bottom"/>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1.8</w:t>
            </w:r>
          </w:p>
        </w:tc>
        <w:tc>
          <w:tcPr>
            <w:tcW w:w="640" w:type="dxa"/>
            <w:tcBorders>
              <w:top w:val="nil"/>
              <w:left w:val="nil"/>
              <w:bottom w:val="single" w:sz="4" w:space="0" w:color="auto"/>
              <w:right w:val="nil"/>
            </w:tcBorders>
            <w:shd w:val="clear" w:color="auto" w:fill="auto"/>
            <w:vAlign w:val="bottom"/>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28.4</w:t>
            </w:r>
          </w:p>
        </w:tc>
        <w:tc>
          <w:tcPr>
            <w:tcW w:w="640" w:type="dxa"/>
            <w:tcBorders>
              <w:top w:val="nil"/>
              <w:left w:val="nil"/>
              <w:bottom w:val="single" w:sz="4" w:space="0" w:color="auto"/>
              <w:right w:val="nil"/>
            </w:tcBorders>
            <w:shd w:val="clear" w:color="auto" w:fill="auto"/>
            <w:vAlign w:val="bottom"/>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25.9</w:t>
            </w:r>
          </w:p>
        </w:tc>
        <w:tc>
          <w:tcPr>
            <w:tcW w:w="640" w:type="dxa"/>
            <w:tcBorders>
              <w:top w:val="nil"/>
              <w:left w:val="nil"/>
              <w:bottom w:val="single" w:sz="4" w:space="0" w:color="auto"/>
              <w:right w:val="nil"/>
            </w:tcBorders>
            <w:shd w:val="clear" w:color="auto" w:fill="auto"/>
            <w:vAlign w:val="bottom"/>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13.3</w:t>
            </w:r>
          </w:p>
        </w:tc>
        <w:tc>
          <w:tcPr>
            <w:tcW w:w="540" w:type="dxa"/>
            <w:tcBorders>
              <w:top w:val="nil"/>
              <w:left w:val="nil"/>
              <w:bottom w:val="single" w:sz="4" w:space="0" w:color="auto"/>
              <w:right w:val="nil"/>
            </w:tcBorders>
            <w:shd w:val="clear" w:color="auto" w:fill="auto"/>
            <w:vAlign w:val="bottom"/>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4.6</w:t>
            </w:r>
          </w:p>
        </w:tc>
        <w:tc>
          <w:tcPr>
            <w:tcW w:w="540" w:type="dxa"/>
            <w:tcBorders>
              <w:top w:val="nil"/>
              <w:left w:val="nil"/>
              <w:bottom w:val="single" w:sz="4" w:space="0" w:color="auto"/>
              <w:right w:val="nil"/>
            </w:tcBorders>
            <w:shd w:val="clear" w:color="auto" w:fill="auto"/>
            <w:vAlign w:val="bottom"/>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0.0</w:t>
            </w:r>
          </w:p>
        </w:tc>
        <w:tc>
          <w:tcPr>
            <w:tcW w:w="640" w:type="dxa"/>
            <w:tcBorders>
              <w:top w:val="nil"/>
              <w:left w:val="nil"/>
              <w:bottom w:val="single" w:sz="4" w:space="0" w:color="auto"/>
              <w:right w:val="nil"/>
            </w:tcBorders>
            <w:shd w:val="clear" w:color="auto" w:fill="auto"/>
            <w:vAlign w:val="bottom"/>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20.5</w:t>
            </w:r>
          </w:p>
        </w:tc>
        <w:tc>
          <w:tcPr>
            <w:tcW w:w="700" w:type="dxa"/>
            <w:tcBorders>
              <w:top w:val="nil"/>
              <w:left w:val="nil"/>
              <w:bottom w:val="single" w:sz="4" w:space="0" w:color="auto"/>
              <w:right w:val="nil"/>
            </w:tcBorders>
            <w:shd w:val="clear" w:color="auto" w:fill="auto"/>
            <w:vAlign w:val="bottom"/>
            <w:hideMark/>
          </w:tcPr>
          <w:p w:rsidR="006B46D2" w:rsidRPr="00C43CE5" w:rsidRDefault="006B46D2" w:rsidP="00236E06">
            <w:pPr>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100.0</w:t>
            </w:r>
          </w:p>
        </w:tc>
      </w:tr>
    </w:tbl>
    <w:p w:rsidR="00037390" w:rsidRDefault="00037390" w:rsidP="00037390">
      <w:pPr>
        <w:pStyle w:val="CGCDataCaption"/>
        <w:ind w:left="0" w:firstLine="0"/>
      </w:pPr>
      <w:r>
        <w:t>Source:</w:t>
      </w:r>
      <w:r>
        <w:tab/>
        <w:t>Commission calculation based on ERP from ABS data request.</w:t>
      </w:r>
    </w:p>
    <w:p w:rsidR="00037390" w:rsidRPr="00123B11" w:rsidRDefault="00037390" w:rsidP="00037390">
      <w:pPr>
        <w:pStyle w:val="Heading4"/>
      </w:pPr>
      <w:r w:rsidRPr="00123B11">
        <w:t>Non-State service provision</w:t>
      </w:r>
      <w:bookmarkEnd w:id="573"/>
      <w:bookmarkEnd w:id="574"/>
      <w:bookmarkEnd w:id="575"/>
      <w:bookmarkEnd w:id="576"/>
      <w:bookmarkEnd w:id="577"/>
      <w:bookmarkEnd w:id="578"/>
      <w:bookmarkEnd w:id="579"/>
      <w:bookmarkEnd w:id="580"/>
      <w:bookmarkEnd w:id="581"/>
      <w:bookmarkEnd w:id="582"/>
      <w:bookmarkEnd w:id="583"/>
      <w:bookmarkEnd w:id="584"/>
      <w:bookmarkEnd w:id="585"/>
    </w:p>
    <w:p w:rsidR="00037390" w:rsidRPr="00123B11" w:rsidRDefault="00037390" w:rsidP="00037390">
      <w:pPr>
        <w:pStyle w:val="CGCNumberedPara"/>
        <w:numPr>
          <w:ilvl w:val="1"/>
          <w:numId w:val="2"/>
        </w:numPr>
      </w:pPr>
      <w:r w:rsidRPr="00123B11">
        <w:t xml:space="preserve">The </w:t>
      </w:r>
      <w:r>
        <w:t>non-State</w:t>
      </w:r>
      <w:r w:rsidRPr="00123B11">
        <w:t xml:space="preserve"> sector provide</w:t>
      </w:r>
      <w:r>
        <w:t>s</w:t>
      </w:r>
      <w:r w:rsidRPr="00123B11">
        <w:t xml:space="preserve"> some health and education services similar to those provided by State governments. For example:</w:t>
      </w:r>
    </w:p>
    <w:p w:rsidR="00037390" w:rsidRPr="00123B11" w:rsidRDefault="00037390" w:rsidP="00037390">
      <w:pPr>
        <w:pStyle w:val="CGCBulletlist"/>
        <w:numPr>
          <w:ilvl w:val="0"/>
          <w:numId w:val="1"/>
        </w:numPr>
        <w:tabs>
          <w:tab w:val="clear" w:pos="927"/>
          <w:tab w:val="left" w:pos="1134"/>
        </w:tabs>
        <w:ind w:left="1134" w:hanging="567"/>
      </w:pPr>
      <w:r w:rsidRPr="00123B11">
        <w:t>people visit their general practitioner for conditions that they may have otherwise visited an emergency department</w:t>
      </w:r>
    </w:p>
    <w:p w:rsidR="00037390" w:rsidRDefault="00037390" w:rsidP="00037390">
      <w:pPr>
        <w:pStyle w:val="CGCBulletlist"/>
        <w:numPr>
          <w:ilvl w:val="0"/>
          <w:numId w:val="1"/>
        </w:numPr>
        <w:tabs>
          <w:tab w:val="clear" w:pos="927"/>
          <w:tab w:val="left" w:pos="1134"/>
        </w:tabs>
        <w:ind w:left="1134" w:hanging="567"/>
      </w:pPr>
      <w:r w:rsidRPr="00123B11">
        <w:t>babies being born in a private hospital alleviates the need for care being provide</w:t>
      </w:r>
      <w:r w:rsidR="0057649C">
        <w:t>d in the public hospital system</w:t>
      </w:r>
    </w:p>
    <w:p w:rsidR="00037390" w:rsidRPr="00123B11" w:rsidRDefault="00037390" w:rsidP="00037390">
      <w:pPr>
        <w:pStyle w:val="CGCBulletlist"/>
        <w:numPr>
          <w:ilvl w:val="0"/>
          <w:numId w:val="1"/>
        </w:numPr>
        <w:tabs>
          <w:tab w:val="clear" w:pos="927"/>
          <w:tab w:val="left" w:pos="1134"/>
        </w:tabs>
        <w:ind w:left="1134" w:hanging="567"/>
      </w:pPr>
      <w:proofErr w:type="gramStart"/>
      <w:r>
        <w:t>parents</w:t>
      </w:r>
      <w:proofErr w:type="gramEnd"/>
      <w:r>
        <w:t xml:space="preserve"> sendin</w:t>
      </w:r>
      <w:r w:rsidRPr="00123B11">
        <w:t>g school children to a private school alleviates the need for the State to provide a public school place.</w:t>
      </w:r>
    </w:p>
    <w:p w:rsidR="00037390" w:rsidRDefault="00037390" w:rsidP="00037390">
      <w:pPr>
        <w:pStyle w:val="CGCNumberedPara"/>
        <w:numPr>
          <w:ilvl w:val="1"/>
          <w:numId w:val="2"/>
        </w:numPr>
      </w:pPr>
      <w:r>
        <w:t>If a State has an above average provision of these services by the non-State sector we consider it reduces the call on State services and improves the fiscal capacity of the State.</w:t>
      </w:r>
    </w:p>
    <w:p w:rsidR="00037390" w:rsidRDefault="00037390" w:rsidP="00037390">
      <w:pPr>
        <w:pStyle w:val="CGCNumberedPara"/>
        <w:numPr>
          <w:ilvl w:val="1"/>
          <w:numId w:val="2"/>
        </w:numPr>
      </w:pPr>
      <w:r w:rsidRPr="00123B11">
        <w:t>Western Australia and the ACT have a low level of non-State government health provision given their socio-demographic profile, and we assess this places greater pressure on their public system</w:t>
      </w:r>
      <w:r>
        <w:t xml:space="preserve">s, requiring more GST, as shown in </w:t>
      </w:r>
      <w:r w:rsidRPr="00123B11">
        <w:fldChar w:fldCharType="begin"/>
      </w:r>
      <w:r w:rsidRPr="00123B11">
        <w:instrText xml:space="preserve"> REF _Ref405811959 \h  \* MERGEFORMAT </w:instrText>
      </w:r>
      <w:r w:rsidRPr="00123B11">
        <w:fldChar w:fldCharType="separate"/>
      </w:r>
      <w:r w:rsidR="003A5DEE" w:rsidRPr="00123B11">
        <w:t xml:space="preserve">Table </w:t>
      </w:r>
      <w:r w:rsidR="003A5DEE">
        <w:rPr>
          <w:noProof/>
        </w:rPr>
        <w:t>10</w:t>
      </w:r>
      <w:r w:rsidRPr="00123B11">
        <w:fldChar w:fldCharType="end"/>
      </w:r>
      <w:r w:rsidRPr="00123B11">
        <w:t xml:space="preserve">. </w:t>
      </w:r>
    </w:p>
    <w:p w:rsidR="00037390" w:rsidRDefault="00037390" w:rsidP="00037390">
      <w:pPr>
        <w:pStyle w:val="CGCNumberedPara"/>
        <w:numPr>
          <w:ilvl w:val="1"/>
          <w:numId w:val="2"/>
        </w:numPr>
      </w:pPr>
      <w:r w:rsidRPr="00123B11">
        <w:t>Because some States have more private schools, more general practitioners and more private hospitals than others, the need for comparable State government services is reduced</w:t>
      </w:r>
      <w:r>
        <w:t>, requiring less GST</w:t>
      </w:r>
      <w:r w:rsidRPr="00123B11">
        <w:t>.</w:t>
      </w:r>
    </w:p>
    <w:p w:rsidR="00037390" w:rsidRPr="00123B11" w:rsidRDefault="00037390" w:rsidP="00037390">
      <w:pPr>
        <w:pStyle w:val="CGCNumberedPara"/>
        <w:numPr>
          <w:ilvl w:val="1"/>
          <w:numId w:val="2"/>
        </w:numPr>
      </w:pPr>
      <w:r w:rsidRPr="00123B11">
        <w:t>Victoria, South Australia and the ACT</w:t>
      </w:r>
      <w:r>
        <w:t xml:space="preserve"> have </w:t>
      </w:r>
      <w:r w:rsidRPr="00123B11">
        <w:t>high level</w:t>
      </w:r>
      <w:r>
        <w:t>s</w:t>
      </w:r>
      <w:r w:rsidRPr="00123B11">
        <w:t xml:space="preserve"> of private schooling, </w:t>
      </w:r>
      <w:r>
        <w:t xml:space="preserve">and so require less GST. Conversely, there is a </w:t>
      </w:r>
      <w:r w:rsidRPr="00123B11">
        <w:t>low level in Queensland, Tasmania and the Northern Territory</w:t>
      </w:r>
      <w:r>
        <w:t xml:space="preserve">, which </w:t>
      </w:r>
      <w:proofErr w:type="gramStart"/>
      <w:r>
        <w:t>have</w:t>
      </w:r>
      <w:proofErr w:type="gramEnd"/>
      <w:r>
        <w:t xml:space="preserve"> more public schooling, and hence require more GST</w:t>
      </w:r>
      <w:r w:rsidRPr="00123B11">
        <w:t>.</w:t>
      </w:r>
    </w:p>
    <w:p w:rsidR="00037390" w:rsidRDefault="00037390" w:rsidP="00760E36">
      <w:pPr>
        <w:pStyle w:val="Caption"/>
      </w:pPr>
      <w:bookmarkStart w:id="588" w:name="_Ref405811959"/>
      <w:r w:rsidRPr="00123B11">
        <w:lastRenderedPageBreak/>
        <w:t xml:space="preserve">Table </w:t>
      </w:r>
      <w:fldSimple w:instr=" SEQ Table \* ARABIC ">
        <w:r w:rsidR="003A5DEE">
          <w:rPr>
            <w:noProof/>
          </w:rPr>
          <w:t>10</w:t>
        </w:r>
      </w:fldSimple>
      <w:bookmarkEnd w:id="588"/>
      <w:r w:rsidRPr="00123B11">
        <w:tab/>
        <w:t>Illustrative impact of non-State service provision, 2015-16</w:t>
      </w:r>
    </w:p>
    <w:tbl>
      <w:tblPr>
        <w:tblW w:w="8960" w:type="dxa"/>
        <w:tblInd w:w="93" w:type="dxa"/>
        <w:tblLook w:val="04A0" w:firstRow="1" w:lastRow="0" w:firstColumn="1" w:lastColumn="0" w:noHBand="0" w:noVBand="1"/>
      </w:tblPr>
      <w:tblGrid>
        <w:gridCol w:w="2740"/>
        <w:gridCol w:w="760"/>
        <w:gridCol w:w="720"/>
        <w:gridCol w:w="680"/>
        <w:gridCol w:w="660"/>
        <w:gridCol w:w="640"/>
        <w:gridCol w:w="680"/>
        <w:gridCol w:w="680"/>
        <w:gridCol w:w="640"/>
        <w:gridCol w:w="760"/>
      </w:tblGrid>
      <w:tr w:rsidR="006B46D2" w:rsidRPr="00FC71A4" w:rsidTr="00236E06">
        <w:trPr>
          <w:trHeight w:val="379"/>
        </w:trPr>
        <w:tc>
          <w:tcPr>
            <w:tcW w:w="2740" w:type="dxa"/>
            <w:tcBorders>
              <w:top w:val="single" w:sz="4" w:space="0" w:color="auto"/>
              <w:left w:val="nil"/>
              <w:bottom w:val="single" w:sz="4" w:space="0" w:color="auto"/>
              <w:right w:val="nil"/>
            </w:tcBorders>
            <w:shd w:val="clear" w:color="auto" w:fill="auto"/>
            <w:noWrap/>
            <w:vAlign w:val="center"/>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 </w:t>
            </w:r>
          </w:p>
        </w:tc>
        <w:tc>
          <w:tcPr>
            <w:tcW w:w="760" w:type="dxa"/>
            <w:tcBorders>
              <w:top w:val="single" w:sz="4" w:space="0" w:color="auto"/>
              <w:left w:val="nil"/>
              <w:bottom w:val="single" w:sz="4" w:space="0" w:color="auto"/>
              <w:right w:val="nil"/>
            </w:tcBorders>
            <w:shd w:val="clear" w:color="auto" w:fill="auto"/>
            <w:noWrap/>
            <w:vAlign w:val="center"/>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NSW</w:t>
            </w:r>
          </w:p>
        </w:tc>
        <w:tc>
          <w:tcPr>
            <w:tcW w:w="720" w:type="dxa"/>
            <w:tcBorders>
              <w:top w:val="single" w:sz="4" w:space="0" w:color="auto"/>
              <w:left w:val="nil"/>
              <w:bottom w:val="single" w:sz="4" w:space="0" w:color="auto"/>
              <w:right w:val="nil"/>
            </w:tcBorders>
            <w:shd w:val="clear" w:color="auto" w:fill="auto"/>
            <w:noWrap/>
            <w:vAlign w:val="center"/>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Vic</w:t>
            </w:r>
          </w:p>
        </w:tc>
        <w:tc>
          <w:tcPr>
            <w:tcW w:w="680" w:type="dxa"/>
            <w:tcBorders>
              <w:top w:val="single" w:sz="4" w:space="0" w:color="auto"/>
              <w:left w:val="nil"/>
              <w:bottom w:val="single" w:sz="4" w:space="0" w:color="auto"/>
              <w:right w:val="nil"/>
            </w:tcBorders>
            <w:shd w:val="clear" w:color="auto" w:fill="auto"/>
            <w:noWrap/>
            <w:vAlign w:val="center"/>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Qld</w:t>
            </w:r>
          </w:p>
        </w:tc>
        <w:tc>
          <w:tcPr>
            <w:tcW w:w="660" w:type="dxa"/>
            <w:tcBorders>
              <w:top w:val="single" w:sz="4" w:space="0" w:color="auto"/>
              <w:left w:val="nil"/>
              <w:bottom w:val="single" w:sz="4" w:space="0" w:color="auto"/>
              <w:right w:val="nil"/>
            </w:tcBorders>
            <w:shd w:val="clear" w:color="auto" w:fill="auto"/>
            <w:noWrap/>
            <w:vAlign w:val="center"/>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WA</w:t>
            </w:r>
          </w:p>
        </w:tc>
        <w:tc>
          <w:tcPr>
            <w:tcW w:w="640" w:type="dxa"/>
            <w:tcBorders>
              <w:top w:val="single" w:sz="4" w:space="0" w:color="auto"/>
              <w:left w:val="nil"/>
              <w:bottom w:val="single" w:sz="4" w:space="0" w:color="auto"/>
              <w:right w:val="nil"/>
            </w:tcBorders>
            <w:shd w:val="clear" w:color="auto" w:fill="auto"/>
            <w:noWrap/>
            <w:vAlign w:val="center"/>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SA</w:t>
            </w:r>
          </w:p>
        </w:tc>
        <w:tc>
          <w:tcPr>
            <w:tcW w:w="680" w:type="dxa"/>
            <w:tcBorders>
              <w:top w:val="single" w:sz="4" w:space="0" w:color="auto"/>
              <w:left w:val="nil"/>
              <w:bottom w:val="single" w:sz="4" w:space="0" w:color="auto"/>
              <w:right w:val="nil"/>
            </w:tcBorders>
            <w:shd w:val="clear" w:color="auto" w:fill="auto"/>
            <w:noWrap/>
            <w:vAlign w:val="center"/>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proofErr w:type="spellStart"/>
            <w:r w:rsidRPr="00FC71A4">
              <w:rPr>
                <w:rFonts w:ascii="Calibri" w:eastAsia="Times New Roman" w:hAnsi="Calibri" w:cs="Times New Roman"/>
                <w:sz w:val="20"/>
                <w:szCs w:val="20"/>
                <w:lang w:eastAsia="en-AU"/>
              </w:rPr>
              <w:t>Tas</w:t>
            </w:r>
            <w:proofErr w:type="spellEnd"/>
          </w:p>
        </w:tc>
        <w:tc>
          <w:tcPr>
            <w:tcW w:w="680" w:type="dxa"/>
            <w:tcBorders>
              <w:top w:val="single" w:sz="4" w:space="0" w:color="auto"/>
              <w:left w:val="nil"/>
              <w:bottom w:val="single" w:sz="4" w:space="0" w:color="auto"/>
              <w:right w:val="nil"/>
            </w:tcBorders>
            <w:shd w:val="clear" w:color="auto" w:fill="auto"/>
            <w:noWrap/>
            <w:vAlign w:val="center"/>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ACT</w:t>
            </w:r>
          </w:p>
        </w:tc>
        <w:tc>
          <w:tcPr>
            <w:tcW w:w="640" w:type="dxa"/>
            <w:tcBorders>
              <w:top w:val="single" w:sz="4" w:space="0" w:color="auto"/>
              <w:left w:val="nil"/>
              <w:bottom w:val="single" w:sz="4" w:space="0" w:color="auto"/>
              <w:right w:val="nil"/>
            </w:tcBorders>
            <w:shd w:val="clear" w:color="auto" w:fill="auto"/>
            <w:noWrap/>
            <w:vAlign w:val="center"/>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NT</w:t>
            </w:r>
          </w:p>
        </w:tc>
        <w:tc>
          <w:tcPr>
            <w:tcW w:w="760" w:type="dxa"/>
            <w:tcBorders>
              <w:top w:val="single" w:sz="4" w:space="0" w:color="auto"/>
              <w:left w:val="nil"/>
              <w:bottom w:val="single" w:sz="4" w:space="0" w:color="auto"/>
              <w:right w:val="nil"/>
            </w:tcBorders>
            <w:shd w:val="clear" w:color="auto" w:fill="auto"/>
            <w:noWrap/>
            <w:vAlign w:val="center"/>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proofErr w:type="spellStart"/>
            <w:r w:rsidRPr="00FC71A4">
              <w:rPr>
                <w:rFonts w:ascii="Calibri" w:eastAsia="Times New Roman" w:hAnsi="Calibri" w:cs="Times New Roman"/>
                <w:sz w:val="20"/>
                <w:szCs w:val="20"/>
                <w:lang w:eastAsia="en-AU"/>
              </w:rPr>
              <w:t>Redist</w:t>
            </w:r>
            <w:proofErr w:type="spellEnd"/>
          </w:p>
        </w:tc>
      </w:tr>
      <w:tr w:rsidR="006B46D2" w:rsidRPr="00FC71A4" w:rsidTr="00236E06">
        <w:trPr>
          <w:trHeight w:val="259"/>
        </w:trPr>
        <w:tc>
          <w:tcPr>
            <w:tcW w:w="27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p>
        </w:tc>
        <w:tc>
          <w:tcPr>
            <w:tcW w:w="7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$m</w:t>
            </w:r>
          </w:p>
        </w:tc>
        <w:tc>
          <w:tcPr>
            <w:tcW w:w="6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$m</w:t>
            </w:r>
          </w:p>
        </w:tc>
      </w:tr>
      <w:tr w:rsidR="006B46D2" w:rsidRPr="00FC71A4" w:rsidTr="00236E06">
        <w:trPr>
          <w:trHeight w:val="315"/>
        </w:trPr>
        <w:tc>
          <w:tcPr>
            <w:tcW w:w="27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Health</w:t>
            </w:r>
          </w:p>
        </w:tc>
        <w:tc>
          <w:tcPr>
            <w:tcW w:w="7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p>
        </w:tc>
        <w:tc>
          <w:tcPr>
            <w:tcW w:w="7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p>
        </w:tc>
      </w:tr>
      <w:tr w:rsidR="006B46D2" w:rsidRPr="00FC71A4" w:rsidTr="00236E06">
        <w:trPr>
          <w:trHeight w:val="315"/>
        </w:trPr>
        <w:tc>
          <w:tcPr>
            <w:tcW w:w="27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Admitted patients</w:t>
            </w:r>
          </w:p>
        </w:tc>
        <w:tc>
          <w:tcPr>
            <w:tcW w:w="7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41</w:t>
            </w:r>
          </w:p>
        </w:tc>
        <w:tc>
          <w:tcPr>
            <w:tcW w:w="72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2</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-96</w:t>
            </w:r>
          </w:p>
        </w:tc>
        <w:tc>
          <w:tcPr>
            <w:tcW w:w="6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45</w:t>
            </w:r>
          </w:p>
        </w:tc>
        <w:tc>
          <w:tcPr>
            <w:tcW w:w="6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-10</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-15</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33</w:t>
            </w:r>
          </w:p>
        </w:tc>
        <w:tc>
          <w:tcPr>
            <w:tcW w:w="6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0</w:t>
            </w:r>
          </w:p>
        </w:tc>
        <w:tc>
          <w:tcPr>
            <w:tcW w:w="7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121</w:t>
            </w:r>
          </w:p>
        </w:tc>
      </w:tr>
      <w:tr w:rsidR="006B46D2" w:rsidRPr="00FC71A4" w:rsidTr="00236E06">
        <w:trPr>
          <w:trHeight w:val="315"/>
        </w:trPr>
        <w:tc>
          <w:tcPr>
            <w:tcW w:w="27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Emergency departments</w:t>
            </w:r>
          </w:p>
        </w:tc>
        <w:tc>
          <w:tcPr>
            <w:tcW w:w="7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-23</w:t>
            </w:r>
          </w:p>
        </w:tc>
        <w:tc>
          <w:tcPr>
            <w:tcW w:w="72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-3</w:t>
            </w:r>
          </w:p>
        </w:tc>
        <w:tc>
          <w:tcPr>
            <w:tcW w:w="6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20</w:t>
            </w:r>
          </w:p>
        </w:tc>
        <w:tc>
          <w:tcPr>
            <w:tcW w:w="6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2</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4</w:t>
            </w:r>
          </w:p>
        </w:tc>
        <w:tc>
          <w:tcPr>
            <w:tcW w:w="6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0</w:t>
            </w:r>
          </w:p>
        </w:tc>
        <w:tc>
          <w:tcPr>
            <w:tcW w:w="7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28</w:t>
            </w:r>
          </w:p>
        </w:tc>
      </w:tr>
      <w:tr w:rsidR="006B46D2" w:rsidRPr="00FC71A4" w:rsidTr="00236E06">
        <w:trPr>
          <w:trHeight w:val="315"/>
        </w:trPr>
        <w:tc>
          <w:tcPr>
            <w:tcW w:w="27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Non-admitted patients</w:t>
            </w:r>
          </w:p>
        </w:tc>
        <w:tc>
          <w:tcPr>
            <w:tcW w:w="7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-83</w:t>
            </w:r>
          </w:p>
        </w:tc>
        <w:tc>
          <w:tcPr>
            <w:tcW w:w="72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8</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-6</w:t>
            </w:r>
          </w:p>
        </w:tc>
        <w:tc>
          <w:tcPr>
            <w:tcW w:w="6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57</w:t>
            </w:r>
          </w:p>
        </w:tc>
        <w:tc>
          <w:tcPr>
            <w:tcW w:w="6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13</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5</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7</w:t>
            </w:r>
          </w:p>
        </w:tc>
        <w:tc>
          <w:tcPr>
            <w:tcW w:w="6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0</w:t>
            </w:r>
          </w:p>
        </w:tc>
        <w:tc>
          <w:tcPr>
            <w:tcW w:w="7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89</w:t>
            </w:r>
          </w:p>
        </w:tc>
      </w:tr>
      <w:tr w:rsidR="006B46D2" w:rsidRPr="00FC71A4" w:rsidTr="00236E06">
        <w:trPr>
          <w:trHeight w:val="315"/>
        </w:trPr>
        <w:tc>
          <w:tcPr>
            <w:tcW w:w="27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Community health</w:t>
            </w:r>
          </w:p>
        </w:tc>
        <w:tc>
          <w:tcPr>
            <w:tcW w:w="7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-334</w:t>
            </w:r>
          </w:p>
        </w:tc>
        <w:tc>
          <w:tcPr>
            <w:tcW w:w="72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-46</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8</w:t>
            </w:r>
          </w:p>
        </w:tc>
        <w:tc>
          <w:tcPr>
            <w:tcW w:w="6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294</w:t>
            </w:r>
          </w:p>
        </w:tc>
        <w:tc>
          <w:tcPr>
            <w:tcW w:w="6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27</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65</w:t>
            </w:r>
          </w:p>
        </w:tc>
        <w:tc>
          <w:tcPr>
            <w:tcW w:w="6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-13</w:t>
            </w:r>
          </w:p>
        </w:tc>
        <w:tc>
          <w:tcPr>
            <w:tcW w:w="7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393</w:t>
            </w:r>
          </w:p>
        </w:tc>
      </w:tr>
      <w:tr w:rsidR="006B46D2" w:rsidRPr="00FC71A4" w:rsidTr="00236E06">
        <w:trPr>
          <w:trHeight w:val="315"/>
        </w:trPr>
        <w:tc>
          <w:tcPr>
            <w:tcW w:w="27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Total health</w:t>
            </w:r>
          </w:p>
        </w:tc>
        <w:tc>
          <w:tcPr>
            <w:tcW w:w="7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-399</w:t>
            </w:r>
          </w:p>
        </w:tc>
        <w:tc>
          <w:tcPr>
            <w:tcW w:w="72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-37</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-99</w:t>
            </w:r>
          </w:p>
        </w:tc>
        <w:tc>
          <w:tcPr>
            <w:tcW w:w="6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416</w:t>
            </w:r>
          </w:p>
        </w:tc>
        <w:tc>
          <w:tcPr>
            <w:tcW w:w="6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5</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18</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109</w:t>
            </w:r>
          </w:p>
        </w:tc>
        <w:tc>
          <w:tcPr>
            <w:tcW w:w="6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-13</w:t>
            </w:r>
          </w:p>
        </w:tc>
        <w:tc>
          <w:tcPr>
            <w:tcW w:w="7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548</w:t>
            </w:r>
          </w:p>
        </w:tc>
      </w:tr>
      <w:tr w:rsidR="006B46D2" w:rsidRPr="00FC71A4" w:rsidTr="00236E06">
        <w:trPr>
          <w:trHeight w:val="315"/>
        </w:trPr>
        <w:tc>
          <w:tcPr>
            <w:tcW w:w="27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Schools</w:t>
            </w:r>
          </w:p>
        </w:tc>
        <w:tc>
          <w:tcPr>
            <w:tcW w:w="7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67</w:t>
            </w:r>
          </w:p>
        </w:tc>
        <w:tc>
          <w:tcPr>
            <w:tcW w:w="72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-191</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124</w:t>
            </w:r>
          </w:p>
        </w:tc>
        <w:tc>
          <w:tcPr>
            <w:tcW w:w="6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11</w:t>
            </w:r>
          </w:p>
        </w:tc>
        <w:tc>
          <w:tcPr>
            <w:tcW w:w="6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-40</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45</w:t>
            </w:r>
          </w:p>
        </w:tc>
        <w:tc>
          <w:tcPr>
            <w:tcW w:w="68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-50</w:t>
            </w:r>
          </w:p>
        </w:tc>
        <w:tc>
          <w:tcPr>
            <w:tcW w:w="64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34</w:t>
            </w:r>
          </w:p>
        </w:tc>
        <w:tc>
          <w:tcPr>
            <w:tcW w:w="760" w:type="dxa"/>
            <w:tcBorders>
              <w:top w:val="nil"/>
              <w:left w:val="nil"/>
              <w:bottom w:val="nil"/>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281</w:t>
            </w:r>
          </w:p>
        </w:tc>
      </w:tr>
      <w:tr w:rsidR="006B46D2" w:rsidRPr="00FC71A4" w:rsidTr="00236E06">
        <w:trPr>
          <w:trHeight w:val="315"/>
        </w:trPr>
        <w:tc>
          <w:tcPr>
            <w:tcW w:w="2740" w:type="dxa"/>
            <w:tcBorders>
              <w:top w:val="nil"/>
              <w:left w:val="nil"/>
              <w:bottom w:val="single" w:sz="4" w:space="0" w:color="auto"/>
              <w:right w:val="nil"/>
            </w:tcBorders>
            <w:shd w:val="clear" w:color="auto" w:fill="auto"/>
            <w:noWrap/>
            <w:vAlign w:val="bottom"/>
            <w:hideMark/>
          </w:tcPr>
          <w:p w:rsidR="006B46D2" w:rsidRPr="00FC71A4" w:rsidRDefault="006B46D2" w:rsidP="00760E36">
            <w:pPr>
              <w:keepNext/>
              <w:tabs>
                <w:tab w:val="clear" w:pos="567"/>
              </w:tabs>
              <w:spacing w:after="0" w:line="240" w:lineRule="auto"/>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Total</w:t>
            </w:r>
          </w:p>
        </w:tc>
        <w:tc>
          <w:tcPr>
            <w:tcW w:w="760" w:type="dxa"/>
            <w:tcBorders>
              <w:top w:val="single" w:sz="4" w:space="0" w:color="auto"/>
              <w:left w:val="nil"/>
              <w:bottom w:val="single" w:sz="4" w:space="0" w:color="auto"/>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-332</w:t>
            </w:r>
          </w:p>
        </w:tc>
        <w:tc>
          <w:tcPr>
            <w:tcW w:w="720" w:type="dxa"/>
            <w:tcBorders>
              <w:top w:val="single" w:sz="4" w:space="0" w:color="auto"/>
              <w:left w:val="nil"/>
              <w:bottom w:val="single" w:sz="4" w:space="0" w:color="auto"/>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-229</w:t>
            </w:r>
          </w:p>
        </w:tc>
        <w:tc>
          <w:tcPr>
            <w:tcW w:w="680" w:type="dxa"/>
            <w:tcBorders>
              <w:top w:val="single" w:sz="4" w:space="0" w:color="auto"/>
              <w:left w:val="nil"/>
              <w:bottom w:val="single" w:sz="4" w:space="0" w:color="auto"/>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25</w:t>
            </w:r>
          </w:p>
        </w:tc>
        <w:tc>
          <w:tcPr>
            <w:tcW w:w="660" w:type="dxa"/>
            <w:tcBorders>
              <w:top w:val="single" w:sz="4" w:space="0" w:color="auto"/>
              <w:left w:val="nil"/>
              <w:bottom w:val="single" w:sz="4" w:space="0" w:color="auto"/>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428</w:t>
            </w:r>
          </w:p>
        </w:tc>
        <w:tc>
          <w:tcPr>
            <w:tcW w:w="640" w:type="dxa"/>
            <w:tcBorders>
              <w:top w:val="single" w:sz="4" w:space="0" w:color="auto"/>
              <w:left w:val="nil"/>
              <w:bottom w:val="single" w:sz="4" w:space="0" w:color="auto"/>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-35</w:t>
            </w:r>
          </w:p>
        </w:tc>
        <w:tc>
          <w:tcPr>
            <w:tcW w:w="680" w:type="dxa"/>
            <w:tcBorders>
              <w:top w:val="single" w:sz="4" w:space="0" w:color="auto"/>
              <w:left w:val="nil"/>
              <w:bottom w:val="single" w:sz="4" w:space="0" w:color="auto"/>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62</w:t>
            </w:r>
          </w:p>
        </w:tc>
        <w:tc>
          <w:tcPr>
            <w:tcW w:w="680" w:type="dxa"/>
            <w:tcBorders>
              <w:top w:val="single" w:sz="4" w:space="0" w:color="auto"/>
              <w:left w:val="nil"/>
              <w:bottom w:val="single" w:sz="4" w:space="0" w:color="auto"/>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59</w:t>
            </w:r>
          </w:p>
        </w:tc>
        <w:tc>
          <w:tcPr>
            <w:tcW w:w="640" w:type="dxa"/>
            <w:tcBorders>
              <w:top w:val="single" w:sz="4" w:space="0" w:color="auto"/>
              <w:left w:val="nil"/>
              <w:bottom w:val="single" w:sz="4" w:space="0" w:color="auto"/>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21</w:t>
            </w:r>
          </w:p>
        </w:tc>
        <w:tc>
          <w:tcPr>
            <w:tcW w:w="760" w:type="dxa"/>
            <w:tcBorders>
              <w:top w:val="single" w:sz="4" w:space="0" w:color="auto"/>
              <w:left w:val="nil"/>
              <w:bottom w:val="single" w:sz="4" w:space="0" w:color="auto"/>
              <w:right w:val="nil"/>
            </w:tcBorders>
            <w:shd w:val="clear" w:color="auto" w:fill="auto"/>
            <w:noWrap/>
            <w:vAlign w:val="bottom"/>
            <w:hideMark/>
          </w:tcPr>
          <w:p w:rsidR="006B46D2" w:rsidRPr="00FC71A4" w:rsidRDefault="006B46D2" w:rsidP="00760E36">
            <w:pPr>
              <w:keepNext/>
              <w:tabs>
                <w:tab w:val="clear" w:pos="567"/>
              </w:tabs>
              <w:spacing w:after="0" w:line="240" w:lineRule="auto"/>
              <w:jc w:val="right"/>
              <w:rPr>
                <w:rFonts w:ascii="Calibri" w:eastAsia="Times New Roman" w:hAnsi="Calibri" w:cs="Times New Roman"/>
                <w:sz w:val="20"/>
                <w:szCs w:val="20"/>
                <w:lang w:eastAsia="en-AU"/>
              </w:rPr>
            </w:pPr>
            <w:r w:rsidRPr="00FC71A4">
              <w:rPr>
                <w:rFonts w:ascii="Calibri" w:eastAsia="Times New Roman" w:hAnsi="Calibri" w:cs="Times New Roman"/>
                <w:sz w:val="20"/>
                <w:szCs w:val="20"/>
                <w:lang w:eastAsia="en-AU"/>
              </w:rPr>
              <w:t>595</w:t>
            </w:r>
          </w:p>
        </w:tc>
      </w:tr>
    </w:tbl>
    <w:p w:rsidR="00037390" w:rsidRPr="00123B11" w:rsidRDefault="00037390" w:rsidP="00760E36">
      <w:pPr>
        <w:pStyle w:val="CGCTableFootnote"/>
        <w:keepNext/>
      </w:pPr>
      <w:r w:rsidRPr="00123B11">
        <w:t>Source:</w:t>
      </w:r>
      <w:r w:rsidRPr="00123B11">
        <w:tab/>
        <w:t>Commission calculation</w:t>
      </w:r>
      <w:r w:rsidR="0057649C">
        <w:t>.</w:t>
      </w:r>
    </w:p>
    <w:bookmarkEnd w:id="572"/>
    <w:p w:rsidR="00037390" w:rsidRDefault="00037390" w:rsidP="00037390">
      <w:pPr>
        <w:pStyle w:val="Heading4"/>
      </w:pPr>
      <w:r>
        <w:t>Commonwealth payments</w:t>
      </w:r>
    </w:p>
    <w:p w:rsidR="00037390" w:rsidRPr="00123B11" w:rsidRDefault="00037390" w:rsidP="00037390">
      <w:pPr>
        <w:pStyle w:val="CGCNumberedPara"/>
        <w:numPr>
          <w:ilvl w:val="1"/>
          <w:numId w:val="2"/>
        </w:numPr>
      </w:pPr>
      <w:r>
        <w:t xml:space="preserve">Payments from the Commonwealth affect State GST shares because they are available to fund assessed State expenses. States with above average per capita receipts need less GST to fund their services and States with below average per capita receipts require more. </w:t>
      </w:r>
      <w:r w:rsidRPr="00123B11">
        <w:fldChar w:fldCharType="begin"/>
      </w:r>
      <w:r w:rsidRPr="00123B11">
        <w:instrText xml:space="preserve"> REF _Ref410822585 \h  \* MERGEFORMAT </w:instrText>
      </w:r>
      <w:r w:rsidRPr="00123B11">
        <w:fldChar w:fldCharType="separate"/>
      </w:r>
      <w:r w:rsidR="003A5DEE" w:rsidRPr="00123B11">
        <w:t xml:space="preserve">Table </w:t>
      </w:r>
      <w:r w:rsidR="003A5DEE">
        <w:rPr>
          <w:noProof/>
        </w:rPr>
        <w:t>11</w:t>
      </w:r>
      <w:r w:rsidRPr="00123B11">
        <w:fldChar w:fldCharType="end"/>
      </w:r>
      <w:r w:rsidRPr="00123B11">
        <w:t xml:space="preserve"> shows that pa</w:t>
      </w:r>
      <w:r>
        <w:t>yments for schools, investment,</w:t>
      </w:r>
      <w:r w:rsidRPr="00123B11">
        <w:t xml:space="preserve"> services to communities </w:t>
      </w:r>
      <w:r>
        <w:t xml:space="preserve">and roads </w:t>
      </w:r>
      <w:r w:rsidRPr="00123B11">
        <w:t xml:space="preserve">have the greatest impact on the GST distribution. </w:t>
      </w:r>
    </w:p>
    <w:p w:rsidR="00037390" w:rsidRDefault="00037390" w:rsidP="00037390">
      <w:pPr>
        <w:pStyle w:val="Caption"/>
      </w:pPr>
      <w:bookmarkStart w:id="589" w:name="_Ref410822585"/>
      <w:r w:rsidRPr="00123B11">
        <w:t xml:space="preserve">Table </w:t>
      </w:r>
      <w:fldSimple w:instr=" SEQ Table \* ARABIC ">
        <w:r w:rsidR="003A5DEE">
          <w:rPr>
            <w:noProof/>
          </w:rPr>
          <w:t>11</w:t>
        </w:r>
      </w:fldSimple>
      <w:bookmarkEnd w:id="589"/>
      <w:r w:rsidRPr="00123B11">
        <w:tab/>
      </w:r>
      <w:r>
        <w:t>Revenue i</w:t>
      </w:r>
      <w:r w:rsidRPr="00123B11">
        <w:t xml:space="preserve">mpact of </w:t>
      </w:r>
      <w:r>
        <w:t>C</w:t>
      </w:r>
      <w:r w:rsidRPr="00123B11">
        <w:t>ommonwealth payments, by category funded by payment, 2015-16</w:t>
      </w:r>
    </w:p>
    <w:tbl>
      <w:tblPr>
        <w:tblW w:w="8960" w:type="dxa"/>
        <w:tblLayout w:type="fixed"/>
        <w:tblCellMar>
          <w:left w:w="0" w:type="dxa"/>
          <w:right w:w="0" w:type="dxa"/>
        </w:tblCellMar>
        <w:tblLook w:val="04A0" w:firstRow="1" w:lastRow="0" w:firstColumn="1" w:lastColumn="0" w:noHBand="0" w:noVBand="1"/>
      </w:tblPr>
      <w:tblGrid>
        <w:gridCol w:w="2560"/>
        <w:gridCol w:w="740"/>
        <w:gridCol w:w="720"/>
        <w:gridCol w:w="720"/>
        <w:gridCol w:w="640"/>
        <w:gridCol w:w="720"/>
        <w:gridCol w:w="640"/>
        <w:gridCol w:w="640"/>
        <w:gridCol w:w="720"/>
        <w:gridCol w:w="860"/>
      </w:tblGrid>
      <w:tr w:rsidR="006B46D2" w:rsidRPr="00241F3F" w:rsidTr="0057649C">
        <w:trPr>
          <w:trHeight w:val="379"/>
        </w:trPr>
        <w:tc>
          <w:tcPr>
            <w:tcW w:w="256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57649C">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 </w:t>
            </w:r>
          </w:p>
        </w:tc>
        <w:tc>
          <w:tcPr>
            <w:tcW w:w="74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NSW</w:t>
            </w:r>
          </w:p>
        </w:tc>
        <w:tc>
          <w:tcPr>
            <w:tcW w:w="72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Vic</w:t>
            </w:r>
          </w:p>
        </w:tc>
        <w:tc>
          <w:tcPr>
            <w:tcW w:w="72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Qld</w:t>
            </w:r>
          </w:p>
        </w:tc>
        <w:tc>
          <w:tcPr>
            <w:tcW w:w="64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WA</w:t>
            </w:r>
          </w:p>
        </w:tc>
        <w:tc>
          <w:tcPr>
            <w:tcW w:w="72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SA</w:t>
            </w:r>
          </w:p>
        </w:tc>
        <w:tc>
          <w:tcPr>
            <w:tcW w:w="64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41F3F">
              <w:rPr>
                <w:rFonts w:ascii="Calibri" w:eastAsia="Times New Roman" w:hAnsi="Calibri" w:cs="Times New Roman"/>
                <w:sz w:val="20"/>
                <w:szCs w:val="20"/>
                <w:lang w:eastAsia="en-AU"/>
              </w:rPr>
              <w:t>Tas</w:t>
            </w:r>
            <w:proofErr w:type="spellEnd"/>
          </w:p>
        </w:tc>
        <w:tc>
          <w:tcPr>
            <w:tcW w:w="64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ACT</w:t>
            </w:r>
          </w:p>
        </w:tc>
        <w:tc>
          <w:tcPr>
            <w:tcW w:w="72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NT</w:t>
            </w:r>
          </w:p>
        </w:tc>
        <w:tc>
          <w:tcPr>
            <w:tcW w:w="86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41F3F">
              <w:rPr>
                <w:rFonts w:ascii="Calibri" w:eastAsia="Times New Roman" w:hAnsi="Calibri" w:cs="Times New Roman"/>
                <w:sz w:val="20"/>
                <w:szCs w:val="20"/>
                <w:lang w:eastAsia="en-AU"/>
              </w:rPr>
              <w:t>Redist</w:t>
            </w:r>
            <w:proofErr w:type="spellEnd"/>
          </w:p>
        </w:tc>
      </w:tr>
      <w:tr w:rsidR="006B46D2" w:rsidRPr="00241F3F" w:rsidTr="0057649C">
        <w:trPr>
          <w:trHeight w:val="259"/>
        </w:trPr>
        <w:tc>
          <w:tcPr>
            <w:tcW w:w="25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7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8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r>
      <w:tr w:rsidR="006B46D2" w:rsidRPr="00241F3F" w:rsidTr="0057649C">
        <w:trPr>
          <w:trHeight w:val="315"/>
        </w:trPr>
        <w:tc>
          <w:tcPr>
            <w:tcW w:w="25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Schools education</w:t>
            </w:r>
          </w:p>
        </w:tc>
        <w:tc>
          <w:tcPr>
            <w:tcW w:w="7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134</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90</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-161</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30</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9</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-33</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17</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-87</w:t>
            </w:r>
          </w:p>
        </w:tc>
        <w:tc>
          <w:tcPr>
            <w:tcW w:w="8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280</w:t>
            </w:r>
          </w:p>
        </w:tc>
      </w:tr>
      <w:tr w:rsidR="006B46D2" w:rsidRPr="00241F3F" w:rsidTr="0057649C">
        <w:trPr>
          <w:trHeight w:val="315"/>
        </w:trPr>
        <w:tc>
          <w:tcPr>
            <w:tcW w:w="2560" w:type="dxa"/>
            <w:tcBorders>
              <w:top w:val="nil"/>
              <w:left w:val="nil"/>
              <w:bottom w:val="nil"/>
              <w:right w:val="nil"/>
            </w:tcBorders>
            <w:shd w:val="clear" w:color="auto" w:fill="auto"/>
            <w:vAlign w:val="bottom"/>
            <w:hideMark/>
          </w:tcPr>
          <w:p w:rsidR="006B46D2" w:rsidRPr="00241F3F" w:rsidRDefault="006B46D2" w:rsidP="0057649C">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Post-secondary education</w:t>
            </w:r>
          </w:p>
        </w:tc>
        <w:tc>
          <w:tcPr>
            <w:tcW w:w="740" w:type="dxa"/>
            <w:tcBorders>
              <w:top w:val="nil"/>
              <w:left w:val="nil"/>
              <w:bottom w:val="nil"/>
              <w:right w:val="nil"/>
            </w:tcBorders>
            <w:shd w:val="clear" w:color="auto" w:fill="auto"/>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-10</w:t>
            </w:r>
          </w:p>
        </w:tc>
        <w:tc>
          <w:tcPr>
            <w:tcW w:w="720" w:type="dxa"/>
            <w:tcBorders>
              <w:top w:val="nil"/>
              <w:left w:val="nil"/>
              <w:bottom w:val="nil"/>
              <w:right w:val="nil"/>
            </w:tcBorders>
            <w:shd w:val="clear" w:color="auto" w:fill="auto"/>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32</w:t>
            </w:r>
          </w:p>
        </w:tc>
        <w:tc>
          <w:tcPr>
            <w:tcW w:w="720" w:type="dxa"/>
            <w:tcBorders>
              <w:top w:val="nil"/>
              <w:left w:val="nil"/>
              <w:bottom w:val="nil"/>
              <w:right w:val="nil"/>
            </w:tcBorders>
            <w:shd w:val="clear" w:color="auto" w:fill="auto"/>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-10</w:t>
            </w:r>
          </w:p>
        </w:tc>
        <w:tc>
          <w:tcPr>
            <w:tcW w:w="640" w:type="dxa"/>
            <w:tcBorders>
              <w:top w:val="nil"/>
              <w:left w:val="nil"/>
              <w:bottom w:val="nil"/>
              <w:right w:val="nil"/>
            </w:tcBorders>
            <w:shd w:val="clear" w:color="auto" w:fill="auto"/>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-4</w:t>
            </w:r>
          </w:p>
        </w:tc>
        <w:tc>
          <w:tcPr>
            <w:tcW w:w="720" w:type="dxa"/>
            <w:tcBorders>
              <w:top w:val="nil"/>
              <w:left w:val="nil"/>
              <w:bottom w:val="nil"/>
              <w:right w:val="nil"/>
            </w:tcBorders>
            <w:shd w:val="clear" w:color="auto" w:fill="auto"/>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-4</w:t>
            </w:r>
          </w:p>
        </w:tc>
        <w:tc>
          <w:tcPr>
            <w:tcW w:w="640" w:type="dxa"/>
            <w:tcBorders>
              <w:top w:val="nil"/>
              <w:left w:val="nil"/>
              <w:bottom w:val="nil"/>
              <w:right w:val="nil"/>
            </w:tcBorders>
            <w:shd w:val="clear" w:color="auto" w:fill="auto"/>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-2</w:t>
            </w:r>
          </w:p>
        </w:tc>
        <w:tc>
          <w:tcPr>
            <w:tcW w:w="640" w:type="dxa"/>
            <w:tcBorders>
              <w:top w:val="nil"/>
              <w:left w:val="nil"/>
              <w:bottom w:val="nil"/>
              <w:right w:val="nil"/>
            </w:tcBorders>
            <w:shd w:val="clear" w:color="auto" w:fill="auto"/>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w:t>
            </w:r>
          </w:p>
        </w:tc>
        <w:tc>
          <w:tcPr>
            <w:tcW w:w="720" w:type="dxa"/>
            <w:tcBorders>
              <w:top w:val="nil"/>
              <w:left w:val="nil"/>
              <w:bottom w:val="nil"/>
              <w:right w:val="nil"/>
            </w:tcBorders>
            <w:shd w:val="clear" w:color="auto" w:fill="auto"/>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w:t>
            </w:r>
          </w:p>
        </w:tc>
        <w:tc>
          <w:tcPr>
            <w:tcW w:w="860" w:type="dxa"/>
            <w:tcBorders>
              <w:top w:val="nil"/>
              <w:left w:val="nil"/>
              <w:bottom w:val="nil"/>
              <w:right w:val="nil"/>
            </w:tcBorders>
            <w:shd w:val="clear" w:color="auto" w:fill="auto"/>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32</w:t>
            </w:r>
          </w:p>
        </w:tc>
      </w:tr>
      <w:tr w:rsidR="006B46D2" w:rsidRPr="00241F3F" w:rsidTr="0057649C">
        <w:trPr>
          <w:trHeight w:val="315"/>
        </w:trPr>
        <w:tc>
          <w:tcPr>
            <w:tcW w:w="25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Health</w:t>
            </w:r>
          </w:p>
        </w:tc>
        <w:tc>
          <w:tcPr>
            <w:tcW w:w="7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66</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20</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9</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-9</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-15</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-4</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-67</w:t>
            </w:r>
          </w:p>
        </w:tc>
        <w:tc>
          <w:tcPr>
            <w:tcW w:w="8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96</w:t>
            </w:r>
          </w:p>
        </w:tc>
      </w:tr>
      <w:tr w:rsidR="006B46D2" w:rsidRPr="00241F3F" w:rsidTr="0057649C">
        <w:trPr>
          <w:trHeight w:val="315"/>
        </w:trPr>
        <w:tc>
          <w:tcPr>
            <w:tcW w:w="25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Housing</w:t>
            </w:r>
          </w:p>
        </w:tc>
        <w:tc>
          <w:tcPr>
            <w:tcW w:w="7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3</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0</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0</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-6</w:t>
            </w:r>
          </w:p>
        </w:tc>
        <w:tc>
          <w:tcPr>
            <w:tcW w:w="8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6</w:t>
            </w:r>
          </w:p>
        </w:tc>
      </w:tr>
      <w:tr w:rsidR="006B46D2" w:rsidRPr="00241F3F" w:rsidTr="0057649C">
        <w:trPr>
          <w:trHeight w:val="315"/>
        </w:trPr>
        <w:tc>
          <w:tcPr>
            <w:tcW w:w="25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Welfare</w:t>
            </w:r>
          </w:p>
        </w:tc>
        <w:tc>
          <w:tcPr>
            <w:tcW w:w="7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4</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5</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5</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5</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-11</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-2</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2</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-8</w:t>
            </w:r>
          </w:p>
        </w:tc>
        <w:tc>
          <w:tcPr>
            <w:tcW w:w="8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21</w:t>
            </w:r>
          </w:p>
        </w:tc>
      </w:tr>
      <w:tr w:rsidR="006B46D2" w:rsidRPr="00241F3F" w:rsidTr="0057649C">
        <w:trPr>
          <w:trHeight w:val="315"/>
        </w:trPr>
        <w:tc>
          <w:tcPr>
            <w:tcW w:w="2560" w:type="dxa"/>
            <w:tcBorders>
              <w:top w:val="nil"/>
              <w:left w:val="nil"/>
              <w:bottom w:val="nil"/>
              <w:right w:val="nil"/>
            </w:tcBorders>
            <w:shd w:val="clear" w:color="auto" w:fill="auto"/>
            <w:vAlign w:val="bottom"/>
            <w:hideMark/>
          </w:tcPr>
          <w:p w:rsidR="006B46D2" w:rsidRPr="00241F3F" w:rsidRDefault="006B46D2" w:rsidP="0057649C">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Services to communities</w:t>
            </w:r>
          </w:p>
        </w:tc>
        <w:tc>
          <w:tcPr>
            <w:tcW w:w="740" w:type="dxa"/>
            <w:tcBorders>
              <w:top w:val="nil"/>
              <w:left w:val="nil"/>
              <w:bottom w:val="nil"/>
              <w:right w:val="nil"/>
            </w:tcBorders>
            <w:shd w:val="clear" w:color="auto" w:fill="auto"/>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54</w:t>
            </w:r>
          </w:p>
        </w:tc>
        <w:tc>
          <w:tcPr>
            <w:tcW w:w="720" w:type="dxa"/>
            <w:tcBorders>
              <w:top w:val="nil"/>
              <w:left w:val="nil"/>
              <w:bottom w:val="nil"/>
              <w:right w:val="nil"/>
            </w:tcBorders>
            <w:shd w:val="clear" w:color="auto" w:fill="auto"/>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-44</w:t>
            </w:r>
          </w:p>
        </w:tc>
        <w:tc>
          <w:tcPr>
            <w:tcW w:w="720" w:type="dxa"/>
            <w:tcBorders>
              <w:top w:val="nil"/>
              <w:left w:val="nil"/>
              <w:bottom w:val="nil"/>
              <w:right w:val="nil"/>
            </w:tcBorders>
            <w:shd w:val="clear" w:color="auto" w:fill="auto"/>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85</w:t>
            </w:r>
          </w:p>
        </w:tc>
        <w:tc>
          <w:tcPr>
            <w:tcW w:w="640" w:type="dxa"/>
            <w:tcBorders>
              <w:top w:val="nil"/>
              <w:left w:val="nil"/>
              <w:bottom w:val="nil"/>
              <w:right w:val="nil"/>
            </w:tcBorders>
            <w:shd w:val="clear" w:color="auto" w:fill="auto"/>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43</w:t>
            </w:r>
          </w:p>
        </w:tc>
        <w:tc>
          <w:tcPr>
            <w:tcW w:w="720" w:type="dxa"/>
            <w:tcBorders>
              <w:top w:val="nil"/>
              <w:left w:val="nil"/>
              <w:bottom w:val="nil"/>
              <w:right w:val="nil"/>
            </w:tcBorders>
            <w:shd w:val="clear" w:color="auto" w:fill="auto"/>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-114</w:t>
            </w:r>
          </w:p>
        </w:tc>
        <w:tc>
          <w:tcPr>
            <w:tcW w:w="640" w:type="dxa"/>
            <w:tcBorders>
              <w:top w:val="nil"/>
              <w:left w:val="nil"/>
              <w:bottom w:val="nil"/>
              <w:right w:val="nil"/>
            </w:tcBorders>
            <w:shd w:val="clear" w:color="auto" w:fill="auto"/>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-26</w:t>
            </w:r>
          </w:p>
        </w:tc>
        <w:tc>
          <w:tcPr>
            <w:tcW w:w="640" w:type="dxa"/>
            <w:tcBorders>
              <w:top w:val="nil"/>
              <w:left w:val="nil"/>
              <w:bottom w:val="nil"/>
              <w:right w:val="nil"/>
            </w:tcBorders>
            <w:shd w:val="clear" w:color="auto" w:fill="auto"/>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7</w:t>
            </w:r>
          </w:p>
        </w:tc>
        <w:tc>
          <w:tcPr>
            <w:tcW w:w="720" w:type="dxa"/>
            <w:tcBorders>
              <w:top w:val="nil"/>
              <w:left w:val="nil"/>
              <w:bottom w:val="nil"/>
              <w:right w:val="nil"/>
            </w:tcBorders>
            <w:shd w:val="clear" w:color="auto" w:fill="auto"/>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-6</w:t>
            </w:r>
          </w:p>
        </w:tc>
        <w:tc>
          <w:tcPr>
            <w:tcW w:w="860" w:type="dxa"/>
            <w:tcBorders>
              <w:top w:val="nil"/>
              <w:left w:val="nil"/>
              <w:bottom w:val="nil"/>
              <w:right w:val="nil"/>
            </w:tcBorders>
            <w:shd w:val="clear" w:color="auto" w:fill="auto"/>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190</w:t>
            </w:r>
          </w:p>
        </w:tc>
      </w:tr>
      <w:tr w:rsidR="006B46D2" w:rsidRPr="00241F3F" w:rsidTr="0057649C">
        <w:trPr>
          <w:trHeight w:val="315"/>
        </w:trPr>
        <w:tc>
          <w:tcPr>
            <w:tcW w:w="25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Justice</w:t>
            </w:r>
          </w:p>
        </w:tc>
        <w:tc>
          <w:tcPr>
            <w:tcW w:w="7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0</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0</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0</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0</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0</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0</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0</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0</w:t>
            </w:r>
          </w:p>
        </w:tc>
        <w:tc>
          <w:tcPr>
            <w:tcW w:w="8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0</w:t>
            </w:r>
          </w:p>
        </w:tc>
      </w:tr>
      <w:tr w:rsidR="006B46D2" w:rsidRPr="00241F3F" w:rsidTr="0057649C">
        <w:trPr>
          <w:trHeight w:val="315"/>
        </w:trPr>
        <w:tc>
          <w:tcPr>
            <w:tcW w:w="25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Roads</w:t>
            </w:r>
          </w:p>
        </w:tc>
        <w:tc>
          <w:tcPr>
            <w:tcW w:w="7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38</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65</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13</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-28</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0</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-6</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-29</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-53</w:t>
            </w:r>
          </w:p>
        </w:tc>
        <w:tc>
          <w:tcPr>
            <w:tcW w:w="8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116</w:t>
            </w:r>
          </w:p>
        </w:tc>
      </w:tr>
      <w:tr w:rsidR="006B46D2" w:rsidRPr="00241F3F" w:rsidTr="0057649C">
        <w:trPr>
          <w:trHeight w:val="315"/>
        </w:trPr>
        <w:tc>
          <w:tcPr>
            <w:tcW w:w="25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Transport</w:t>
            </w:r>
          </w:p>
        </w:tc>
        <w:tc>
          <w:tcPr>
            <w:tcW w:w="7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25</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23</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15</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-74</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7</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2</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w:t>
            </w:r>
          </w:p>
        </w:tc>
        <w:tc>
          <w:tcPr>
            <w:tcW w:w="8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74</w:t>
            </w:r>
          </w:p>
        </w:tc>
      </w:tr>
      <w:tr w:rsidR="006B46D2" w:rsidRPr="00241F3F" w:rsidTr="0057649C">
        <w:trPr>
          <w:trHeight w:val="315"/>
        </w:trPr>
        <w:tc>
          <w:tcPr>
            <w:tcW w:w="25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Services to industry</w:t>
            </w:r>
          </w:p>
        </w:tc>
        <w:tc>
          <w:tcPr>
            <w:tcW w:w="7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-2</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5</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-7</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4</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0</w:t>
            </w:r>
          </w:p>
        </w:tc>
        <w:tc>
          <w:tcPr>
            <w:tcW w:w="8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11</w:t>
            </w:r>
          </w:p>
        </w:tc>
      </w:tr>
      <w:tr w:rsidR="006B46D2" w:rsidRPr="00241F3F" w:rsidTr="0057649C">
        <w:trPr>
          <w:trHeight w:val="315"/>
        </w:trPr>
        <w:tc>
          <w:tcPr>
            <w:tcW w:w="25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 xml:space="preserve">Other </w:t>
            </w:r>
            <w:r w:rsidR="0057649C">
              <w:rPr>
                <w:rFonts w:ascii="Calibri" w:eastAsia="Times New Roman" w:hAnsi="Calibri" w:cs="Times New Roman"/>
                <w:sz w:val="20"/>
                <w:szCs w:val="20"/>
                <w:lang w:eastAsia="en-AU"/>
              </w:rPr>
              <w:t>e</w:t>
            </w:r>
            <w:r w:rsidRPr="00241F3F">
              <w:rPr>
                <w:rFonts w:ascii="Calibri" w:eastAsia="Times New Roman" w:hAnsi="Calibri" w:cs="Times New Roman"/>
                <w:sz w:val="20"/>
                <w:szCs w:val="20"/>
                <w:lang w:eastAsia="en-AU"/>
              </w:rPr>
              <w:t>xpenses</w:t>
            </w:r>
          </w:p>
        </w:tc>
        <w:tc>
          <w:tcPr>
            <w:tcW w:w="7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5</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-2</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4</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2</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0</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-7</w:t>
            </w:r>
          </w:p>
        </w:tc>
        <w:tc>
          <w:tcPr>
            <w:tcW w:w="8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10</w:t>
            </w:r>
          </w:p>
        </w:tc>
      </w:tr>
      <w:tr w:rsidR="006B46D2" w:rsidRPr="00241F3F" w:rsidTr="0057649C">
        <w:trPr>
          <w:trHeight w:val="315"/>
        </w:trPr>
        <w:tc>
          <w:tcPr>
            <w:tcW w:w="25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Investment</w:t>
            </w:r>
          </w:p>
        </w:tc>
        <w:tc>
          <w:tcPr>
            <w:tcW w:w="7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122</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-136</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-28</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9</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-5</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31</w:t>
            </w:r>
          </w:p>
        </w:tc>
        <w:tc>
          <w:tcPr>
            <w:tcW w:w="64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55</w:t>
            </w:r>
          </w:p>
        </w:tc>
        <w:tc>
          <w:tcPr>
            <w:tcW w:w="72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-48</w:t>
            </w:r>
          </w:p>
        </w:tc>
        <w:tc>
          <w:tcPr>
            <w:tcW w:w="860" w:type="dxa"/>
            <w:tcBorders>
              <w:top w:val="nil"/>
              <w:left w:val="nil"/>
              <w:bottom w:val="nil"/>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217</w:t>
            </w:r>
          </w:p>
        </w:tc>
      </w:tr>
      <w:tr w:rsidR="006B46D2" w:rsidRPr="00241F3F" w:rsidTr="0057649C">
        <w:trPr>
          <w:trHeight w:val="315"/>
        </w:trPr>
        <w:tc>
          <w:tcPr>
            <w:tcW w:w="2560" w:type="dxa"/>
            <w:tcBorders>
              <w:top w:val="nil"/>
              <w:left w:val="nil"/>
              <w:bottom w:val="single" w:sz="4" w:space="0" w:color="auto"/>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Total</w:t>
            </w:r>
          </w:p>
        </w:tc>
        <w:tc>
          <w:tcPr>
            <w:tcW w:w="740" w:type="dxa"/>
            <w:tcBorders>
              <w:top w:val="single" w:sz="4" w:space="0" w:color="auto"/>
              <w:left w:val="nil"/>
              <w:bottom w:val="single" w:sz="4" w:space="0" w:color="auto"/>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438</w:t>
            </w:r>
          </w:p>
        </w:tc>
        <w:tc>
          <w:tcPr>
            <w:tcW w:w="720" w:type="dxa"/>
            <w:tcBorders>
              <w:top w:val="single" w:sz="4" w:space="0" w:color="auto"/>
              <w:left w:val="nil"/>
              <w:bottom w:val="single" w:sz="4" w:space="0" w:color="auto"/>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59</w:t>
            </w:r>
          </w:p>
        </w:tc>
        <w:tc>
          <w:tcPr>
            <w:tcW w:w="720" w:type="dxa"/>
            <w:tcBorders>
              <w:top w:val="single" w:sz="4" w:space="0" w:color="auto"/>
              <w:left w:val="nil"/>
              <w:bottom w:val="single" w:sz="4" w:space="0" w:color="auto"/>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-74</w:t>
            </w:r>
          </w:p>
        </w:tc>
        <w:tc>
          <w:tcPr>
            <w:tcW w:w="640" w:type="dxa"/>
            <w:tcBorders>
              <w:top w:val="single" w:sz="4" w:space="0" w:color="auto"/>
              <w:left w:val="nil"/>
              <w:bottom w:val="single" w:sz="4" w:space="0" w:color="auto"/>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-22</w:t>
            </w:r>
          </w:p>
        </w:tc>
        <w:tc>
          <w:tcPr>
            <w:tcW w:w="720" w:type="dxa"/>
            <w:tcBorders>
              <w:top w:val="single" w:sz="4" w:space="0" w:color="auto"/>
              <w:left w:val="nil"/>
              <w:bottom w:val="single" w:sz="4" w:space="0" w:color="auto"/>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-132</w:t>
            </w:r>
          </w:p>
        </w:tc>
        <w:tc>
          <w:tcPr>
            <w:tcW w:w="640" w:type="dxa"/>
            <w:tcBorders>
              <w:top w:val="single" w:sz="4" w:space="0" w:color="auto"/>
              <w:left w:val="nil"/>
              <w:bottom w:val="single" w:sz="4" w:space="0" w:color="auto"/>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-38</w:t>
            </w:r>
          </w:p>
        </w:tc>
        <w:tc>
          <w:tcPr>
            <w:tcW w:w="640" w:type="dxa"/>
            <w:tcBorders>
              <w:top w:val="single" w:sz="4" w:space="0" w:color="auto"/>
              <w:left w:val="nil"/>
              <w:bottom w:val="single" w:sz="4" w:space="0" w:color="auto"/>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51</w:t>
            </w:r>
          </w:p>
        </w:tc>
        <w:tc>
          <w:tcPr>
            <w:tcW w:w="720" w:type="dxa"/>
            <w:tcBorders>
              <w:top w:val="single" w:sz="4" w:space="0" w:color="auto"/>
              <w:left w:val="nil"/>
              <w:bottom w:val="single" w:sz="4" w:space="0" w:color="auto"/>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-282</w:t>
            </w:r>
          </w:p>
        </w:tc>
        <w:tc>
          <w:tcPr>
            <w:tcW w:w="860" w:type="dxa"/>
            <w:tcBorders>
              <w:top w:val="single" w:sz="4" w:space="0" w:color="auto"/>
              <w:left w:val="nil"/>
              <w:bottom w:val="single" w:sz="4" w:space="0" w:color="auto"/>
              <w:right w:val="nil"/>
            </w:tcBorders>
            <w:shd w:val="clear" w:color="auto" w:fill="auto"/>
            <w:noWrap/>
            <w:vAlign w:val="bottom"/>
            <w:hideMark/>
          </w:tcPr>
          <w:p w:rsidR="006B46D2" w:rsidRPr="00241F3F" w:rsidRDefault="006B46D2" w:rsidP="0057649C">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241F3F">
              <w:rPr>
                <w:rFonts w:ascii="Calibri" w:eastAsia="Times New Roman" w:hAnsi="Calibri" w:cs="Times New Roman"/>
                <w:color w:val="000000"/>
                <w:sz w:val="20"/>
                <w:szCs w:val="20"/>
                <w:lang w:eastAsia="en-AU"/>
              </w:rPr>
              <w:t>547</w:t>
            </w:r>
          </w:p>
        </w:tc>
      </w:tr>
    </w:tbl>
    <w:p w:rsidR="00760E36" w:rsidRDefault="0057649C" w:rsidP="00037390">
      <w:pPr>
        <w:pStyle w:val="CGCTableFootnote"/>
      </w:pPr>
      <w:r>
        <w:t>Source:</w:t>
      </w:r>
      <w:r>
        <w:tab/>
      </w:r>
      <w:r w:rsidR="00037390">
        <w:t xml:space="preserve">Commission </w:t>
      </w:r>
      <w:r>
        <w:t>c</w:t>
      </w:r>
      <w:r w:rsidR="00037390">
        <w:t>alculation</w:t>
      </w:r>
      <w:r>
        <w:t>.</w:t>
      </w:r>
    </w:p>
    <w:p w:rsidR="00760E36" w:rsidRDefault="00760E36" w:rsidP="00760E36">
      <w:pPr>
        <w:pStyle w:val="NoSpacing"/>
        <w:rPr>
          <w:sz w:val="20"/>
          <w:szCs w:val="24"/>
        </w:rPr>
      </w:pPr>
      <w:r>
        <w:br w:type="page"/>
      </w:r>
    </w:p>
    <w:p w:rsidR="000409D6" w:rsidRPr="00123B11" w:rsidRDefault="000409D6" w:rsidP="000409D6">
      <w:pPr>
        <w:pStyle w:val="CGCNumberedPara"/>
        <w:numPr>
          <w:ilvl w:val="1"/>
          <w:numId w:val="2"/>
        </w:numPr>
      </w:pPr>
      <w:bookmarkStart w:id="590" w:name="_Ref410822626"/>
      <w:r w:rsidRPr="00123B11">
        <w:lastRenderedPageBreak/>
        <w:t xml:space="preserve">New South Wales </w:t>
      </w:r>
      <w:r>
        <w:t>requires</w:t>
      </w:r>
      <w:r w:rsidRPr="00123B11">
        <w:t xml:space="preserve"> more GST </w:t>
      </w:r>
      <w:r>
        <w:t xml:space="preserve">because of below average receipts from a range of payments but mainly from </w:t>
      </w:r>
      <w:r w:rsidRPr="00123B11">
        <w:t xml:space="preserve">schools and investment related payments. </w:t>
      </w:r>
      <w:r>
        <w:t xml:space="preserve">On the other hand, the Northern Territory needs less GST because of its above average receipts from most payments. </w:t>
      </w:r>
      <w:r w:rsidRPr="00123B11">
        <w:t xml:space="preserve">The large payment to South Australia for services to communities (primarily </w:t>
      </w:r>
      <w:r>
        <w:t>W</w:t>
      </w:r>
      <w:r w:rsidRPr="00123B11">
        <w:t xml:space="preserve">ater for the future), is responsible for most of the GST redistributed away from </w:t>
      </w:r>
      <w:r>
        <w:t>it</w:t>
      </w:r>
      <w:r w:rsidRPr="00123B11">
        <w:t>.</w:t>
      </w:r>
    </w:p>
    <w:p w:rsidR="00037390" w:rsidRPr="00123B11" w:rsidRDefault="00037390" w:rsidP="00037390">
      <w:pPr>
        <w:pStyle w:val="CGCNumberedPara"/>
        <w:numPr>
          <w:ilvl w:val="1"/>
          <w:numId w:val="2"/>
        </w:numPr>
      </w:pPr>
      <w:r w:rsidRPr="00123B11">
        <w:t xml:space="preserve">The payments with the largest impact are shown in </w:t>
      </w:r>
      <w:r>
        <w:fldChar w:fldCharType="begin"/>
      </w:r>
      <w:r>
        <w:instrText xml:space="preserve"> REF _Ref411421921 \h </w:instrText>
      </w:r>
      <w:r>
        <w:fldChar w:fldCharType="separate"/>
      </w:r>
      <w:r w:rsidR="003A5DEE" w:rsidRPr="00123B11">
        <w:t xml:space="preserve">Table </w:t>
      </w:r>
      <w:r w:rsidR="003A5DEE">
        <w:rPr>
          <w:noProof/>
        </w:rPr>
        <w:t>12</w:t>
      </w:r>
      <w:r>
        <w:fldChar w:fldCharType="end"/>
      </w:r>
      <w:r>
        <w:t xml:space="preserve">. </w:t>
      </w:r>
    </w:p>
    <w:p w:rsidR="00037390" w:rsidRDefault="00037390" w:rsidP="00037390">
      <w:pPr>
        <w:pStyle w:val="CGCTableHeading"/>
      </w:pPr>
      <w:bookmarkStart w:id="591" w:name="_Ref411421921"/>
      <w:r w:rsidRPr="00123B11">
        <w:t xml:space="preserve">Table </w:t>
      </w:r>
      <w:r w:rsidR="0040491E">
        <w:fldChar w:fldCharType="begin"/>
      </w:r>
      <w:r w:rsidR="0040491E">
        <w:instrText xml:space="preserve"> SEQ Table \* ARABIC </w:instrText>
      </w:r>
      <w:r w:rsidR="0040491E">
        <w:fldChar w:fldCharType="separate"/>
      </w:r>
      <w:proofErr w:type="gramStart"/>
      <w:r w:rsidR="003A5DEE">
        <w:rPr>
          <w:noProof/>
        </w:rPr>
        <w:t>12</w:t>
      </w:r>
      <w:r w:rsidR="0040491E">
        <w:rPr>
          <w:noProof/>
        </w:rPr>
        <w:fldChar w:fldCharType="end"/>
      </w:r>
      <w:bookmarkEnd w:id="590"/>
      <w:bookmarkEnd w:id="591"/>
      <w:r w:rsidRPr="00123B11">
        <w:tab/>
      </w:r>
      <w:r>
        <w:t>Revenue i</w:t>
      </w:r>
      <w:r w:rsidRPr="00123B11">
        <w:t>mpact</w:t>
      </w:r>
      <w:proofErr w:type="gramEnd"/>
      <w:r w:rsidRPr="00123B11">
        <w:t xml:space="preserve"> of </w:t>
      </w:r>
      <w:r>
        <w:t>C</w:t>
      </w:r>
      <w:r w:rsidRPr="00123B11">
        <w:t>ommonwealth payments, by payment, 2015-16</w:t>
      </w:r>
    </w:p>
    <w:tbl>
      <w:tblPr>
        <w:tblW w:w="9053" w:type="dxa"/>
        <w:tblLayout w:type="fixed"/>
        <w:tblCellMar>
          <w:left w:w="0" w:type="dxa"/>
          <w:right w:w="0" w:type="dxa"/>
        </w:tblCellMar>
        <w:tblLook w:val="04A0" w:firstRow="1" w:lastRow="0" w:firstColumn="1" w:lastColumn="0" w:noHBand="0" w:noVBand="1"/>
      </w:tblPr>
      <w:tblGrid>
        <w:gridCol w:w="3840"/>
        <w:gridCol w:w="615"/>
        <w:gridCol w:w="640"/>
        <w:gridCol w:w="620"/>
        <w:gridCol w:w="520"/>
        <w:gridCol w:w="521"/>
        <w:gridCol w:w="520"/>
        <w:gridCol w:w="536"/>
        <w:gridCol w:w="520"/>
        <w:gridCol w:w="721"/>
      </w:tblGrid>
      <w:tr w:rsidR="006B46D2" w:rsidRPr="00241F3F" w:rsidTr="00236E06">
        <w:trPr>
          <w:trHeight w:val="379"/>
        </w:trPr>
        <w:tc>
          <w:tcPr>
            <w:tcW w:w="384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236E06">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 </w:t>
            </w:r>
          </w:p>
        </w:tc>
        <w:tc>
          <w:tcPr>
            <w:tcW w:w="615"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NSW</w:t>
            </w:r>
          </w:p>
        </w:tc>
        <w:tc>
          <w:tcPr>
            <w:tcW w:w="64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Vic</w:t>
            </w:r>
          </w:p>
        </w:tc>
        <w:tc>
          <w:tcPr>
            <w:tcW w:w="62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Qld</w:t>
            </w:r>
          </w:p>
        </w:tc>
        <w:tc>
          <w:tcPr>
            <w:tcW w:w="52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WA</w:t>
            </w:r>
          </w:p>
        </w:tc>
        <w:tc>
          <w:tcPr>
            <w:tcW w:w="521"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SA</w:t>
            </w:r>
          </w:p>
        </w:tc>
        <w:tc>
          <w:tcPr>
            <w:tcW w:w="52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41F3F">
              <w:rPr>
                <w:rFonts w:ascii="Calibri" w:eastAsia="Times New Roman" w:hAnsi="Calibri" w:cs="Times New Roman"/>
                <w:sz w:val="20"/>
                <w:szCs w:val="20"/>
                <w:lang w:eastAsia="en-AU"/>
              </w:rPr>
              <w:t>Tas</w:t>
            </w:r>
            <w:proofErr w:type="spellEnd"/>
          </w:p>
        </w:tc>
        <w:tc>
          <w:tcPr>
            <w:tcW w:w="536"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ACT</w:t>
            </w:r>
          </w:p>
        </w:tc>
        <w:tc>
          <w:tcPr>
            <w:tcW w:w="52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NT</w:t>
            </w:r>
          </w:p>
        </w:tc>
        <w:tc>
          <w:tcPr>
            <w:tcW w:w="721"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41F3F">
              <w:rPr>
                <w:rFonts w:ascii="Calibri" w:eastAsia="Times New Roman" w:hAnsi="Calibri" w:cs="Times New Roman"/>
                <w:sz w:val="20"/>
                <w:szCs w:val="20"/>
                <w:lang w:eastAsia="en-AU"/>
              </w:rPr>
              <w:t>Redist</w:t>
            </w:r>
            <w:proofErr w:type="spellEnd"/>
          </w:p>
        </w:tc>
      </w:tr>
      <w:tr w:rsidR="006B46D2" w:rsidRPr="00241F3F" w:rsidTr="00236E06">
        <w:trPr>
          <w:trHeight w:val="259"/>
        </w:trPr>
        <w:tc>
          <w:tcPr>
            <w:tcW w:w="3840" w:type="dxa"/>
            <w:tcBorders>
              <w:top w:val="nil"/>
              <w:left w:val="nil"/>
              <w:bottom w:val="nil"/>
              <w:right w:val="nil"/>
            </w:tcBorders>
            <w:shd w:val="clear" w:color="auto" w:fill="auto"/>
            <w:noWrap/>
            <w:vAlign w:val="bottom"/>
            <w:hideMark/>
          </w:tcPr>
          <w:p w:rsidR="006B46D2" w:rsidRPr="00241F3F" w:rsidRDefault="006B46D2" w:rsidP="00236E06">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615" w:type="dxa"/>
            <w:tcBorders>
              <w:top w:val="nil"/>
              <w:left w:val="nil"/>
              <w:bottom w:val="nil"/>
              <w:right w:val="nil"/>
            </w:tcBorders>
            <w:shd w:val="clear" w:color="auto" w:fill="auto"/>
            <w:noWrap/>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620" w:type="dxa"/>
            <w:tcBorders>
              <w:top w:val="nil"/>
              <w:left w:val="nil"/>
              <w:bottom w:val="nil"/>
              <w:right w:val="nil"/>
            </w:tcBorders>
            <w:shd w:val="clear" w:color="auto" w:fill="auto"/>
            <w:noWrap/>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520" w:type="dxa"/>
            <w:tcBorders>
              <w:top w:val="nil"/>
              <w:left w:val="nil"/>
              <w:bottom w:val="nil"/>
              <w:right w:val="nil"/>
            </w:tcBorders>
            <w:shd w:val="clear" w:color="auto" w:fill="auto"/>
            <w:noWrap/>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521" w:type="dxa"/>
            <w:tcBorders>
              <w:top w:val="nil"/>
              <w:left w:val="nil"/>
              <w:bottom w:val="nil"/>
              <w:right w:val="nil"/>
            </w:tcBorders>
            <w:shd w:val="clear" w:color="auto" w:fill="auto"/>
            <w:noWrap/>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520" w:type="dxa"/>
            <w:tcBorders>
              <w:top w:val="nil"/>
              <w:left w:val="nil"/>
              <w:bottom w:val="nil"/>
              <w:right w:val="nil"/>
            </w:tcBorders>
            <w:shd w:val="clear" w:color="auto" w:fill="auto"/>
            <w:noWrap/>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536" w:type="dxa"/>
            <w:tcBorders>
              <w:top w:val="nil"/>
              <w:left w:val="nil"/>
              <w:bottom w:val="nil"/>
              <w:right w:val="nil"/>
            </w:tcBorders>
            <w:shd w:val="clear" w:color="auto" w:fill="auto"/>
            <w:noWrap/>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520" w:type="dxa"/>
            <w:tcBorders>
              <w:top w:val="nil"/>
              <w:left w:val="nil"/>
              <w:bottom w:val="nil"/>
              <w:right w:val="nil"/>
            </w:tcBorders>
            <w:shd w:val="clear" w:color="auto" w:fill="auto"/>
            <w:noWrap/>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721" w:type="dxa"/>
            <w:tcBorders>
              <w:top w:val="nil"/>
              <w:left w:val="nil"/>
              <w:bottom w:val="nil"/>
              <w:right w:val="nil"/>
            </w:tcBorders>
            <w:shd w:val="clear" w:color="auto" w:fill="auto"/>
            <w:noWrap/>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r>
      <w:tr w:rsidR="006B46D2" w:rsidRPr="00241F3F" w:rsidTr="00236E06">
        <w:trPr>
          <w:trHeight w:val="315"/>
        </w:trPr>
        <w:tc>
          <w:tcPr>
            <w:tcW w:w="3840" w:type="dxa"/>
            <w:tcBorders>
              <w:top w:val="nil"/>
              <w:left w:val="nil"/>
              <w:bottom w:val="nil"/>
              <w:right w:val="nil"/>
            </w:tcBorders>
            <w:shd w:val="clear" w:color="auto" w:fill="auto"/>
            <w:vAlign w:val="bottom"/>
            <w:hideMark/>
          </w:tcPr>
          <w:p w:rsidR="006B46D2" w:rsidRPr="00241F3F" w:rsidRDefault="006B46D2" w:rsidP="0026210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 xml:space="preserve">Nation </w:t>
            </w:r>
            <w:r w:rsidR="0026210E">
              <w:rPr>
                <w:rFonts w:ascii="Calibri" w:eastAsia="Times New Roman" w:hAnsi="Calibri" w:cs="Times New Roman"/>
                <w:sz w:val="20"/>
                <w:szCs w:val="20"/>
                <w:lang w:eastAsia="en-AU"/>
              </w:rPr>
              <w:t>b</w:t>
            </w:r>
            <w:r w:rsidRPr="00241F3F">
              <w:rPr>
                <w:rFonts w:ascii="Calibri" w:eastAsia="Times New Roman" w:hAnsi="Calibri" w:cs="Times New Roman"/>
                <w:sz w:val="20"/>
                <w:szCs w:val="20"/>
                <w:lang w:eastAsia="en-AU"/>
              </w:rPr>
              <w:t xml:space="preserve">uilding </w:t>
            </w:r>
            <w:r w:rsidR="0026210E">
              <w:rPr>
                <w:rFonts w:ascii="Calibri" w:eastAsia="Times New Roman" w:hAnsi="Calibri" w:cs="Times New Roman"/>
                <w:sz w:val="20"/>
                <w:szCs w:val="20"/>
                <w:lang w:eastAsia="en-AU"/>
              </w:rPr>
              <w:t>p</w:t>
            </w:r>
            <w:r w:rsidRPr="00241F3F">
              <w:rPr>
                <w:rFonts w:ascii="Calibri" w:eastAsia="Times New Roman" w:hAnsi="Calibri" w:cs="Times New Roman"/>
                <w:sz w:val="20"/>
                <w:szCs w:val="20"/>
                <w:lang w:eastAsia="en-AU"/>
              </w:rPr>
              <w:t>rogram - Investment - Rail</w:t>
            </w:r>
          </w:p>
        </w:tc>
        <w:tc>
          <w:tcPr>
            <w:tcW w:w="615"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152</w:t>
            </w:r>
          </w:p>
        </w:tc>
        <w:tc>
          <w:tcPr>
            <w:tcW w:w="64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-242</w:t>
            </w:r>
          </w:p>
        </w:tc>
        <w:tc>
          <w:tcPr>
            <w:tcW w:w="6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105</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44</w:t>
            </w:r>
          </w:p>
        </w:tc>
        <w:tc>
          <w:tcPr>
            <w:tcW w:w="521"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-75</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w:t>
            </w:r>
          </w:p>
        </w:tc>
        <w:tc>
          <w:tcPr>
            <w:tcW w:w="536"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13</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8</w:t>
            </w:r>
          </w:p>
        </w:tc>
        <w:tc>
          <w:tcPr>
            <w:tcW w:w="721"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322</w:t>
            </w:r>
          </w:p>
        </w:tc>
      </w:tr>
      <w:tr w:rsidR="006B46D2" w:rsidRPr="00241F3F" w:rsidTr="00236E06">
        <w:trPr>
          <w:trHeight w:val="315"/>
        </w:trPr>
        <w:tc>
          <w:tcPr>
            <w:tcW w:w="3840" w:type="dxa"/>
            <w:tcBorders>
              <w:top w:val="nil"/>
              <w:left w:val="nil"/>
              <w:bottom w:val="nil"/>
              <w:right w:val="nil"/>
            </w:tcBorders>
            <w:shd w:val="clear" w:color="auto" w:fill="auto"/>
            <w:vAlign w:val="bottom"/>
            <w:hideMark/>
          </w:tcPr>
          <w:p w:rsidR="006B46D2" w:rsidRPr="00241F3F" w:rsidRDefault="006B46D2" w:rsidP="0026210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 xml:space="preserve">Building Australia </w:t>
            </w:r>
            <w:r w:rsidR="0026210E">
              <w:rPr>
                <w:rFonts w:ascii="Calibri" w:eastAsia="Times New Roman" w:hAnsi="Calibri" w:cs="Times New Roman"/>
                <w:sz w:val="20"/>
                <w:szCs w:val="20"/>
                <w:lang w:eastAsia="en-AU"/>
              </w:rPr>
              <w:t>f</w:t>
            </w:r>
            <w:r w:rsidRPr="00241F3F">
              <w:rPr>
                <w:rFonts w:ascii="Calibri" w:eastAsia="Times New Roman" w:hAnsi="Calibri" w:cs="Times New Roman"/>
                <w:sz w:val="20"/>
                <w:szCs w:val="20"/>
                <w:lang w:eastAsia="en-AU"/>
              </w:rPr>
              <w:t>und - Roads</w:t>
            </w:r>
          </w:p>
        </w:tc>
        <w:tc>
          <w:tcPr>
            <w:tcW w:w="615"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-195</w:t>
            </w:r>
          </w:p>
        </w:tc>
        <w:tc>
          <w:tcPr>
            <w:tcW w:w="64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46</w:t>
            </w:r>
          </w:p>
        </w:tc>
        <w:tc>
          <w:tcPr>
            <w:tcW w:w="6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-74</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77</w:t>
            </w:r>
          </w:p>
        </w:tc>
        <w:tc>
          <w:tcPr>
            <w:tcW w:w="521"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73</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38</w:t>
            </w:r>
          </w:p>
        </w:tc>
        <w:tc>
          <w:tcPr>
            <w:tcW w:w="536"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35</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0</w:t>
            </w:r>
          </w:p>
        </w:tc>
        <w:tc>
          <w:tcPr>
            <w:tcW w:w="721"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269</w:t>
            </w:r>
          </w:p>
        </w:tc>
      </w:tr>
      <w:tr w:rsidR="006B46D2" w:rsidRPr="00241F3F" w:rsidTr="00236E06">
        <w:trPr>
          <w:trHeight w:val="315"/>
        </w:trPr>
        <w:tc>
          <w:tcPr>
            <w:tcW w:w="384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National schools SPP - Government education</w:t>
            </w:r>
          </w:p>
        </w:tc>
        <w:tc>
          <w:tcPr>
            <w:tcW w:w="615"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99</w:t>
            </w:r>
          </w:p>
        </w:tc>
        <w:tc>
          <w:tcPr>
            <w:tcW w:w="64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83</w:t>
            </w:r>
          </w:p>
        </w:tc>
        <w:tc>
          <w:tcPr>
            <w:tcW w:w="6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-134</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36</w:t>
            </w:r>
          </w:p>
        </w:tc>
        <w:tc>
          <w:tcPr>
            <w:tcW w:w="521"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13</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-30</w:t>
            </w:r>
          </w:p>
        </w:tc>
        <w:tc>
          <w:tcPr>
            <w:tcW w:w="536"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16</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-83</w:t>
            </w:r>
          </w:p>
        </w:tc>
        <w:tc>
          <w:tcPr>
            <w:tcW w:w="721"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247</w:t>
            </w:r>
          </w:p>
        </w:tc>
      </w:tr>
      <w:tr w:rsidR="006B46D2" w:rsidRPr="00241F3F" w:rsidTr="00236E06">
        <w:trPr>
          <w:trHeight w:val="315"/>
        </w:trPr>
        <w:tc>
          <w:tcPr>
            <w:tcW w:w="384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Water for the future</w:t>
            </w:r>
          </w:p>
        </w:tc>
        <w:tc>
          <w:tcPr>
            <w:tcW w:w="615"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52</w:t>
            </w:r>
          </w:p>
        </w:tc>
        <w:tc>
          <w:tcPr>
            <w:tcW w:w="64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-46</w:t>
            </w:r>
          </w:p>
        </w:tc>
        <w:tc>
          <w:tcPr>
            <w:tcW w:w="6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84</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45</w:t>
            </w:r>
          </w:p>
        </w:tc>
        <w:tc>
          <w:tcPr>
            <w:tcW w:w="521"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-114</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-26</w:t>
            </w:r>
          </w:p>
        </w:tc>
        <w:tc>
          <w:tcPr>
            <w:tcW w:w="536"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w:t>
            </w:r>
          </w:p>
        </w:tc>
        <w:tc>
          <w:tcPr>
            <w:tcW w:w="721"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189</w:t>
            </w:r>
          </w:p>
        </w:tc>
      </w:tr>
      <w:tr w:rsidR="006B46D2" w:rsidRPr="00241F3F" w:rsidTr="00236E06">
        <w:trPr>
          <w:trHeight w:val="315"/>
        </w:trPr>
        <w:tc>
          <w:tcPr>
            <w:tcW w:w="3840" w:type="dxa"/>
            <w:tcBorders>
              <w:top w:val="nil"/>
              <w:left w:val="nil"/>
              <w:bottom w:val="nil"/>
              <w:right w:val="nil"/>
            </w:tcBorders>
            <w:shd w:val="clear" w:color="auto" w:fill="auto"/>
            <w:vAlign w:val="bottom"/>
            <w:hideMark/>
          </w:tcPr>
          <w:p w:rsidR="006B46D2" w:rsidRPr="00241F3F" w:rsidRDefault="006B46D2" w:rsidP="0026210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 xml:space="preserve">Nation </w:t>
            </w:r>
            <w:r w:rsidR="0026210E">
              <w:rPr>
                <w:rFonts w:ascii="Calibri" w:eastAsia="Times New Roman" w:hAnsi="Calibri" w:cs="Times New Roman"/>
                <w:sz w:val="20"/>
                <w:szCs w:val="20"/>
                <w:lang w:eastAsia="en-AU"/>
              </w:rPr>
              <w:t>b</w:t>
            </w:r>
            <w:r w:rsidRPr="00241F3F">
              <w:rPr>
                <w:rFonts w:ascii="Calibri" w:eastAsia="Times New Roman" w:hAnsi="Calibri" w:cs="Times New Roman"/>
                <w:sz w:val="20"/>
                <w:szCs w:val="20"/>
                <w:lang w:eastAsia="en-AU"/>
              </w:rPr>
              <w:t xml:space="preserve">uilding </w:t>
            </w:r>
            <w:r w:rsidR="0026210E">
              <w:rPr>
                <w:rFonts w:ascii="Calibri" w:eastAsia="Times New Roman" w:hAnsi="Calibri" w:cs="Times New Roman"/>
                <w:sz w:val="20"/>
                <w:szCs w:val="20"/>
                <w:lang w:eastAsia="en-AU"/>
              </w:rPr>
              <w:t>p</w:t>
            </w:r>
            <w:r w:rsidRPr="00241F3F">
              <w:rPr>
                <w:rFonts w:ascii="Calibri" w:eastAsia="Times New Roman" w:hAnsi="Calibri" w:cs="Times New Roman"/>
                <w:sz w:val="20"/>
                <w:szCs w:val="20"/>
                <w:lang w:eastAsia="en-AU"/>
              </w:rPr>
              <w:t>rogram - Road maintenance</w:t>
            </w:r>
          </w:p>
        </w:tc>
        <w:tc>
          <w:tcPr>
            <w:tcW w:w="615"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38</w:t>
            </w:r>
          </w:p>
        </w:tc>
        <w:tc>
          <w:tcPr>
            <w:tcW w:w="64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65</w:t>
            </w:r>
          </w:p>
        </w:tc>
        <w:tc>
          <w:tcPr>
            <w:tcW w:w="6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13</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-28</w:t>
            </w:r>
          </w:p>
        </w:tc>
        <w:tc>
          <w:tcPr>
            <w:tcW w:w="521"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0</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w:t>
            </w:r>
          </w:p>
        </w:tc>
        <w:tc>
          <w:tcPr>
            <w:tcW w:w="536"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-29</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-53</w:t>
            </w:r>
          </w:p>
        </w:tc>
        <w:tc>
          <w:tcPr>
            <w:tcW w:w="721"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116</w:t>
            </w:r>
          </w:p>
        </w:tc>
      </w:tr>
      <w:tr w:rsidR="006B46D2" w:rsidRPr="00241F3F" w:rsidTr="00236E06">
        <w:trPr>
          <w:trHeight w:val="315"/>
        </w:trPr>
        <w:tc>
          <w:tcPr>
            <w:tcW w:w="3840" w:type="dxa"/>
            <w:tcBorders>
              <w:top w:val="nil"/>
              <w:left w:val="nil"/>
              <w:bottom w:val="nil"/>
              <w:right w:val="nil"/>
            </w:tcBorders>
            <w:shd w:val="clear" w:color="auto" w:fill="auto"/>
            <w:vAlign w:val="bottom"/>
            <w:hideMark/>
          </w:tcPr>
          <w:p w:rsidR="006B46D2" w:rsidRPr="00241F3F" w:rsidRDefault="006B46D2" w:rsidP="0026210E">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 xml:space="preserve">Remote Indigenous </w:t>
            </w:r>
            <w:r w:rsidR="0026210E">
              <w:rPr>
                <w:rFonts w:ascii="Calibri" w:eastAsia="Times New Roman" w:hAnsi="Calibri" w:cs="Times New Roman"/>
                <w:sz w:val="20"/>
                <w:szCs w:val="20"/>
                <w:lang w:eastAsia="en-AU"/>
              </w:rPr>
              <w:t>h</w:t>
            </w:r>
            <w:r w:rsidRPr="00241F3F">
              <w:rPr>
                <w:rFonts w:ascii="Calibri" w:eastAsia="Times New Roman" w:hAnsi="Calibri" w:cs="Times New Roman"/>
                <w:sz w:val="20"/>
                <w:szCs w:val="20"/>
                <w:lang w:eastAsia="en-AU"/>
              </w:rPr>
              <w:t>ousing (a)</w:t>
            </w:r>
          </w:p>
        </w:tc>
        <w:tc>
          <w:tcPr>
            <w:tcW w:w="615"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48</w:t>
            </w:r>
          </w:p>
        </w:tc>
        <w:tc>
          <w:tcPr>
            <w:tcW w:w="64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50</w:t>
            </w:r>
          </w:p>
        </w:tc>
        <w:tc>
          <w:tcPr>
            <w:tcW w:w="6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-26</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-51</w:t>
            </w:r>
          </w:p>
        </w:tc>
        <w:tc>
          <w:tcPr>
            <w:tcW w:w="521"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w:t>
            </w:r>
          </w:p>
        </w:tc>
        <w:tc>
          <w:tcPr>
            <w:tcW w:w="536"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-30</w:t>
            </w:r>
          </w:p>
        </w:tc>
        <w:tc>
          <w:tcPr>
            <w:tcW w:w="721"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107</w:t>
            </w:r>
          </w:p>
        </w:tc>
      </w:tr>
      <w:tr w:rsidR="006B46D2" w:rsidRPr="00241F3F" w:rsidTr="00236E06">
        <w:trPr>
          <w:trHeight w:val="315"/>
        </w:trPr>
        <w:tc>
          <w:tcPr>
            <w:tcW w:w="384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Nation building plan for the future (b) - Rail</w:t>
            </w:r>
          </w:p>
        </w:tc>
        <w:tc>
          <w:tcPr>
            <w:tcW w:w="615"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27</w:t>
            </w:r>
          </w:p>
        </w:tc>
        <w:tc>
          <w:tcPr>
            <w:tcW w:w="64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21</w:t>
            </w:r>
          </w:p>
        </w:tc>
        <w:tc>
          <w:tcPr>
            <w:tcW w:w="6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17</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-75</w:t>
            </w:r>
          </w:p>
        </w:tc>
        <w:tc>
          <w:tcPr>
            <w:tcW w:w="521"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w:t>
            </w:r>
          </w:p>
        </w:tc>
        <w:tc>
          <w:tcPr>
            <w:tcW w:w="536"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w:t>
            </w:r>
          </w:p>
        </w:tc>
        <w:tc>
          <w:tcPr>
            <w:tcW w:w="520"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w:t>
            </w:r>
          </w:p>
        </w:tc>
        <w:tc>
          <w:tcPr>
            <w:tcW w:w="721" w:type="dxa"/>
            <w:tcBorders>
              <w:top w:val="nil"/>
              <w:left w:val="nil"/>
              <w:bottom w:val="nil"/>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75</w:t>
            </w:r>
          </w:p>
        </w:tc>
      </w:tr>
      <w:tr w:rsidR="006B46D2" w:rsidRPr="00241F3F" w:rsidTr="00236E06">
        <w:trPr>
          <w:trHeight w:val="315"/>
        </w:trPr>
        <w:tc>
          <w:tcPr>
            <w:tcW w:w="3840" w:type="dxa"/>
            <w:tcBorders>
              <w:top w:val="nil"/>
              <w:left w:val="nil"/>
              <w:bottom w:val="single" w:sz="4" w:space="0" w:color="auto"/>
              <w:right w:val="nil"/>
            </w:tcBorders>
            <w:shd w:val="clear" w:color="auto" w:fill="auto"/>
            <w:vAlign w:val="bottom"/>
            <w:hideMark/>
          </w:tcPr>
          <w:p w:rsidR="006B46D2" w:rsidRPr="00241F3F" w:rsidRDefault="006B46D2" w:rsidP="00236E0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Health and hospital fund</w:t>
            </w:r>
          </w:p>
        </w:tc>
        <w:tc>
          <w:tcPr>
            <w:tcW w:w="615" w:type="dxa"/>
            <w:tcBorders>
              <w:top w:val="nil"/>
              <w:left w:val="nil"/>
              <w:bottom w:val="single" w:sz="4" w:space="0" w:color="auto"/>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69</w:t>
            </w:r>
          </w:p>
        </w:tc>
        <w:tc>
          <w:tcPr>
            <w:tcW w:w="640" w:type="dxa"/>
            <w:tcBorders>
              <w:top w:val="nil"/>
              <w:left w:val="nil"/>
              <w:bottom w:val="single" w:sz="4" w:space="0" w:color="auto"/>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-10</w:t>
            </w:r>
          </w:p>
        </w:tc>
        <w:tc>
          <w:tcPr>
            <w:tcW w:w="620" w:type="dxa"/>
            <w:tcBorders>
              <w:top w:val="nil"/>
              <w:left w:val="nil"/>
              <w:bottom w:val="single" w:sz="4" w:space="0" w:color="auto"/>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-12</w:t>
            </w:r>
          </w:p>
        </w:tc>
        <w:tc>
          <w:tcPr>
            <w:tcW w:w="520" w:type="dxa"/>
            <w:tcBorders>
              <w:top w:val="nil"/>
              <w:left w:val="nil"/>
              <w:bottom w:val="single" w:sz="4" w:space="0" w:color="auto"/>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-33</w:t>
            </w:r>
          </w:p>
        </w:tc>
        <w:tc>
          <w:tcPr>
            <w:tcW w:w="521" w:type="dxa"/>
            <w:tcBorders>
              <w:top w:val="nil"/>
              <w:left w:val="nil"/>
              <w:bottom w:val="single" w:sz="4" w:space="0" w:color="auto"/>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w:t>
            </w:r>
          </w:p>
        </w:tc>
        <w:tc>
          <w:tcPr>
            <w:tcW w:w="520" w:type="dxa"/>
            <w:tcBorders>
              <w:top w:val="nil"/>
              <w:left w:val="nil"/>
              <w:bottom w:val="single" w:sz="4" w:space="0" w:color="auto"/>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w:t>
            </w:r>
          </w:p>
        </w:tc>
        <w:tc>
          <w:tcPr>
            <w:tcW w:w="536" w:type="dxa"/>
            <w:tcBorders>
              <w:top w:val="nil"/>
              <w:left w:val="nil"/>
              <w:bottom w:val="single" w:sz="4" w:space="0" w:color="auto"/>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w:t>
            </w:r>
          </w:p>
        </w:tc>
        <w:tc>
          <w:tcPr>
            <w:tcW w:w="520" w:type="dxa"/>
            <w:tcBorders>
              <w:top w:val="nil"/>
              <w:left w:val="nil"/>
              <w:bottom w:val="single" w:sz="4" w:space="0" w:color="auto"/>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-12</w:t>
            </w:r>
          </w:p>
        </w:tc>
        <w:tc>
          <w:tcPr>
            <w:tcW w:w="721" w:type="dxa"/>
            <w:tcBorders>
              <w:top w:val="nil"/>
              <w:left w:val="nil"/>
              <w:bottom w:val="single" w:sz="4" w:space="0" w:color="auto"/>
              <w:right w:val="nil"/>
            </w:tcBorders>
            <w:shd w:val="clear" w:color="auto" w:fill="auto"/>
            <w:vAlign w:val="bottom"/>
            <w:hideMark/>
          </w:tcPr>
          <w:p w:rsidR="006B46D2" w:rsidRPr="00241F3F"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72</w:t>
            </w:r>
          </w:p>
        </w:tc>
      </w:tr>
    </w:tbl>
    <w:p w:rsidR="00037390" w:rsidRDefault="0057649C" w:rsidP="0057649C">
      <w:pPr>
        <w:pStyle w:val="CGCTableFootnote"/>
      </w:pPr>
      <w:r>
        <w:t>(a)</w:t>
      </w:r>
      <w:r>
        <w:tab/>
      </w:r>
      <w:r w:rsidR="00037390">
        <w:t>This payment h</w:t>
      </w:r>
      <w:r>
        <w:t>as an impact from 2013-14 only.</w:t>
      </w:r>
    </w:p>
    <w:p w:rsidR="00037390" w:rsidRDefault="0057649C" w:rsidP="0057649C">
      <w:pPr>
        <w:pStyle w:val="CGCTableFootnote"/>
      </w:pPr>
      <w:r>
        <w:t>(b)</w:t>
      </w:r>
      <w:r>
        <w:tab/>
      </w:r>
      <w:r w:rsidR="00037390">
        <w:t>Building Australia Fund</w:t>
      </w:r>
      <w:r>
        <w:t>.</w:t>
      </w:r>
    </w:p>
    <w:p w:rsidR="00037390" w:rsidRDefault="0057649C" w:rsidP="0057649C">
      <w:pPr>
        <w:pStyle w:val="CGCTableFootnote"/>
      </w:pPr>
      <w:r>
        <w:t>Source:</w:t>
      </w:r>
      <w:r>
        <w:tab/>
      </w:r>
      <w:r w:rsidR="00037390">
        <w:t>Commission calculation</w:t>
      </w:r>
      <w:r>
        <w:t>.</w:t>
      </w:r>
    </w:p>
    <w:p w:rsidR="00760E36" w:rsidRDefault="00D01233" w:rsidP="00D01233">
      <w:pPr>
        <w:pStyle w:val="CGCNumberedPara"/>
      </w:pPr>
      <w:r w:rsidRPr="00D01233">
        <w:t>Box 4</w:t>
      </w:r>
      <w:r w:rsidR="00037390">
        <w:t xml:space="preserve"> illustrates the relationship between State GST requirements and the proportion of those that are met by payments for specific purposes and the GST.</w:t>
      </w:r>
    </w:p>
    <w:p w:rsidR="00760E36" w:rsidRDefault="00760E36" w:rsidP="00760E36">
      <w:pPr>
        <w:pStyle w:val="NoSpacing"/>
        <w:rPr>
          <w:szCs w:val="24"/>
        </w:rPr>
      </w:pPr>
      <w:r>
        <w:br w:type="page"/>
      </w:r>
    </w:p>
    <w:p w:rsidR="00037390" w:rsidRDefault="00D01233" w:rsidP="00037390">
      <w:pPr>
        <w:pStyle w:val="Caption"/>
      </w:pPr>
      <w:bookmarkStart w:id="592" w:name="_Toc348961766"/>
      <w:bookmarkStart w:id="593" w:name="_Toc348962394"/>
      <w:bookmarkStart w:id="594" w:name="_Toc349134706"/>
      <w:bookmarkStart w:id="595" w:name="_Toc349656699"/>
      <w:bookmarkStart w:id="596" w:name="_Toc350438422"/>
      <w:bookmarkStart w:id="597" w:name="_Toc316728073"/>
      <w:bookmarkStart w:id="598" w:name="_Toc316735972"/>
      <w:r w:rsidRPr="00D01233">
        <w:lastRenderedPageBreak/>
        <w:t>Box 4</w:t>
      </w:r>
      <w:r w:rsidR="00037390" w:rsidRPr="00123B11">
        <w:tab/>
        <w:t>Total Commonwealth assistance and equalisation</w:t>
      </w:r>
      <w:bookmarkEnd w:id="592"/>
      <w:bookmarkEnd w:id="593"/>
      <w:bookmarkEnd w:id="594"/>
      <w:bookmarkEnd w:id="595"/>
      <w:bookmarkEnd w:id="596"/>
    </w:p>
    <w:tbl>
      <w:tblPr>
        <w:tblStyle w:val="TableGrid"/>
        <w:tblW w:w="0" w:type="auto"/>
        <w:tblLook w:val="04A0" w:firstRow="1" w:lastRow="0" w:firstColumn="1" w:lastColumn="0" w:noHBand="0" w:noVBand="1"/>
        <w:tblDescription w:val=" "/>
      </w:tblPr>
      <w:tblGrid>
        <w:gridCol w:w="9167"/>
      </w:tblGrid>
      <w:tr w:rsidR="00037390" w:rsidTr="008256D5">
        <w:tc>
          <w:tcPr>
            <w:tcW w:w="9167" w:type="dxa"/>
            <w:tcBorders>
              <w:top w:val="nil"/>
              <w:left w:val="nil"/>
              <w:bottom w:val="nil"/>
              <w:right w:val="nil"/>
            </w:tcBorders>
            <w:shd w:val="clear" w:color="auto" w:fill="D9F3E6"/>
          </w:tcPr>
          <w:p w:rsidR="00037390" w:rsidRPr="00123B11" w:rsidRDefault="00037390" w:rsidP="008E495D">
            <w:pPr>
              <w:keepLines/>
              <w:tabs>
                <w:tab w:val="clear" w:pos="567"/>
                <w:tab w:val="left" w:pos="2160"/>
                <w:tab w:val="left" w:pos="2880"/>
              </w:tabs>
              <w:spacing w:before="120" w:after="120"/>
            </w:pPr>
            <w:r w:rsidRPr="00123B11">
              <w:t>Spending and investing by States far exceeds the revenue they raise themselves. The difference is funded largely by payments from the Commonwealth — in the form of payments for specific purposes (such as education, health, skills and workforce development, housing, disability and infrastructure) as well as through the distribution of GST revenue.</w:t>
            </w:r>
          </w:p>
          <w:p w:rsidR="00037390" w:rsidRPr="00123B11" w:rsidRDefault="00037390" w:rsidP="008E495D">
            <w:pPr>
              <w:keepLines/>
              <w:tabs>
                <w:tab w:val="clear" w:pos="567"/>
                <w:tab w:val="left" w:pos="2160"/>
                <w:tab w:val="left" w:pos="2880"/>
              </w:tabs>
              <w:spacing w:before="120" w:after="120"/>
            </w:pPr>
            <w:r w:rsidRPr="00123B11">
              <w:t>Because different States have different expenditure requirements and different capacities to raise revenue, the total amount they each require to achieve equal fiscal capacities also varies.</w:t>
            </w:r>
          </w:p>
          <w:p w:rsidR="00037390" w:rsidRPr="00123B11" w:rsidRDefault="00037390" w:rsidP="008E495D">
            <w:pPr>
              <w:keepLines/>
              <w:tabs>
                <w:tab w:val="clear" w:pos="567"/>
                <w:tab w:val="left" w:pos="2160"/>
                <w:tab w:val="left" w:pos="2880"/>
              </w:tabs>
              <w:spacing w:before="120" w:after="120"/>
            </w:pPr>
            <w:r w:rsidRPr="00123B11">
              <w:t>The table below shows how much in total States need to receive from the Commonwealth, compared to the average of all States (across 201</w:t>
            </w:r>
            <w:r w:rsidR="00117151">
              <w:t>1</w:t>
            </w:r>
            <w:r w:rsidRPr="00123B11">
              <w:noBreakHyphen/>
              <w:t>1</w:t>
            </w:r>
            <w:r w:rsidR="00117151">
              <w:t>2</w:t>
            </w:r>
            <w:r w:rsidRPr="00123B11">
              <w:t xml:space="preserve"> to 201</w:t>
            </w:r>
            <w:r w:rsidR="00117151">
              <w:t>3</w:t>
            </w:r>
            <w:r w:rsidRPr="00123B11">
              <w:noBreakHyphen/>
              <w:t>1</w:t>
            </w:r>
            <w:r w:rsidR="00117151">
              <w:t>4</w:t>
            </w:r>
            <w:r w:rsidRPr="00123B11">
              <w:t>) to achieve fiscal equality. New South Wales, Victoria and Western Australia required less than the average per capita total Commonwealth funding assistance while Queensland, South Australia, Tasmania, the ACT and the Northern Territory required more than the average total Commonwealth funding assistance.</w:t>
            </w:r>
          </w:p>
          <w:p w:rsidR="00037390" w:rsidRPr="00123B11" w:rsidRDefault="00037390" w:rsidP="008E495D">
            <w:pPr>
              <w:keepLines/>
              <w:tabs>
                <w:tab w:val="clear" w:pos="567"/>
                <w:tab w:val="left" w:pos="2160"/>
                <w:tab w:val="left" w:pos="2880"/>
              </w:tabs>
              <w:spacing w:before="120" w:after="120"/>
            </w:pPr>
            <w:r w:rsidRPr="00123B11">
              <w:t>The table also shows the distribution of the payments for specific purposes and the GST requirement.</w:t>
            </w:r>
          </w:p>
          <w:p w:rsidR="00037390" w:rsidRPr="00123B11" w:rsidRDefault="00037390" w:rsidP="008256D5">
            <w:pPr>
              <w:pStyle w:val="CGCTableHeading"/>
            </w:pPr>
            <w:r w:rsidRPr="00123B11">
              <w:t>Relative Commonwealth funding assistance per capita, average 201</w:t>
            </w:r>
            <w:r w:rsidR="00117151">
              <w:t>1</w:t>
            </w:r>
            <w:r w:rsidRPr="00123B11">
              <w:t>-1</w:t>
            </w:r>
            <w:r w:rsidR="00117151">
              <w:t>2</w:t>
            </w:r>
            <w:r w:rsidRPr="00123B11">
              <w:t xml:space="preserve"> to 201</w:t>
            </w:r>
            <w:r w:rsidR="00117151">
              <w:t>3</w:t>
            </w:r>
            <w:r w:rsidRPr="00123B11">
              <w:t>-1</w:t>
            </w:r>
            <w:r w:rsidR="00117151">
              <w:t>4</w:t>
            </w:r>
          </w:p>
          <w:tbl>
            <w:tblPr>
              <w:tblW w:w="9074" w:type="dxa"/>
              <w:tblCellMar>
                <w:left w:w="0" w:type="dxa"/>
                <w:right w:w="0" w:type="dxa"/>
              </w:tblCellMar>
              <w:tblLook w:val="04A0" w:firstRow="1" w:lastRow="0" w:firstColumn="1" w:lastColumn="0" w:noHBand="0" w:noVBand="1"/>
            </w:tblPr>
            <w:tblGrid>
              <w:gridCol w:w="3094"/>
              <w:gridCol w:w="611"/>
              <w:gridCol w:w="666"/>
              <w:gridCol w:w="667"/>
              <w:gridCol w:w="578"/>
              <w:gridCol w:w="667"/>
              <w:gridCol w:w="667"/>
              <w:gridCol w:w="667"/>
              <w:gridCol w:w="667"/>
              <w:gridCol w:w="667"/>
            </w:tblGrid>
            <w:tr w:rsidR="006B46D2" w:rsidRPr="00C43CE5" w:rsidTr="00236E06">
              <w:trPr>
                <w:trHeight w:val="379"/>
              </w:trPr>
              <w:tc>
                <w:tcPr>
                  <w:tcW w:w="3177" w:type="dxa"/>
                  <w:tcBorders>
                    <w:top w:val="single" w:sz="4" w:space="0" w:color="auto"/>
                    <w:left w:val="nil"/>
                    <w:bottom w:val="single" w:sz="4" w:space="0" w:color="auto"/>
                    <w:right w:val="nil"/>
                  </w:tcBorders>
                  <w:shd w:val="clear" w:color="auto" w:fill="auto"/>
                  <w:noWrap/>
                  <w:vAlign w:val="center"/>
                  <w:hideMark/>
                </w:tcPr>
                <w:p w:rsidR="006B46D2" w:rsidRPr="00C43CE5" w:rsidRDefault="006B46D2" w:rsidP="00236E06">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bookmarkStart w:id="599" w:name="RANGE!A61:J65"/>
                  <w:bookmarkStart w:id="600" w:name="RANGE!A190:J194"/>
                  <w:bookmarkEnd w:id="599"/>
                  <w:r w:rsidRPr="00C43CE5">
                    <w:rPr>
                      <w:rFonts w:ascii="Calibri" w:eastAsia="Times New Roman" w:hAnsi="Calibri" w:cs="Times New Roman"/>
                      <w:sz w:val="20"/>
                      <w:szCs w:val="20"/>
                      <w:lang w:eastAsia="en-AU"/>
                    </w:rPr>
                    <w:t> </w:t>
                  </w:r>
                  <w:bookmarkEnd w:id="600"/>
                </w:p>
              </w:tc>
              <w:tc>
                <w:tcPr>
                  <w:tcW w:w="614" w:type="dxa"/>
                  <w:tcBorders>
                    <w:top w:val="single" w:sz="4" w:space="0" w:color="auto"/>
                    <w:left w:val="nil"/>
                    <w:bottom w:val="single" w:sz="4" w:space="0" w:color="auto"/>
                    <w:right w:val="nil"/>
                  </w:tcBorders>
                  <w:shd w:val="clear" w:color="auto" w:fill="auto"/>
                  <w:noWrap/>
                  <w:vAlign w:val="center"/>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NSW</w:t>
                  </w:r>
                </w:p>
              </w:tc>
              <w:tc>
                <w:tcPr>
                  <w:tcW w:w="671" w:type="dxa"/>
                  <w:tcBorders>
                    <w:top w:val="single" w:sz="4" w:space="0" w:color="auto"/>
                    <w:left w:val="nil"/>
                    <w:bottom w:val="single" w:sz="4" w:space="0" w:color="auto"/>
                    <w:right w:val="nil"/>
                  </w:tcBorders>
                  <w:shd w:val="clear" w:color="auto" w:fill="auto"/>
                  <w:noWrap/>
                  <w:vAlign w:val="center"/>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Vic</w:t>
                  </w:r>
                </w:p>
              </w:tc>
              <w:tc>
                <w:tcPr>
                  <w:tcW w:w="672" w:type="dxa"/>
                  <w:tcBorders>
                    <w:top w:val="single" w:sz="4" w:space="0" w:color="auto"/>
                    <w:left w:val="nil"/>
                    <w:bottom w:val="single" w:sz="4" w:space="0" w:color="auto"/>
                    <w:right w:val="nil"/>
                  </w:tcBorders>
                  <w:shd w:val="clear" w:color="auto" w:fill="auto"/>
                  <w:noWrap/>
                  <w:vAlign w:val="center"/>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Qld</w:t>
                  </w:r>
                </w:p>
              </w:tc>
              <w:tc>
                <w:tcPr>
                  <w:tcW w:w="580" w:type="dxa"/>
                  <w:tcBorders>
                    <w:top w:val="single" w:sz="4" w:space="0" w:color="auto"/>
                    <w:left w:val="nil"/>
                    <w:bottom w:val="single" w:sz="4" w:space="0" w:color="auto"/>
                    <w:right w:val="nil"/>
                  </w:tcBorders>
                  <w:shd w:val="clear" w:color="auto" w:fill="auto"/>
                  <w:noWrap/>
                  <w:vAlign w:val="center"/>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WA</w:t>
                  </w:r>
                </w:p>
              </w:tc>
              <w:tc>
                <w:tcPr>
                  <w:tcW w:w="672" w:type="dxa"/>
                  <w:tcBorders>
                    <w:top w:val="single" w:sz="4" w:space="0" w:color="auto"/>
                    <w:left w:val="nil"/>
                    <w:bottom w:val="single" w:sz="4" w:space="0" w:color="auto"/>
                    <w:right w:val="nil"/>
                  </w:tcBorders>
                  <w:shd w:val="clear" w:color="auto" w:fill="auto"/>
                  <w:noWrap/>
                  <w:vAlign w:val="center"/>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SA</w:t>
                  </w:r>
                </w:p>
              </w:tc>
              <w:tc>
                <w:tcPr>
                  <w:tcW w:w="672" w:type="dxa"/>
                  <w:tcBorders>
                    <w:top w:val="single" w:sz="4" w:space="0" w:color="auto"/>
                    <w:left w:val="nil"/>
                    <w:bottom w:val="single" w:sz="4" w:space="0" w:color="auto"/>
                    <w:right w:val="nil"/>
                  </w:tcBorders>
                  <w:shd w:val="clear" w:color="auto" w:fill="auto"/>
                  <w:noWrap/>
                  <w:vAlign w:val="center"/>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C43CE5">
                    <w:rPr>
                      <w:rFonts w:ascii="Calibri" w:eastAsia="Times New Roman" w:hAnsi="Calibri" w:cs="Times New Roman"/>
                      <w:sz w:val="20"/>
                      <w:szCs w:val="20"/>
                      <w:lang w:eastAsia="en-AU"/>
                    </w:rPr>
                    <w:t>Tas</w:t>
                  </w:r>
                  <w:proofErr w:type="spellEnd"/>
                </w:p>
              </w:tc>
              <w:tc>
                <w:tcPr>
                  <w:tcW w:w="672" w:type="dxa"/>
                  <w:tcBorders>
                    <w:top w:val="single" w:sz="4" w:space="0" w:color="auto"/>
                    <w:left w:val="nil"/>
                    <w:bottom w:val="single" w:sz="4" w:space="0" w:color="auto"/>
                    <w:right w:val="nil"/>
                  </w:tcBorders>
                  <w:shd w:val="clear" w:color="auto" w:fill="auto"/>
                  <w:noWrap/>
                  <w:vAlign w:val="center"/>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ACT</w:t>
                  </w:r>
                </w:p>
              </w:tc>
              <w:tc>
                <w:tcPr>
                  <w:tcW w:w="672" w:type="dxa"/>
                  <w:tcBorders>
                    <w:top w:val="single" w:sz="4" w:space="0" w:color="auto"/>
                    <w:left w:val="nil"/>
                    <w:bottom w:val="single" w:sz="4" w:space="0" w:color="auto"/>
                    <w:right w:val="nil"/>
                  </w:tcBorders>
                  <w:shd w:val="clear" w:color="auto" w:fill="auto"/>
                  <w:noWrap/>
                  <w:vAlign w:val="center"/>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NT</w:t>
                  </w:r>
                </w:p>
              </w:tc>
              <w:tc>
                <w:tcPr>
                  <w:tcW w:w="672" w:type="dxa"/>
                  <w:tcBorders>
                    <w:top w:val="single" w:sz="4" w:space="0" w:color="auto"/>
                    <w:left w:val="nil"/>
                    <w:bottom w:val="single" w:sz="4" w:space="0" w:color="auto"/>
                    <w:right w:val="nil"/>
                  </w:tcBorders>
                  <w:shd w:val="clear" w:color="auto" w:fill="auto"/>
                  <w:noWrap/>
                  <w:vAlign w:val="center"/>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Ave</w:t>
                  </w:r>
                </w:p>
              </w:tc>
            </w:tr>
            <w:tr w:rsidR="006B46D2" w:rsidRPr="00C43CE5" w:rsidTr="00236E06">
              <w:trPr>
                <w:trHeight w:val="259"/>
              </w:trPr>
              <w:tc>
                <w:tcPr>
                  <w:tcW w:w="3177" w:type="dxa"/>
                  <w:tcBorders>
                    <w:top w:val="nil"/>
                    <w:left w:val="nil"/>
                    <w:bottom w:val="nil"/>
                    <w:right w:val="nil"/>
                  </w:tcBorders>
                  <w:shd w:val="clear" w:color="auto" w:fill="auto"/>
                  <w:noWrap/>
                  <w:vAlign w:val="bottom"/>
                  <w:hideMark/>
                </w:tcPr>
                <w:p w:rsidR="006B46D2" w:rsidRPr="00C43CE5" w:rsidRDefault="006B46D2" w:rsidP="00236E06">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614" w:type="dxa"/>
                  <w:tcBorders>
                    <w:top w:val="nil"/>
                    <w:left w:val="nil"/>
                    <w:bottom w:val="nil"/>
                    <w:right w:val="nil"/>
                  </w:tcBorders>
                  <w:shd w:val="clear" w:color="auto" w:fill="auto"/>
                  <w:noWrap/>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w:t>
                  </w:r>
                </w:p>
              </w:tc>
              <w:tc>
                <w:tcPr>
                  <w:tcW w:w="671" w:type="dxa"/>
                  <w:tcBorders>
                    <w:top w:val="nil"/>
                    <w:left w:val="nil"/>
                    <w:bottom w:val="nil"/>
                    <w:right w:val="nil"/>
                  </w:tcBorders>
                  <w:shd w:val="clear" w:color="auto" w:fill="auto"/>
                  <w:noWrap/>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w:t>
                  </w:r>
                </w:p>
              </w:tc>
              <w:tc>
                <w:tcPr>
                  <w:tcW w:w="672" w:type="dxa"/>
                  <w:tcBorders>
                    <w:top w:val="nil"/>
                    <w:left w:val="nil"/>
                    <w:bottom w:val="nil"/>
                    <w:right w:val="nil"/>
                  </w:tcBorders>
                  <w:shd w:val="clear" w:color="auto" w:fill="auto"/>
                  <w:noWrap/>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w:t>
                  </w:r>
                </w:p>
              </w:tc>
              <w:tc>
                <w:tcPr>
                  <w:tcW w:w="580" w:type="dxa"/>
                  <w:tcBorders>
                    <w:top w:val="nil"/>
                    <w:left w:val="nil"/>
                    <w:bottom w:val="nil"/>
                    <w:right w:val="nil"/>
                  </w:tcBorders>
                  <w:shd w:val="clear" w:color="auto" w:fill="auto"/>
                  <w:noWrap/>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w:t>
                  </w:r>
                </w:p>
              </w:tc>
              <w:tc>
                <w:tcPr>
                  <w:tcW w:w="672" w:type="dxa"/>
                  <w:tcBorders>
                    <w:top w:val="nil"/>
                    <w:left w:val="nil"/>
                    <w:bottom w:val="nil"/>
                    <w:right w:val="nil"/>
                  </w:tcBorders>
                  <w:shd w:val="clear" w:color="auto" w:fill="auto"/>
                  <w:noWrap/>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w:t>
                  </w:r>
                </w:p>
              </w:tc>
              <w:tc>
                <w:tcPr>
                  <w:tcW w:w="672" w:type="dxa"/>
                  <w:tcBorders>
                    <w:top w:val="nil"/>
                    <w:left w:val="nil"/>
                    <w:bottom w:val="nil"/>
                    <w:right w:val="nil"/>
                  </w:tcBorders>
                  <w:shd w:val="clear" w:color="auto" w:fill="auto"/>
                  <w:noWrap/>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w:t>
                  </w:r>
                </w:p>
              </w:tc>
              <w:tc>
                <w:tcPr>
                  <w:tcW w:w="672" w:type="dxa"/>
                  <w:tcBorders>
                    <w:top w:val="nil"/>
                    <w:left w:val="nil"/>
                    <w:bottom w:val="nil"/>
                    <w:right w:val="nil"/>
                  </w:tcBorders>
                  <w:shd w:val="clear" w:color="auto" w:fill="auto"/>
                  <w:noWrap/>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w:t>
                  </w:r>
                </w:p>
              </w:tc>
              <w:tc>
                <w:tcPr>
                  <w:tcW w:w="672" w:type="dxa"/>
                  <w:tcBorders>
                    <w:top w:val="nil"/>
                    <w:left w:val="nil"/>
                    <w:bottom w:val="nil"/>
                    <w:right w:val="nil"/>
                  </w:tcBorders>
                  <w:shd w:val="clear" w:color="auto" w:fill="auto"/>
                  <w:noWrap/>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w:t>
                  </w:r>
                </w:p>
              </w:tc>
              <w:tc>
                <w:tcPr>
                  <w:tcW w:w="672" w:type="dxa"/>
                  <w:tcBorders>
                    <w:top w:val="nil"/>
                    <w:left w:val="nil"/>
                    <w:bottom w:val="nil"/>
                    <w:right w:val="nil"/>
                  </w:tcBorders>
                  <w:shd w:val="clear" w:color="auto" w:fill="auto"/>
                  <w:noWrap/>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w:t>
                  </w:r>
                </w:p>
              </w:tc>
            </w:tr>
            <w:tr w:rsidR="006B46D2" w:rsidRPr="00C43CE5" w:rsidTr="00236E06">
              <w:trPr>
                <w:trHeight w:val="315"/>
              </w:trPr>
              <w:tc>
                <w:tcPr>
                  <w:tcW w:w="3177" w:type="dxa"/>
                  <w:tcBorders>
                    <w:top w:val="nil"/>
                    <w:left w:val="nil"/>
                    <w:bottom w:val="nil"/>
                    <w:right w:val="nil"/>
                  </w:tcBorders>
                  <w:shd w:val="clear" w:color="auto" w:fill="auto"/>
                  <w:vAlign w:val="bottom"/>
                  <w:hideMark/>
                </w:tcPr>
                <w:p w:rsidR="006B46D2" w:rsidRPr="00C43CE5" w:rsidRDefault="006B46D2" w:rsidP="00236E0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Total commonwealth assistance (a)</w:t>
                  </w:r>
                </w:p>
              </w:tc>
              <w:tc>
                <w:tcPr>
                  <w:tcW w:w="614" w:type="dxa"/>
                  <w:tcBorders>
                    <w:top w:val="nil"/>
                    <w:left w:val="nil"/>
                    <w:bottom w:val="nil"/>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95.3</w:t>
                  </w:r>
                </w:p>
              </w:tc>
              <w:tc>
                <w:tcPr>
                  <w:tcW w:w="671" w:type="dxa"/>
                  <w:tcBorders>
                    <w:top w:val="nil"/>
                    <w:left w:val="nil"/>
                    <w:bottom w:val="nil"/>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94.0</w:t>
                  </w:r>
                </w:p>
              </w:tc>
              <w:tc>
                <w:tcPr>
                  <w:tcW w:w="672" w:type="dxa"/>
                  <w:tcBorders>
                    <w:top w:val="nil"/>
                    <w:left w:val="nil"/>
                    <w:bottom w:val="nil"/>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107.8</w:t>
                  </w:r>
                </w:p>
              </w:tc>
              <w:tc>
                <w:tcPr>
                  <w:tcW w:w="580" w:type="dxa"/>
                  <w:tcBorders>
                    <w:top w:val="nil"/>
                    <w:left w:val="nil"/>
                    <w:bottom w:val="nil"/>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59.9</w:t>
                  </w:r>
                </w:p>
              </w:tc>
              <w:tc>
                <w:tcPr>
                  <w:tcW w:w="672" w:type="dxa"/>
                  <w:tcBorders>
                    <w:top w:val="nil"/>
                    <w:left w:val="nil"/>
                    <w:bottom w:val="nil"/>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123.0</w:t>
                  </w:r>
                </w:p>
              </w:tc>
              <w:tc>
                <w:tcPr>
                  <w:tcW w:w="672" w:type="dxa"/>
                  <w:tcBorders>
                    <w:top w:val="nil"/>
                    <w:left w:val="nil"/>
                    <w:bottom w:val="nil"/>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147.3</w:t>
                  </w:r>
                </w:p>
              </w:tc>
              <w:tc>
                <w:tcPr>
                  <w:tcW w:w="672" w:type="dxa"/>
                  <w:tcBorders>
                    <w:top w:val="nil"/>
                    <w:left w:val="nil"/>
                    <w:bottom w:val="nil"/>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103.7</w:t>
                  </w:r>
                </w:p>
              </w:tc>
              <w:tc>
                <w:tcPr>
                  <w:tcW w:w="672" w:type="dxa"/>
                  <w:tcBorders>
                    <w:top w:val="nil"/>
                    <w:left w:val="nil"/>
                    <w:bottom w:val="nil"/>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386.0</w:t>
                  </w:r>
                </w:p>
              </w:tc>
              <w:tc>
                <w:tcPr>
                  <w:tcW w:w="672" w:type="dxa"/>
                  <w:tcBorders>
                    <w:top w:val="nil"/>
                    <w:left w:val="nil"/>
                    <w:bottom w:val="nil"/>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100.0</w:t>
                  </w:r>
                </w:p>
              </w:tc>
            </w:tr>
            <w:tr w:rsidR="006B46D2" w:rsidRPr="00C43CE5" w:rsidTr="00236E06">
              <w:trPr>
                <w:trHeight w:val="315"/>
              </w:trPr>
              <w:tc>
                <w:tcPr>
                  <w:tcW w:w="3177" w:type="dxa"/>
                  <w:tcBorders>
                    <w:top w:val="nil"/>
                    <w:left w:val="nil"/>
                    <w:bottom w:val="nil"/>
                    <w:right w:val="nil"/>
                  </w:tcBorders>
                  <w:shd w:val="clear" w:color="auto" w:fill="auto"/>
                  <w:vAlign w:val="bottom"/>
                  <w:hideMark/>
                </w:tcPr>
                <w:p w:rsidR="006B46D2" w:rsidRPr="00C43CE5" w:rsidRDefault="00117151" w:rsidP="00117151">
                  <w:pPr>
                    <w:keepNext/>
                    <w:keepLines/>
                    <w:tabs>
                      <w:tab w:val="clear" w:pos="567"/>
                    </w:tabs>
                    <w:spacing w:after="0" w:line="240" w:lineRule="auto"/>
                    <w:ind w:left="193" w:hanging="142"/>
                    <w:rPr>
                      <w:rFonts w:ascii="Calibri" w:eastAsia="Times New Roman" w:hAnsi="Calibri" w:cs="Times New Roman"/>
                      <w:sz w:val="20"/>
                      <w:szCs w:val="20"/>
                      <w:lang w:eastAsia="en-AU"/>
                    </w:rPr>
                  </w:pPr>
                  <w:r>
                    <w:rPr>
                      <w:rFonts w:ascii="Calibri" w:eastAsia="Times New Roman" w:hAnsi="Calibri" w:cs="Times New Roman"/>
                      <w:sz w:val="20"/>
                      <w:szCs w:val="20"/>
                      <w:lang w:eastAsia="en-AU"/>
                    </w:rPr>
                    <w:t>P</w:t>
                  </w:r>
                  <w:r w:rsidRPr="00C43CE5">
                    <w:rPr>
                      <w:rFonts w:ascii="Calibri" w:eastAsia="Times New Roman" w:hAnsi="Calibri" w:cs="Times New Roman"/>
                      <w:sz w:val="20"/>
                      <w:szCs w:val="20"/>
                      <w:lang w:eastAsia="en-AU"/>
                    </w:rPr>
                    <w:t xml:space="preserve">ayments </w:t>
                  </w:r>
                  <w:r>
                    <w:rPr>
                      <w:rFonts w:ascii="Calibri" w:eastAsia="Times New Roman" w:hAnsi="Calibri" w:cs="Times New Roman"/>
                      <w:sz w:val="20"/>
                      <w:szCs w:val="20"/>
                      <w:lang w:eastAsia="en-AU"/>
                    </w:rPr>
                    <w:t>for s</w:t>
                  </w:r>
                  <w:r w:rsidR="006B46D2" w:rsidRPr="00C43CE5">
                    <w:rPr>
                      <w:rFonts w:ascii="Calibri" w:eastAsia="Times New Roman" w:hAnsi="Calibri" w:cs="Times New Roman"/>
                      <w:sz w:val="20"/>
                      <w:szCs w:val="20"/>
                      <w:lang w:eastAsia="en-AU"/>
                    </w:rPr>
                    <w:t>pecific purpose (b)</w:t>
                  </w:r>
                </w:p>
              </w:tc>
              <w:tc>
                <w:tcPr>
                  <w:tcW w:w="614" w:type="dxa"/>
                  <w:tcBorders>
                    <w:top w:val="nil"/>
                    <w:left w:val="nil"/>
                    <w:bottom w:val="nil"/>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96.2</w:t>
                  </w:r>
                </w:p>
              </w:tc>
              <w:tc>
                <w:tcPr>
                  <w:tcW w:w="671" w:type="dxa"/>
                  <w:tcBorders>
                    <w:top w:val="nil"/>
                    <w:left w:val="nil"/>
                    <w:bottom w:val="nil"/>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100.2</w:t>
                  </w:r>
                </w:p>
              </w:tc>
              <w:tc>
                <w:tcPr>
                  <w:tcW w:w="672" w:type="dxa"/>
                  <w:tcBorders>
                    <w:top w:val="nil"/>
                    <w:left w:val="nil"/>
                    <w:bottom w:val="nil"/>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101.1</w:t>
                  </w:r>
                </w:p>
              </w:tc>
              <w:tc>
                <w:tcPr>
                  <w:tcW w:w="580" w:type="dxa"/>
                  <w:tcBorders>
                    <w:top w:val="nil"/>
                    <w:left w:val="nil"/>
                    <w:bottom w:val="nil"/>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99.0</w:t>
                  </w:r>
                </w:p>
              </w:tc>
              <w:tc>
                <w:tcPr>
                  <w:tcW w:w="672" w:type="dxa"/>
                  <w:tcBorders>
                    <w:top w:val="nil"/>
                    <w:left w:val="nil"/>
                    <w:bottom w:val="nil"/>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105.8</w:t>
                  </w:r>
                </w:p>
              </w:tc>
              <w:tc>
                <w:tcPr>
                  <w:tcW w:w="672" w:type="dxa"/>
                  <w:tcBorders>
                    <w:top w:val="nil"/>
                    <w:left w:val="nil"/>
                    <w:bottom w:val="nil"/>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102.2</w:t>
                  </w:r>
                </w:p>
              </w:tc>
              <w:tc>
                <w:tcPr>
                  <w:tcW w:w="672" w:type="dxa"/>
                  <w:tcBorders>
                    <w:top w:val="nil"/>
                    <w:left w:val="nil"/>
                    <w:bottom w:val="nil"/>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95.8</w:t>
                  </w:r>
                </w:p>
              </w:tc>
              <w:tc>
                <w:tcPr>
                  <w:tcW w:w="672" w:type="dxa"/>
                  <w:tcBorders>
                    <w:top w:val="nil"/>
                    <w:left w:val="nil"/>
                    <w:bottom w:val="nil"/>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162.1</w:t>
                  </w:r>
                </w:p>
              </w:tc>
              <w:tc>
                <w:tcPr>
                  <w:tcW w:w="672" w:type="dxa"/>
                  <w:tcBorders>
                    <w:top w:val="nil"/>
                    <w:left w:val="nil"/>
                    <w:bottom w:val="nil"/>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100.0</w:t>
                  </w:r>
                </w:p>
              </w:tc>
            </w:tr>
            <w:tr w:rsidR="006B46D2" w:rsidRPr="00C43CE5" w:rsidTr="00236E06">
              <w:trPr>
                <w:trHeight w:val="315"/>
              </w:trPr>
              <w:tc>
                <w:tcPr>
                  <w:tcW w:w="3177" w:type="dxa"/>
                  <w:tcBorders>
                    <w:top w:val="nil"/>
                    <w:left w:val="nil"/>
                    <w:bottom w:val="single" w:sz="4" w:space="0" w:color="auto"/>
                    <w:right w:val="nil"/>
                  </w:tcBorders>
                  <w:shd w:val="clear" w:color="auto" w:fill="auto"/>
                  <w:noWrap/>
                  <w:vAlign w:val="bottom"/>
                  <w:hideMark/>
                </w:tcPr>
                <w:p w:rsidR="006B46D2" w:rsidRPr="00C43CE5" w:rsidRDefault="006B46D2" w:rsidP="00236E06">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GST requirement</w:t>
                  </w:r>
                </w:p>
              </w:tc>
              <w:tc>
                <w:tcPr>
                  <w:tcW w:w="614" w:type="dxa"/>
                  <w:tcBorders>
                    <w:top w:val="nil"/>
                    <w:left w:val="nil"/>
                    <w:bottom w:val="single" w:sz="4" w:space="0" w:color="auto"/>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94.7</w:t>
                  </w:r>
                </w:p>
              </w:tc>
              <w:tc>
                <w:tcPr>
                  <w:tcW w:w="671" w:type="dxa"/>
                  <w:tcBorders>
                    <w:top w:val="nil"/>
                    <w:left w:val="nil"/>
                    <w:bottom w:val="single" w:sz="4" w:space="0" w:color="auto"/>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89.3</w:t>
                  </w:r>
                </w:p>
              </w:tc>
              <w:tc>
                <w:tcPr>
                  <w:tcW w:w="672" w:type="dxa"/>
                  <w:tcBorders>
                    <w:top w:val="nil"/>
                    <w:left w:val="nil"/>
                    <w:bottom w:val="single" w:sz="4" w:space="0" w:color="auto"/>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112.8</w:t>
                  </w:r>
                </w:p>
              </w:tc>
              <w:tc>
                <w:tcPr>
                  <w:tcW w:w="580" w:type="dxa"/>
                  <w:tcBorders>
                    <w:top w:val="nil"/>
                    <w:left w:val="nil"/>
                    <w:bottom w:val="single" w:sz="4" w:space="0" w:color="auto"/>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30.0</w:t>
                  </w:r>
                </w:p>
              </w:tc>
              <w:tc>
                <w:tcPr>
                  <w:tcW w:w="672" w:type="dxa"/>
                  <w:tcBorders>
                    <w:top w:val="nil"/>
                    <w:left w:val="nil"/>
                    <w:bottom w:val="single" w:sz="4" w:space="0" w:color="auto"/>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135.9</w:t>
                  </w:r>
                </w:p>
              </w:tc>
              <w:tc>
                <w:tcPr>
                  <w:tcW w:w="672" w:type="dxa"/>
                  <w:tcBorders>
                    <w:top w:val="nil"/>
                    <w:left w:val="nil"/>
                    <w:bottom w:val="single" w:sz="4" w:space="0" w:color="auto"/>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181.9</w:t>
                  </w:r>
                </w:p>
              </w:tc>
              <w:tc>
                <w:tcPr>
                  <w:tcW w:w="672" w:type="dxa"/>
                  <w:tcBorders>
                    <w:top w:val="nil"/>
                    <w:left w:val="nil"/>
                    <w:bottom w:val="single" w:sz="4" w:space="0" w:color="auto"/>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110.0</w:t>
                  </w:r>
                </w:p>
              </w:tc>
              <w:tc>
                <w:tcPr>
                  <w:tcW w:w="672" w:type="dxa"/>
                  <w:tcBorders>
                    <w:top w:val="nil"/>
                    <w:left w:val="nil"/>
                    <w:bottom w:val="single" w:sz="4" w:space="0" w:color="auto"/>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557.1</w:t>
                  </w:r>
                </w:p>
              </w:tc>
              <w:tc>
                <w:tcPr>
                  <w:tcW w:w="672" w:type="dxa"/>
                  <w:tcBorders>
                    <w:top w:val="nil"/>
                    <w:left w:val="nil"/>
                    <w:bottom w:val="single" w:sz="4" w:space="0" w:color="auto"/>
                    <w:right w:val="nil"/>
                  </w:tcBorders>
                  <w:shd w:val="clear" w:color="auto" w:fill="auto"/>
                  <w:vAlign w:val="bottom"/>
                  <w:hideMark/>
                </w:tcPr>
                <w:p w:rsidR="006B46D2" w:rsidRPr="00C43CE5" w:rsidRDefault="006B46D2" w:rsidP="00236E06">
                  <w:pPr>
                    <w:keepNext/>
                    <w:keepLines/>
                    <w:tabs>
                      <w:tab w:val="clear" w:pos="567"/>
                    </w:tabs>
                    <w:spacing w:after="0" w:line="240" w:lineRule="auto"/>
                    <w:jc w:val="right"/>
                    <w:rPr>
                      <w:rFonts w:ascii="Calibri" w:eastAsia="Times New Roman" w:hAnsi="Calibri" w:cs="Times New Roman"/>
                      <w:sz w:val="20"/>
                      <w:szCs w:val="20"/>
                      <w:lang w:eastAsia="en-AU"/>
                    </w:rPr>
                  </w:pPr>
                  <w:r w:rsidRPr="00C43CE5">
                    <w:rPr>
                      <w:rFonts w:ascii="Calibri" w:eastAsia="Times New Roman" w:hAnsi="Calibri" w:cs="Times New Roman"/>
                      <w:sz w:val="20"/>
                      <w:szCs w:val="20"/>
                      <w:lang w:eastAsia="en-AU"/>
                    </w:rPr>
                    <w:t>100.0</w:t>
                  </w:r>
                </w:p>
              </w:tc>
            </w:tr>
          </w:tbl>
          <w:p w:rsidR="00037390" w:rsidRPr="00123B11" w:rsidRDefault="00037390" w:rsidP="008256D5">
            <w:pPr>
              <w:pStyle w:val="CGCTableFootnote"/>
              <w:keepNext/>
              <w:keepLines/>
            </w:pPr>
            <w:r w:rsidRPr="00123B11">
              <w:t>(a)</w:t>
            </w:r>
            <w:r w:rsidRPr="00123B11">
              <w:tab/>
              <w:t xml:space="preserve">The assessed total requirement for Commonwealth assistance is the average over the three assessment years, expressed as a proportion of </w:t>
            </w:r>
            <w:r w:rsidR="00E426A1">
              <w:t>the average.</w:t>
            </w:r>
          </w:p>
          <w:p w:rsidR="00037390" w:rsidRPr="00123B11" w:rsidRDefault="00037390" w:rsidP="008256D5">
            <w:pPr>
              <w:pStyle w:val="CGCTableFootnote"/>
            </w:pPr>
            <w:r w:rsidRPr="00123B11">
              <w:t>(b)</w:t>
            </w:r>
            <w:r w:rsidRPr="00123B11">
              <w:tab/>
              <w:t>Includes national SPPs and NPPs.</w:t>
            </w:r>
          </w:p>
          <w:p w:rsidR="00037390" w:rsidRPr="00123B11" w:rsidRDefault="00037390" w:rsidP="008256D5">
            <w:pPr>
              <w:pStyle w:val="StyleBodyText2Body"/>
              <w:tabs>
                <w:tab w:val="clear" w:pos="1440"/>
                <w:tab w:val="left" w:pos="851"/>
              </w:tabs>
              <w:spacing w:before="0" w:after="120"/>
              <w:rPr>
                <w:szCs w:val="20"/>
              </w:rPr>
            </w:pPr>
            <w:r w:rsidRPr="00123B11">
              <w:rPr>
                <w:szCs w:val="20"/>
              </w:rPr>
              <w:t>Source:</w:t>
            </w:r>
            <w:r w:rsidRPr="00123B11">
              <w:rPr>
                <w:szCs w:val="20"/>
              </w:rPr>
              <w:tab/>
              <w:t>Commission calculation.</w:t>
            </w:r>
          </w:p>
          <w:p w:rsidR="00037390" w:rsidRPr="00123B11" w:rsidRDefault="00037390" w:rsidP="008E495D">
            <w:pPr>
              <w:keepNext/>
              <w:keepLines/>
              <w:tabs>
                <w:tab w:val="clear" w:pos="567"/>
                <w:tab w:val="left" w:pos="2160"/>
                <w:tab w:val="left" w:pos="2880"/>
              </w:tabs>
              <w:spacing w:before="120" w:after="120"/>
              <w:rPr>
                <w:szCs w:val="21"/>
              </w:rPr>
            </w:pPr>
            <w:r w:rsidRPr="00123B11">
              <w:rPr>
                <w:szCs w:val="21"/>
              </w:rPr>
              <w:t>For example, Western Australia’s substantially above average own</w:t>
            </w:r>
            <w:r w:rsidRPr="00123B11">
              <w:rPr>
                <w:szCs w:val="21"/>
              </w:rPr>
              <w:noBreakHyphen/>
              <w:t xml:space="preserve">source revenue raising capacity means it has the lowest requirement for Commonwealth funding to meet its spending needs and achieve fiscal equalisation, at </w:t>
            </w:r>
            <w:r w:rsidR="00117151">
              <w:rPr>
                <w:szCs w:val="21"/>
              </w:rPr>
              <w:t>60</w:t>
            </w:r>
            <w:r w:rsidRPr="00123B11">
              <w:rPr>
                <w:szCs w:val="21"/>
              </w:rPr>
              <w:t xml:space="preserve">% of the national average. Western Australia received marginally </w:t>
            </w:r>
            <w:r w:rsidR="00117151">
              <w:rPr>
                <w:szCs w:val="21"/>
              </w:rPr>
              <w:t xml:space="preserve">below </w:t>
            </w:r>
            <w:r w:rsidRPr="00123B11">
              <w:rPr>
                <w:szCs w:val="21"/>
              </w:rPr>
              <w:t>the average level of assessed payments for specific purposes from 201</w:t>
            </w:r>
            <w:r w:rsidR="00117151">
              <w:rPr>
                <w:szCs w:val="21"/>
              </w:rPr>
              <w:t>1</w:t>
            </w:r>
            <w:r w:rsidRPr="00123B11">
              <w:rPr>
                <w:szCs w:val="21"/>
              </w:rPr>
              <w:t>-1</w:t>
            </w:r>
            <w:r w:rsidR="00117151">
              <w:rPr>
                <w:szCs w:val="21"/>
              </w:rPr>
              <w:t>2</w:t>
            </w:r>
            <w:r w:rsidRPr="00123B11">
              <w:rPr>
                <w:szCs w:val="21"/>
              </w:rPr>
              <w:t xml:space="preserve"> to 201</w:t>
            </w:r>
            <w:r w:rsidR="00117151">
              <w:rPr>
                <w:szCs w:val="21"/>
              </w:rPr>
              <w:t>3</w:t>
            </w:r>
            <w:r w:rsidRPr="00123B11">
              <w:rPr>
                <w:szCs w:val="21"/>
              </w:rPr>
              <w:t>-1</w:t>
            </w:r>
            <w:r w:rsidR="00117151">
              <w:rPr>
                <w:szCs w:val="21"/>
              </w:rPr>
              <w:t>4</w:t>
            </w:r>
            <w:r w:rsidRPr="00123B11">
              <w:rPr>
                <w:szCs w:val="21"/>
              </w:rPr>
              <w:t xml:space="preserve"> and is assessed as needing only </w:t>
            </w:r>
            <w:r w:rsidR="00C82029">
              <w:rPr>
                <w:szCs w:val="21"/>
              </w:rPr>
              <w:t>30</w:t>
            </w:r>
            <w:r w:rsidRPr="00123B11">
              <w:rPr>
                <w:szCs w:val="21"/>
              </w:rPr>
              <w:t>% of the average GST payment.</w:t>
            </w:r>
          </w:p>
          <w:p w:rsidR="00037390" w:rsidRDefault="00037390" w:rsidP="008E495D">
            <w:pPr>
              <w:spacing w:before="120" w:after="120"/>
            </w:pPr>
            <w:r w:rsidRPr="00123B11">
              <w:rPr>
                <w:szCs w:val="21"/>
              </w:rPr>
              <w:t xml:space="preserve">Put another way, Western Australia’s strong revenue raising capacity means its </w:t>
            </w:r>
            <w:r w:rsidR="00117151" w:rsidRPr="00123B11">
              <w:rPr>
                <w:szCs w:val="21"/>
              </w:rPr>
              <w:t>payments for specific purposes</w:t>
            </w:r>
            <w:r w:rsidRPr="00123B11">
              <w:rPr>
                <w:szCs w:val="21"/>
              </w:rPr>
              <w:t xml:space="preserve"> cover </w:t>
            </w:r>
            <w:r>
              <w:rPr>
                <w:szCs w:val="21"/>
              </w:rPr>
              <w:t>67</w:t>
            </w:r>
            <w:r w:rsidRPr="00123B11">
              <w:rPr>
                <w:szCs w:val="21"/>
              </w:rPr>
              <w:t xml:space="preserve">% of its total assessed Commonwealth assistance, with its GST requirement making up the remaining </w:t>
            </w:r>
            <w:r>
              <w:rPr>
                <w:szCs w:val="21"/>
              </w:rPr>
              <w:t>33</w:t>
            </w:r>
            <w:r w:rsidRPr="00123B11">
              <w:rPr>
                <w:szCs w:val="21"/>
              </w:rPr>
              <w:t xml:space="preserve">%. In contrast, the Northern Territory’s very high cost of delivering the average level of service means its well above average per capita </w:t>
            </w:r>
            <w:r w:rsidR="00117151" w:rsidRPr="00123B11">
              <w:rPr>
                <w:szCs w:val="21"/>
              </w:rPr>
              <w:t>payments for specific purposes</w:t>
            </w:r>
            <w:r w:rsidRPr="00123B11">
              <w:rPr>
                <w:szCs w:val="21"/>
              </w:rPr>
              <w:t xml:space="preserve"> meet less than </w:t>
            </w:r>
            <w:r>
              <w:rPr>
                <w:szCs w:val="21"/>
              </w:rPr>
              <w:t>16</w:t>
            </w:r>
            <w:r w:rsidRPr="00123B11">
              <w:rPr>
                <w:szCs w:val="21"/>
              </w:rPr>
              <w:t>% of its total assessed Commonwealth assistance, with the GST having to meet the remainder.</w:t>
            </w:r>
          </w:p>
        </w:tc>
      </w:tr>
    </w:tbl>
    <w:p w:rsidR="00037390" w:rsidRPr="00123B11" w:rsidRDefault="00037390" w:rsidP="00037390">
      <w:pPr>
        <w:pStyle w:val="Heading3"/>
      </w:pPr>
      <w:bookmarkStart w:id="601" w:name="_Toc411924610"/>
      <w:bookmarkEnd w:id="597"/>
      <w:bookmarkEnd w:id="598"/>
      <w:r w:rsidRPr="00123B11">
        <w:lastRenderedPageBreak/>
        <w:t xml:space="preserve">Main </w:t>
      </w:r>
      <w:r w:rsidR="000F7939">
        <w:t>f</w:t>
      </w:r>
      <w:r w:rsidRPr="00123B11">
        <w:t>iscal differ</w:t>
      </w:r>
      <w:r w:rsidR="000F7939">
        <w:t>e</w:t>
      </w:r>
      <w:r w:rsidRPr="00123B11">
        <w:t xml:space="preserve">nces </w:t>
      </w:r>
      <w:r w:rsidR="00987084">
        <w:t>by</w:t>
      </w:r>
      <w:r w:rsidRPr="00123B11">
        <w:t xml:space="preserve"> category</w:t>
      </w:r>
      <w:bookmarkEnd w:id="601"/>
    </w:p>
    <w:p w:rsidR="00037390" w:rsidRPr="00123B11" w:rsidRDefault="00037390" w:rsidP="00037390">
      <w:pPr>
        <w:pStyle w:val="CGCNumberedPara"/>
        <w:numPr>
          <w:ilvl w:val="1"/>
          <w:numId w:val="2"/>
        </w:numPr>
      </w:pPr>
      <w:r w:rsidRPr="00123B11">
        <w:t xml:space="preserve">State fiscal capacities vary by category of revenue and expenditure because the different drivers, discussed in the first part of this chapter, affect them differently. For example, differences in socio-economic status of State populations have a large impact in the Health category but no impact in the Services to industry category. </w:t>
      </w:r>
      <w:r w:rsidRPr="00123B11">
        <w:fldChar w:fldCharType="begin"/>
      </w:r>
      <w:r w:rsidRPr="00123B11">
        <w:instrText xml:space="preserve"> REF _Ref395104490 \h  \* MERGEFORMAT </w:instrText>
      </w:r>
      <w:r w:rsidRPr="00123B11">
        <w:fldChar w:fldCharType="separate"/>
      </w:r>
      <w:r w:rsidR="003A5DEE" w:rsidRPr="00123B11">
        <w:t xml:space="preserve">Table </w:t>
      </w:r>
      <w:r w:rsidR="003A5DEE">
        <w:rPr>
          <w:noProof/>
        </w:rPr>
        <w:t>13</w:t>
      </w:r>
      <w:r w:rsidRPr="00123B11">
        <w:fldChar w:fldCharType="end"/>
      </w:r>
      <w:r w:rsidRPr="00123B11">
        <w:t xml:space="preserve"> provides a summary of how the fiscal capacity of each State differs from equal per capita in relation to each revenue</w:t>
      </w:r>
      <w:r>
        <w:t xml:space="preserve"> and expenditure category</w:t>
      </w:r>
      <w:r w:rsidRPr="00123B11">
        <w:t xml:space="preserve">. </w:t>
      </w:r>
      <w:r>
        <w:t xml:space="preserve">Volume 2 </w:t>
      </w:r>
      <w:r w:rsidR="0030325C">
        <w:t xml:space="preserve">explains </w:t>
      </w:r>
      <w:r w:rsidRPr="00123B11">
        <w:t>how the Commission has measured differences in State fiscal capacities for each category, the main drivers for each and how they would cause each State to raise or spend more or less than the average if they all adopted average revenue raising</w:t>
      </w:r>
      <w:r w:rsidR="00760E36">
        <w:t xml:space="preserve"> and service delivery policies.</w:t>
      </w:r>
    </w:p>
    <w:p w:rsidR="00037390" w:rsidRPr="00123B11" w:rsidRDefault="00037390" w:rsidP="00037390">
      <w:pPr>
        <w:pStyle w:val="CGCTableHeading"/>
      </w:pPr>
      <w:bookmarkStart w:id="602" w:name="_Ref395104490"/>
      <w:r w:rsidRPr="00123B11">
        <w:t xml:space="preserve">Table </w:t>
      </w:r>
      <w:fldSimple w:instr=" SEQ Table \* ARABIC ">
        <w:r w:rsidR="003A5DEE">
          <w:rPr>
            <w:noProof/>
          </w:rPr>
          <w:t>13</w:t>
        </w:r>
      </w:fldSimple>
      <w:bookmarkEnd w:id="602"/>
      <w:r w:rsidRPr="00123B11">
        <w:tab/>
        <w:t>Contribution of each revenue and expenditure category to differences in fiscal capacity, 2015-16</w:t>
      </w:r>
    </w:p>
    <w:tbl>
      <w:tblPr>
        <w:tblW w:w="8980" w:type="dxa"/>
        <w:tblInd w:w="93" w:type="dxa"/>
        <w:tblLook w:val="04A0" w:firstRow="1" w:lastRow="0" w:firstColumn="1" w:lastColumn="0" w:noHBand="0" w:noVBand="1"/>
      </w:tblPr>
      <w:tblGrid>
        <w:gridCol w:w="2600"/>
        <w:gridCol w:w="740"/>
        <w:gridCol w:w="740"/>
        <w:gridCol w:w="680"/>
        <w:gridCol w:w="740"/>
        <w:gridCol w:w="680"/>
        <w:gridCol w:w="680"/>
        <w:gridCol w:w="640"/>
        <w:gridCol w:w="680"/>
        <w:gridCol w:w="800"/>
      </w:tblGrid>
      <w:tr w:rsidR="006B46D2" w:rsidRPr="00241F3F" w:rsidTr="00236E06">
        <w:trPr>
          <w:trHeight w:val="379"/>
        </w:trPr>
        <w:tc>
          <w:tcPr>
            <w:tcW w:w="260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 </w:t>
            </w:r>
          </w:p>
        </w:tc>
        <w:tc>
          <w:tcPr>
            <w:tcW w:w="74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NSW</w:t>
            </w:r>
          </w:p>
        </w:tc>
        <w:tc>
          <w:tcPr>
            <w:tcW w:w="74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Vic</w:t>
            </w:r>
          </w:p>
        </w:tc>
        <w:tc>
          <w:tcPr>
            <w:tcW w:w="68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Qld</w:t>
            </w:r>
          </w:p>
        </w:tc>
        <w:tc>
          <w:tcPr>
            <w:tcW w:w="74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WA</w:t>
            </w:r>
          </w:p>
        </w:tc>
        <w:tc>
          <w:tcPr>
            <w:tcW w:w="68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SA</w:t>
            </w:r>
          </w:p>
        </w:tc>
        <w:tc>
          <w:tcPr>
            <w:tcW w:w="68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proofErr w:type="spellStart"/>
            <w:r w:rsidRPr="00241F3F">
              <w:rPr>
                <w:rFonts w:ascii="Calibri" w:eastAsia="Times New Roman" w:hAnsi="Calibri" w:cs="Times New Roman"/>
                <w:sz w:val="20"/>
                <w:szCs w:val="20"/>
                <w:lang w:eastAsia="en-AU"/>
              </w:rPr>
              <w:t>Tas</w:t>
            </w:r>
            <w:proofErr w:type="spellEnd"/>
          </w:p>
        </w:tc>
        <w:tc>
          <w:tcPr>
            <w:tcW w:w="64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ACT</w:t>
            </w:r>
          </w:p>
        </w:tc>
        <w:tc>
          <w:tcPr>
            <w:tcW w:w="680" w:type="dxa"/>
            <w:tcBorders>
              <w:top w:val="single" w:sz="4" w:space="0" w:color="auto"/>
              <w:left w:val="nil"/>
              <w:bottom w:val="single" w:sz="4" w:space="0" w:color="auto"/>
              <w:right w:val="nil"/>
            </w:tcBorders>
            <w:shd w:val="clear" w:color="auto" w:fill="auto"/>
            <w:noWrap/>
            <w:vAlign w:val="center"/>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NT</w:t>
            </w:r>
          </w:p>
        </w:tc>
        <w:tc>
          <w:tcPr>
            <w:tcW w:w="800" w:type="dxa"/>
            <w:tcBorders>
              <w:top w:val="single" w:sz="4" w:space="0" w:color="auto"/>
              <w:left w:val="nil"/>
              <w:bottom w:val="single" w:sz="4" w:space="0" w:color="auto"/>
              <w:right w:val="nil"/>
            </w:tcBorders>
            <w:shd w:val="clear" w:color="auto" w:fill="auto"/>
            <w:noWrap/>
            <w:vAlign w:val="center"/>
            <w:hideMark/>
          </w:tcPr>
          <w:p w:rsidR="006B46D2" w:rsidRPr="00241F3F" w:rsidRDefault="00EB4770" w:rsidP="006B46D2">
            <w:pPr>
              <w:keepNext/>
              <w:tabs>
                <w:tab w:val="clear" w:pos="567"/>
              </w:tabs>
              <w:spacing w:after="0" w:line="240" w:lineRule="auto"/>
              <w:jc w:val="right"/>
              <w:rPr>
                <w:rFonts w:ascii="Calibri" w:eastAsia="Times New Roman" w:hAnsi="Calibri" w:cs="Times New Roman"/>
                <w:sz w:val="20"/>
                <w:szCs w:val="20"/>
                <w:lang w:eastAsia="en-AU"/>
              </w:rPr>
            </w:pPr>
            <w:proofErr w:type="spellStart"/>
            <w:r>
              <w:rPr>
                <w:rFonts w:ascii="Calibri" w:eastAsia="Times New Roman" w:hAnsi="Calibri" w:cs="Times New Roman"/>
                <w:sz w:val="20"/>
                <w:szCs w:val="20"/>
                <w:lang w:eastAsia="en-AU"/>
              </w:rPr>
              <w:t>Redist</w:t>
            </w:r>
            <w:proofErr w:type="spellEnd"/>
          </w:p>
        </w:tc>
      </w:tr>
      <w:tr w:rsidR="006B46D2" w:rsidRPr="00241F3F" w:rsidTr="00236E06">
        <w:trPr>
          <w:trHeight w:val="259"/>
        </w:trPr>
        <w:tc>
          <w:tcPr>
            <w:tcW w:w="26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AB19C7">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 xml:space="preserve">Payroll </w:t>
            </w:r>
            <w:r w:rsidR="00AB19C7">
              <w:rPr>
                <w:rFonts w:ascii="Calibri" w:eastAsia="Times New Roman" w:hAnsi="Calibri" w:cs="Times New Roman"/>
                <w:sz w:val="20"/>
                <w:szCs w:val="20"/>
                <w:lang w:eastAsia="en-AU"/>
              </w:rPr>
              <w:t>t</w:t>
            </w:r>
            <w:r w:rsidRPr="00241F3F">
              <w:rPr>
                <w:rFonts w:ascii="Calibri" w:eastAsia="Times New Roman" w:hAnsi="Calibri" w:cs="Times New Roman"/>
                <w:sz w:val="20"/>
                <w:szCs w:val="20"/>
                <w:lang w:eastAsia="en-AU"/>
              </w:rPr>
              <w:t>ax</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-145</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460</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205</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-1 114</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387</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208</w:t>
            </w:r>
          </w:p>
        </w:tc>
        <w:tc>
          <w:tcPr>
            <w:tcW w:w="6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-18</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16</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1 276</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AB19C7">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 xml:space="preserve">Land </w:t>
            </w:r>
            <w:r w:rsidR="00AB19C7">
              <w:rPr>
                <w:rFonts w:ascii="Calibri" w:eastAsia="Times New Roman" w:hAnsi="Calibri" w:cs="Times New Roman"/>
                <w:sz w:val="20"/>
                <w:szCs w:val="20"/>
                <w:lang w:eastAsia="en-AU"/>
              </w:rPr>
              <w:t>t</w:t>
            </w:r>
            <w:r w:rsidRPr="00241F3F">
              <w:rPr>
                <w:rFonts w:ascii="Calibri" w:eastAsia="Times New Roman" w:hAnsi="Calibri" w:cs="Times New Roman"/>
                <w:sz w:val="20"/>
                <w:szCs w:val="20"/>
                <w:lang w:eastAsia="en-AU"/>
              </w:rPr>
              <w:t>ax</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36</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-122</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-31</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-269</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229</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81</w:t>
            </w:r>
          </w:p>
        </w:tc>
        <w:tc>
          <w:tcPr>
            <w:tcW w:w="6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53</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23</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422</w:t>
            </w:r>
          </w:p>
        </w:tc>
      </w:tr>
      <w:tr w:rsidR="006B46D2" w:rsidRPr="00241F3F" w:rsidTr="00236E06">
        <w:trPr>
          <w:trHeight w:val="315"/>
        </w:trPr>
        <w:tc>
          <w:tcPr>
            <w:tcW w:w="260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Stamp duty</w:t>
            </w:r>
          </w:p>
        </w:tc>
        <w:tc>
          <w:tcPr>
            <w:tcW w:w="74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-638</w:t>
            </w:r>
          </w:p>
        </w:tc>
        <w:tc>
          <w:tcPr>
            <w:tcW w:w="74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-9</w:t>
            </w:r>
          </w:p>
        </w:tc>
        <w:tc>
          <w:tcPr>
            <w:tcW w:w="68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198</w:t>
            </w:r>
          </w:p>
        </w:tc>
        <w:tc>
          <w:tcPr>
            <w:tcW w:w="74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-314</w:t>
            </w:r>
          </w:p>
        </w:tc>
        <w:tc>
          <w:tcPr>
            <w:tcW w:w="68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514</w:t>
            </w:r>
          </w:p>
        </w:tc>
        <w:tc>
          <w:tcPr>
            <w:tcW w:w="68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190</w:t>
            </w:r>
          </w:p>
        </w:tc>
        <w:tc>
          <w:tcPr>
            <w:tcW w:w="64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18</w:t>
            </w:r>
          </w:p>
        </w:tc>
        <w:tc>
          <w:tcPr>
            <w:tcW w:w="68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42</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961</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AB19C7">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 xml:space="preserve">Insurance </w:t>
            </w:r>
            <w:r w:rsidR="00AB19C7">
              <w:rPr>
                <w:rFonts w:ascii="Calibri" w:eastAsia="Times New Roman" w:hAnsi="Calibri" w:cs="Times New Roman"/>
                <w:sz w:val="20"/>
                <w:szCs w:val="20"/>
                <w:lang w:eastAsia="en-AU"/>
              </w:rPr>
              <w:t>t</w:t>
            </w:r>
            <w:r w:rsidRPr="00241F3F">
              <w:rPr>
                <w:rFonts w:ascii="Calibri" w:eastAsia="Times New Roman" w:hAnsi="Calibri" w:cs="Times New Roman"/>
                <w:sz w:val="20"/>
                <w:szCs w:val="20"/>
                <w:lang w:eastAsia="en-AU"/>
              </w:rPr>
              <w:t>ax</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-146</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101</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11</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23</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-36</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26</w:t>
            </w:r>
          </w:p>
        </w:tc>
        <w:tc>
          <w:tcPr>
            <w:tcW w:w="6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14</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8</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183</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AB19C7">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 xml:space="preserve">Motor </w:t>
            </w:r>
            <w:r w:rsidR="00AB19C7">
              <w:rPr>
                <w:rFonts w:ascii="Calibri" w:eastAsia="Times New Roman" w:hAnsi="Calibri" w:cs="Times New Roman"/>
                <w:sz w:val="20"/>
                <w:szCs w:val="20"/>
                <w:lang w:eastAsia="en-AU"/>
              </w:rPr>
              <w:t>t</w:t>
            </w:r>
            <w:r w:rsidRPr="00241F3F">
              <w:rPr>
                <w:rFonts w:ascii="Calibri" w:eastAsia="Times New Roman" w:hAnsi="Calibri" w:cs="Times New Roman"/>
                <w:sz w:val="20"/>
                <w:szCs w:val="20"/>
                <w:lang w:eastAsia="en-AU"/>
              </w:rPr>
              <w:t>axes</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270</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-57</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-66</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-128</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-26</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-20</w:t>
            </w:r>
          </w:p>
        </w:tc>
        <w:tc>
          <w:tcPr>
            <w:tcW w:w="6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18</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9</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297</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Mining revenue</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2 262</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2 993</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-274</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-5 911</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529</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209</w:t>
            </w:r>
          </w:p>
        </w:tc>
        <w:tc>
          <w:tcPr>
            <w:tcW w:w="6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205</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-12</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6 197</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AB19C7">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 xml:space="preserve">Other </w:t>
            </w:r>
            <w:r w:rsidR="00AB19C7">
              <w:rPr>
                <w:rFonts w:ascii="Calibri" w:eastAsia="Times New Roman" w:hAnsi="Calibri" w:cs="Times New Roman"/>
                <w:sz w:val="20"/>
                <w:szCs w:val="20"/>
                <w:lang w:eastAsia="en-AU"/>
              </w:rPr>
              <w:t>r</w:t>
            </w:r>
            <w:r w:rsidRPr="00241F3F">
              <w:rPr>
                <w:rFonts w:ascii="Calibri" w:eastAsia="Times New Roman" w:hAnsi="Calibri" w:cs="Times New Roman"/>
                <w:sz w:val="20"/>
                <w:szCs w:val="20"/>
                <w:lang w:eastAsia="en-AU"/>
              </w:rPr>
              <w:t>evenue</w:t>
            </w:r>
          </w:p>
        </w:tc>
        <w:tc>
          <w:tcPr>
            <w:tcW w:w="740" w:type="dxa"/>
            <w:tcBorders>
              <w:top w:val="nil"/>
              <w:left w:val="nil"/>
              <w:bottom w:val="single" w:sz="4" w:space="0" w:color="auto"/>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0</w:t>
            </w:r>
          </w:p>
        </w:tc>
        <w:tc>
          <w:tcPr>
            <w:tcW w:w="740" w:type="dxa"/>
            <w:tcBorders>
              <w:top w:val="nil"/>
              <w:left w:val="nil"/>
              <w:bottom w:val="single" w:sz="4" w:space="0" w:color="auto"/>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0</w:t>
            </w:r>
          </w:p>
        </w:tc>
        <w:tc>
          <w:tcPr>
            <w:tcW w:w="680" w:type="dxa"/>
            <w:tcBorders>
              <w:top w:val="nil"/>
              <w:left w:val="nil"/>
              <w:bottom w:val="single" w:sz="4" w:space="0" w:color="auto"/>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0</w:t>
            </w:r>
          </w:p>
        </w:tc>
        <w:tc>
          <w:tcPr>
            <w:tcW w:w="740" w:type="dxa"/>
            <w:tcBorders>
              <w:top w:val="nil"/>
              <w:left w:val="nil"/>
              <w:bottom w:val="single" w:sz="4" w:space="0" w:color="auto"/>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0</w:t>
            </w:r>
          </w:p>
        </w:tc>
        <w:tc>
          <w:tcPr>
            <w:tcW w:w="680" w:type="dxa"/>
            <w:tcBorders>
              <w:top w:val="nil"/>
              <w:left w:val="nil"/>
              <w:bottom w:val="single" w:sz="4" w:space="0" w:color="auto"/>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0</w:t>
            </w:r>
          </w:p>
        </w:tc>
        <w:tc>
          <w:tcPr>
            <w:tcW w:w="680" w:type="dxa"/>
            <w:tcBorders>
              <w:top w:val="nil"/>
              <w:left w:val="nil"/>
              <w:bottom w:val="single" w:sz="4" w:space="0" w:color="auto"/>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0</w:t>
            </w:r>
          </w:p>
        </w:tc>
        <w:tc>
          <w:tcPr>
            <w:tcW w:w="640" w:type="dxa"/>
            <w:tcBorders>
              <w:top w:val="nil"/>
              <w:left w:val="nil"/>
              <w:bottom w:val="single" w:sz="4" w:space="0" w:color="auto"/>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0</w:t>
            </w:r>
          </w:p>
        </w:tc>
        <w:tc>
          <w:tcPr>
            <w:tcW w:w="680" w:type="dxa"/>
            <w:tcBorders>
              <w:top w:val="nil"/>
              <w:left w:val="nil"/>
              <w:bottom w:val="single" w:sz="4" w:space="0" w:color="auto"/>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0</w:t>
            </w:r>
          </w:p>
        </w:tc>
        <w:tc>
          <w:tcPr>
            <w:tcW w:w="800" w:type="dxa"/>
            <w:tcBorders>
              <w:top w:val="nil"/>
              <w:left w:val="nil"/>
              <w:bottom w:val="single" w:sz="4" w:space="0" w:color="auto"/>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0</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rPr>
                <w:rFonts w:ascii="Calibri" w:eastAsia="Times New Roman" w:hAnsi="Calibri" w:cs="Times New Roman"/>
                <w:b/>
                <w:bCs/>
                <w:sz w:val="20"/>
                <w:szCs w:val="20"/>
                <w:lang w:eastAsia="en-AU"/>
              </w:rPr>
            </w:pPr>
            <w:r w:rsidRPr="00241F3F">
              <w:rPr>
                <w:rFonts w:ascii="Calibri" w:eastAsia="Times New Roman" w:hAnsi="Calibri" w:cs="Times New Roman"/>
                <w:b/>
                <w:bCs/>
                <w:sz w:val="20"/>
                <w:szCs w:val="20"/>
                <w:lang w:eastAsia="en-AU"/>
              </w:rPr>
              <w:t>Total revenue</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1 638</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3 366</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43</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-7 714</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1 598</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694</w:t>
            </w:r>
          </w:p>
        </w:tc>
        <w:tc>
          <w:tcPr>
            <w:tcW w:w="6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291</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85</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7 714</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Schools education</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-167</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-1 014</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516</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279</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106</w:t>
            </w:r>
          </w:p>
        </w:tc>
        <w:tc>
          <w:tcPr>
            <w:tcW w:w="6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-86</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367</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1 268</w:t>
            </w:r>
          </w:p>
        </w:tc>
      </w:tr>
      <w:tr w:rsidR="006B46D2" w:rsidRPr="00241F3F" w:rsidTr="00236E06">
        <w:trPr>
          <w:trHeight w:val="315"/>
        </w:trPr>
        <w:tc>
          <w:tcPr>
            <w:tcW w:w="260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Post-secondary education</w:t>
            </w:r>
          </w:p>
        </w:tc>
        <w:tc>
          <w:tcPr>
            <w:tcW w:w="74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-9</w:t>
            </w:r>
          </w:p>
        </w:tc>
        <w:tc>
          <w:tcPr>
            <w:tcW w:w="74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-60</w:t>
            </w:r>
          </w:p>
        </w:tc>
        <w:tc>
          <w:tcPr>
            <w:tcW w:w="68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w:t>
            </w:r>
          </w:p>
        </w:tc>
        <w:tc>
          <w:tcPr>
            <w:tcW w:w="74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28</w:t>
            </w:r>
          </w:p>
        </w:tc>
        <w:tc>
          <w:tcPr>
            <w:tcW w:w="68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0</w:t>
            </w:r>
          </w:p>
        </w:tc>
        <w:tc>
          <w:tcPr>
            <w:tcW w:w="68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w:t>
            </w:r>
          </w:p>
        </w:tc>
        <w:tc>
          <w:tcPr>
            <w:tcW w:w="64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8</w:t>
            </w:r>
          </w:p>
        </w:tc>
        <w:tc>
          <w:tcPr>
            <w:tcW w:w="68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26</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69</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Health</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-531</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-987</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70</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557</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173</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266</w:t>
            </w:r>
          </w:p>
        </w:tc>
        <w:tc>
          <w:tcPr>
            <w:tcW w:w="6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-68</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518</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1 586</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Housing</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-42</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-115</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19</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38</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23</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10</w:t>
            </w:r>
          </w:p>
        </w:tc>
        <w:tc>
          <w:tcPr>
            <w:tcW w:w="6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-17</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85</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174</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Welfare</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26</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-443</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206</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-72</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38</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79</w:t>
            </w:r>
          </w:p>
        </w:tc>
        <w:tc>
          <w:tcPr>
            <w:tcW w:w="6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-85</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251</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601</w:t>
            </w:r>
          </w:p>
        </w:tc>
      </w:tr>
      <w:tr w:rsidR="006B46D2" w:rsidRPr="00241F3F" w:rsidTr="00236E06">
        <w:trPr>
          <w:trHeight w:val="315"/>
        </w:trPr>
        <w:tc>
          <w:tcPr>
            <w:tcW w:w="260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Services to communities</w:t>
            </w:r>
          </w:p>
        </w:tc>
        <w:tc>
          <w:tcPr>
            <w:tcW w:w="74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-407</w:t>
            </w:r>
          </w:p>
        </w:tc>
        <w:tc>
          <w:tcPr>
            <w:tcW w:w="74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-382</w:t>
            </w:r>
          </w:p>
        </w:tc>
        <w:tc>
          <w:tcPr>
            <w:tcW w:w="68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113</w:t>
            </w:r>
          </w:p>
        </w:tc>
        <w:tc>
          <w:tcPr>
            <w:tcW w:w="74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229</w:t>
            </w:r>
          </w:p>
        </w:tc>
        <w:tc>
          <w:tcPr>
            <w:tcW w:w="68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48</w:t>
            </w:r>
          </w:p>
        </w:tc>
        <w:tc>
          <w:tcPr>
            <w:tcW w:w="68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15</w:t>
            </w:r>
          </w:p>
        </w:tc>
        <w:tc>
          <w:tcPr>
            <w:tcW w:w="64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-25</w:t>
            </w:r>
          </w:p>
        </w:tc>
        <w:tc>
          <w:tcPr>
            <w:tcW w:w="680" w:type="dxa"/>
            <w:tcBorders>
              <w:top w:val="nil"/>
              <w:left w:val="nil"/>
              <w:bottom w:val="nil"/>
              <w:right w:val="nil"/>
            </w:tcBorders>
            <w:shd w:val="clear" w:color="auto" w:fill="auto"/>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410</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814</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Justice</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-195</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-635</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188</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238</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-19</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25</w:t>
            </w:r>
          </w:p>
        </w:tc>
        <w:tc>
          <w:tcPr>
            <w:tcW w:w="6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-47</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444</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895</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Roads</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-302</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-284</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150</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289</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79</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-16</w:t>
            </w:r>
          </w:p>
        </w:tc>
        <w:tc>
          <w:tcPr>
            <w:tcW w:w="6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-51</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135</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653</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Transport</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277</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345</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-250</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24</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-118</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-143</w:t>
            </w:r>
          </w:p>
        </w:tc>
        <w:tc>
          <w:tcPr>
            <w:tcW w:w="6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-62</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-73</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646</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Services to industry</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-145</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-119</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35</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197</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12</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w:t>
            </w:r>
          </w:p>
        </w:tc>
        <w:tc>
          <w:tcPr>
            <w:tcW w:w="6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-17</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32</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281</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AB19C7">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 xml:space="preserve">Other </w:t>
            </w:r>
            <w:r w:rsidR="00AB19C7">
              <w:rPr>
                <w:rFonts w:ascii="Calibri" w:eastAsia="Times New Roman" w:hAnsi="Calibri" w:cs="Times New Roman"/>
                <w:sz w:val="20"/>
                <w:szCs w:val="20"/>
                <w:lang w:eastAsia="en-AU"/>
              </w:rPr>
              <w:t>e</w:t>
            </w:r>
            <w:r w:rsidRPr="00241F3F">
              <w:rPr>
                <w:rFonts w:ascii="Calibri" w:eastAsia="Times New Roman" w:hAnsi="Calibri" w:cs="Times New Roman"/>
                <w:sz w:val="20"/>
                <w:szCs w:val="20"/>
                <w:lang w:eastAsia="en-AU"/>
              </w:rPr>
              <w:t>xpenses</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-776</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-670</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479</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226</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153</w:t>
            </w:r>
          </w:p>
        </w:tc>
        <w:tc>
          <w:tcPr>
            <w:tcW w:w="6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288</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294</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1 446</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Depreciation</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-240</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-459</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68</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288</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66</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21</w:t>
            </w:r>
          </w:p>
        </w:tc>
        <w:tc>
          <w:tcPr>
            <w:tcW w:w="6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-30</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286</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730</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rPr>
                <w:rFonts w:ascii="Calibri" w:eastAsia="Times New Roman" w:hAnsi="Calibri" w:cs="Times New Roman"/>
                <w:b/>
                <w:bCs/>
                <w:sz w:val="20"/>
                <w:szCs w:val="20"/>
                <w:lang w:eastAsia="en-AU"/>
              </w:rPr>
            </w:pPr>
            <w:r w:rsidRPr="00241F3F">
              <w:rPr>
                <w:rFonts w:ascii="Calibri" w:eastAsia="Times New Roman" w:hAnsi="Calibri" w:cs="Times New Roman"/>
                <w:b/>
                <w:bCs/>
                <w:sz w:val="20"/>
                <w:szCs w:val="20"/>
                <w:lang w:eastAsia="en-AU"/>
              </w:rPr>
              <w:t>Total expenses</w:t>
            </w:r>
          </w:p>
        </w:tc>
        <w:tc>
          <w:tcPr>
            <w:tcW w:w="740" w:type="dxa"/>
            <w:tcBorders>
              <w:top w:val="single" w:sz="4" w:space="0" w:color="auto"/>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-2 511</w:t>
            </w:r>
          </w:p>
        </w:tc>
        <w:tc>
          <w:tcPr>
            <w:tcW w:w="740" w:type="dxa"/>
            <w:tcBorders>
              <w:top w:val="single" w:sz="4" w:space="0" w:color="auto"/>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-4 823</w:t>
            </w:r>
          </w:p>
        </w:tc>
        <w:tc>
          <w:tcPr>
            <w:tcW w:w="680" w:type="dxa"/>
            <w:tcBorders>
              <w:top w:val="single" w:sz="4" w:space="0" w:color="auto"/>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1 599</w:t>
            </w:r>
          </w:p>
        </w:tc>
        <w:tc>
          <w:tcPr>
            <w:tcW w:w="740" w:type="dxa"/>
            <w:tcBorders>
              <w:top w:val="single" w:sz="4" w:space="0" w:color="auto"/>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2 320</w:t>
            </w:r>
          </w:p>
        </w:tc>
        <w:tc>
          <w:tcPr>
            <w:tcW w:w="680" w:type="dxa"/>
            <w:tcBorders>
              <w:top w:val="single" w:sz="4" w:space="0" w:color="auto"/>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307</w:t>
            </w:r>
          </w:p>
        </w:tc>
        <w:tc>
          <w:tcPr>
            <w:tcW w:w="680" w:type="dxa"/>
            <w:tcBorders>
              <w:top w:val="single" w:sz="4" w:space="0" w:color="auto"/>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525</w:t>
            </w:r>
          </w:p>
        </w:tc>
        <w:tc>
          <w:tcPr>
            <w:tcW w:w="640" w:type="dxa"/>
            <w:tcBorders>
              <w:top w:val="single" w:sz="4" w:space="0" w:color="auto"/>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-192</w:t>
            </w:r>
          </w:p>
        </w:tc>
        <w:tc>
          <w:tcPr>
            <w:tcW w:w="680" w:type="dxa"/>
            <w:tcBorders>
              <w:top w:val="single" w:sz="4" w:space="0" w:color="auto"/>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2 776</w:t>
            </w:r>
          </w:p>
        </w:tc>
        <w:tc>
          <w:tcPr>
            <w:tcW w:w="800" w:type="dxa"/>
            <w:tcBorders>
              <w:top w:val="single" w:sz="4" w:space="0" w:color="auto"/>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7 526</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Investment</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-539</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-71</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-25</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1 042</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-337</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-191</w:t>
            </w:r>
          </w:p>
        </w:tc>
        <w:tc>
          <w:tcPr>
            <w:tcW w:w="6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-51</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174</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1 215</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AB19C7">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 xml:space="preserve">Net </w:t>
            </w:r>
            <w:r w:rsidR="00AB19C7">
              <w:rPr>
                <w:rFonts w:ascii="Calibri" w:eastAsia="Times New Roman" w:hAnsi="Calibri" w:cs="Times New Roman"/>
                <w:sz w:val="20"/>
                <w:szCs w:val="20"/>
                <w:lang w:eastAsia="en-AU"/>
              </w:rPr>
              <w:t>b</w:t>
            </w:r>
            <w:r w:rsidRPr="00241F3F">
              <w:rPr>
                <w:rFonts w:ascii="Calibri" w:eastAsia="Times New Roman" w:hAnsi="Calibri" w:cs="Times New Roman"/>
                <w:sz w:val="20"/>
                <w:szCs w:val="20"/>
                <w:lang w:eastAsia="en-AU"/>
              </w:rPr>
              <w:t>orrowing</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85</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-9</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-21</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-115</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39</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22</w:t>
            </w:r>
          </w:p>
        </w:tc>
        <w:tc>
          <w:tcPr>
            <w:tcW w:w="6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0</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147</w:t>
            </w:r>
          </w:p>
        </w:tc>
      </w:tr>
      <w:tr w:rsidR="006B46D2" w:rsidRPr="00241F3F" w:rsidTr="00236E06">
        <w:trPr>
          <w:trHeight w:val="315"/>
        </w:trPr>
        <w:tc>
          <w:tcPr>
            <w:tcW w:w="26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SPPs and NPPs</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438</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59</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-74</w:t>
            </w:r>
          </w:p>
        </w:tc>
        <w:tc>
          <w:tcPr>
            <w:tcW w:w="7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-22</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-132</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-38</w:t>
            </w:r>
          </w:p>
        </w:tc>
        <w:tc>
          <w:tcPr>
            <w:tcW w:w="64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51</w:t>
            </w:r>
          </w:p>
        </w:tc>
        <w:tc>
          <w:tcPr>
            <w:tcW w:w="68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-282</w:t>
            </w:r>
          </w:p>
        </w:tc>
        <w:tc>
          <w:tcPr>
            <w:tcW w:w="800" w:type="dxa"/>
            <w:tcBorders>
              <w:top w:val="nil"/>
              <w:left w:val="nil"/>
              <w:bottom w:val="nil"/>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547</w:t>
            </w:r>
          </w:p>
        </w:tc>
      </w:tr>
      <w:tr w:rsidR="006B46D2" w:rsidRPr="00241F3F" w:rsidTr="00236E06">
        <w:trPr>
          <w:trHeight w:val="315"/>
        </w:trPr>
        <w:tc>
          <w:tcPr>
            <w:tcW w:w="2600" w:type="dxa"/>
            <w:tcBorders>
              <w:top w:val="nil"/>
              <w:left w:val="nil"/>
              <w:bottom w:val="single" w:sz="4" w:space="0" w:color="auto"/>
              <w:right w:val="nil"/>
            </w:tcBorders>
            <w:shd w:val="clear" w:color="auto" w:fill="auto"/>
            <w:noWrap/>
            <w:vAlign w:val="bottom"/>
            <w:hideMark/>
          </w:tcPr>
          <w:p w:rsidR="006B46D2" w:rsidRPr="00241F3F" w:rsidRDefault="006B46D2" w:rsidP="006B46D2">
            <w:pPr>
              <w:keepNext/>
              <w:tabs>
                <w:tab w:val="clear" w:pos="567"/>
              </w:tabs>
              <w:spacing w:after="0" w:line="240" w:lineRule="auto"/>
              <w:rPr>
                <w:rFonts w:ascii="Calibri" w:eastAsia="Times New Roman" w:hAnsi="Calibri" w:cs="Times New Roman"/>
                <w:b/>
                <w:bCs/>
                <w:sz w:val="20"/>
                <w:szCs w:val="20"/>
                <w:lang w:eastAsia="en-AU"/>
              </w:rPr>
            </w:pPr>
            <w:r w:rsidRPr="00241F3F">
              <w:rPr>
                <w:rFonts w:ascii="Calibri" w:eastAsia="Times New Roman" w:hAnsi="Calibri" w:cs="Times New Roman"/>
                <w:b/>
                <w:bCs/>
                <w:sz w:val="20"/>
                <w:szCs w:val="20"/>
                <w:lang w:eastAsia="en-AU"/>
              </w:rPr>
              <w:t>Total</w:t>
            </w:r>
          </w:p>
        </w:tc>
        <w:tc>
          <w:tcPr>
            <w:tcW w:w="740" w:type="dxa"/>
            <w:tcBorders>
              <w:top w:val="single" w:sz="4" w:space="0" w:color="auto"/>
              <w:left w:val="nil"/>
              <w:bottom w:val="single" w:sz="4" w:space="0" w:color="auto"/>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-889</w:t>
            </w:r>
          </w:p>
        </w:tc>
        <w:tc>
          <w:tcPr>
            <w:tcW w:w="740" w:type="dxa"/>
            <w:tcBorders>
              <w:top w:val="single" w:sz="4" w:space="0" w:color="auto"/>
              <w:left w:val="nil"/>
              <w:bottom w:val="single" w:sz="4" w:space="0" w:color="auto"/>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-1 479</w:t>
            </w:r>
          </w:p>
        </w:tc>
        <w:tc>
          <w:tcPr>
            <w:tcW w:w="680" w:type="dxa"/>
            <w:tcBorders>
              <w:top w:val="single" w:sz="4" w:space="0" w:color="auto"/>
              <w:left w:val="nil"/>
              <w:bottom w:val="single" w:sz="4" w:space="0" w:color="auto"/>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1 521</w:t>
            </w:r>
          </w:p>
        </w:tc>
        <w:tc>
          <w:tcPr>
            <w:tcW w:w="740" w:type="dxa"/>
            <w:tcBorders>
              <w:top w:val="single" w:sz="4" w:space="0" w:color="auto"/>
              <w:left w:val="nil"/>
              <w:bottom w:val="single" w:sz="4" w:space="0" w:color="auto"/>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-4 490</w:t>
            </w:r>
          </w:p>
        </w:tc>
        <w:tc>
          <w:tcPr>
            <w:tcW w:w="680" w:type="dxa"/>
            <w:tcBorders>
              <w:top w:val="single" w:sz="4" w:space="0" w:color="auto"/>
              <w:left w:val="nil"/>
              <w:bottom w:val="single" w:sz="4" w:space="0" w:color="auto"/>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1 475</w:t>
            </w:r>
          </w:p>
        </w:tc>
        <w:tc>
          <w:tcPr>
            <w:tcW w:w="680" w:type="dxa"/>
            <w:tcBorders>
              <w:top w:val="single" w:sz="4" w:space="0" w:color="auto"/>
              <w:left w:val="nil"/>
              <w:bottom w:val="single" w:sz="4" w:space="0" w:color="auto"/>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1 012</w:t>
            </w:r>
          </w:p>
        </w:tc>
        <w:tc>
          <w:tcPr>
            <w:tcW w:w="640" w:type="dxa"/>
            <w:tcBorders>
              <w:top w:val="single" w:sz="4" w:space="0" w:color="auto"/>
              <w:left w:val="nil"/>
              <w:bottom w:val="single" w:sz="4" w:space="0" w:color="auto"/>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98</w:t>
            </w:r>
          </w:p>
        </w:tc>
        <w:tc>
          <w:tcPr>
            <w:tcW w:w="680" w:type="dxa"/>
            <w:tcBorders>
              <w:top w:val="single" w:sz="4" w:space="0" w:color="auto"/>
              <w:left w:val="nil"/>
              <w:bottom w:val="single" w:sz="4" w:space="0" w:color="auto"/>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2 752</w:t>
            </w:r>
          </w:p>
        </w:tc>
        <w:tc>
          <w:tcPr>
            <w:tcW w:w="800" w:type="dxa"/>
            <w:tcBorders>
              <w:top w:val="single" w:sz="4" w:space="0" w:color="auto"/>
              <w:left w:val="nil"/>
              <w:bottom w:val="single" w:sz="4" w:space="0" w:color="auto"/>
              <w:right w:val="nil"/>
            </w:tcBorders>
            <w:shd w:val="clear" w:color="auto" w:fill="auto"/>
            <w:noWrap/>
            <w:vAlign w:val="bottom"/>
            <w:hideMark/>
          </w:tcPr>
          <w:p w:rsidR="006B46D2" w:rsidRPr="00241F3F" w:rsidRDefault="006B46D2" w:rsidP="006B46D2">
            <w:pPr>
              <w:keepNext/>
              <w:tabs>
                <w:tab w:val="clear" w:pos="567"/>
              </w:tabs>
              <w:spacing w:after="0" w:line="240" w:lineRule="auto"/>
              <w:jc w:val="right"/>
              <w:rPr>
                <w:rFonts w:ascii="Calibri" w:eastAsia="Times New Roman" w:hAnsi="Calibri" w:cs="Times New Roman"/>
                <w:sz w:val="20"/>
                <w:szCs w:val="20"/>
                <w:lang w:eastAsia="en-AU"/>
              </w:rPr>
            </w:pPr>
            <w:r w:rsidRPr="00241F3F">
              <w:rPr>
                <w:rFonts w:ascii="Calibri" w:eastAsia="Times New Roman" w:hAnsi="Calibri" w:cs="Times New Roman"/>
                <w:sz w:val="20"/>
                <w:szCs w:val="20"/>
                <w:lang w:eastAsia="en-AU"/>
              </w:rPr>
              <w:t>6 858</w:t>
            </w:r>
          </w:p>
        </w:tc>
      </w:tr>
    </w:tbl>
    <w:p w:rsidR="00037390" w:rsidRDefault="00037390" w:rsidP="00C20E52">
      <w:pPr>
        <w:pStyle w:val="Heading1"/>
        <w:sectPr w:rsidR="00037390" w:rsidSect="00A665A9">
          <w:footerReference w:type="default" r:id="rId76"/>
          <w:footnotePr>
            <w:numRestart w:val="eachSect"/>
          </w:footnotePr>
          <w:pgSz w:w="11899" w:h="16838" w:code="9"/>
          <w:pgMar w:top="1701" w:right="1474" w:bottom="1701" w:left="1474" w:header="709" w:footer="709" w:gutter="0"/>
          <w:cols w:space="708"/>
          <w:titlePg/>
          <w:docGrid w:linePitch="299"/>
        </w:sectPr>
      </w:pPr>
    </w:p>
    <w:p w:rsidR="00037390" w:rsidRPr="00F95420" w:rsidRDefault="00037390" w:rsidP="00037390">
      <w:pPr>
        <w:pStyle w:val="Heading1"/>
      </w:pPr>
      <w:bookmarkStart w:id="603" w:name="_Toc411924611"/>
      <w:bookmarkEnd w:id="465"/>
      <w:bookmarkEnd w:id="466"/>
      <w:r w:rsidRPr="00F95420">
        <w:lastRenderedPageBreak/>
        <w:t xml:space="preserve">CHAPTER </w:t>
      </w:r>
      <w:r>
        <w:t>4</w:t>
      </w:r>
      <w:bookmarkEnd w:id="603"/>
    </w:p>
    <w:p w:rsidR="00037390" w:rsidRDefault="000F7939" w:rsidP="00037390">
      <w:pPr>
        <w:pStyle w:val="Heading2"/>
      </w:pPr>
      <w:bookmarkStart w:id="604" w:name="_Toc158187338"/>
      <w:bookmarkStart w:id="605" w:name="_Toc282615606"/>
      <w:bookmarkStart w:id="606" w:name="_Toc283734618"/>
      <w:bookmarkStart w:id="607" w:name="_Toc283984346"/>
      <w:bookmarkStart w:id="608" w:name="_Toc284593085"/>
      <w:bookmarkStart w:id="609" w:name="_Toc284950482"/>
      <w:bookmarkStart w:id="610" w:name="_Toc284950551"/>
      <w:bookmarkStart w:id="611" w:name="_Toc284950912"/>
      <w:bookmarkStart w:id="612" w:name="_Toc284951109"/>
      <w:bookmarkStart w:id="613" w:name="_Toc285635093"/>
      <w:bookmarkStart w:id="614" w:name="_Toc316722138"/>
      <w:bookmarkStart w:id="615" w:name="_Toc316727538"/>
      <w:bookmarkStart w:id="616" w:name="_Toc316727843"/>
      <w:bookmarkStart w:id="617" w:name="_Toc316728078"/>
      <w:bookmarkStart w:id="618" w:name="_Toc316735977"/>
      <w:bookmarkStart w:id="619" w:name="_Toc348088560"/>
      <w:bookmarkStart w:id="620" w:name="_Toc349134604"/>
      <w:bookmarkStart w:id="621" w:name="_Toc349656700"/>
      <w:bookmarkStart w:id="622" w:name="_Toc350438423"/>
      <w:bookmarkStart w:id="623" w:name="_Toc380590545"/>
      <w:bookmarkStart w:id="624" w:name="_Toc380590663"/>
      <w:bookmarkStart w:id="625" w:name="_Toc411924612"/>
      <w:r>
        <w:t>CHANGES IN THE GST DISTRIBUTION</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rsidR="00037390" w:rsidRPr="007F015C" w:rsidRDefault="000F7939" w:rsidP="00037390">
      <w:pPr>
        <w:pStyle w:val="Heading3"/>
      </w:pPr>
      <w:bookmarkStart w:id="626" w:name="_Toc411924613"/>
      <w:r>
        <w:t>H</w:t>
      </w:r>
      <w:r w:rsidR="00037390">
        <w:t>ow has the GST distribution changed?</w:t>
      </w:r>
      <w:bookmarkEnd w:id="626"/>
    </w:p>
    <w:bookmarkStart w:id="627" w:name="_Toc282615608"/>
    <w:bookmarkStart w:id="628" w:name="_Toc283734620"/>
    <w:bookmarkStart w:id="629" w:name="_Toc283984348"/>
    <w:bookmarkStart w:id="630" w:name="_Toc284593087"/>
    <w:bookmarkStart w:id="631" w:name="_Toc284950484"/>
    <w:bookmarkStart w:id="632" w:name="_Toc284950553"/>
    <w:bookmarkStart w:id="633" w:name="_Toc284950914"/>
    <w:bookmarkStart w:id="634" w:name="_Toc284951111"/>
    <w:bookmarkStart w:id="635" w:name="_Toc285635095"/>
    <w:bookmarkStart w:id="636" w:name="_Toc64367261"/>
    <w:bookmarkStart w:id="637" w:name="_Toc96347040"/>
    <w:bookmarkStart w:id="638" w:name="_Toc127775375"/>
    <w:bookmarkStart w:id="639" w:name="_Toc156814257"/>
    <w:p w:rsidR="00037390" w:rsidRPr="001729F2" w:rsidRDefault="00037390" w:rsidP="00037390">
      <w:pPr>
        <w:pStyle w:val="CGCNumberedPara"/>
        <w:numPr>
          <w:ilvl w:val="1"/>
          <w:numId w:val="38"/>
        </w:numPr>
      </w:pPr>
      <w:r>
        <w:fldChar w:fldCharType="begin"/>
      </w:r>
      <w:r>
        <w:instrText xml:space="preserve"> REF _Ref379537343 \h </w:instrText>
      </w:r>
      <w:r>
        <w:fldChar w:fldCharType="separate"/>
      </w:r>
      <w:r w:rsidR="003A5DEE" w:rsidRPr="00E11EF7">
        <w:t xml:space="preserve">Table </w:t>
      </w:r>
      <w:r w:rsidR="003A5DEE">
        <w:rPr>
          <w:noProof/>
        </w:rPr>
        <w:t>1</w:t>
      </w:r>
      <w:r>
        <w:fldChar w:fldCharType="end"/>
      </w:r>
      <w:r>
        <w:t xml:space="preserve"> </w:t>
      </w:r>
      <w:r w:rsidRPr="001729F2">
        <w:t xml:space="preserve">shows the differences between the estimated </w:t>
      </w:r>
      <w:r>
        <w:t>GST</w:t>
      </w:r>
      <w:r w:rsidRPr="001729F2">
        <w:t xml:space="preserve"> distribution for 201</w:t>
      </w:r>
      <w:r>
        <w:t>4</w:t>
      </w:r>
      <w:r>
        <w:noBreakHyphen/>
        <w:t>15</w:t>
      </w:r>
      <w:r w:rsidRPr="001729F2">
        <w:t xml:space="preserve"> and the illustrative distribution for </w:t>
      </w:r>
      <w:r>
        <w:t>2015</w:t>
      </w:r>
      <w:r>
        <w:noBreakHyphen/>
        <w:t>16</w:t>
      </w:r>
      <w:r w:rsidRPr="001729F2">
        <w:t>.</w:t>
      </w:r>
    </w:p>
    <w:p w:rsidR="00037390" w:rsidRPr="00E11EF7" w:rsidRDefault="00037390" w:rsidP="00037390">
      <w:pPr>
        <w:pStyle w:val="Caption"/>
        <w:rPr>
          <w:rFonts w:ascii="Arial" w:hAnsi="Arial" w:cs="Arial"/>
        </w:rPr>
      </w:pPr>
      <w:bookmarkStart w:id="640" w:name="_Ref378175415"/>
      <w:bookmarkStart w:id="641" w:name="_Ref379537343"/>
      <w:r w:rsidRPr="00E11EF7">
        <w:t xml:space="preserve">Table </w:t>
      </w:r>
      <w:bookmarkEnd w:id="640"/>
      <w:r w:rsidRPr="00E11EF7">
        <w:fldChar w:fldCharType="begin"/>
      </w:r>
      <w:r w:rsidRPr="00E11EF7">
        <w:instrText xml:space="preserve"> SEQ Table \* ARABIC \r1 </w:instrText>
      </w:r>
      <w:r w:rsidRPr="00E11EF7">
        <w:fldChar w:fldCharType="separate"/>
      </w:r>
      <w:r w:rsidR="003A5DEE">
        <w:rPr>
          <w:noProof/>
        </w:rPr>
        <w:t>1</w:t>
      </w:r>
      <w:r w:rsidRPr="00E11EF7">
        <w:fldChar w:fldCharType="end"/>
      </w:r>
      <w:bookmarkEnd w:id="641"/>
      <w:r w:rsidRPr="00E11EF7">
        <w:tab/>
        <w:t>Distribution of the 2014</w:t>
      </w:r>
      <w:r w:rsidRPr="00E11EF7">
        <w:noBreakHyphen/>
        <w:t>15 GST and the illustrative 2015-16 GST</w:t>
      </w:r>
      <w:r w:rsidRPr="00E11EF7">
        <w:rPr>
          <w:rFonts w:ascii="Arial" w:hAnsi="Arial" w:cs="Arial"/>
        </w:rPr>
        <w:t xml:space="preserve"> </w:t>
      </w:r>
    </w:p>
    <w:tbl>
      <w:tblPr>
        <w:tblW w:w="8960" w:type="dxa"/>
        <w:tblInd w:w="93" w:type="dxa"/>
        <w:tblLook w:val="04A0" w:firstRow="1" w:lastRow="0" w:firstColumn="1" w:lastColumn="0" w:noHBand="0" w:noVBand="1"/>
      </w:tblPr>
      <w:tblGrid>
        <w:gridCol w:w="2180"/>
        <w:gridCol w:w="820"/>
        <w:gridCol w:w="820"/>
        <w:gridCol w:w="820"/>
        <w:gridCol w:w="700"/>
        <w:gridCol w:w="700"/>
        <w:gridCol w:w="700"/>
        <w:gridCol w:w="700"/>
        <w:gridCol w:w="700"/>
        <w:gridCol w:w="820"/>
      </w:tblGrid>
      <w:tr w:rsidR="00E11EF7" w:rsidRPr="009F0B50" w:rsidTr="00236E06">
        <w:trPr>
          <w:trHeight w:val="379"/>
        </w:trPr>
        <w:tc>
          <w:tcPr>
            <w:tcW w:w="2180" w:type="dxa"/>
            <w:tcBorders>
              <w:top w:val="single" w:sz="4" w:space="0" w:color="auto"/>
              <w:left w:val="nil"/>
              <w:bottom w:val="single" w:sz="4" w:space="0" w:color="auto"/>
              <w:right w:val="nil"/>
            </w:tcBorders>
            <w:shd w:val="clear" w:color="auto" w:fill="auto"/>
            <w:noWrap/>
            <w:vAlign w:val="center"/>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bookmarkStart w:id="642" w:name="RANGE!A58:J67"/>
            <w:r w:rsidRPr="009F0B50">
              <w:rPr>
                <w:rFonts w:ascii="Calibri" w:eastAsia="Times New Roman" w:hAnsi="Calibri" w:cs="Times New Roman"/>
                <w:sz w:val="20"/>
                <w:szCs w:val="20"/>
                <w:lang w:eastAsia="en-AU"/>
              </w:rPr>
              <w:t> </w:t>
            </w:r>
            <w:bookmarkEnd w:id="642"/>
          </w:p>
        </w:tc>
        <w:tc>
          <w:tcPr>
            <w:tcW w:w="820" w:type="dxa"/>
            <w:tcBorders>
              <w:top w:val="single" w:sz="4" w:space="0" w:color="auto"/>
              <w:left w:val="nil"/>
              <w:bottom w:val="single" w:sz="4" w:space="0" w:color="auto"/>
              <w:right w:val="nil"/>
            </w:tcBorders>
            <w:shd w:val="clear" w:color="auto" w:fill="auto"/>
            <w:noWrap/>
            <w:vAlign w:val="center"/>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NSW</w:t>
            </w:r>
          </w:p>
        </w:tc>
        <w:tc>
          <w:tcPr>
            <w:tcW w:w="820" w:type="dxa"/>
            <w:tcBorders>
              <w:top w:val="single" w:sz="4" w:space="0" w:color="auto"/>
              <w:left w:val="nil"/>
              <w:bottom w:val="single" w:sz="4" w:space="0" w:color="auto"/>
              <w:right w:val="nil"/>
            </w:tcBorders>
            <w:shd w:val="clear" w:color="auto" w:fill="auto"/>
            <w:noWrap/>
            <w:vAlign w:val="center"/>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Vic</w:t>
            </w:r>
          </w:p>
        </w:tc>
        <w:tc>
          <w:tcPr>
            <w:tcW w:w="820" w:type="dxa"/>
            <w:tcBorders>
              <w:top w:val="single" w:sz="4" w:space="0" w:color="auto"/>
              <w:left w:val="nil"/>
              <w:bottom w:val="single" w:sz="4" w:space="0" w:color="auto"/>
              <w:right w:val="nil"/>
            </w:tcBorders>
            <w:shd w:val="clear" w:color="auto" w:fill="auto"/>
            <w:noWrap/>
            <w:vAlign w:val="center"/>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Qld</w:t>
            </w:r>
          </w:p>
        </w:tc>
        <w:tc>
          <w:tcPr>
            <w:tcW w:w="700" w:type="dxa"/>
            <w:tcBorders>
              <w:top w:val="single" w:sz="4" w:space="0" w:color="auto"/>
              <w:left w:val="nil"/>
              <w:bottom w:val="single" w:sz="4" w:space="0" w:color="auto"/>
              <w:right w:val="nil"/>
            </w:tcBorders>
            <w:shd w:val="clear" w:color="auto" w:fill="auto"/>
            <w:noWrap/>
            <w:vAlign w:val="center"/>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WA</w:t>
            </w:r>
          </w:p>
        </w:tc>
        <w:tc>
          <w:tcPr>
            <w:tcW w:w="700" w:type="dxa"/>
            <w:tcBorders>
              <w:top w:val="single" w:sz="4" w:space="0" w:color="auto"/>
              <w:left w:val="nil"/>
              <w:bottom w:val="single" w:sz="4" w:space="0" w:color="auto"/>
              <w:right w:val="nil"/>
            </w:tcBorders>
            <w:shd w:val="clear" w:color="auto" w:fill="auto"/>
            <w:noWrap/>
            <w:vAlign w:val="center"/>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SA</w:t>
            </w:r>
          </w:p>
        </w:tc>
        <w:tc>
          <w:tcPr>
            <w:tcW w:w="700" w:type="dxa"/>
            <w:tcBorders>
              <w:top w:val="single" w:sz="4" w:space="0" w:color="auto"/>
              <w:left w:val="nil"/>
              <w:bottom w:val="single" w:sz="4" w:space="0" w:color="auto"/>
              <w:right w:val="nil"/>
            </w:tcBorders>
            <w:shd w:val="clear" w:color="auto" w:fill="auto"/>
            <w:noWrap/>
            <w:vAlign w:val="center"/>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proofErr w:type="spellStart"/>
            <w:r w:rsidRPr="009F0B50">
              <w:rPr>
                <w:rFonts w:ascii="Calibri" w:eastAsia="Times New Roman" w:hAnsi="Calibri" w:cs="Times New Roman"/>
                <w:sz w:val="20"/>
                <w:szCs w:val="20"/>
                <w:lang w:eastAsia="en-AU"/>
              </w:rPr>
              <w:t>Tas</w:t>
            </w:r>
            <w:proofErr w:type="spellEnd"/>
          </w:p>
        </w:tc>
        <w:tc>
          <w:tcPr>
            <w:tcW w:w="700" w:type="dxa"/>
            <w:tcBorders>
              <w:top w:val="single" w:sz="4" w:space="0" w:color="auto"/>
              <w:left w:val="nil"/>
              <w:bottom w:val="single" w:sz="4" w:space="0" w:color="auto"/>
              <w:right w:val="nil"/>
            </w:tcBorders>
            <w:shd w:val="clear" w:color="auto" w:fill="auto"/>
            <w:noWrap/>
            <w:vAlign w:val="center"/>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ACT</w:t>
            </w:r>
          </w:p>
        </w:tc>
        <w:tc>
          <w:tcPr>
            <w:tcW w:w="700" w:type="dxa"/>
            <w:tcBorders>
              <w:top w:val="single" w:sz="4" w:space="0" w:color="auto"/>
              <w:left w:val="nil"/>
              <w:bottom w:val="single" w:sz="4" w:space="0" w:color="auto"/>
              <w:right w:val="nil"/>
            </w:tcBorders>
            <w:shd w:val="clear" w:color="auto" w:fill="auto"/>
            <w:noWrap/>
            <w:vAlign w:val="center"/>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NT</w:t>
            </w:r>
          </w:p>
        </w:tc>
        <w:tc>
          <w:tcPr>
            <w:tcW w:w="820" w:type="dxa"/>
            <w:tcBorders>
              <w:top w:val="single" w:sz="4" w:space="0" w:color="auto"/>
              <w:left w:val="nil"/>
              <w:bottom w:val="single" w:sz="4" w:space="0" w:color="auto"/>
              <w:right w:val="nil"/>
            </w:tcBorders>
            <w:shd w:val="clear" w:color="auto" w:fill="auto"/>
            <w:noWrap/>
            <w:vAlign w:val="center"/>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Total</w:t>
            </w:r>
          </w:p>
        </w:tc>
      </w:tr>
      <w:tr w:rsidR="00E11EF7" w:rsidRPr="009F0B50" w:rsidTr="00236E06">
        <w:trPr>
          <w:trHeight w:val="259"/>
        </w:trPr>
        <w:tc>
          <w:tcPr>
            <w:tcW w:w="2180" w:type="dxa"/>
            <w:tcBorders>
              <w:top w:val="nil"/>
              <w:left w:val="nil"/>
              <w:bottom w:val="nil"/>
              <w:right w:val="nil"/>
            </w:tcBorders>
            <w:shd w:val="clear" w:color="auto" w:fill="auto"/>
            <w:noWrap/>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$m</w:t>
            </w:r>
          </w:p>
        </w:tc>
      </w:tr>
      <w:tr w:rsidR="00E11EF7" w:rsidRPr="009F0B50" w:rsidTr="00236E06">
        <w:trPr>
          <w:trHeight w:val="315"/>
        </w:trPr>
        <w:tc>
          <w:tcPr>
            <w:tcW w:w="2180" w:type="dxa"/>
            <w:tcBorders>
              <w:top w:val="nil"/>
              <w:left w:val="nil"/>
              <w:bottom w:val="nil"/>
              <w:right w:val="nil"/>
            </w:tcBorders>
            <w:shd w:val="clear" w:color="auto" w:fill="auto"/>
            <w:noWrap/>
            <w:vAlign w:val="bottom"/>
            <w:hideMark/>
          </w:tcPr>
          <w:p w:rsidR="00E11EF7" w:rsidRPr="009F0B50" w:rsidRDefault="00E11EF7" w:rsidP="00236E06">
            <w:pPr>
              <w:tabs>
                <w:tab w:val="clear" w:pos="567"/>
              </w:tabs>
              <w:spacing w:after="0" w:line="240" w:lineRule="auto"/>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Estimated 2014-15</w:t>
            </w:r>
          </w:p>
        </w:tc>
        <w:tc>
          <w:tcPr>
            <w:tcW w:w="82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16 774</w:t>
            </w:r>
          </w:p>
        </w:tc>
        <w:tc>
          <w:tcPr>
            <w:tcW w:w="82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11 828</w:t>
            </w:r>
          </w:p>
        </w:tc>
        <w:tc>
          <w:tcPr>
            <w:tcW w:w="82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11 704</w:t>
            </w:r>
          </w:p>
        </w:tc>
        <w:tc>
          <w:tcPr>
            <w:tcW w:w="70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2 248</w:t>
            </w:r>
          </w:p>
        </w:tc>
        <w:tc>
          <w:tcPr>
            <w:tcW w:w="70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4 955</w:t>
            </w:r>
          </w:p>
        </w:tc>
        <w:tc>
          <w:tcPr>
            <w:tcW w:w="70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1 914</w:t>
            </w:r>
          </w:p>
        </w:tc>
        <w:tc>
          <w:tcPr>
            <w:tcW w:w="70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1 097</w:t>
            </w:r>
          </w:p>
        </w:tc>
        <w:tc>
          <w:tcPr>
            <w:tcW w:w="70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3 189</w:t>
            </w:r>
          </w:p>
        </w:tc>
        <w:tc>
          <w:tcPr>
            <w:tcW w:w="82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53 710</w:t>
            </w:r>
          </w:p>
        </w:tc>
      </w:tr>
      <w:tr w:rsidR="00E11EF7" w:rsidRPr="009F0B50" w:rsidTr="00236E06">
        <w:trPr>
          <w:trHeight w:val="315"/>
        </w:trPr>
        <w:tc>
          <w:tcPr>
            <w:tcW w:w="218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Illustrative 2015-16 (a)</w:t>
            </w:r>
          </w:p>
        </w:tc>
        <w:tc>
          <w:tcPr>
            <w:tcW w:w="82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17 311</w:t>
            </w:r>
          </w:p>
        </w:tc>
        <w:tc>
          <w:tcPr>
            <w:tcW w:w="82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12 755</w:t>
            </w:r>
          </w:p>
        </w:tc>
        <w:tc>
          <w:tcPr>
            <w:tcW w:w="82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13 046</w:t>
            </w:r>
          </w:p>
        </w:tc>
        <w:tc>
          <w:tcPr>
            <w:tcW w:w="70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1 935</w:t>
            </w:r>
          </w:p>
        </w:tc>
        <w:tc>
          <w:tcPr>
            <w:tcW w:w="70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5 525</w:t>
            </w:r>
          </w:p>
        </w:tc>
        <w:tc>
          <w:tcPr>
            <w:tcW w:w="70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2 236</w:t>
            </w:r>
          </w:p>
        </w:tc>
        <w:tc>
          <w:tcPr>
            <w:tcW w:w="70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1 040</w:t>
            </w:r>
          </w:p>
        </w:tc>
        <w:tc>
          <w:tcPr>
            <w:tcW w:w="70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3 351</w:t>
            </w:r>
          </w:p>
        </w:tc>
        <w:tc>
          <w:tcPr>
            <w:tcW w:w="82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57 200</w:t>
            </w:r>
          </w:p>
        </w:tc>
      </w:tr>
      <w:tr w:rsidR="00E11EF7" w:rsidRPr="009F0B50" w:rsidTr="00236E06">
        <w:trPr>
          <w:trHeight w:val="315"/>
        </w:trPr>
        <w:tc>
          <w:tcPr>
            <w:tcW w:w="2180" w:type="dxa"/>
            <w:tcBorders>
              <w:top w:val="nil"/>
              <w:left w:val="nil"/>
              <w:bottom w:val="nil"/>
              <w:right w:val="nil"/>
            </w:tcBorders>
            <w:shd w:val="clear" w:color="auto" w:fill="auto"/>
            <w:noWrap/>
            <w:vAlign w:val="bottom"/>
            <w:hideMark/>
          </w:tcPr>
          <w:p w:rsidR="00E11EF7" w:rsidRPr="009F0B50" w:rsidRDefault="00E11EF7" w:rsidP="00236E06">
            <w:pPr>
              <w:tabs>
                <w:tab w:val="clear" w:pos="567"/>
              </w:tabs>
              <w:spacing w:after="0" w:line="240" w:lineRule="auto"/>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Change caused by new:</w:t>
            </w:r>
          </w:p>
        </w:tc>
        <w:tc>
          <w:tcPr>
            <w:tcW w:w="82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p>
        </w:tc>
      </w:tr>
      <w:tr w:rsidR="00E11EF7" w:rsidRPr="009F0B50" w:rsidTr="00236E06">
        <w:trPr>
          <w:trHeight w:val="315"/>
        </w:trPr>
        <w:tc>
          <w:tcPr>
            <w:tcW w:w="2180" w:type="dxa"/>
            <w:tcBorders>
              <w:top w:val="nil"/>
              <w:left w:val="nil"/>
              <w:bottom w:val="nil"/>
              <w:right w:val="nil"/>
            </w:tcBorders>
            <w:shd w:val="clear" w:color="auto" w:fill="auto"/>
            <w:noWrap/>
            <w:vAlign w:val="bottom"/>
            <w:hideMark/>
          </w:tcPr>
          <w:p w:rsidR="00E11EF7" w:rsidRPr="009F0B50" w:rsidRDefault="00E11EF7" w:rsidP="00236E06">
            <w:pPr>
              <w:tabs>
                <w:tab w:val="clear" w:pos="567"/>
              </w:tabs>
              <w:spacing w:after="0" w:line="240" w:lineRule="auto"/>
              <w:ind w:firstLineChars="100" w:firstLine="200"/>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Population (b)</w:t>
            </w:r>
          </w:p>
        </w:tc>
        <w:tc>
          <w:tcPr>
            <w:tcW w:w="82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-34</w:t>
            </w:r>
          </w:p>
        </w:tc>
        <w:tc>
          <w:tcPr>
            <w:tcW w:w="82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26</w:t>
            </w:r>
          </w:p>
        </w:tc>
        <w:tc>
          <w:tcPr>
            <w:tcW w:w="82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24</w:t>
            </w:r>
          </w:p>
        </w:tc>
        <w:tc>
          <w:tcPr>
            <w:tcW w:w="70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32</w:t>
            </w:r>
          </w:p>
        </w:tc>
        <w:tc>
          <w:tcPr>
            <w:tcW w:w="70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-33</w:t>
            </w:r>
          </w:p>
        </w:tc>
        <w:tc>
          <w:tcPr>
            <w:tcW w:w="70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-26</w:t>
            </w:r>
          </w:p>
        </w:tc>
        <w:tc>
          <w:tcPr>
            <w:tcW w:w="70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10</w:t>
            </w:r>
          </w:p>
        </w:tc>
        <w:tc>
          <w:tcPr>
            <w:tcW w:w="820" w:type="dxa"/>
            <w:tcBorders>
              <w:top w:val="nil"/>
              <w:left w:val="nil"/>
              <w:bottom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0</w:t>
            </w:r>
          </w:p>
        </w:tc>
      </w:tr>
      <w:tr w:rsidR="00E11EF7" w:rsidRPr="009F0B50" w:rsidTr="005558EE">
        <w:trPr>
          <w:trHeight w:val="315"/>
        </w:trPr>
        <w:tc>
          <w:tcPr>
            <w:tcW w:w="2180" w:type="dxa"/>
            <w:tcBorders>
              <w:top w:val="nil"/>
              <w:left w:val="nil"/>
              <w:bottom w:val="nil"/>
              <w:right w:val="nil"/>
            </w:tcBorders>
            <w:shd w:val="clear" w:color="auto" w:fill="auto"/>
            <w:noWrap/>
            <w:vAlign w:val="bottom"/>
            <w:hideMark/>
          </w:tcPr>
          <w:p w:rsidR="00E11EF7" w:rsidRPr="009F0B50" w:rsidRDefault="00E11EF7" w:rsidP="00236E06">
            <w:pPr>
              <w:tabs>
                <w:tab w:val="clear" w:pos="567"/>
              </w:tabs>
              <w:spacing w:after="0" w:line="240" w:lineRule="auto"/>
              <w:ind w:firstLineChars="100" w:firstLine="200"/>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Pool (c)</w:t>
            </w:r>
          </w:p>
        </w:tc>
        <w:tc>
          <w:tcPr>
            <w:tcW w:w="820" w:type="dxa"/>
            <w:tcBorders>
              <w:top w:val="nil"/>
              <w:left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1 088</w:t>
            </w:r>
          </w:p>
        </w:tc>
        <w:tc>
          <w:tcPr>
            <w:tcW w:w="820" w:type="dxa"/>
            <w:tcBorders>
              <w:top w:val="nil"/>
              <w:left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770</w:t>
            </w:r>
          </w:p>
        </w:tc>
        <w:tc>
          <w:tcPr>
            <w:tcW w:w="820" w:type="dxa"/>
            <w:tcBorders>
              <w:top w:val="nil"/>
              <w:left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762</w:t>
            </w:r>
          </w:p>
        </w:tc>
        <w:tc>
          <w:tcPr>
            <w:tcW w:w="700" w:type="dxa"/>
            <w:tcBorders>
              <w:top w:val="nil"/>
              <w:left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148</w:t>
            </w:r>
          </w:p>
        </w:tc>
        <w:tc>
          <w:tcPr>
            <w:tcW w:w="700" w:type="dxa"/>
            <w:tcBorders>
              <w:top w:val="nil"/>
              <w:left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320</w:t>
            </w:r>
          </w:p>
        </w:tc>
        <w:tc>
          <w:tcPr>
            <w:tcW w:w="700" w:type="dxa"/>
            <w:tcBorders>
              <w:top w:val="nil"/>
              <w:left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123</w:t>
            </w:r>
          </w:p>
        </w:tc>
        <w:tc>
          <w:tcPr>
            <w:tcW w:w="700" w:type="dxa"/>
            <w:tcBorders>
              <w:top w:val="nil"/>
              <w:left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71</w:t>
            </w:r>
          </w:p>
        </w:tc>
        <w:tc>
          <w:tcPr>
            <w:tcW w:w="700" w:type="dxa"/>
            <w:tcBorders>
              <w:top w:val="nil"/>
              <w:left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208</w:t>
            </w:r>
          </w:p>
        </w:tc>
        <w:tc>
          <w:tcPr>
            <w:tcW w:w="820" w:type="dxa"/>
            <w:tcBorders>
              <w:top w:val="nil"/>
              <w:left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3 490</w:t>
            </w:r>
          </w:p>
        </w:tc>
      </w:tr>
      <w:tr w:rsidR="00E11EF7" w:rsidRPr="009F0B50" w:rsidTr="005558EE">
        <w:trPr>
          <w:trHeight w:val="315"/>
        </w:trPr>
        <w:tc>
          <w:tcPr>
            <w:tcW w:w="2180" w:type="dxa"/>
            <w:tcBorders>
              <w:top w:val="nil"/>
              <w:left w:val="nil"/>
              <w:right w:val="nil"/>
            </w:tcBorders>
            <w:shd w:val="clear" w:color="auto" w:fill="auto"/>
            <w:noWrap/>
            <w:vAlign w:val="bottom"/>
            <w:hideMark/>
          </w:tcPr>
          <w:p w:rsidR="00E11EF7" w:rsidRPr="009F0B50" w:rsidRDefault="00E11EF7" w:rsidP="00236E06">
            <w:pPr>
              <w:tabs>
                <w:tab w:val="clear" w:pos="567"/>
              </w:tabs>
              <w:spacing w:after="0" w:line="240" w:lineRule="auto"/>
              <w:ind w:firstLineChars="100" w:firstLine="200"/>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Fiscal capacities (d)</w:t>
            </w:r>
          </w:p>
        </w:tc>
        <w:tc>
          <w:tcPr>
            <w:tcW w:w="820" w:type="dxa"/>
            <w:tcBorders>
              <w:top w:val="nil"/>
              <w:left w:val="nil"/>
              <w:bottom w:val="single" w:sz="4" w:space="0" w:color="auto"/>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bookmarkStart w:id="643" w:name="RANGE!B65:J65"/>
            <w:r w:rsidRPr="009F0B50">
              <w:rPr>
                <w:rFonts w:ascii="Calibri" w:eastAsia="Times New Roman" w:hAnsi="Calibri" w:cs="Times New Roman"/>
                <w:sz w:val="20"/>
                <w:szCs w:val="20"/>
                <w:lang w:eastAsia="en-AU"/>
              </w:rPr>
              <w:t>-517</w:t>
            </w:r>
            <w:bookmarkEnd w:id="643"/>
          </w:p>
        </w:tc>
        <w:tc>
          <w:tcPr>
            <w:tcW w:w="820" w:type="dxa"/>
            <w:tcBorders>
              <w:top w:val="nil"/>
              <w:left w:val="nil"/>
              <w:bottom w:val="single" w:sz="4" w:space="0" w:color="auto"/>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131</w:t>
            </w:r>
          </w:p>
        </w:tc>
        <w:tc>
          <w:tcPr>
            <w:tcW w:w="820" w:type="dxa"/>
            <w:tcBorders>
              <w:top w:val="nil"/>
              <w:left w:val="nil"/>
              <w:bottom w:val="single" w:sz="4" w:space="0" w:color="auto"/>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556</w:t>
            </w:r>
          </w:p>
        </w:tc>
        <w:tc>
          <w:tcPr>
            <w:tcW w:w="700" w:type="dxa"/>
            <w:tcBorders>
              <w:top w:val="nil"/>
              <w:left w:val="nil"/>
              <w:bottom w:val="single" w:sz="4" w:space="0" w:color="auto"/>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-494</w:t>
            </w:r>
          </w:p>
        </w:tc>
        <w:tc>
          <w:tcPr>
            <w:tcW w:w="700" w:type="dxa"/>
            <w:tcBorders>
              <w:top w:val="nil"/>
              <w:left w:val="nil"/>
              <w:bottom w:val="single" w:sz="4" w:space="0" w:color="auto"/>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284</w:t>
            </w:r>
          </w:p>
        </w:tc>
        <w:tc>
          <w:tcPr>
            <w:tcW w:w="700" w:type="dxa"/>
            <w:tcBorders>
              <w:top w:val="nil"/>
              <w:left w:val="nil"/>
              <w:bottom w:val="single" w:sz="4" w:space="0" w:color="auto"/>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225</w:t>
            </w:r>
          </w:p>
        </w:tc>
        <w:tc>
          <w:tcPr>
            <w:tcW w:w="700" w:type="dxa"/>
            <w:tcBorders>
              <w:top w:val="nil"/>
              <w:left w:val="nil"/>
              <w:bottom w:val="single" w:sz="4" w:space="0" w:color="auto"/>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-129</w:t>
            </w:r>
          </w:p>
        </w:tc>
        <w:tc>
          <w:tcPr>
            <w:tcW w:w="700" w:type="dxa"/>
            <w:tcBorders>
              <w:top w:val="nil"/>
              <w:left w:val="nil"/>
              <w:bottom w:val="single" w:sz="4" w:space="0" w:color="auto"/>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-56</w:t>
            </w:r>
          </w:p>
        </w:tc>
        <w:tc>
          <w:tcPr>
            <w:tcW w:w="820" w:type="dxa"/>
            <w:tcBorders>
              <w:top w:val="nil"/>
              <w:left w:val="nil"/>
              <w:bottom w:val="single" w:sz="4" w:space="0" w:color="auto"/>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0</w:t>
            </w:r>
          </w:p>
        </w:tc>
      </w:tr>
      <w:tr w:rsidR="00E11EF7" w:rsidRPr="009F0B50" w:rsidTr="005558EE">
        <w:trPr>
          <w:trHeight w:val="315"/>
        </w:trPr>
        <w:tc>
          <w:tcPr>
            <w:tcW w:w="2180" w:type="dxa"/>
            <w:tcBorders>
              <w:left w:val="nil"/>
              <w:right w:val="nil"/>
            </w:tcBorders>
            <w:shd w:val="clear" w:color="auto" w:fill="auto"/>
            <w:noWrap/>
            <w:vAlign w:val="bottom"/>
            <w:hideMark/>
          </w:tcPr>
          <w:p w:rsidR="00E11EF7" w:rsidRPr="009F0B50" w:rsidRDefault="00E11EF7" w:rsidP="00236E06">
            <w:pPr>
              <w:tabs>
                <w:tab w:val="clear" w:pos="567"/>
              </w:tabs>
              <w:spacing w:after="0" w:line="240" w:lineRule="auto"/>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Total change ($m)</w:t>
            </w:r>
          </w:p>
        </w:tc>
        <w:tc>
          <w:tcPr>
            <w:tcW w:w="820" w:type="dxa"/>
            <w:tcBorders>
              <w:top w:val="single" w:sz="4" w:space="0" w:color="auto"/>
              <w:left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537</w:t>
            </w:r>
          </w:p>
        </w:tc>
        <w:tc>
          <w:tcPr>
            <w:tcW w:w="820" w:type="dxa"/>
            <w:tcBorders>
              <w:top w:val="single" w:sz="4" w:space="0" w:color="auto"/>
              <w:left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927</w:t>
            </w:r>
          </w:p>
        </w:tc>
        <w:tc>
          <w:tcPr>
            <w:tcW w:w="820" w:type="dxa"/>
            <w:tcBorders>
              <w:top w:val="single" w:sz="4" w:space="0" w:color="auto"/>
              <w:left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1 342</w:t>
            </w:r>
          </w:p>
        </w:tc>
        <w:tc>
          <w:tcPr>
            <w:tcW w:w="700" w:type="dxa"/>
            <w:tcBorders>
              <w:top w:val="single" w:sz="4" w:space="0" w:color="auto"/>
              <w:left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-313</w:t>
            </w:r>
          </w:p>
        </w:tc>
        <w:tc>
          <w:tcPr>
            <w:tcW w:w="700" w:type="dxa"/>
            <w:tcBorders>
              <w:top w:val="single" w:sz="4" w:space="0" w:color="auto"/>
              <w:left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571</w:t>
            </w:r>
          </w:p>
        </w:tc>
        <w:tc>
          <w:tcPr>
            <w:tcW w:w="700" w:type="dxa"/>
            <w:tcBorders>
              <w:top w:val="single" w:sz="4" w:space="0" w:color="auto"/>
              <w:left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322</w:t>
            </w:r>
          </w:p>
        </w:tc>
        <w:tc>
          <w:tcPr>
            <w:tcW w:w="700" w:type="dxa"/>
            <w:tcBorders>
              <w:top w:val="single" w:sz="4" w:space="0" w:color="auto"/>
              <w:left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-57</w:t>
            </w:r>
          </w:p>
        </w:tc>
        <w:tc>
          <w:tcPr>
            <w:tcW w:w="700" w:type="dxa"/>
            <w:tcBorders>
              <w:top w:val="single" w:sz="4" w:space="0" w:color="auto"/>
              <w:left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161</w:t>
            </w:r>
          </w:p>
        </w:tc>
        <w:tc>
          <w:tcPr>
            <w:tcW w:w="820" w:type="dxa"/>
            <w:tcBorders>
              <w:top w:val="single" w:sz="4" w:space="0" w:color="auto"/>
              <w:left w:val="nil"/>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3 490</w:t>
            </w:r>
          </w:p>
        </w:tc>
      </w:tr>
      <w:tr w:rsidR="00E11EF7" w:rsidRPr="009F0B50" w:rsidTr="005558EE">
        <w:trPr>
          <w:trHeight w:val="315"/>
        </w:trPr>
        <w:tc>
          <w:tcPr>
            <w:tcW w:w="2180" w:type="dxa"/>
            <w:tcBorders>
              <w:left w:val="nil"/>
              <w:bottom w:val="single" w:sz="4" w:space="0" w:color="auto"/>
              <w:right w:val="nil"/>
            </w:tcBorders>
            <w:shd w:val="clear" w:color="auto" w:fill="auto"/>
            <w:noWrap/>
            <w:vAlign w:val="bottom"/>
            <w:hideMark/>
          </w:tcPr>
          <w:p w:rsidR="00E11EF7" w:rsidRPr="009F0B50" w:rsidRDefault="00E11EF7" w:rsidP="00236E06">
            <w:pPr>
              <w:tabs>
                <w:tab w:val="clear" w:pos="567"/>
              </w:tabs>
              <w:spacing w:after="0" w:line="240" w:lineRule="auto"/>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Total change ($pc)</w:t>
            </w:r>
          </w:p>
        </w:tc>
        <w:tc>
          <w:tcPr>
            <w:tcW w:w="820" w:type="dxa"/>
            <w:tcBorders>
              <w:left w:val="nil"/>
              <w:bottom w:val="single" w:sz="4" w:space="0" w:color="auto"/>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70</w:t>
            </w:r>
          </w:p>
        </w:tc>
        <w:tc>
          <w:tcPr>
            <w:tcW w:w="820" w:type="dxa"/>
            <w:tcBorders>
              <w:left w:val="nil"/>
              <w:bottom w:val="single" w:sz="4" w:space="0" w:color="auto"/>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154</w:t>
            </w:r>
          </w:p>
        </w:tc>
        <w:tc>
          <w:tcPr>
            <w:tcW w:w="820" w:type="dxa"/>
            <w:tcBorders>
              <w:left w:val="nil"/>
              <w:bottom w:val="single" w:sz="4" w:space="0" w:color="auto"/>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276</w:t>
            </w:r>
          </w:p>
        </w:tc>
        <w:tc>
          <w:tcPr>
            <w:tcW w:w="700" w:type="dxa"/>
            <w:tcBorders>
              <w:left w:val="nil"/>
              <w:bottom w:val="single" w:sz="4" w:space="0" w:color="auto"/>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-116</w:t>
            </w:r>
          </w:p>
        </w:tc>
        <w:tc>
          <w:tcPr>
            <w:tcW w:w="700" w:type="dxa"/>
            <w:tcBorders>
              <w:left w:val="nil"/>
              <w:bottom w:val="single" w:sz="4" w:space="0" w:color="auto"/>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334</w:t>
            </w:r>
          </w:p>
        </w:tc>
        <w:tc>
          <w:tcPr>
            <w:tcW w:w="700" w:type="dxa"/>
            <w:tcBorders>
              <w:left w:val="nil"/>
              <w:bottom w:val="single" w:sz="4" w:space="0" w:color="auto"/>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623</w:t>
            </w:r>
          </w:p>
        </w:tc>
        <w:tc>
          <w:tcPr>
            <w:tcW w:w="700" w:type="dxa"/>
            <w:tcBorders>
              <w:left w:val="nil"/>
              <w:bottom w:val="single" w:sz="4" w:space="0" w:color="auto"/>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-143</w:t>
            </w:r>
          </w:p>
        </w:tc>
        <w:tc>
          <w:tcPr>
            <w:tcW w:w="700" w:type="dxa"/>
            <w:tcBorders>
              <w:left w:val="nil"/>
              <w:bottom w:val="single" w:sz="4" w:space="0" w:color="auto"/>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638</w:t>
            </w:r>
          </w:p>
        </w:tc>
        <w:tc>
          <w:tcPr>
            <w:tcW w:w="820" w:type="dxa"/>
            <w:tcBorders>
              <w:left w:val="nil"/>
              <w:bottom w:val="single" w:sz="4" w:space="0" w:color="auto"/>
              <w:right w:val="nil"/>
            </w:tcBorders>
            <w:shd w:val="clear" w:color="auto" w:fill="auto"/>
            <w:vAlign w:val="bottom"/>
            <w:hideMark/>
          </w:tcPr>
          <w:p w:rsidR="00E11EF7" w:rsidRPr="009F0B50" w:rsidRDefault="00E11EF7" w:rsidP="00236E06">
            <w:pPr>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145</w:t>
            </w:r>
          </w:p>
        </w:tc>
      </w:tr>
    </w:tbl>
    <w:p w:rsidR="00037390" w:rsidRPr="00607162" w:rsidRDefault="00037390" w:rsidP="00037390">
      <w:pPr>
        <w:pStyle w:val="CGCTableFootnote"/>
        <w:keepNext/>
      </w:pPr>
      <w:r w:rsidRPr="00E11EF7">
        <w:t>(a)</w:t>
      </w:r>
      <w:r w:rsidRPr="00E11EF7">
        <w:tab/>
        <w:t>Obtained by applying the 2015 Review relativities to estimated State populations for December 2015 and estimated GST revenue for 2015-16.</w:t>
      </w:r>
    </w:p>
    <w:p w:rsidR="00037390" w:rsidRPr="00607162" w:rsidRDefault="00037390" w:rsidP="00037390">
      <w:pPr>
        <w:pStyle w:val="CGCTableFootnote"/>
        <w:keepNext/>
      </w:pPr>
      <w:r w:rsidRPr="00607162">
        <w:t>(</w:t>
      </w:r>
      <w:r>
        <w:t>b</w:t>
      </w:r>
      <w:r w:rsidRPr="00607162">
        <w:t>)</w:t>
      </w:r>
      <w:r w:rsidRPr="00607162">
        <w:tab/>
        <w:t>Effect</w:t>
      </w:r>
      <w:r>
        <w:t>s on the distribution of 2014</w:t>
      </w:r>
      <w:r>
        <w:noBreakHyphen/>
        <w:t>15</w:t>
      </w:r>
      <w:r w:rsidRPr="00607162">
        <w:t xml:space="preserve"> GST revenue of using State populations for December 201</w:t>
      </w:r>
      <w:r>
        <w:t>5</w:t>
      </w:r>
      <w:r w:rsidRPr="00607162">
        <w:t xml:space="preserve"> instead of December 201</w:t>
      </w:r>
      <w:r>
        <w:t>4</w:t>
      </w:r>
      <w:r w:rsidRPr="00607162">
        <w:t>, with 201</w:t>
      </w:r>
      <w:r>
        <w:t>4</w:t>
      </w:r>
      <w:r w:rsidRPr="00607162">
        <w:t xml:space="preserve"> Update relativities.</w:t>
      </w:r>
    </w:p>
    <w:p w:rsidR="00037390" w:rsidRPr="00607162" w:rsidRDefault="00037390" w:rsidP="00037390">
      <w:pPr>
        <w:pStyle w:val="CGCTableFootnote"/>
        <w:keepNext/>
      </w:pPr>
      <w:r w:rsidRPr="00607162">
        <w:t>(</w:t>
      </w:r>
      <w:r>
        <w:t>c</w:t>
      </w:r>
      <w:r w:rsidRPr="00607162">
        <w:t>)</w:t>
      </w:r>
      <w:r w:rsidRPr="00607162">
        <w:tab/>
        <w:t>Effect of applying the 201</w:t>
      </w:r>
      <w:r>
        <w:t>4</w:t>
      </w:r>
      <w:r w:rsidRPr="00607162">
        <w:t xml:space="preserve"> Update relativities to the estimated growth in GST revenue for </w:t>
      </w:r>
      <w:r>
        <w:t>2015-16</w:t>
      </w:r>
      <w:r w:rsidRPr="00607162">
        <w:t xml:space="preserve">. </w:t>
      </w:r>
    </w:p>
    <w:p w:rsidR="00037390" w:rsidRPr="00607162" w:rsidRDefault="00037390" w:rsidP="00037390">
      <w:pPr>
        <w:pStyle w:val="CGCTableFootnote"/>
        <w:keepNext/>
      </w:pPr>
      <w:r w:rsidRPr="00607162">
        <w:t>(</w:t>
      </w:r>
      <w:r>
        <w:t>d</w:t>
      </w:r>
      <w:r w:rsidRPr="00607162">
        <w:t>)</w:t>
      </w:r>
      <w:r w:rsidRPr="00607162">
        <w:tab/>
        <w:t xml:space="preserve">Effects on the distribution of the </w:t>
      </w:r>
      <w:r>
        <w:t>2015-16</w:t>
      </w:r>
      <w:r w:rsidRPr="00607162">
        <w:t xml:space="preserve"> GST </w:t>
      </w:r>
      <w:r>
        <w:t>revenue of using the 2015 Review</w:t>
      </w:r>
      <w:r w:rsidRPr="00607162">
        <w:t xml:space="preserve"> fiscal capacities instead of 201</w:t>
      </w:r>
      <w:r>
        <w:t>4</w:t>
      </w:r>
      <w:r w:rsidRPr="00607162">
        <w:t xml:space="preserve"> Update fiscal capacities.</w:t>
      </w:r>
    </w:p>
    <w:p w:rsidR="00037390" w:rsidRPr="00607162" w:rsidRDefault="00037390" w:rsidP="00037390">
      <w:pPr>
        <w:pStyle w:val="CGCTableFootnote"/>
      </w:pPr>
      <w:r w:rsidRPr="00607162">
        <w:t>Source:</w:t>
      </w:r>
      <w:r w:rsidRPr="00607162">
        <w:tab/>
      </w:r>
      <w:r>
        <w:t xml:space="preserve">2014-15 </w:t>
      </w:r>
      <w:r w:rsidRPr="00607162">
        <w:t>GST revenue and the December 201</w:t>
      </w:r>
      <w:r>
        <w:t>4</w:t>
      </w:r>
      <w:r w:rsidRPr="00607162">
        <w:t xml:space="preserve"> populations are taken from the </w:t>
      </w:r>
      <w:r w:rsidRPr="007E498F">
        <w:rPr>
          <w:i/>
        </w:rPr>
        <w:t>Australian Government Budget, Mid</w:t>
      </w:r>
      <w:r w:rsidRPr="007E498F">
        <w:rPr>
          <w:i/>
        </w:rPr>
        <w:noBreakHyphen/>
        <w:t>Year E</w:t>
      </w:r>
      <w:r>
        <w:rPr>
          <w:i/>
        </w:rPr>
        <w:t>conomic and Fiscal Outlook 2014-15</w:t>
      </w:r>
      <w:r w:rsidRPr="00607162">
        <w:t xml:space="preserve">. </w:t>
      </w:r>
      <w:r>
        <w:t xml:space="preserve">December </w:t>
      </w:r>
      <w:r w:rsidRPr="00607162">
        <w:t>201</w:t>
      </w:r>
      <w:r>
        <w:t>5</w:t>
      </w:r>
      <w:r w:rsidRPr="00607162">
        <w:t xml:space="preserve"> populations are obtained from </w:t>
      </w:r>
      <w:r>
        <w:t xml:space="preserve">the </w:t>
      </w:r>
      <w:r w:rsidRPr="00607162">
        <w:t>Commonwealth Treasury</w:t>
      </w:r>
      <w:r>
        <w:t xml:space="preserve"> by special data request</w:t>
      </w:r>
      <w:r w:rsidRPr="00607162">
        <w:t>.</w:t>
      </w:r>
    </w:p>
    <w:p w:rsidR="00037390" w:rsidRPr="001729F2" w:rsidRDefault="00037390" w:rsidP="00037390">
      <w:pPr>
        <w:pStyle w:val="CGCNumberedPara"/>
        <w:numPr>
          <w:ilvl w:val="1"/>
          <w:numId w:val="2"/>
        </w:numPr>
      </w:pPr>
      <w:r w:rsidRPr="001729F2">
        <w:t xml:space="preserve">The two distributions differ </w:t>
      </w:r>
      <w:r>
        <w:t>for the following reasons:</w:t>
      </w:r>
    </w:p>
    <w:p w:rsidR="00037390" w:rsidRPr="001729F2" w:rsidRDefault="00037390" w:rsidP="00037390">
      <w:pPr>
        <w:numPr>
          <w:ilvl w:val="0"/>
          <w:numId w:val="1"/>
        </w:numPr>
        <w:tabs>
          <w:tab w:val="clear" w:pos="567"/>
          <w:tab w:val="clear" w:pos="927"/>
          <w:tab w:val="left" w:pos="1134"/>
          <w:tab w:val="num" w:pos="4188"/>
        </w:tabs>
        <w:spacing w:before="80" w:line="300" w:lineRule="atLeast"/>
        <w:ind w:left="1134" w:hanging="567"/>
      </w:pPr>
      <w:r w:rsidRPr="001729F2">
        <w:t xml:space="preserve">State populations have changed — the illustrative </w:t>
      </w:r>
      <w:r>
        <w:t>2015</w:t>
      </w:r>
      <w:r>
        <w:noBreakHyphen/>
        <w:t>16</w:t>
      </w:r>
      <w:r w:rsidRPr="001729F2">
        <w:t xml:space="preserve"> distribution is based on estimated State populations as at December 201</w:t>
      </w:r>
      <w:r>
        <w:t>5</w:t>
      </w:r>
      <w:r w:rsidRPr="001729F2">
        <w:t xml:space="preserve"> whereas the 201</w:t>
      </w:r>
      <w:r>
        <w:t>4</w:t>
      </w:r>
      <w:r w:rsidRPr="001729F2">
        <w:noBreakHyphen/>
        <w:t>1</w:t>
      </w:r>
      <w:r>
        <w:t>5</w:t>
      </w:r>
      <w:r w:rsidRPr="001729F2">
        <w:t xml:space="preserve"> distribution is based on populations for a year earlier.</w:t>
      </w:r>
      <w:r>
        <w:t xml:space="preserve"> States shares of the total population differ slightly between these two dates and affect the total GST allocation for each State.</w:t>
      </w:r>
    </w:p>
    <w:p w:rsidR="00037390" w:rsidRPr="001729F2" w:rsidRDefault="00037390" w:rsidP="00037390">
      <w:pPr>
        <w:numPr>
          <w:ilvl w:val="0"/>
          <w:numId w:val="1"/>
        </w:numPr>
        <w:tabs>
          <w:tab w:val="clear" w:pos="567"/>
          <w:tab w:val="clear" w:pos="927"/>
          <w:tab w:val="left" w:pos="1134"/>
          <w:tab w:val="num" w:pos="4188"/>
        </w:tabs>
        <w:spacing w:before="80" w:line="300" w:lineRule="atLeast"/>
        <w:ind w:left="1134" w:hanging="567"/>
      </w:pPr>
      <w:r>
        <w:t>The size</w:t>
      </w:r>
      <w:r w:rsidRPr="001729F2">
        <w:t xml:space="preserve"> of </w:t>
      </w:r>
      <w:r>
        <w:t>the GST pool</w:t>
      </w:r>
      <w:r w:rsidRPr="001729F2">
        <w:t xml:space="preserve"> available for distribution has changed. </w:t>
      </w:r>
      <w:r>
        <w:t>Any growth in the pool is distributed among States using their relativities and population shares.</w:t>
      </w:r>
    </w:p>
    <w:p w:rsidR="00037390" w:rsidRPr="001729F2" w:rsidRDefault="00037390" w:rsidP="00037390">
      <w:pPr>
        <w:numPr>
          <w:ilvl w:val="0"/>
          <w:numId w:val="1"/>
        </w:numPr>
        <w:tabs>
          <w:tab w:val="clear" w:pos="567"/>
          <w:tab w:val="clear" w:pos="927"/>
          <w:tab w:val="left" w:pos="1134"/>
          <w:tab w:val="num" w:pos="4188"/>
        </w:tabs>
        <w:spacing w:before="80" w:line="300" w:lineRule="atLeast"/>
        <w:ind w:left="1134" w:hanging="567"/>
      </w:pPr>
      <w:r w:rsidRPr="001729F2">
        <w:lastRenderedPageBreak/>
        <w:t xml:space="preserve">The relativities used to distribute the </w:t>
      </w:r>
      <w:r>
        <w:t>GST</w:t>
      </w:r>
      <w:r w:rsidRPr="001729F2">
        <w:t xml:space="preserve"> have changed</w:t>
      </w:r>
      <w:r>
        <w:t>, reflecting changes in our assessed fiscal capacities of States</w:t>
      </w:r>
      <w:r w:rsidRPr="001729F2">
        <w:t xml:space="preserve"> — the illustrative </w:t>
      </w:r>
      <w:r>
        <w:t>2015</w:t>
      </w:r>
      <w:r>
        <w:noBreakHyphen/>
        <w:t>16</w:t>
      </w:r>
      <w:r w:rsidRPr="001729F2">
        <w:t xml:space="preserve"> distribution is based on the relativities recommended in this report whereas the 201</w:t>
      </w:r>
      <w:r>
        <w:t>4</w:t>
      </w:r>
      <w:r>
        <w:noBreakHyphen/>
        <w:t>15</w:t>
      </w:r>
      <w:r w:rsidRPr="001729F2">
        <w:t xml:space="preserve"> distribution is based on relativities derived in the 201</w:t>
      </w:r>
      <w:r>
        <w:t>4</w:t>
      </w:r>
      <w:r w:rsidRPr="001729F2">
        <w:t> Update.</w:t>
      </w:r>
      <w:r>
        <w:rPr>
          <w:rStyle w:val="FootnoteReference"/>
        </w:rPr>
        <w:footnoteReference w:id="12"/>
      </w:r>
    </w:p>
    <w:p w:rsidR="00037390" w:rsidRDefault="00037390" w:rsidP="00037390">
      <w:pPr>
        <w:pStyle w:val="CGCNumberedPara"/>
        <w:numPr>
          <w:ilvl w:val="1"/>
          <w:numId w:val="2"/>
        </w:numPr>
      </w:pPr>
      <w:r>
        <w:t>Other estimates of the 2015</w:t>
      </w:r>
      <w:r>
        <w:noBreakHyphen/>
        <w:t xml:space="preserve">16 GST distribution are </w:t>
      </w:r>
      <w:proofErr w:type="gramStart"/>
      <w:r>
        <w:t>available,</w:t>
      </w:r>
      <w:proofErr w:type="gramEnd"/>
      <w:r>
        <w:t xml:space="preserve"> in particular, those in State budget forward estimates. We have not sought to comment on those estimates or their basis.</w:t>
      </w:r>
    </w:p>
    <w:p w:rsidR="00037390" w:rsidRDefault="00037390" w:rsidP="00037390">
      <w:pPr>
        <w:pStyle w:val="CGCNumberedPara"/>
        <w:numPr>
          <w:ilvl w:val="1"/>
          <w:numId w:val="2"/>
        </w:numPr>
      </w:pPr>
      <w:r w:rsidRPr="001729F2">
        <w:t xml:space="preserve">The </w:t>
      </w:r>
      <w:r>
        <w:t>C</w:t>
      </w:r>
      <w:r w:rsidRPr="001729F2">
        <w:t>ommission’s work affects only the changes in the relativities</w:t>
      </w:r>
      <w:r>
        <w:t xml:space="preserve"> which we derive from assessed State fiscal capacities</w:t>
      </w:r>
      <w:r w:rsidRPr="001729F2">
        <w:t>.</w:t>
      </w:r>
      <w:r>
        <w:t xml:space="preserve"> Those changes are the subject of the rest of this </w:t>
      </w:r>
      <w:r w:rsidRPr="00A863CB">
        <w:t xml:space="preserve">chapter. </w:t>
      </w:r>
    </w:p>
    <w:p w:rsidR="00037390" w:rsidRPr="00A863CB" w:rsidRDefault="00037390" w:rsidP="00037390">
      <w:pPr>
        <w:pStyle w:val="Heading3"/>
      </w:pPr>
      <w:bookmarkStart w:id="644" w:name="_Toc411924615"/>
      <w:r>
        <w:t>Changes to fiscal capacities</w:t>
      </w:r>
      <w:bookmarkEnd w:id="644"/>
    </w:p>
    <w:p w:rsidR="00037390" w:rsidRPr="00A863CB" w:rsidRDefault="00037390" w:rsidP="00037390">
      <w:pPr>
        <w:pStyle w:val="CGCNumberedPara"/>
        <w:numPr>
          <w:ilvl w:val="1"/>
          <w:numId w:val="2"/>
        </w:numPr>
      </w:pPr>
      <w:r w:rsidRPr="00A863CB">
        <w:fldChar w:fldCharType="begin"/>
      </w:r>
      <w:r w:rsidRPr="00A863CB">
        <w:instrText xml:space="preserve"> REF _Ref410725387 \h </w:instrText>
      </w:r>
      <w:r>
        <w:instrText xml:space="preserve"> \* MERGEFORMAT </w:instrText>
      </w:r>
      <w:r w:rsidRPr="00A863CB">
        <w:fldChar w:fldCharType="separate"/>
      </w:r>
      <w:r w:rsidR="003A5DEE" w:rsidRPr="00A863CB">
        <w:t xml:space="preserve">Table </w:t>
      </w:r>
      <w:r w:rsidR="003A5DEE">
        <w:rPr>
          <w:noProof/>
        </w:rPr>
        <w:t>2</w:t>
      </w:r>
      <w:r w:rsidRPr="00A863CB">
        <w:fldChar w:fldCharType="end"/>
      </w:r>
      <w:r w:rsidRPr="00A863CB">
        <w:t xml:space="preserve"> illustrates that there have been changes to both</w:t>
      </w:r>
      <w:r>
        <w:t xml:space="preserve"> assessed</w:t>
      </w:r>
      <w:r w:rsidRPr="00A863CB">
        <w:t xml:space="preserve"> revenue and expense requirements, with expense requirements being the largest driver of change in New South Wales, Queensland and the ACT. Changes in revenue requirements led to large changes in redistribution for Victoria and Western Australia. </w:t>
      </w:r>
    </w:p>
    <w:p w:rsidR="00037390" w:rsidRPr="00A863CB" w:rsidRDefault="00037390" w:rsidP="00037390">
      <w:pPr>
        <w:pStyle w:val="CGCTableHeading"/>
      </w:pPr>
      <w:bookmarkStart w:id="645" w:name="_Ref410725387"/>
      <w:r w:rsidRPr="00A863CB">
        <w:t xml:space="preserve">Table </w:t>
      </w:r>
      <w:fldSimple w:instr=" SEQ Table \* ARABIC ">
        <w:r w:rsidR="003A5DEE">
          <w:rPr>
            <w:noProof/>
          </w:rPr>
          <w:t>2</w:t>
        </w:r>
      </w:fldSimple>
      <w:bookmarkEnd w:id="645"/>
      <w:r w:rsidRPr="00A863CB">
        <w:tab/>
      </w:r>
      <w:r w:rsidR="00760E36">
        <w:t>Composition</w:t>
      </w:r>
      <w:r>
        <w:t xml:space="preserve"> of change in assessed fiscal capacities since the 2014 Update</w:t>
      </w:r>
    </w:p>
    <w:tbl>
      <w:tblPr>
        <w:tblW w:w="8960" w:type="dxa"/>
        <w:tblInd w:w="93" w:type="dxa"/>
        <w:tblLook w:val="04A0" w:firstRow="1" w:lastRow="0" w:firstColumn="1" w:lastColumn="0" w:noHBand="0" w:noVBand="1"/>
      </w:tblPr>
      <w:tblGrid>
        <w:gridCol w:w="2560"/>
        <w:gridCol w:w="720"/>
        <w:gridCol w:w="720"/>
        <w:gridCol w:w="720"/>
        <w:gridCol w:w="720"/>
        <w:gridCol w:w="720"/>
        <w:gridCol w:w="660"/>
        <w:gridCol w:w="720"/>
        <w:gridCol w:w="620"/>
        <w:gridCol w:w="800"/>
      </w:tblGrid>
      <w:tr w:rsidR="006B46D2" w:rsidRPr="00CB446D" w:rsidTr="00236E06">
        <w:trPr>
          <w:trHeight w:val="379"/>
        </w:trPr>
        <w:tc>
          <w:tcPr>
            <w:tcW w:w="2560" w:type="dxa"/>
            <w:tcBorders>
              <w:top w:val="single" w:sz="4" w:space="0" w:color="auto"/>
              <w:left w:val="nil"/>
              <w:bottom w:val="single" w:sz="4" w:space="0" w:color="auto"/>
              <w:right w:val="nil"/>
            </w:tcBorders>
            <w:shd w:val="clear" w:color="auto" w:fill="auto"/>
            <w:noWrap/>
            <w:vAlign w:val="center"/>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bookmarkStart w:id="646" w:name="RANGE!A31:J38"/>
            <w:r w:rsidRPr="00CB446D">
              <w:rPr>
                <w:rFonts w:ascii="Calibri" w:eastAsia="Times New Roman" w:hAnsi="Calibri" w:cs="Times New Roman"/>
                <w:sz w:val="20"/>
                <w:szCs w:val="20"/>
                <w:lang w:eastAsia="en-AU"/>
              </w:rPr>
              <w:t> </w:t>
            </w:r>
            <w:bookmarkEnd w:id="646"/>
          </w:p>
        </w:tc>
        <w:tc>
          <w:tcPr>
            <w:tcW w:w="720" w:type="dxa"/>
            <w:tcBorders>
              <w:top w:val="single" w:sz="4" w:space="0" w:color="auto"/>
              <w:left w:val="nil"/>
              <w:bottom w:val="single" w:sz="4" w:space="0" w:color="auto"/>
              <w:right w:val="nil"/>
            </w:tcBorders>
            <w:shd w:val="clear" w:color="auto" w:fill="auto"/>
            <w:noWrap/>
            <w:vAlign w:val="center"/>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NSW</w:t>
            </w:r>
          </w:p>
        </w:tc>
        <w:tc>
          <w:tcPr>
            <w:tcW w:w="720" w:type="dxa"/>
            <w:tcBorders>
              <w:top w:val="single" w:sz="4" w:space="0" w:color="auto"/>
              <w:left w:val="nil"/>
              <w:bottom w:val="single" w:sz="4" w:space="0" w:color="auto"/>
              <w:right w:val="nil"/>
            </w:tcBorders>
            <w:shd w:val="clear" w:color="auto" w:fill="auto"/>
            <w:noWrap/>
            <w:vAlign w:val="center"/>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Vic</w:t>
            </w:r>
          </w:p>
        </w:tc>
        <w:tc>
          <w:tcPr>
            <w:tcW w:w="720" w:type="dxa"/>
            <w:tcBorders>
              <w:top w:val="single" w:sz="4" w:space="0" w:color="auto"/>
              <w:left w:val="nil"/>
              <w:bottom w:val="single" w:sz="4" w:space="0" w:color="auto"/>
              <w:right w:val="nil"/>
            </w:tcBorders>
            <w:shd w:val="clear" w:color="auto" w:fill="auto"/>
            <w:noWrap/>
            <w:vAlign w:val="center"/>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Qld</w:t>
            </w:r>
          </w:p>
        </w:tc>
        <w:tc>
          <w:tcPr>
            <w:tcW w:w="720" w:type="dxa"/>
            <w:tcBorders>
              <w:top w:val="single" w:sz="4" w:space="0" w:color="auto"/>
              <w:left w:val="nil"/>
              <w:bottom w:val="single" w:sz="4" w:space="0" w:color="auto"/>
              <w:right w:val="nil"/>
            </w:tcBorders>
            <w:shd w:val="clear" w:color="auto" w:fill="auto"/>
            <w:noWrap/>
            <w:vAlign w:val="center"/>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WA</w:t>
            </w:r>
          </w:p>
        </w:tc>
        <w:tc>
          <w:tcPr>
            <w:tcW w:w="720" w:type="dxa"/>
            <w:tcBorders>
              <w:top w:val="single" w:sz="4" w:space="0" w:color="auto"/>
              <w:left w:val="nil"/>
              <w:bottom w:val="single" w:sz="4" w:space="0" w:color="auto"/>
              <w:right w:val="nil"/>
            </w:tcBorders>
            <w:shd w:val="clear" w:color="auto" w:fill="auto"/>
            <w:noWrap/>
            <w:vAlign w:val="center"/>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SA</w:t>
            </w:r>
          </w:p>
        </w:tc>
        <w:tc>
          <w:tcPr>
            <w:tcW w:w="660" w:type="dxa"/>
            <w:tcBorders>
              <w:top w:val="single" w:sz="4" w:space="0" w:color="auto"/>
              <w:left w:val="nil"/>
              <w:bottom w:val="single" w:sz="4" w:space="0" w:color="auto"/>
              <w:right w:val="nil"/>
            </w:tcBorders>
            <w:shd w:val="clear" w:color="auto" w:fill="auto"/>
            <w:noWrap/>
            <w:vAlign w:val="center"/>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proofErr w:type="spellStart"/>
            <w:r w:rsidRPr="00CB446D">
              <w:rPr>
                <w:rFonts w:ascii="Calibri" w:eastAsia="Times New Roman" w:hAnsi="Calibri" w:cs="Times New Roman"/>
                <w:sz w:val="20"/>
                <w:szCs w:val="20"/>
                <w:lang w:eastAsia="en-AU"/>
              </w:rPr>
              <w:t>Tas</w:t>
            </w:r>
            <w:proofErr w:type="spellEnd"/>
          </w:p>
        </w:tc>
        <w:tc>
          <w:tcPr>
            <w:tcW w:w="720" w:type="dxa"/>
            <w:tcBorders>
              <w:top w:val="single" w:sz="4" w:space="0" w:color="auto"/>
              <w:left w:val="nil"/>
              <w:bottom w:val="single" w:sz="4" w:space="0" w:color="auto"/>
              <w:right w:val="nil"/>
            </w:tcBorders>
            <w:shd w:val="clear" w:color="auto" w:fill="auto"/>
            <w:noWrap/>
            <w:vAlign w:val="center"/>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ACT</w:t>
            </w:r>
          </w:p>
        </w:tc>
        <w:tc>
          <w:tcPr>
            <w:tcW w:w="620" w:type="dxa"/>
            <w:tcBorders>
              <w:top w:val="single" w:sz="4" w:space="0" w:color="auto"/>
              <w:left w:val="nil"/>
              <w:bottom w:val="single" w:sz="4" w:space="0" w:color="auto"/>
              <w:right w:val="nil"/>
            </w:tcBorders>
            <w:shd w:val="clear" w:color="auto" w:fill="auto"/>
            <w:noWrap/>
            <w:vAlign w:val="center"/>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NT</w:t>
            </w:r>
          </w:p>
        </w:tc>
        <w:tc>
          <w:tcPr>
            <w:tcW w:w="800" w:type="dxa"/>
            <w:tcBorders>
              <w:top w:val="single" w:sz="4" w:space="0" w:color="auto"/>
              <w:left w:val="nil"/>
              <w:bottom w:val="single" w:sz="4" w:space="0" w:color="auto"/>
              <w:right w:val="nil"/>
            </w:tcBorders>
            <w:shd w:val="clear" w:color="auto" w:fill="auto"/>
            <w:noWrap/>
            <w:vAlign w:val="center"/>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proofErr w:type="spellStart"/>
            <w:r w:rsidRPr="00CB446D">
              <w:rPr>
                <w:rFonts w:ascii="Calibri" w:eastAsia="Times New Roman" w:hAnsi="Calibri" w:cs="Times New Roman"/>
                <w:sz w:val="20"/>
                <w:szCs w:val="20"/>
                <w:lang w:eastAsia="en-AU"/>
              </w:rPr>
              <w:t>Redist</w:t>
            </w:r>
            <w:proofErr w:type="spellEnd"/>
          </w:p>
        </w:tc>
      </w:tr>
      <w:tr w:rsidR="006B46D2" w:rsidRPr="00CB446D" w:rsidTr="00236E06">
        <w:trPr>
          <w:trHeight w:val="259"/>
        </w:trPr>
        <w:tc>
          <w:tcPr>
            <w:tcW w:w="256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$m</w:t>
            </w:r>
          </w:p>
        </w:tc>
        <w:tc>
          <w:tcPr>
            <w:tcW w:w="66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$m</w:t>
            </w:r>
          </w:p>
        </w:tc>
        <w:tc>
          <w:tcPr>
            <w:tcW w:w="6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$m</w:t>
            </w:r>
          </w:p>
        </w:tc>
        <w:tc>
          <w:tcPr>
            <w:tcW w:w="80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$m</w:t>
            </w:r>
          </w:p>
        </w:tc>
      </w:tr>
      <w:tr w:rsidR="006B46D2" w:rsidRPr="00CB446D" w:rsidTr="00236E06">
        <w:trPr>
          <w:trHeight w:val="315"/>
        </w:trPr>
        <w:tc>
          <w:tcPr>
            <w:tcW w:w="256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Expense requirement</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-489</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-235</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528</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141</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109</w:t>
            </w:r>
          </w:p>
        </w:tc>
        <w:tc>
          <w:tcPr>
            <w:tcW w:w="66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54</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-65</w:t>
            </w:r>
          </w:p>
        </w:tc>
        <w:tc>
          <w:tcPr>
            <w:tcW w:w="6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-43</w:t>
            </w:r>
          </w:p>
        </w:tc>
        <w:tc>
          <w:tcPr>
            <w:tcW w:w="80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832</w:t>
            </w:r>
          </w:p>
        </w:tc>
      </w:tr>
      <w:tr w:rsidR="006B46D2" w:rsidRPr="00CB446D" w:rsidTr="00236E06">
        <w:trPr>
          <w:trHeight w:val="315"/>
        </w:trPr>
        <w:tc>
          <w:tcPr>
            <w:tcW w:w="256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Investment requirement</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-40</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244</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-250</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269</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-143</w:t>
            </w:r>
          </w:p>
        </w:tc>
        <w:tc>
          <w:tcPr>
            <w:tcW w:w="66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-86</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-44</w:t>
            </w:r>
          </w:p>
        </w:tc>
        <w:tc>
          <w:tcPr>
            <w:tcW w:w="6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51</w:t>
            </w:r>
          </w:p>
        </w:tc>
        <w:tc>
          <w:tcPr>
            <w:tcW w:w="80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563</w:t>
            </w:r>
          </w:p>
        </w:tc>
      </w:tr>
      <w:tr w:rsidR="006B46D2" w:rsidRPr="00CB446D" w:rsidTr="00236E06">
        <w:trPr>
          <w:trHeight w:val="315"/>
        </w:trPr>
        <w:tc>
          <w:tcPr>
            <w:tcW w:w="256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Net borrowing</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204</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-8</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-66</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-253</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84</w:t>
            </w:r>
          </w:p>
        </w:tc>
        <w:tc>
          <w:tcPr>
            <w:tcW w:w="66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44</w:t>
            </w:r>
          </w:p>
        </w:tc>
        <w:tc>
          <w:tcPr>
            <w:tcW w:w="7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-7</w:t>
            </w:r>
          </w:p>
        </w:tc>
        <w:tc>
          <w:tcPr>
            <w:tcW w:w="62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2</w:t>
            </w:r>
          </w:p>
        </w:tc>
        <w:tc>
          <w:tcPr>
            <w:tcW w:w="80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334</w:t>
            </w:r>
          </w:p>
        </w:tc>
      </w:tr>
      <w:tr w:rsidR="006B46D2" w:rsidRPr="00CB446D" w:rsidTr="00243D07">
        <w:trPr>
          <w:trHeight w:val="315"/>
        </w:trPr>
        <w:tc>
          <w:tcPr>
            <w:tcW w:w="256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Revenue capacity</w:t>
            </w:r>
          </w:p>
        </w:tc>
        <w:tc>
          <w:tcPr>
            <w:tcW w:w="720" w:type="dxa"/>
            <w:tcBorders>
              <w:top w:val="nil"/>
              <w:left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-194</w:t>
            </w:r>
          </w:p>
        </w:tc>
        <w:tc>
          <w:tcPr>
            <w:tcW w:w="720" w:type="dxa"/>
            <w:tcBorders>
              <w:top w:val="nil"/>
              <w:left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420</w:t>
            </w:r>
          </w:p>
        </w:tc>
        <w:tc>
          <w:tcPr>
            <w:tcW w:w="720" w:type="dxa"/>
            <w:tcBorders>
              <w:top w:val="nil"/>
              <w:left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322</w:t>
            </w:r>
          </w:p>
        </w:tc>
        <w:tc>
          <w:tcPr>
            <w:tcW w:w="720" w:type="dxa"/>
            <w:tcBorders>
              <w:top w:val="nil"/>
              <w:left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-703</w:t>
            </w:r>
          </w:p>
        </w:tc>
        <w:tc>
          <w:tcPr>
            <w:tcW w:w="720" w:type="dxa"/>
            <w:tcBorders>
              <w:top w:val="nil"/>
              <w:left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104</w:t>
            </w:r>
          </w:p>
        </w:tc>
        <w:tc>
          <w:tcPr>
            <w:tcW w:w="660" w:type="dxa"/>
            <w:tcBorders>
              <w:top w:val="nil"/>
              <w:left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57</w:t>
            </w:r>
          </w:p>
        </w:tc>
        <w:tc>
          <w:tcPr>
            <w:tcW w:w="720" w:type="dxa"/>
            <w:tcBorders>
              <w:top w:val="nil"/>
              <w:left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4</w:t>
            </w:r>
          </w:p>
        </w:tc>
        <w:tc>
          <w:tcPr>
            <w:tcW w:w="620" w:type="dxa"/>
            <w:tcBorders>
              <w:top w:val="nil"/>
              <w:left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-10</w:t>
            </w:r>
          </w:p>
        </w:tc>
        <w:tc>
          <w:tcPr>
            <w:tcW w:w="800" w:type="dxa"/>
            <w:tcBorders>
              <w:top w:val="nil"/>
              <w:left w:val="nil"/>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907</w:t>
            </w:r>
          </w:p>
        </w:tc>
      </w:tr>
      <w:tr w:rsidR="006B46D2" w:rsidRPr="00CB446D" w:rsidTr="00243D07">
        <w:trPr>
          <w:trHeight w:val="315"/>
        </w:trPr>
        <w:tc>
          <w:tcPr>
            <w:tcW w:w="2560" w:type="dxa"/>
            <w:tcBorders>
              <w:top w:val="nil"/>
              <w:left w:val="nil"/>
              <w:bottom w:val="nil"/>
              <w:right w:val="nil"/>
            </w:tcBorders>
            <w:shd w:val="clear" w:color="auto" w:fill="auto"/>
            <w:noWrap/>
            <w:vAlign w:val="bottom"/>
            <w:hideMark/>
          </w:tcPr>
          <w:p w:rsidR="006B46D2" w:rsidRPr="00CB446D"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Commonwealth payments</w:t>
            </w:r>
          </w:p>
        </w:tc>
        <w:tc>
          <w:tcPr>
            <w:tcW w:w="720" w:type="dxa"/>
            <w:tcBorders>
              <w:top w:val="nil"/>
              <w:left w:val="nil"/>
              <w:bottom w:val="single" w:sz="4" w:space="0" w:color="auto"/>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3</w:t>
            </w:r>
          </w:p>
        </w:tc>
        <w:tc>
          <w:tcPr>
            <w:tcW w:w="720" w:type="dxa"/>
            <w:tcBorders>
              <w:top w:val="nil"/>
              <w:left w:val="nil"/>
              <w:bottom w:val="single" w:sz="4" w:space="0" w:color="auto"/>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-290</w:t>
            </w:r>
          </w:p>
        </w:tc>
        <w:tc>
          <w:tcPr>
            <w:tcW w:w="720" w:type="dxa"/>
            <w:tcBorders>
              <w:top w:val="nil"/>
              <w:left w:val="nil"/>
              <w:bottom w:val="single" w:sz="4" w:space="0" w:color="auto"/>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21</w:t>
            </w:r>
          </w:p>
        </w:tc>
        <w:tc>
          <w:tcPr>
            <w:tcW w:w="720" w:type="dxa"/>
            <w:tcBorders>
              <w:top w:val="nil"/>
              <w:left w:val="nil"/>
              <w:bottom w:val="single" w:sz="4" w:space="0" w:color="auto"/>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53</w:t>
            </w:r>
          </w:p>
        </w:tc>
        <w:tc>
          <w:tcPr>
            <w:tcW w:w="720" w:type="dxa"/>
            <w:tcBorders>
              <w:top w:val="nil"/>
              <w:left w:val="nil"/>
              <w:bottom w:val="single" w:sz="4" w:space="0" w:color="auto"/>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130</w:t>
            </w:r>
          </w:p>
        </w:tc>
        <w:tc>
          <w:tcPr>
            <w:tcW w:w="660" w:type="dxa"/>
            <w:tcBorders>
              <w:top w:val="nil"/>
              <w:left w:val="nil"/>
              <w:bottom w:val="single" w:sz="4" w:space="0" w:color="auto"/>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157</w:t>
            </w:r>
          </w:p>
        </w:tc>
        <w:tc>
          <w:tcPr>
            <w:tcW w:w="720" w:type="dxa"/>
            <w:tcBorders>
              <w:top w:val="nil"/>
              <w:left w:val="nil"/>
              <w:bottom w:val="single" w:sz="4" w:space="0" w:color="auto"/>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-17</w:t>
            </w:r>
          </w:p>
        </w:tc>
        <w:tc>
          <w:tcPr>
            <w:tcW w:w="620" w:type="dxa"/>
            <w:tcBorders>
              <w:top w:val="nil"/>
              <w:left w:val="nil"/>
              <w:bottom w:val="single" w:sz="4" w:space="0" w:color="auto"/>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-56</w:t>
            </w:r>
          </w:p>
        </w:tc>
        <w:tc>
          <w:tcPr>
            <w:tcW w:w="800" w:type="dxa"/>
            <w:tcBorders>
              <w:top w:val="nil"/>
              <w:left w:val="nil"/>
              <w:bottom w:val="single" w:sz="4" w:space="0" w:color="auto"/>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364</w:t>
            </w:r>
          </w:p>
        </w:tc>
      </w:tr>
      <w:tr w:rsidR="006B46D2" w:rsidRPr="00CB446D" w:rsidTr="00243D07">
        <w:trPr>
          <w:trHeight w:val="315"/>
        </w:trPr>
        <w:tc>
          <w:tcPr>
            <w:tcW w:w="2560" w:type="dxa"/>
            <w:tcBorders>
              <w:top w:val="nil"/>
              <w:left w:val="nil"/>
              <w:bottom w:val="single" w:sz="4" w:space="0" w:color="auto"/>
              <w:right w:val="nil"/>
            </w:tcBorders>
            <w:shd w:val="clear" w:color="auto" w:fill="auto"/>
            <w:vAlign w:val="bottom"/>
            <w:hideMark/>
          </w:tcPr>
          <w:p w:rsidR="006B46D2" w:rsidRPr="00CB446D"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Total change</w:t>
            </w:r>
          </w:p>
        </w:tc>
        <w:tc>
          <w:tcPr>
            <w:tcW w:w="720" w:type="dxa"/>
            <w:tcBorders>
              <w:top w:val="single" w:sz="4" w:space="0" w:color="auto"/>
              <w:left w:val="nil"/>
              <w:bottom w:val="single" w:sz="4" w:space="0" w:color="auto"/>
              <w:right w:val="nil"/>
            </w:tcBorders>
            <w:shd w:val="clear" w:color="auto" w:fill="auto"/>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-517</w:t>
            </w:r>
          </w:p>
        </w:tc>
        <w:tc>
          <w:tcPr>
            <w:tcW w:w="720" w:type="dxa"/>
            <w:tcBorders>
              <w:top w:val="single" w:sz="4" w:space="0" w:color="auto"/>
              <w:left w:val="nil"/>
              <w:bottom w:val="single" w:sz="4" w:space="0" w:color="auto"/>
              <w:right w:val="nil"/>
            </w:tcBorders>
            <w:shd w:val="clear" w:color="auto" w:fill="auto"/>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131</w:t>
            </w:r>
          </w:p>
        </w:tc>
        <w:tc>
          <w:tcPr>
            <w:tcW w:w="720" w:type="dxa"/>
            <w:tcBorders>
              <w:top w:val="single" w:sz="4" w:space="0" w:color="auto"/>
              <w:left w:val="nil"/>
              <w:bottom w:val="single" w:sz="4" w:space="0" w:color="auto"/>
              <w:right w:val="nil"/>
            </w:tcBorders>
            <w:shd w:val="clear" w:color="auto" w:fill="auto"/>
            <w:vAlign w:val="bottom"/>
            <w:hideMark/>
          </w:tcPr>
          <w:p w:rsidR="006B46D2" w:rsidRPr="00AB19C7"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556</w:t>
            </w:r>
          </w:p>
        </w:tc>
        <w:tc>
          <w:tcPr>
            <w:tcW w:w="720" w:type="dxa"/>
            <w:tcBorders>
              <w:top w:val="single" w:sz="4" w:space="0" w:color="auto"/>
              <w:left w:val="nil"/>
              <w:bottom w:val="single" w:sz="4" w:space="0" w:color="auto"/>
              <w:right w:val="nil"/>
            </w:tcBorders>
            <w:shd w:val="clear" w:color="auto" w:fill="auto"/>
            <w:vAlign w:val="bottom"/>
            <w:hideMark/>
          </w:tcPr>
          <w:p w:rsidR="006B46D2" w:rsidRPr="00AB19C7"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-494</w:t>
            </w:r>
          </w:p>
        </w:tc>
        <w:tc>
          <w:tcPr>
            <w:tcW w:w="720" w:type="dxa"/>
            <w:tcBorders>
              <w:top w:val="single" w:sz="4" w:space="0" w:color="auto"/>
              <w:left w:val="nil"/>
              <w:bottom w:val="single" w:sz="4" w:space="0" w:color="auto"/>
              <w:right w:val="nil"/>
            </w:tcBorders>
            <w:shd w:val="clear" w:color="auto" w:fill="auto"/>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284</w:t>
            </w:r>
          </w:p>
        </w:tc>
        <w:tc>
          <w:tcPr>
            <w:tcW w:w="660" w:type="dxa"/>
            <w:tcBorders>
              <w:top w:val="single" w:sz="4" w:space="0" w:color="auto"/>
              <w:left w:val="nil"/>
              <w:bottom w:val="single" w:sz="4" w:space="0" w:color="auto"/>
              <w:right w:val="nil"/>
            </w:tcBorders>
            <w:shd w:val="clear" w:color="auto" w:fill="auto"/>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225</w:t>
            </w:r>
          </w:p>
        </w:tc>
        <w:tc>
          <w:tcPr>
            <w:tcW w:w="720" w:type="dxa"/>
            <w:tcBorders>
              <w:top w:val="single" w:sz="4" w:space="0" w:color="auto"/>
              <w:left w:val="nil"/>
              <w:bottom w:val="single" w:sz="4" w:space="0" w:color="auto"/>
              <w:right w:val="nil"/>
            </w:tcBorders>
            <w:shd w:val="clear" w:color="auto" w:fill="auto"/>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-129</w:t>
            </w:r>
          </w:p>
        </w:tc>
        <w:tc>
          <w:tcPr>
            <w:tcW w:w="620" w:type="dxa"/>
            <w:tcBorders>
              <w:top w:val="single" w:sz="4" w:space="0" w:color="auto"/>
              <w:left w:val="nil"/>
              <w:bottom w:val="single" w:sz="4" w:space="0" w:color="auto"/>
              <w:right w:val="nil"/>
            </w:tcBorders>
            <w:shd w:val="clear" w:color="auto" w:fill="auto"/>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-56</w:t>
            </w:r>
          </w:p>
        </w:tc>
        <w:tc>
          <w:tcPr>
            <w:tcW w:w="800" w:type="dxa"/>
            <w:tcBorders>
              <w:top w:val="single" w:sz="4" w:space="0" w:color="auto"/>
              <w:left w:val="nil"/>
              <w:bottom w:val="single" w:sz="4" w:space="0" w:color="auto"/>
              <w:right w:val="nil"/>
            </w:tcBorders>
            <w:shd w:val="clear" w:color="auto" w:fill="auto"/>
            <w:noWrap/>
            <w:vAlign w:val="bottom"/>
            <w:hideMark/>
          </w:tcPr>
          <w:p w:rsidR="006B46D2" w:rsidRPr="00CB446D"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CB446D">
              <w:rPr>
                <w:rFonts w:ascii="Calibri" w:eastAsia="Times New Roman" w:hAnsi="Calibri" w:cs="Times New Roman"/>
                <w:sz w:val="20"/>
                <w:szCs w:val="20"/>
                <w:lang w:eastAsia="en-AU"/>
              </w:rPr>
              <w:t>1 196</w:t>
            </w:r>
          </w:p>
        </w:tc>
      </w:tr>
    </w:tbl>
    <w:p w:rsidR="00037390" w:rsidRDefault="00037390" w:rsidP="00EA009D">
      <w:pPr>
        <w:pStyle w:val="CGCTableFootnote"/>
      </w:pPr>
      <w:r>
        <w:t xml:space="preserve">Note: </w:t>
      </w:r>
      <w:r>
        <w:tab/>
        <w:t xml:space="preserve">The total change shown here is equivalent to the total change in fiscal capacities shown in </w:t>
      </w:r>
      <w:r>
        <w:fldChar w:fldCharType="begin"/>
      </w:r>
      <w:r>
        <w:instrText xml:space="preserve"> REF _Ref379537343 \h </w:instrText>
      </w:r>
      <w:r w:rsidR="00EA009D">
        <w:instrText xml:space="preserve"> \* MERGEFORMAT </w:instrText>
      </w:r>
      <w:r>
        <w:fldChar w:fldCharType="separate"/>
      </w:r>
      <w:r w:rsidR="003A5DEE" w:rsidRPr="00E11EF7">
        <w:t xml:space="preserve">Table </w:t>
      </w:r>
      <w:r w:rsidR="003A5DEE">
        <w:rPr>
          <w:noProof/>
        </w:rPr>
        <w:t>1</w:t>
      </w:r>
      <w:r>
        <w:fldChar w:fldCharType="end"/>
      </w:r>
      <w:r>
        <w:t>. This total excludes the impact of change to populations and the GST pool.</w:t>
      </w:r>
    </w:p>
    <w:p w:rsidR="00037390" w:rsidRPr="00A863CB" w:rsidRDefault="00037390" w:rsidP="00EA009D">
      <w:pPr>
        <w:pStyle w:val="CGCTableFootnote"/>
      </w:pPr>
      <w:r w:rsidRPr="00A863CB">
        <w:t>Source:</w:t>
      </w:r>
      <w:r w:rsidR="00EA009D">
        <w:tab/>
      </w:r>
      <w:r w:rsidRPr="00A863CB">
        <w:t>Commission calculation</w:t>
      </w:r>
      <w:r w:rsidR="00B7171D">
        <w:t>.</w:t>
      </w:r>
    </w:p>
    <w:p w:rsidR="00037390" w:rsidRPr="00A863CB" w:rsidRDefault="00037390" w:rsidP="00037390">
      <w:pPr>
        <w:pStyle w:val="CGCNumberedPara"/>
        <w:numPr>
          <w:ilvl w:val="1"/>
          <w:numId w:val="2"/>
        </w:numPr>
      </w:pPr>
      <w:r w:rsidRPr="00A863CB">
        <w:t xml:space="preserve">The rest of our analysis considers three influences that produce </w:t>
      </w:r>
      <w:r>
        <w:t xml:space="preserve">these </w:t>
      </w:r>
      <w:r w:rsidRPr="00A863CB">
        <w:t>change</w:t>
      </w:r>
      <w:r>
        <w:t>s</w:t>
      </w:r>
      <w:r w:rsidRPr="00A863CB">
        <w:t xml:space="preserve"> in </w:t>
      </w:r>
      <w:r>
        <w:t>State requirements for GST</w:t>
      </w:r>
      <w:r w:rsidRPr="00A863CB">
        <w:t>:</w:t>
      </w:r>
    </w:p>
    <w:p w:rsidR="00037390" w:rsidRDefault="00037390" w:rsidP="00037390">
      <w:pPr>
        <w:pStyle w:val="CGCBulletlist"/>
        <w:numPr>
          <w:ilvl w:val="0"/>
          <w:numId w:val="1"/>
        </w:numPr>
        <w:tabs>
          <w:tab w:val="clear" w:pos="927"/>
          <w:tab w:val="left" w:pos="1134"/>
        </w:tabs>
        <w:ind w:left="1134" w:hanging="567"/>
      </w:pPr>
      <w:r w:rsidRPr="00243D07">
        <w:rPr>
          <w:rStyle w:val="Heading6Char"/>
        </w:rPr>
        <w:t>Changes in methods.</w:t>
      </w:r>
      <w:r>
        <w:t xml:space="preserve"> The Commission reviews the methods used to allocate the GST about every five years. This report represents the findings of such a review and as a result illustrates the impact of major changes in method from those used in our 2014 Update.</w:t>
      </w:r>
    </w:p>
    <w:p w:rsidR="00037390" w:rsidRDefault="00037390" w:rsidP="00037390">
      <w:pPr>
        <w:pStyle w:val="CGCBulletlist"/>
        <w:numPr>
          <w:ilvl w:val="0"/>
          <w:numId w:val="1"/>
        </w:numPr>
        <w:tabs>
          <w:tab w:val="clear" w:pos="927"/>
          <w:tab w:val="left" w:pos="1134"/>
        </w:tabs>
        <w:ind w:left="1134" w:hanging="567"/>
      </w:pPr>
      <w:r w:rsidRPr="00243D07">
        <w:rPr>
          <w:rStyle w:val="Heading6Char"/>
        </w:rPr>
        <w:t>Revisions to data.</w:t>
      </w:r>
      <w:r>
        <w:t xml:space="preserve"> Sometimes States and other data providers revise and correct historical data that we have used in calculating relativities. The </w:t>
      </w:r>
      <w:r>
        <w:lastRenderedPageBreak/>
        <w:t>Commission usually adopts the most current revised data and this affects the GST distribution.</w:t>
      </w:r>
    </w:p>
    <w:p w:rsidR="00037390" w:rsidRPr="001729F2" w:rsidRDefault="00037390" w:rsidP="00037390">
      <w:pPr>
        <w:pStyle w:val="CGCBulletlist"/>
        <w:numPr>
          <w:ilvl w:val="0"/>
          <w:numId w:val="1"/>
        </w:numPr>
        <w:tabs>
          <w:tab w:val="clear" w:pos="927"/>
          <w:tab w:val="left" w:pos="1134"/>
        </w:tabs>
        <w:ind w:left="1134" w:hanging="567"/>
      </w:pPr>
      <w:r w:rsidRPr="00243D07">
        <w:rPr>
          <w:rStyle w:val="Heading6Char"/>
        </w:rPr>
        <w:t>Changes in circumstances.</w:t>
      </w:r>
      <w:r>
        <w:t xml:space="preserve"> State populations and economies change over time. To generate relativities for this report, we have used data for the period 2011</w:t>
      </w:r>
      <w:r>
        <w:noBreakHyphen/>
        <w:t>12 to 2013</w:t>
      </w:r>
      <w:r>
        <w:noBreakHyphen/>
        <w:t>14. Data for the 2014 Update covers 2010</w:t>
      </w:r>
      <w:r>
        <w:noBreakHyphen/>
        <w:t>11 to 2012</w:t>
      </w:r>
      <w:r>
        <w:noBreakHyphen/>
        <w:t>13. In generating the relativities for this report, we move a year forward in the three year frame of data used, effectively replacing 2010</w:t>
      </w:r>
      <w:r>
        <w:noBreakHyphen/>
        <w:t>11 data with 2013</w:t>
      </w:r>
      <w:r>
        <w:noBreakHyphen/>
        <w:t>14 data. This invariably produces changes in assessed fiscal capacities and relativities.</w:t>
      </w:r>
    </w:p>
    <w:p w:rsidR="00037390" w:rsidRDefault="00037390" w:rsidP="00037390">
      <w:pPr>
        <w:pStyle w:val="CGCNumberedPara"/>
        <w:numPr>
          <w:ilvl w:val="1"/>
          <w:numId w:val="2"/>
        </w:numPr>
      </w:pPr>
      <w:r>
        <w:t xml:space="preserve">The impacts of these three types of change on the GST distribution are shown in </w:t>
      </w:r>
      <w:r>
        <w:fldChar w:fldCharType="begin"/>
      </w:r>
      <w:r>
        <w:instrText xml:space="preserve"> REF _Ref378175370 \h </w:instrText>
      </w:r>
      <w:r>
        <w:fldChar w:fldCharType="separate"/>
      </w:r>
      <w:r w:rsidR="003A5DEE" w:rsidRPr="00AB7DF0">
        <w:t>Table</w:t>
      </w:r>
      <w:r w:rsidR="003A5DEE">
        <w:t> </w:t>
      </w:r>
      <w:r w:rsidR="003A5DEE">
        <w:rPr>
          <w:noProof/>
        </w:rPr>
        <w:t>3</w:t>
      </w:r>
      <w:r>
        <w:fldChar w:fldCharType="end"/>
      </w:r>
      <w:r>
        <w:t xml:space="preserve">. </w:t>
      </w:r>
    </w:p>
    <w:p w:rsidR="00037390" w:rsidRDefault="00037390" w:rsidP="00037390">
      <w:pPr>
        <w:pStyle w:val="CGCNumberedPara"/>
        <w:numPr>
          <w:ilvl w:val="1"/>
          <w:numId w:val="2"/>
        </w:numPr>
      </w:pPr>
      <w:r>
        <w:t xml:space="preserve">Changes in State circumstances have been the major cause of the redistribution, largely because of the continuing growth of Western Australia’s </w:t>
      </w:r>
      <w:r w:rsidR="00117151">
        <w:t xml:space="preserve">assessed </w:t>
      </w:r>
      <w:r>
        <w:t>revenue raising capacity and Queensland’s spending on natural disaster relief (and the consequential impacts on other Sta</w:t>
      </w:r>
      <w:r w:rsidR="00EA009D">
        <w:t>t</w:t>
      </w:r>
      <w:r>
        <w:t xml:space="preserve">es). Changes in methods have also had a large impact on the GST of most States while data revisions have a less important impact for all States </w:t>
      </w:r>
      <w:r w:rsidR="00EA009D">
        <w:t>except</w:t>
      </w:r>
      <w:r>
        <w:t xml:space="preserve"> New South Wales</w:t>
      </w:r>
      <w:r w:rsidR="00EA009D">
        <w:t xml:space="preserve"> and Western Australia.</w:t>
      </w:r>
    </w:p>
    <w:p w:rsidR="00037390" w:rsidRDefault="00037390" w:rsidP="00037390">
      <w:pPr>
        <w:pStyle w:val="CGCTableHeading"/>
      </w:pPr>
      <w:bookmarkStart w:id="647" w:name="_Ref378175370"/>
      <w:bookmarkStart w:id="648" w:name="_Toc347833842"/>
      <w:r w:rsidRPr="00AB7DF0">
        <w:t>Table</w:t>
      </w:r>
      <w:r>
        <w:t> </w:t>
      </w:r>
      <w:fldSimple w:instr=" SEQ Table \* ARABIC ">
        <w:r w:rsidR="003A5DEE">
          <w:rPr>
            <w:noProof/>
          </w:rPr>
          <w:t>3</w:t>
        </w:r>
      </w:fldSimple>
      <w:bookmarkEnd w:id="647"/>
      <w:r w:rsidRPr="00AB7DF0">
        <w:tab/>
      </w:r>
      <w:r w:rsidR="00760E36">
        <w:t>Source</w:t>
      </w:r>
      <w:r w:rsidR="00117151">
        <w:t xml:space="preserve"> of change in assessed fiscal capacities since the 2014 Update</w:t>
      </w:r>
      <w:bookmarkEnd w:id="648"/>
    </w:p>
    <w:tbl>
      <w:tblPr>
        <w:tblW w:w="8981" w:type="dxa"/>
        <w:tblLayout w:type="fixed"/>
        <w:tblCellMar>
          <w:left w:w="0" w:type="dxa"/>
          <w:right w:w="0" w:type="dxa"/>
        </w:tblCellMar>
        <w:tblLook w:val="04A0" w:firstRow="1" w:lastRow="0" w:firstColumn="1" w:lastColumn="0" w:noHBand="0" w:noVBand="1"/>
      </w:tblPr>
      <w:tblGrid>
        <w:gridCol w:w="2660"/>
        <w:gridCol w:w="700"/>
        <w:gridCol w:w="700"/>
        <w:gridCol w:w="700"/>
        <w:gridCol w:w="700"/>
        <w:gridCol w:w="700"/>
        <w:gridCol w:w="700"/>
        <w:gridCol w:w="700"/>
        <w:gridCol w:w="700"/>
        <w:gridCol w:w="721"/>
      </w:tblGrid>
      <w:tr w:rsidR="006B46D2" w:rsidRPr="002D5942" w:rsidTr="006B46D2">
        <w:trPr>
          <w:trHeight w:val="379"/>
        </w:trPr>
        <w:tc>
          <w:tcPr>
            <w:tcW w:w="266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6B46D2">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bookmarkStart w:id="649" w:name="RANGE!A13:J18"/>
            <w:r w:rsidRPr="002D5942">
              <w:rPr>
                <w:rFonts w:ascii="Calibri" w:eastAsia="Times New Roman" w:hAnsi="Calibri" w:cs="Times New Roman"/>
                <w:sz w:val="20"/>
                <w:szCs w:val="20"/>
                <w:lang w:eastAsia="en-AU"/>
              </w:rPr>
              <w:t> </w:t>
            </w:r>
            <w:bookmarkEnd w:id="649"/>
          </w:p>
        </w:tc>
        <w:tc>
          <w:tcPr>
            <w:tcW w:w="70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NSW</w:t>
            </w:r>
          </w:p>
        </w:tc>
        <w:tc>
          <w:tcPr>
            <w:tcW w:w="70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Vic</w:t>
            </w:r>
          </w:p>
        </w:tc>
        <w:tc>
          <w:tcPr>
            <w:tcW w:w="70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Qld</w:t>
            </w:r>
          </w:p>
        </w:tc>
        <w:tc>
          <w:tcPr>
            <w:tcW w:w="70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WA</w:t>
            </w:r>
          </w:p>
        </w:tc>
        <w:tc>
          <w:tcPr>
            <w:tcW w:w="70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SA</w:t>
            </w:r>
          </w:p>
        </w:tc>
        <w:tc>
          <w:tcPr>
            <w:tcW w:w="70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D5942">
              <w:rPr>
                <w:rFonts w:ascii="Calibri" w:eastAsia="Times New Roman" w:hAnsi="Calibri" w:cs="Times New Roman"/>
                <w:sz w:val="20"/>
                <w:szCs w:val="20"/>
                <w:lang w:eastAsia="en-AU"/>
              </w:rPr>
              <w:t>Tas</w:t>
            </w:r>
            <w:proofErr w:type="spellEnd"/>
          </w:p>
        </w:tc>
        <w:tc>
          <w:tcPr>
            <w:tcW w:w="70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ACT</w:t>
            </w:r>
          </w:p>
        </w:tc>
        <w:tc>
          <w:tcPr>
            <w:tcW w:w="70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NT</w:t>
            </w:r>
          </w:p>
        </w:tc>
        <w:tc>
          <w:tcPr>
            <w:tcW w:w="721"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2D5942">
              <w:rPr>
                <w:rFonts w:ascii="Calibri" w:eastAsia="Times New Roman" w:hAnsi="Calibri" w:cs="Times New Roman"/>
                <w:sz w:val="20"/>
                <w:szCs w:val="20"/>
                <w:lang w:eastAsia="en-AU"/>
              </w:rPr>
              <w:t>Redist</w:t>
            </w:r>
            <w:proofErr w:type="spellEnd"/>
          </w:p>
        </w:tc>
      </w:tr>
      <w:tr w:rsidR="006B46D2" w:rsidRPr="002D5942" w:rsidTr="006B46D2">
        <w:trPr>
          <w:trHeight w:val="259"/>
        </w:trPr>
        <w:tc>
          <w:tcPr>
            <w:tcW w:w="2660" w:type="dxa"/>
            <w:tcBorders>
              <w:top w:val="nil"/>
              <w:left w:val="nil"/>
              <w:bottom w:val="nil"/>
              <w:right w:val="nil"/>
            </w:tcBorders>
            <w:shd w:val="clear" w:color="auto" w:fill="auto"/>
            <w:noWrap/>
            <w:vAlign w:val="bottom"/>
            <w:hideMark/>
          </w:tcPr>
          <w:p w:rsidR="006B46D2" w:rsidRPr="002D5942" w:rsidRDefault="006B46D2" w:rsidP="006B46D2">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$m</w:t>
            </w:r>
          </w:p>
        </w:tc>
        <w:tc>
          <w:tcPr>
            <w:tcW w:w="721" w:type="dxa"/>
            <w:tcBorders>
              <w:top w:val="nil"/>
              <w:left w:val="nil"/>
              <w:bottom w:val="nil"/>
              <w:right w:val="nil"/>
            </w:tcBorders>
            <w:shd w:val="clear" w:color="auto" w:fill="auto"/>
            <w:noWrap/>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$m</w:t>
            </w:r>
          </w:p>
        </w:tc>
      </w:tr>
      <w:tr w:rsidR="008C67F5" w:rsidRPr="002D5942" w:rsidTr="00270C98">
        <w:trPr>
          <w:trHeight w:val="315"/>
        </w:trPr>
        <w:tc>
          <w:tcPr>
            <w:tcW w:w="2660" w:type="dxa"/>
            <w:tcBorders>
              <w:top w:val="nil"/>
              <w:left w:val="nil"/>
              <w:bottom w:val="nil"/>
              <w:right w:val="nil"/>
            </w:tcBorders>
            <w:shd w:val="clear" w:color="auto" w:fill="auto"/>
            <w:noWrap/>
            <w:vAlign w:val="bottom"/>
            <w:hideMark/>
          </w:tcPr>
          <w:p w:rsidR="008C67F5" w:rsidRPr="002D5942" w:rsidRDefault="008C67F5" w:rsidP="00270C98">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Change to method</w:t>
            </w:r>
            <w:r>
              <w:rPr>
                <w:rFonts w:ascii="Calibri" w:eastAsia="Times New Roman" w:hAnsi="Calibri" w:cs="Times New Roman"/>
                <w:sz w:val="20"/>
                <w:szCs w:val="20"/>
                <w:lang w:eastAsia="en-AU"/>
              </w:rPr>
              <w:t>s</w:t>
            </w:r>
          </w:p>
        </w:tc>
        <w:tc>
          <w:tcPr>
            <w:tcW w:w="700" w:type="dxa"/>
            <w:tcBorders>
              <w:top w:val="nil"/>
              <w:left w:val="nil"/>
              <w:bottom w:val="nil"/>
              <w:right w:val="nil"/>
            </w:tcBorders>
            <w:shd w:val="clear" w:color="auto" w:fill="auto"/>
            <w:noWrap/>
            <w:vAlign w:val="bottom"/>
            <w:hideMark/>
          </w:tcPr>
          <w:p w:rsidR="008C67F5" w:rsidRPr="00BD4E63"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BD4E63">
              <w:rPr>
                <w:rFonts w:ascii="Calibri" w:eastAsia="Times New Roman" w:hAnsi="Calibri" w:cs="Times New Roman"/>
                <w:sz w:val="20"/>
                <w:szCs w:val="20"/>
                <w:lang w:eastAsia="en-AU"/>
              </w:rPr>
              <w:t>-105</w:t>
            </w:r>
          </w:p>
        </w:tc>
        <w:tc>
          <w:tcPr>
            <w:tcW w:w="700" w:type="dxa"/>
            <w:tcBorders>
              <w:top w:val="nil"/>
              <w:left w:val="nil"/>
              <w:bottom w:val="nil"/>
              <w:right w:val="nil"/>
            </w:tcBorders>
            <w:shd w:val="clear" w:color="auto" w:fill="auto"/>
            <w:noWrap/>
            <w:vAlign w:val="bottom"/>
            <w:hideMark/>
          </w:tcPr>
          <w:p w:rsidR="008C67F5" w:rsidRPr="00BD4E63"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BD4E63">
              <w:rPr>
                <w:rFonts w:ascii="Calibri" w:eastAsia="Times New Roman" w:hAnsi="Calibri" w:cs="Times New Roman"/>
                <w:sz w:val="20"/>
                <w:szCs w:val="20"/>
                <w:lang w:eastAsia="en-AU"/>
              </w:rPr>
              <w:t>423</w:t>
            </w:r>
          </w:p>
        </w:tc>
        <w:tc>
          <w:tcPr>
            <w:tcW w:w="700" w:type="dxa"/>
            <w:tcBorders>
              <w:top w:val="nil"/>
              <w:left w:val="nil"/>
              <w:bottom w:val="nil"/>
              <w:right w:val="nil"/>
            </w:tcBorders>
            <w:shd w:val="clear" w:color="auto" w:fill="auto"/>
            <w:noWrap/>
            <w:vAlign w:val="bottom"/>
            <w:hideMark/>
          </w:tcPr>
          <w:p w:rsidR="008C67F5" w:rsidRPr="00BD4E63"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BD4E63">
              <w:rPr>
                <w:rFonts w:ascii="Calibri" w:eastAsia="Times New Roman" w:hAnsi="Calibri" w:cs="Times New Roman"/>
                <w:sz w:val="20"/>
                <w:szCs w:val="20"/>
                <w:lang w:eastAsia="en-AU"/>
              </w:rPr>
              <w:t>-186</w:t>
            </w:r>
          </w:p>
        </w:tc>
        <w:tc>
          <w:tcPr>
            <w:tcW w:w="700" w:type="dxa"/>
            <w:tcBorders>
              <w:top w:val="nil"/>
              <w:left w:val="nil"/>
              <w:bottom w:val="nil"/>
              <w:right w:val="nil"/>
            </w:tcBorders>
            <w:shd w:val="clear" w:color="auto" w:fill="auto"/>
            <w:noWrap/>
            <w:vAlign w:val="bottom"/>
            <w:hideMark/>
          </w:tcPr>
          <w:p w:rsidR="008C67F5" w:rsidRPr="00BD4E63"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BD4E63">
              <w:rPr>
                <w:rFonts w:ascii="Calibri" w:eastAsia="Times New Roman" w:hAnsi="Calibri" w:cs="Times New Roman"/>
                <w:sz w:val="20"/>
                <w:szCs w:val="20"/>
                <w:lang w:eastAsia="en-AU"/>
              </w:rPr>
              <w:t>-255</w:t>
            </w:r>
          </w:p>
        </w:tc>
        <w:tc>
          <w:tcPr>
            <w:tcW w:w="700" w:type="dxa"/>
            <w:tcBorders>
              <w:top w:val="nil"/>
              <w:left w:val="nil"/>
              <w:bottom w:val="nil"/>
              <w:right w:val="nil"/>
            </w:tcBorders>
            <w:shd w:val="clear" w:color="auto" w:fill="auto"/>
            <w:noWrap/>
            <w:vAlign w:val="bottom"/>
            <w:hideMark/>
          </w:tcPr>
          <w:p w:rsidR="008C67F5" w:rsidRPr="00BD4E63"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BD4E63">
              <w:rPr>
                <w:rFonts w:ascii="Calibri" w:eastAsia="Times New Roman" w:hAnsi="Calibri" w:cs="Times New Roman"/>
                <w:sz w:val="20"/>
                <w:szCs w:val="20"/>
                <w:lang w:eastAsia="en-AU"/>
              </w:rPr>
              <w:t>74</w:t>
            </w:r>
          </w:p>
        </w:tc>
        <w:tc>
          <w:tcPr>
            <w:tcW w:w="700" w:type="dxa"/>
            <w:tcBorders>
              <w:top w:val="nil"/>
              <w:left w:val="nil"/>
              <w:bottom w:val="nil"/>
              <w:right w:val="nil"/>
            </w:tcBorders>
            <w:shd w:val="clear" w:color="auto" w:fill="auto"/>
            <w:noWrap/>
            <w:vAlign w:val="bottom"/>
            <w:hideMark/>
          </w:tcPr>
          <w:p w:rsidR="008C67F5" w:rsidRPr="00BD4E63"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BD4E63">
              <w:rPr>
                <w:rFonts w:ascii="Calibri" w:eastAsia="Times New Roman" w:hAnsi="Calibri" w:cs="Times New Roman"/>
                <w:sz w:val="20"/>
                <w:szCs w:val="20"/>
                <w:lang w:eastAsia="en-AU"/>
              </w:rPr>
              <w:t>89</w:t>
            </w:r>
          </w:p>
        </w:tc>
        <w:tc>
          <w:tcPr>
            <w:tcW w:w="700" w:type="dxa"/>
            <w:tcBorders>
              <w:top w:val="nil"/>
              <w:left w:val="nil"/>
              <w:bottom w:val="nil"/>
              <w:right w:val="nil"/>
            </w:tcBorders>
            <w:shd w:val="clear" w:color="auto" w:fill="auto"/>
            <w:noWrap/>
            <w:vAlign w:val="bottom"/>
            <w:hideMark/>
          </w:tcPr>
          <w:p w:rsidR="008C67F5" w:rsidRPr="00BD4E63"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BD4E63">
              <w:rPr>
                <w:rFonts w:ascii="Calibri" w:eastAsia="Times New Roman" w:hAnsi="Calibri" w:cs="Times New Roman"/>
                <w:sz w:val="20"/>
                <w:szCs w:val="20"/>
                <w:lang w:eastAsia="en-AU"/>
              </w:rPr>
              <w:t>-93</w:t>
            </w:r>
          </w:p>
        </w:tc>
        <w:tc>
          <w:tcPr>
            <w:tcW w:w="700" w:type="dxa"/>
            <w:tcBorders>
              <w:top w:val="nil"/>
              <w:left w:val="nil"/>
              <w:bottom w:val="nil"/>
              <w:right w:val="nil"/>
            </w:tcBorders>
            <w:shd w:val="clear" w:color="auto" w:fill="auto"/>
            <w:noWrap/>
            <w:vAlign w:val="bottom"/>
            <w:hideMark/>
          </w:tcPr>
          <w:p w:rsidR="008C67F5" w:rsidRPr="00BD4E63"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BD4E63">
              <w:rPr>
                <w:rFonts w:ascii="Calibri" w:eastAsia="Times New Roman" w:hAnsi="Calibri" w:cs="Times New Roman"/>
                <w:sz w:val="20"/>
                <w:szCs w:val="20"/>
                <w:lang w:eastAsia="en-AU"/>
              </w:rPr>
              <w:t>53</w:t>
            </w:r>
          </w:p>
        </w:tc>
        <w:tc>
          <w:tcPr>
            <w:tcW w:w="721" w:type="dxa"/>
            <w:tcBorders>
              <w:top w:val="nil"/>
              <w:left w:val="nil"/>
              <w:bottom w:val="nil"/>
              <w:right w:val="nil"/>
            </w:tcBorders>
            <w:shd w:val="clear" w:color="auto" w:fill="auto"/>
            <w:noWrap/>
            <w:vAlign w:val="bottom"/>
            <w:hideMark/>
          </w:tcPr>
          <w:p w:rsidR="008C67F5" w:rsidRPr="00BD4E63"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BD4E63">
              <w:rPr>
                <w:rFonts w:ascii="Calibri" w:eastAsia="Times New Roman" w:hAnsi="Calibri" w:cs="Times New Roman"/>
                <w:sz w:val="20"/>
                <w:szCs w:val="20"/>
                <w:lang w:eastAsia="en-AU"/>
              </w:rPr>
              <w:t>639</w:t>
            </w:r>
          </w:p>
        </w:tc>
      </w:tr>
      <w:tr w:rsidR="008C67F5" w:rsidRPr="002D5942" w:rsidTr="006B46D2">
        <w:trPr>
          <w:trHeight w:val="315"/>
        </w:trPr>
        <w:tc>
          <w:tcPr>
            <w:tcW w:w="2660" w:type="dxa"/>
            <w:tcBorders>
              <w:top w:val="nil"/>
              <w:left w:val="nil"/>
              <w:bottom w:val="nil"/>
              <w:right w:val="nil"/>
            </w:tcBorders>
            <w:shd w:val="clear" w:color="auto" w:fill="auto"/>
            <w:noWrap/>
            <w:vAlign w:val="bottom"/>
            <w:hideMark/>
          </w:tcPr>
          <w:p w:rsidR="008C67F5" w:rsidRPr="002D5942" w:rsidRDefault="008C67F5" w:rsidP="006B46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Revisions to data</w:t>
            </w:r>
          </w:p>
        </w:tc>
        <w:tc>
          <w:tcPr>
            <w:tcW w:w="700" w:type="dxa"/>
            <w:tcBorders>
              <w:top w:val="nil"/>
              <w:left w:val="nil"/>
              <w:bottom w:val="nil"/>
              <w:right w:val="nil"/>
            </w:tcBorders>
            <w:shd w:val="clear" w:color="auto" w:fill="auto"/>
            <w:noWrap/>
            <w:vAlign w:val="bottom"/>
            <w:hideMark/>
          </w:tcPr>
          <w:p w:rsidR="008C67F5" w:rsidRPr="00BD4E63"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bookmarkStart w:id="650" w:name="RANGE!B16:J16"/>
            <w:r w:rsidRPr="00BD4E63">
              <w:rPr>
                <w:rFonts w:ascii="Calibri" w:eastAsia="Times New Roman" w:hAnsi="Calibri" w:cs="Times New Roman"/>
                <w:sz w:val="20"/>
                <w:szCs w:val="20"/>
                <w:lang w:eastAsia="en-AU"/>
              </w:rPr>
              <w:t>-157</w:t>
            </w:r>
            <w:bookmarkEnd w:id="650"/>
          </w:p>
        </w:tc>
        <w:tc>
          <w:tcPr>
            <w:tcW w:w="700" w:type="dxa"/>
            <w:tcBorders>
              <w:top w:val="nil"/>
              <w:left w:val="nil"/>
              <w:bottom w:val="nil"/>
              <w:right w:val="nil"/>
            </w:tcBorders>
            <w:shd w:val="clear" w:color="auto" w:fill="auto"/>
            <w:noWrap/>
            <w:vAlign w:val="bottom"/>
            <w:hideMark/>
          </w:tcPr>
          <w:p w:rsidR="008C67F5" w:rsidRPr="00BD4E63"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BD4E63">
              <w:rPr>
                <w:rFonts w:ascii="Calibri" w:eastAsia="Times New Roman" w:hAnsi="Calibri" w:cs="Times New Roman"/>
                <w:sz w:val="20"/>
                <w:szCs w:val="20"/>
                <w:lang w:eastAsia="en-AU"/>
              </w:rPr>
              <w:t>-44</w:t>
            </w:r>
          </w:p>
        </w:tc>
        <w:tc>
          <w:tcPr>
            <w:tcW w:w="700" w:type="dxa"/>
            <w:tcBorders>
              <w:top w:val="nil"/>
              <w:left w:val="nil"/>
              <w:bottom w:val="nil"/>
              <w:right w:val="nil"/>
            </w:tcBorders>
            <w:shd w:val="clear" w:color="auto" w:fill="auto"/>
            <w:noWrap/>
            <w:vAlign w:val="bottom"/>
            <w:hideMark/>
          </w:tcPr>
          <w:p w:rsidR="008C67F5" w:rsidRPr="00BD4E63"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BD4E63">
              <w:rPr>
                <w:rFonts w:ascii="Calibri" w:eastAsia="Times New Roman" w:hAnsi="Calibri" w:cs="Times New Roman"/>
                <w:sz w:val="20"/>
                <w:szCs w:val="20"/>
                <w:lang w:eastAsia="en-AU"/>
              </w:rPr>
              <w:t>-45</w:t>
            </w:r>
          </w:p>
        </w:tc>
        <w:tc>
          <w:tcPr>
            <w:tcW w:w="700" w:type="dxa"/>
            <w:tcBorders>
              <w:top w:val="nil"/>
              <w:left w:val="nil"/>
              <w:bottom w:val="nil"/>
              <w:right w:val="nil"/>
            </w:tcBorders>
            <w:shd w:val="clear" w:color="auto" w:fill="auto"/>
            <w:noWrap/>
            <w:vAlign w:val="bottom"/>
            <w:hideMark/>
          </w:tcPr>
          <w:p w:rsidR="008C67F5" w:rsidRPr="00BD4E63"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BD4E63">
              <w:rPr>
                <w:rFonts w:ascii="Calibri" w:eastAsia="Times New Roman" w:hAnsi="Calibri" w:cs="Times New Roman"/>
                <w:sz w:val="20"/>
                <w:szCs w:val="20"/>
                <w:lang w:eastAsia="en-AU"/>
              </w:rPr>
              <w:t>202</w:t>
            </w:r>
          </w:p>
        </w:tc>
        <w:tc>
          <w:tcPr>
            <w:tcW w:w="700" w:type="dxa"/>
            <w:tcBorders>
              <w:top w:val="nil"/>
              <w:left w:val="nil"/>
              <w:bottom w:val="nil"/>
              <w:right w:val="nil"/>
            </w:tcBorders>
            <w:shd w:val="clear" w:color="auto" w:fill="auto"/>
            <w:noWrap/>
            <w:vAlign w:val="bottom"/>
            <w:hideMark/>
          </w:tcPr>
          <w:p w:rsidR="008C67F5" w:rsidRPr="00BD4E63"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BD4E63">
              <w:rPr>
                <w:rFonts w:ascii="Calibri" w:eastAsia="Times New Roman" w:hAnsi="Calibri" w:cs="Times New Roman"/>
                <w:sz w:val="20"/>
                <w:szCs w:val="20"/>
                <w:lang w:eastAsia="en-AU"/>
              </w:rPr>
              <w:t>58</w:t>
            </w:r>
          </w:p>
        </w:tc>
        <w:tc>
          <w:tcPr>
            <w:tcW w:w="700" w:type="dxa"/>
            <w:tcBorders>
              <w:top w:val="nil"/>
              <w:left w:val="nil"/>
              <w:bottom w:val="nil"/>
              <w:right w:val="nil"/>
            </w:tcBorders>
            <w:shd w:val="clear" w:color="auto" w:fill="auto"/>
            <w:noWrap/>
            <w:vAlign w:val="bottom"/>
            <w:hideMark/>
          </w:tcPr>
          <w:p w:rsidR="008C67F5" w:rsidRPr="00BD4E63"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BD4E63">
              <w:rPr>
                <w:rFonts w:ascii="Calibri" w:eastAsia="Times New Roman" w:hAnsi="Calibri" w:cs="Times New Roman"/>
                <w:sz w:val="20"/>
                <w:szCs w:val="20"/>
                <w:lang w:eastAsia="en-AU"/>
              </w:rPr>
              <w:t>-7</w:t>
            </w:r>
          </w:p>
        </w:tc>
        <w:tc>
          <w:tcPr>
            <w:tcW w:w="700" w:type="dxa"/>
            <w:tcBorders>
              <w:top w:val="nil"/>
              <w:left w:val="nil"/>
              <w:bottom w:val="nil"/>
              <w:right w:val="nil"/>
            </w:tcBorders>
            <w:shd w:val="clear" w:color="auto" w:fill="auto"/>
            <w:noWrap/>
            <w:vAlign w:val="bottom"/>
            <w:hideMark/>
          </w:tcPr>
          <w:p w:rsidR="008C67F5" w:rsidRPr="00BD4E63"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BD4E63">
              <w:rPr>
                <w:rFonts w:ascii="Calibri" w:eastAsia="Times New Roman" w:hAnsi="Calibri" w:cs="Times New Roman"/>
                <w:sz w:val="20"/>
                <w:szCs w:val="20"/>
                <w:lang w:eastAsia="en-AU"/>
              </w:rPr>
              <w:t>-47</w:t>
            </w:r>
          </w:p>
        </w:tc>
        <w:tc>
          <w:tcPr>
            <w:tcW w:w="700" w:type="dxa"/>
            <w:tcBorders>
              <w:top w:val="nil"/>
              <w:left w:val="nil"/>
              <w:bottom w:val="nil"/>
              <w:right w:val="nil"/>
            </w:tcBorders>
            <w:shd w:val="clear" w:color="auto" w:fill="auto"/>
            <w:noWrap/>
            <w:vAlign w:val="bottom"/>
            <w:hideMark/>
          </w:tcPr>
          <w:p w:rsidR="008C67F5" w:rsidRPr="00BD4E63"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BD4E63">
              <w:rPr>
                <w:rFonts w:ascii="Calibri" w:eastAsia="Times New Roman" w:hAnsi="Calibri" w:cs="Times New Roman"/>
                <w:sz w:val="20"/>
                <w:szCs w:val="20"/>
                <w:lang w:eastAsia="en-AU"/>
              </w:rPr>
              <w:t>40</w:t>
            </w:r>
          </w:p>
        </w:tc>
        <w:tc>
          <w:tcPr>
            <w:tcW w:w="721" w:type="dxa"/>
            <w:tcBorders>
              <w:top w:val="nil"/>
              <w:left w:val="nil"/>
              <w:bottom w:val="nil"/>
              <w:right w:val="nil"/>
            </w:tcBorders>
            <w:shd w:val="clear" w:color="auto" w:fill="auto"/>
            <w:noWrap/>
            <w:vAlign w:val="bottom"/>
            <w:hideMark/>
          </w:tcPr>
          <w:p w:rsidR="008C67F5" w:rsidRPr="00BD4E63" w:rsidRDefault="008C67F5" w:rsidP="0006306B">
            <w:pPr>
              <w:keepNext/>
              <w:keepLines/>
              <w:tabs>
                <w:tab w:val="clear" w:pos="567"/>
              </w:tabs>
              <w:spacing w:after="0" w:line="240" w:lineRule="auto"/>
              <w:jc w:val="right"/>
              <w:rPr>
                <w:rFonts w:ascii="Calibri" w:eastAsia="Times New Roman" w:hAnsi="Calibri" w:cs="Times New Roman"/>
                <w:sz w:val="20"/>
                <w:szCs w:val="20"/>
                <w:lang w:eastAsia="en-AU"/>
              </w:rPr>
            </w:pPr>
            <w:r w:rsidRPr="00BD4E63">
              <w:rPr>
                <w:rFonts w:ascii="Calibri" w:eastAsia="Times New Roman" w:hAnsi="Calibri" w:cs="Times New Roman"/>
                <w:sz w:val="20"/>
                <w:szCs w:val="20"/>
                <w:lang w:eastAsia="en-AU"/>
              </w:rPr>
              <w:t>300</w:t>
            </w:r>
          </w:p>
        </w:tc>
      </w:tr>
      <w:tr w:rsidR="006B46D2" w:rsidRPr="002D5942" w:rsidTr="006B46D2">
        <w:trPr>
          <w:trHeight w:val="315"/>
        </w:trPr>
        <w:tc>
          <w:tcPr>
            <w:tcW w:w="2660" w:type="dxa"/>
            <w:tcBorders>
              <w:top w:val="nil"/>
              <w:left w:val="nil"/>
              <w:bottom w:val="nil"/>
              <w:right w:val="nil"/>
            </w:tcBorders>
            <w:shd w:val="clear" w:color="auto" w:fill="auto"/>
            <w:vAlign w:val="bottom"/>
            <w:hideMark/>
          </w:tcPr>
          <w:p w:rsidR="006B46D2" w:rsidRPr="002D5942" w:rsidRDefault="006B46D2" w:rsidP="006B46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Change in State circumstances</w:t>
            </w:r>
          </w:p>
        </w:tc>
        <w:tc>
          <w:tcPr>
            <w:tcW w:w="700" w:type="dxa"/>
            <w:tcBorders>
              <w:top w:val="nil"/>
              <w:left w:val="nil"/>
              <w:bottom w:val="nil"/>
              <w:right w:val="nil"/>
            </w:tcBorders>
            <w:shd w:val="clear" w:color="auto" w:fill="auto"/>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bookmarkStart w:id="651" w:name="RANGE!B17:J17"/>
            <w:r w:rsidRPr="002D5942">
              <w:rPr>
                <w:rFonts w:ascii="Calibri" w:eastAsia="Times New Roman" w:hAnsi="Calibri" w:cs="Times New Roman"/>
                <w:sz w:val="20"/>
                <w:szCs w:val="20"/>
                <w:lang w:eastAsia="en-AU"/>
              </w:rPr>
              <w:t>-254</w:t>
            </w:r>
            <w:bookmarkEnd w:id="651"/>
          </w:p>
        </w:tc>
        <w:tc>
          <w:tcPr>
            <w:tcW w:w="700" w:type="dxa"/>
            <w:tcBorders>
              <w:top w:val="nil"/>
              <w:left w:val="nil"/>
              <w:bottom w:val="nil"/>
              <w:right w:val="nil"/>
            </w:tcBorders>
            <w:shd w:val="clear" w:color="auto" w:fill="auto"/>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-249</w:t>
            </w:r>
          </w:p>
        </w:tc>
        <w:tc>
          <w:tcPr>
            <w:tcW w:w="700" w:type="dxa"/>
            <w:tcBorders>
              <w:top w:val="nil"/>
              <w:left w:val="nil"/>
              <w:bottom w:val="nil"/>
              <w:right w:val="nil"/>
            </w:tcBorders>
            <w:shd w:val="clear" w:color="auto" w:fill="auto"/>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787</w:t>
            </w:r>
          </w:p>
        </w:tc>
        <w:tc>
          <w:tcPr>
            <w:tcW w:w="700" w:type="dxa"/>
            <w:tcBorders>
              <w:top w:val="nil"/>
              <w:left w:val="nil"/>
              <w:bottom w:val="nil"/>
              <w:right w:val="nil"/>
            </w:tcBorders>
            <w:shd w:val="clear" w:color="auto" w:fill="auto"/>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-441</w:t>
            </w:r>
          </w:p>
        </w:tc>
        <w:tc>
          <w:tcPr>
            <w:tcW w:w="700" w:type="dxa"/>
            <w:tcBorders>
              <w:top w:val="nil"/>
              <w:left w:val="nil"/>
              <w:bottom w:val="nil"/>
              <w:right w:val="nil"/>
            </w:tcBorders>
            <w:shd w:val="clear" w:color="auto" w:fill="auto"/>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152</w:t>
            </w:r>
          </w:p>
        </w:tc>
        <w:tc>
          <w:tcPr>
            <w:tcW w:w="700" w:type="dxa"/>
            <w:tcBorders>
              <w:top w:val="nil"/>
              <w:left w:val="nil"/>
              <w:bottom w:val="nil"/>
              <w:right w:val="nil"/>
            </w:tcBorders>
            <w:shd w:val="clear" w:color="auto" w:fill="auto"/>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144</w:t>
            </w:r>
          </w:p>
        </w:tc>
        <w:tc>
          <w:tcPr>
            <w:tcW w:w="700" w:type="dxa"/>
            <w:tcBorders>
              <w:top w:val="nil"/>
              <w:left w:val="nil"/>
              <w:bottom w:val="nil"/>
              <w:right w:val="nil"/>
            </w:tcBorders>
            <w:shd w:val="clear" w:color="auto" w:fill="auto"/>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10</w:t>
            </w:r>
          </w:p>
        </w:tc>
        <w:tc>
          <w:tcPr>
            <w:tcW w:w="700" w:type="dxa"/>
            <w:tcBorders>
              <w:top w:val="nil"/>
              <w:left w:val="nil"/>
              <w:bottom w:val="nil"/>
              <w:right w:val="nil"/>
            </w:tcBorders>
            <w:shd w:val="clear" w:color="auto" w:fill="auto"/>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-149</w:t>
            </w:r>
          </w:p>
        </w:tc>
        <w:tc>
          <w:tcPr>
            <w:tcW w:w="721" w:type="dxa"/>
            <w:tcBorders>
              <w:top w:val="nil"/>
              <w:left w:val="nil"/>
              <w:bottom w:val="nil"/>
              <w:right w:val="nil"/>
            </w:tcBorders>
            <w:shd w:val="clear" w:color="auto" w:fill="auto"/>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1 092</w:t>
            </w:r>
          </w:p>
        </w:tc>
      </w:tr>
      <w:tr w:rsidR="006B46D2" w:rsidRPr="002D5942" w:rsidTr="006B46D2">
        <w:trPr>
          <w:trHeight w:val="315"/>
        </w:trPr>
        <w:tc>
          <w:tcPr>
            <w:tcW w:w="2660" w:type="dxa"/>
            <w:tcBorders>
              <w:top w:val="nil"/>
              <w:left w:val="nil"/>
              <w:bottom w:val="single" w:sz="4" w:space="0" w:color="auto"/>
              <w:right w:val="nil"/>
            </w:tcBorders>
            <w:shd w:val="clear" w:color="auto" w:fill="auto"/>
            <w:noWrap/>
            <w:vAlign w:val="bottom"/>
            <w:hideMark/>
          </w:tcPr>
          <w:p w:rsidR="006B46D2" w:rsidRPr="002D5942" w:rsidRDefault="006B46D2" w:rsidP="006B46D2">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Total</w:t>
            </w:r>
          </w:p>
        </w:tc>
        <w:tc>
          <w:tcPr>
            <w:tcW w:w="700" w:type="dxa"/>
            <w:tcBorders>
              <w:top w:val="single" w:sz="4" w:space="0" w:color="auto"/>
              <w:left w:val="nil"/>
              <w:bottom w:val="single" w:sz="4" w:space="0" w:color="auto"/>
              <w:right w:val="nil"/>
            </w:tcBorders>
            <w:shd w:val="clear" w:color="auto" w:fill="auto"/>
            <w:noWrap/>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-517</w:t>
            </w:r>
          </w:p>
        </w:tc>
        <w:tc>
          <w:tcPr>
            <w:tcW w:w="700" w:type="dxa"/>
            <w:tcBorders>
              <w:top w:val="single" w:sz="4" w:space="0" w:color="auto"/>
              <w:left w:val="nil"/>
              <w:bottom w:val="single" w:sz="4" w:space="0" w:color="auto"/>
              <w:right w:val="nil"/>
            </w:tcBorders>
            <w:shd w:val="clear" w:color="auto" w:fill="auto"/>
            <w:noWrap/>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131</w:t>
            </w:r>
          </w:p>
        </w:tc>
        <w:tc>
          <w:tcPr>
            <w:tcW w:w="700" w:type="dxa"/>
            <w:tcBorders>
              <w:top w:val="single" w:sz="4" w:space="0" w:color="auto"/>
              <w:left w:val="nil"/>
              <w:bottom w:val="single" w:sz="4" w:space="0" w:color="auto"/>
              <w:right w:val="nil"/>
            </w:tcBorders>
            <w:shd w:val="clear" w:color="auto" w:fill="auto"/>
            <w:noWrap/>
            <w:vAlign w:val="bottom"/>
            <w:hideMark/>
          </w:tcPr>
          <w:p w:rsidR="006B46D2" w:rsidRPr="00AB19C7"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556</w:t>
            </w:r>
          </w:p>
        </w:tc>
        <w:tc>
          <w:tcPr>
            <w:tcW w:w="700" w:type="dxa"/>
            <w:tcBorders>
              <w:top w:val="single" w:sz="4" w:space="0" w:color="auto"/>
              <w:left w:val="nil"/>
              <w:bottom w:val="single" w:sz="4" w:space="0" w:color="auto"/>
              <w:right w:val="nil"/>
            </w:tcBorders>
            <w:shd w:val="clear" w:color="auto" w:fill="auto"/>
            <w:noWrap/>
            <w:vAlign w:val="bottom"/>
            <w:hideMark/>
          </w:tcPr>
          <w:p w:rsidR="006B46D2" w:rsidRPr="00AB19C7"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-494</w:t>
            </w:r>
          </w:p>
        </w:tc>
        <w:tc>
          <w:tcPr>
            <w:tcW w:w="700" w:type="dxa"/>
            <w:tcBorders>
              <w:top w:val="single" w:sz="4" w:space="0" w:color="auto"/>
              <w:left w:val="nil"/>
              <w:bottom w:val="single" w:sz="4" w:space="0" w:color="auto"/>
              <w:right w:val="nil"/>
            </w:tcBorders>
            <w:shd w:val="clear" w:color="auto" w:fill="auto"/>
            <w:noWrap/>
            <w:vAlign w:val="bottom"/>
            <w:hideMark/>
          </w:tcPr>
          <w:p w:rsidR="006B46D2" w:rsidRPr="00AB19C7"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284</w:t>
            </w:r>
          </w:p>
        </w:tc>
        <w:tc>
          <w:tcPr>
            <w:tcW w:w="700" w:type="dxa"/>
            <w:tcBorders>
              <w:top w:val="single" w:sz="4" w:space="0" w:color="auto"/>
              <w:left w:val="nil"/>
              <w:bottom w:val="single" w:sz="4" w:space="0" w:color="auto"/>
              <w:right w:val="nil"/>
            </w:tcBorders>
            <w:shd w:val="clear" w:color="auto" w:fill="auto"/>
            <w:noWrap/>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225</w:t>
            </w:r>
          </w:p>
        </w:tc>
        <w:tc>
          <w:tcPr>
            <w:tcW w:w="700" w:type="dxa"/>
            <w:tcBorders>
              <w:top w:val="single" w:sz="4" w:space="0" w:color="auto"/>
              <w:left w:val="nil"/>
              <w:bottom w:val="single" w:sz="4" w:space="0" w:color="auto"/>
              <w:right w:val="nil"/>
            </w:tcBorders>
            <w:shd w:val="clear" w:color="auto" w:fill="auto"/>
            <w:noWrap/>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-129</w:t>
            </w:r>
          </w:p>
        </w:tc>
        <w:tc>
          <w:tcPr>
            <w:tcW w:w="700" w:type="dxa"/>
            <w:tcBorders>
              <w:top w:val="single" w:sz="4" w:space="0" w:color="auto"/>
              <w:left w:val="nil"/>
              <w:bottom w:val="single" w:sz="4" w:space="0" w:color="auto"/>
              <w:right w:val="nil"/>
            </w:tcBorders>
            <w:shd w:val="clear" w:color="auto" w:fill="auto"/>
            <w:noWrap/>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-56</w:t>
            </w:r>
          </w:p>
        </w:tc>
        <w:tc>
          <w:tcPr>
            <w:tcW w:w="721" w:type="dxa"/>
            <w:tcBorders>
              <w:top w:val="single" w:sz="4" w:space="0" w:color="auto"/>
              <w:left w:val="nil"/>
              <w:bottom w:val="single" w:sz="4" w:space="0" w:color="auto"/>
              <w:right w:val="nil"/>
            </w:tcBorders>
            <w:shd w:val="clear" w:color="auto" w:fill="auto"/>
            <w:noWrap/>
            <w:vAlign w:val="bottom"/>
            <w:hideMark/>
          </w:tcPr>
          <w:p w:rsidR="006B46D2" w:rsidRPr="002D5942" w:rsidRDefault="006B46D2" w:rsidP="006B46D2">
            <w:pPr>
              <w:keepNext/>
              <w:keepLines/>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1 196</w:t>
            </w:r>
          </w:p>
        </w:tc>
      </w:tr>
    </w:tbl>
    <w:p w:rsidR="00037390" w:rsidRPr="00B44732" w:rsidRDefault="00037390" w:rsidP="00037390">
      <w:pPr>
        <w:pStyle w:val="CGCTableFootnote"/>
        <w:ind w:left="0" w:firstLine="0"/>
      </w:pPr>
      <w:r>
        <w:t xml:space="preserve">Note: </w:t>
      </w:r>
      <w:r>
        <w:tab/>
        <w:t>T</w:t>
      </w:r>
      <w:r w:rsidRPr="001729F2">
        <w:t>he redistribution is calculated as the sum of the positive (or negative) items in the row.</w:t>
      </w:r>
    </w:p>
    <w:p w:rsidR="00037390" w:rsidRPr="00AB7DF0" w:rsidRDefault="00037390" w:rsidP="00037390">
      <w:pPr>
        <w:pStyle w:val="CGCTableFootnote"/>
      </w:pPr>
      <w:r w:rsidRPr="00AB7DF0">
        <w:tab/>
      </w:r>
      <w:r>
        <w:t xml:space="preserve">The distinction between revisions to data and change to method is approximate, as some changes cannot be readily isolated from others. </w:t>
      </w:r>
    </w:p>
    <w:p w:rsidR="00037390" w:rsidRDefault="00037390" w:rsidP="00037390">
      <w:pPr>
        <w:pStyle w:val="CGCTableFootnote"/>
      </w:pPr>
      <w:r>
        <w:t xml:space="preserve">Source: </w:t>
      </w:r>
      <w:r>
        <w:tab/>
        <w:t>Commission calculation.</w:t>
      </w:r>
    </w:p>
    <w:p w:rsidR="00037390" w:rsidRPr="00817745" w:rsidRDefault="000F7939" w:rsidP="00037390">
      <w:pPr>
        <w:pStyle w:val="Heading3"/>
      </w:pPr>
      <w:bookmarkStart w:id="652" w:name="_Toc411924616"/>
      <w:r>
        <w:t>I</w:t>
      </w:r>
      <w:r w:rsidR="00037390">
        <w:t>mpact of method changes</w:t>
      </w:r>
      <w:bookmarkEnd w:id="652"/>
    </w:p>
    <w:p w:rsidR="00037390" w:rsidRDefault="00037390" w:rsidP="00037390">
      <w:pPr>
        <w:pStyle w:val="CGCNumberedPara"/>
        <w:numPr>
          <w:ilvl w:val="1"/>
          <w:numId w:val="2"/>
        </w:numPr>
      </w:pPr>
      <w:r>
        <w:t xml:space="preserve">In the 2010 Review, the Commission undertook a complete and extensive evaluation of its methodology, leading to some large changes, such as a direct assessment of States’ infrastructure requirements. In this review, conducted over a shorter timeframe, we have adopted a more focussed approach. We have directed attention to areas where, in consultation with the States, we considered change may be most warranted. Changes have also been made where the terms of reference require it, State circumstances have changed, better data have become available or where our review of the evidence, including in State submissions, have persuaded us to do so. </w:t>
      </w:r>
    </w:p>
    <w:p w:rsidR="00037390" w:rsidRDefault="00037390" w:rsidP="00037390">
      <w:pPr>
        <w:pStyle w:val="CGCNumberedPara"/>
        <w:numPr>
          <w:ilvl w:val="1"/>
          <w:numId w:val="2"/>
        </w:numPr>
      </w:pPr>
      <w:bookmarkStart w:id="653" w:name="_Ref316561135"/>
      <w:bookmarkStart w:id="654" w:name="_Toc316728084"/>
      <w:bookmarkStart w:id="655" w:name="_Toc316735374"/>
      <w:bookmarkStart w:id="656" w:name="_Toc316735983"/>
      <w:bookmarkStart w:id="657" w:name="_Toc347833844"/>
      <w:bookmarkStart w:id="658" w:name="_Ref379367803"/>
      <w:r>
        <w:t xml:space="preserve">The rest of this section briefly summarises the main changes, the impact of which is shown in </w:t>
      </w:r>
      <w:r>
        <w:fldChar w:fldCharType="begin"/>
      </w:r>
      <w:r>
        <w:instrText xml:space="preserve"> REF _Ref401757491 \h </w:instrText>
      </w:r>
      <w:r>
        <w:fldChar w:fldCharType="separate"/>
      </w:r>
      <w:r w:rsidR="003A5DEE" w:rsidRPr="00080DDF">
        <w:t xml:space="preserve">Table </w:t>
      </w:r>
      <w:r w:rsidR="003A5DEE">
        <w:rPr>
          <w:noProof/>
        </w:rPr>
        <w:t>4</w:t>
      </w:r>
      <w:r>
        <w:fldChar w:fldCharType="end"/>
      </w:r>
      <w:r>
        <w:t xml:space="preserve">. It also provides a comprehensive summary of the changes that </w:t>
      </w:r>
      <w:r>
        <w:lastRenderedPageBreak/>
        <w:t>have occurred in each category and disability assessment since the 2010 Review</w:t>
      </w:r>
      <w:r w:rsidR="00243D07">
        <w:t>.</w:t>
      </w:r>
      <w:r>
        <w:rPr>
          <w:rStyle w:val="FootnoteReference"/>
        </w:rPr>
        <w:footnoteReference w:id="13"/>
      </w:r>
      <w:r>
        <w:t xml:space="preserve"> Further details on the changes and the reasons for them can be found in the relevant chapters in Volume 2.</w:t>
      </w:r>
    </w:p>
    <w:p w:rsidR="00037390" w:rsidRDefault="00037390" w:rsidP="00037390">
      <w:pPr>
        <w:pStyle w:val="CGCTableHeading"/>
      </w:pPr>
      <w:bookmarkStart w:id="659" w:name="_Ref401757491"/>
      <w:r w:rsidRPr="00080DDF">
        <w:t xml:space="preserve">Table </w:t>
      </w:r>
      <w:fldSimple w:instr=" SEQ Table \* ARABIC ">
        <w:r w:rsidR="003A5DEE">
          <w:rPr>
            <w:noProof/>
          </w:rPr>
          <w:t>4</w:t>
        </w:r>
      </w:fldSimple>
      <w:bookmarkEnd w:id="653"/>
      <w:bookmarkEnd w:id="659"/>
      <w:r w:rsidRPr="00080DDF">
        <w:tab/>
      </w:r>
      <w:r w:rsidR="00760E36">
        <w:t>M</w:t>
      </w:r>
      <w:r w:rsidRPr="00080DDF">
        <w:t>ajor changes in methods on the illustrative GST distribution</w:t>
      </w:r>
      <w:bookmarkEnd w:id="654"/>
      <w:bookmarkEnd w:id="655"/>
      <w:bookmarkEnd w:id="656"/>
      <w:r w:rsidRPr="00080DDF">
        <w:t>, 2015</w:t>
      </w:r>
      <w:r w:rsidRPr="00080DDF">
        <w:noBreakHyphen/>
        <w:t>16</w:t>
      </w:r>
      <w:bookmarkEnd w:id="657"/>
      <w:bookmarkEnd w:id="658"/>
    </w:p>
    <w:tbl>
      <w:tblPr>
        <w:tblW w:w="8960" w:type="dxa"/>
        <w:tblInd w:w="93" w:type="dxa"/>
        <w:tblLook w:val="04A0" w:firstRow="1" w:lastRow="0" w:firstColumn="1" w:lastColumn="0" w:noHBand="0" w:noVBand="1"/>
      </w:tblPr>
      <w:tblGrid>
        <w:gridCol w:w="2860"/>
        <w:gridCol w:w="740"/>
        <w:gridCol w:w="620"/>
        <w:gridCol w:w="660"/>
        <w:gridCol w:w="660"/>
        <w:gridCol w:w="620"/>
        <w:gridCol w:w="620"/>
        <w:gridCol w:w="700"/>
        <w:gridCol w:w="580"/>
        <w:gridCol w:w="900"/>
      </w:tblGrid>
      <w:tr w:rsidR="00210430" w:rsidRPr="009739EE" w:rsidTr="00210430">
        <w:trPr>
          <w:trHeight w:val="379"/>
        </w:trPr>
        <w:tc>
          <w:tcPr>
            <w:tcW w:w="2860" w:type="dxa"/>
            <w:tcBorders>
              <w:top w:val="single" w:sz="4" w:space="0" w:color="auto"/>
              <w:left w:val="nil"/>
              <w:bottom w:val="single" w:sz="4" w:space="0" w:color="auto"/>
              <w:right w:val="nil"/>
            </w:tcBorders>
            <w:shd w:val="clear" w:color="auto" w:fill="auto"/>
            <w:noWrap/>
            <w:vAlign w:val="center"/>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 </w:t>
            </w:r>
          </w:p>
        </w:tc>
        <w:tc>
          <w:tcPr>
            <w:tcW w:w="740" w:type="dxa"/>
            <w:tcBorders>
              <w:top w:val="single" w:sz="4" w:space="0" w:color="auto"/>
              <w:left w:val="nil"/>
              <w:bottom w:val="single" w:sz="4" w:space="0" w:color="auto"/>
              <w:right w:val="nil"/>
            </w:tcBorders>
            <w:shd w:val="clear" w:color="auto" w:fill="auto"/>
            <w:noWrap/>
            <w:vAlign w:val="center"/>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NSW</w:t>
            </w:r>
          </w:p>
        </w:tc>
        <w:tc>
          <w:tcPr>
            <w:tcW w:w="620" w:type="dxa"/>
            <w:tcBorders>
              <w:top w:val="single" w:sz="4" w:space="0" w:color="auto"/>
              <w:left w:val="nil"/>
              <w:bottom w:val="single" w:sz="4" w:space="0" w:color="auto"/>
              <w:right w:val="nil"/>
            </w:tcBorders>
            <w:shd w:val="clear" w:color="auto" w:fill="auto"/>
            <w:noWrap/>
            <w:vAlign w:val="center"/>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Vic</w:t>
            </w:r>
          </w:p>
        </w:tc>
        <w:tc>
          <w:tcPr>
            <w:tcW w:w="660" w:type="dxa"/>
            <w:tcBorders>
              <w:top w:val="single" w:sz="4" w:space="0" w:color="auto"/>
              <w:left w:val="nil"/>
              <w:bottom w:val="single" w:sz="4" w:space="0" w:color="auto"/>
              <w:right w:val="nil"/>
            </w:tcBorders>
            <w:shd w:val="clear" w:color="auto" w:fill="auto"/>
            <w:noWrap/>
            <w:vAlign w:val="center"/>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Qld</w:t>
            </w:r>
          </w:p>
        </w:tc>
        <w:tc>
          <w:tcPr>
            <w:tcW w:w="660" w:type="dxa"/>
            <w:tcBorders>
              <w:top w:val="single" w:sz="4" w:space="0" w:color="auto"/>
              <w:left w:val="nil"/>
              <w:bottom w:val="single" w:sz="4" w:space="0" w:color="auto"/>
              <w:right w:val="nil"/>
            </w:tcBorders>
            <w:shd w:val="clear" w:color="auto" w:fill="auto"/>
            <w:noWrap/>
            <w:vAlign w:val="center"/>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WA</w:t>
            </w:r>
          </w:p>
        </w:tc>
        <w:tc>
          <w:tcPr>
            <w:tcW w:w="620" w:type="dxa"/>
            <w:tcBorders>
              <w:top w:val="single" w:sz="4" w:space="0" w:color="auto"/>
              <w:left w:val="nil"/>
              <w:bottom w:val="single" w:sz="4" w:space="0" w:color="auto"/>
              <w:right w:val="nil"/>
            </w:tcBorders>
            <w:shd w:val="clear" w:color="auto" w:fill="auto"/>
            <w:noWrap/>
            <w:vAlign w:val="center"/>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SA</w:t>
            </w:r>
          </w:p>
        </w:tc>
        <w:tc>
          <w:tcPr>
            <w:tcW w:w="620" w:type="dxa"/>
            <w:tcBorders>
              <w:top w:val="single" w:sz="4" w:space="0" w:color="auto"/>
              <w:left w:val="nil"/>
              <w:bottom w:val="single" w:sz="4" w:space="0" w:color="auto"/>
              <w:right w:val="nil"/>
            </w:tcBorders>
            <w:shd w:val="clear" w:color="auto" w:fill="auto"/>
            <w:noWrap/>
            <w:vAlign w:val="center"/>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proofErr w:type="spellStart"/>
            <w:r w:rsidRPr="009739EE">
              <w:rPr>
                <w:rFonts w:ascii="Calibri" w:eastAsia="Times New Roman" w:hAnsi="Calibri" w:cs="Times New Roman"/>
                <w:sz w:val="20"/>
                <w:szCs w:val="20"/>
                <w:lang w:eastAsia="en-AU"/>
              </w:rPr>
              <w:t>Tas</w:t>
            </w:r>
            <w:proofErr w:type="spellEnd"/>
          </w:p>
        </w:tc>
        <w:tc>
          <w:tcPr>
            <w:tcW w:w="700" w:type="dxa"/>
            <w:tcBorders>
              <w:top w:val="single" w:sz="4" w:space="0" w:color="auto"/>
              <w:left w:val="nil"/>
              <w:bottom w:val="single" w:sz="4" w:space="0" w:color="auto"/>
              <w:right w:val="nil"/>
            </w:tcBorders>
            <w:shd w:val="clear" w:color="auto" w:fill="auto"/>
            <w:noWrap/>
            <w:vAlign w:val="center"/>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ACT</w:t>
            </w:r>
          </w:p>
        </w:tc>
        <w:tc>
          <w:tcPr>
            <w:tcW w:w="580" w:type="dxa"/>
            <w:tcBorders>
              <w:top w:val="single" w:sz="4" w:space="0" w:color="auto"/>
              <w:left w:val="nil"/>
              <w:bottom w:val="single" w:sz="4" w:space="0" w:color="auto"/>
              <w:right w:val="nil"/>
            </w:tcBorders>
            <w:shd w:val="clear" w:color="auto" w:fill="auto"/>
            <w:noWrap/>
            <w:vAlign w:val="center"/>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NT</w:t>
            </w:r>
          </w:p>
        </w:tc>
        <w:tc>
          <w:tcPr>
            <w:tcW w:w="900" w:type="dxa"/>
            <w:tcBorders>
              <w:top w:val="single" w:sz="4" w:space="0" w:color="auto"/>
              <w:left w:val="nil"/>
              <w:bottom w:val="single" w:sz="4" w:space="0" w:color="auto"/>
              <w:right w:val="nil"/>
            </w:tcBorders>
            <w:shd w:val="clear" w:color="auto" w:fill="auto"/>
            <w:noWrap/>
            <w:vAlign w:val="center"/>
            <w:hideMark/>
          </w:tcPr>
          <w:p w:rsidR="00210430" w:rsidRPr="009739EE" w:rsidRDefault="00243D07" w:rsidP="00210430">
            <w:pPr>
              <w:tabs>
                <w:tab w:val="clear" w:pos="567"/>
              </w:tabs>
              <w:spacing w:after="0" w:line="240" w:lineRule="auto"/>
              <w:jc w:val="right"/>
              <w:rPr>
                <w:rFonts w:ascii="Calibri" w:eastAsia="Times New Roman" w:hAnsi="Calibri" w:cs="Times New Roman"/>
                <w:sz w:val="20"/>
                <w:szCs w:val="20"/>
                <w:lang w:eastAsia="en-AU"/>
              </w:rPr>
            </w:pPr>
            <w:proofErr w:type="spellStart"/>
            <w:r>
              <w:rPr>
                <w:rFonts w:ascii="Calibri" w:eastAsia="Times New Roman" w:hAnsi="Calibri" w:cs="Times New Roman"/>
                <w:sz w:val="20"/>
                <w:szCs w:val="20"/>
                <w:lang w:eastAsia="en-AU"/>
              </w:rPr>
              <w:t>Redist</w:t>
            </w:r>
            <w:proofErr w:type="spellEnd"/>
          </w:p>
        </w:tc>
      </w:tr>
      <w:tr w:rsidR="00210430" w:rsidRPr="009739EE" w:rsidTr="00210430">
        <w:trPr>
          <w:trHeight w:val="259"/>
        </w:trPr>
        <w:tc>
          <w:tcPr>
            <w:tcW w:w="28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p>
        </w:tc>
        <w:tc>
          <w:tcPr>
            <w:tcW w:w="74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$m</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$m</w:t>
            </w:r>
          </w:p>
        </w:tc>
        <w:tc>
          <w:tcPr>
            <w:tcW w:w="6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$m</w:t>
            </w:r>
          </w:p>
        </w:tc>
        <w:tc>
          <w:tcPr>
            <w:tcW w:w="6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$m</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$m</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$m</w:t>
            </w:r>
          </w:p>
        </w:tc>
        <w:tc>
          <w:tcPr>
            <w:tcW w:w="5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$m</w:t>
            </w:r>
          </w:p>
        </w:tc>
        <w:tc>
          <w:tcPr>
            <w:tcW w:w="9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$m</w:t>
            </w:r>
          </w:p>
        </w:tc>
      </w:tr>
      <w:tr w:rsidR="00210430" w:rsidRPr="009739EE" w:rsidTr="00210430">
        <w:trPr>
          <w:trHeight w:val="315"/>
        </w:trPr>
        <w:tc>
          <w:tcPr>
            <w:tcW w:w="2860" w:type="dxa"/>
            <w:tcBorders>
              <w:top w:val="nil"/>
              <w:left w:val="nil"/>
              <w:bottom w:val="nil"/>
              <w:right w:val="nil"/>
            </w:tcBorders>
            <w:shd w:val="clear" w:color="auto" w:fill="auto"/>
            <w:vAlign w:val="bottom"/>
            <w:hideMark/>
          </w:tcPr>
          <w:p w:rsidR="00210430" w:rsidRPr="009739EE" w:rsidRDefault="00210430" w:rsidP="00D32358">
            <w:pPr>
              <w:tabs>
                <w:tab w:val="clear" w:pos="567"/>
              </w:tabs>
              <w:spacing w:after="0" w:line="240" w:lineRule="auto"/>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Urban transport (</w:t>
            </w:r>
            <w:r w:rsidR="00D32358">
              <w:rPr>
                <w:rFonts w:ascii="Calibri" w:eastAsia="Times New Roman" w:hAnsi="Calibri" w:cs="Times New Roman"/>
                <w:sz w:val="20"/>
                <w:szCs w:val="20"/>
                <w:lang w:eastAsia="en-AU"/>
              </w:rPr>
              <w:t>i</w:t>
            </w:r>
            <w:r w:rsidRPr="009739EE">
              <w:rPr>
                <w:rFonts w:ascii="Calibri" w:eastAsia="Times New Roman" w:hAnsi="Calibri" w:cs="Times New Roman"/>
                <w:sz w:val="20"/>
                <w:szCs w:val="20"/>
                <w:lang w:eastAsia="en-AU"/>
              </w:rPr>
              <w:t>nvestment)</w:t>
            </w:r>
          </w:p>
        </w:tc>
        <w:tc>
          <w:tcPr>
            <w:tcW w:w="74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129</w:t>
            </w:r>
          </w:p>
        </w:tc>
        <w:tc>
          <w:tcPr>
            <w:tcW w:w="62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332</w:t>
            </w:r>
          </w:p>
        </w:tc>
        <w:tc>
          <w:tcPr>
            <w:tcW w:w="66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-275</w:t>
            </w:r>
          </w:p>
        </w:tc>
        <w:tc>
          <w:tcPr>
            <w:tcW w:w="66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90</w:t>
            </w:r>
          </w:p>
        </w:tc>
        <w:tc>
          <w:tcPr>
            <w:tcW w:w="62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-143</w:t>
            </w:r>
          </w:p>
        </w:tc>
        <w:tc>
          <w:tcPr>
            <w:tcW w:w="62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-78</w:t>
            </w:r>
          </w:p>
        </w:tc>
        <w:tc>
          <w:tcPr>
            <w:tcW w:w="70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-23</w:t>
            </w:r>
          </w:p>
        </w:tc>
        <w:tc>
          <w:tcPr>
            <w:tcW w:w="58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-32</w:t>
            </w:r>
          </w:p>
        </w:tc>
        <w:tc>
          <w:tcPr>
            <w:tcW w:w="90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551</w:t>
            </w:r>
          </w:p>
        </w:tc>
      </w:tr>
      <w:tr w:rsidR="00210430" w:rsidRPr="009739EE" w:rsidTr="00210430">
        <w:trPr>
          <w:trHeight w:val="315"/>
        </w:trPr>
        <w:tc>
          <w:tcPr>
            <w:tcW w:w="286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Health</w:t>
            </w:r>
          </w:p>
        </w:tc>
        <w:tc>
          <w:tcPr>
            <w:tcW w:w="74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139</w:t>
            </w:r>
          </w:p>
        </w:tc>
        <w:tc>
          <w:tcPr>
            <w:tcW w:w="62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-98</w:t>
            </w:r>
          </w:p>
        </w:tc>
        <w:tc>
          <w:tcPr>
            <w:tcW w:w="66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57</w:t>
            </w:r>
          </w:p>
        </w:tc>
        <w:tc>
          <w:tcPr>
            <w:tcW w:w="66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-225</w:t>
            </w:r>
          </w:p>
        </w:tc>
        <w:tc>
          <w:tcPr>
            <w:tcW w:w="62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57</w:t>
            </w:r>
          </w:p>
        </w:tc>
        <w:tc>
          <w:tcPr>
            <w:tcW w:w="62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92</w:t>
            </w:r>
          </w:p>
        </w:tc>
        <w:tc>
          <w:tcPr>
            <w:tcW w:w="70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-31</w:t>
            </w:r>
          </w:p>
        </w:tc>
        <w:tc>
          <w:tcPr>
            <w:tcW w:w="58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9</w:t>
            </w:r>
          </w:p>
        </w:tc>
        <w:tc>
          <w:tcPr>
            <w:tcW w:w="90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354</w:t>
            </w:r>
          </w:p>
        </w:tc>
      </w:tr>
      <w:tr w:rsidR="00210430" w:rsidRPr="009739EE" w:rsidTr="00210430">
        <w:trPr>
          <w:trHeight w:val="315"/>
        </w:trPr>
        <w:tc>
          <w:tcPr>
            <w:tcW w:w="2860" w:type="dxa"/>
            <w:tcBorders>
              <w:top w:val="nil"/>
              <w:left w:val="nil"/>
              <w:bottom w:val="nil"/>
              <w:right w:val="nil"/>
            </w:tcBorders>
            <w:shd w:val="clear" w:color="auto" w:fill="auto"/>
            <w:vAlign w:val="bottom"/>
            <w:hideMark/>
          </w:tcPr>
          <w:p w:rsidR="00210430" w:rsidRPr="00D32358" w:rsidRDefault="00210430" w:rsidP="00210430">
            <w:pPr>
              <w:tabs>
                <w:tab w:val="clear" w:pos="567"/>
              </w:tabs>
              <w:spacing w:after="0" w:line="240" w:lineRule="auto"/>
              <w:rPr>
                <w:rFonts w:ascii="Calibri" w:eastAsia="Times New Roman" w:hAnsi="Calibri" w:cs="Times New Roman"/>
                <w:sz w:val="20"/>
                <w:szCs w:val="20"/>
                <w:lang w:eastAsia="en-AU"/>
              </w:rPr>
            </w:pPr>
            <w:r w:rsidRPr="00D32358">
              <w:rPr>
                <w:rFonts w:ascii="Calibri" w:eastAsia="Times New Roman" w:hAnsi="Calibri" w:cs="Times New Roman"/>
                <w:sz w:val="20"/>
                <w:szCs w:val="20"/>
                <w:lang w:eastAsia="en-AU"/>
              </w:rPr>
              <w:t>Urban transport (net expenses)</w:t>
            </w:r>
          </w:p>
        </w:tc>
        <w:tc>
          <w:tcPr>
            <w:tcW w:w="74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103</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208</w:t>
            </w:r>
          </w:p>
        </w:tc>
        <w:tc>
          <w:tcPr>
            <w:tcW w:w="6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-179</w:t>
            </w:r>
          </w:p>
        </w:tc>
        <w:tc>
          <w:tcPr>
            <w:tcW w:w="6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21</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-20</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-70</w:t>
            </w:r>
          </w:p>
        </w:tc>
        <w:tc>
          <w:tcPr>
            <w:tcW w:w="7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-23</w:t>
            </w:r>
          </w:p>
        </w:tc>
        <w:tc>
          <w:tcPr>
            <w:tcW w:w="5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-40</w:t>
            </w:r>
          </w:p>
        </w:tc>
        <w:tc>
          <w:tcPr>
            <w:tcW w:w="9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332</w:t>
            </w:r>
          </w:p>
        </w:tc>
      </w:tr>
      <w:tr w:rsidR="00210430" w:rsidRPr="009739EE" w:rsidTr="00210430">
        <w:trPr>
          <w:trHeight w:val="315"/>
        </w:trPr>
        <w:tc>
          <w:tcPr>
            <w:tcW w:w="28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Net borrowing</w:t>
            </w:r>
          </w:p>
        </w:tc>
        <w:tc>
          <w:tcPr>
            <w:tcW w:w="74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183</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3</w:t>
            </w:r>
          </w:p>
        </w:tc>
        <w:tc>
          <w:tcPr>
            <w:tcW w:w="6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-65</w:t>
            </w:r>
          </w:p>
        </w:tc>
        <w:tc>
          <w:tcPr>
            <w:tcW w:w="6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-219</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68</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36</w:t>
            </w:r>
          </w:p>
        </w:tc>
        <w:tc>
          <w:tcPr>
            <w:tcW w:w="7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-7</w:t>
            </w:r>
          </w:p>
        </w:tc>
        <w:tc>
          <w:tcPr>
            <w:tcW w:w="5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w:t>
            </w:r>
          </w:p>
        </w:tc>
        <w:tc>
          <w:tcPr>
            <w:tcW w:w="9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292</w:t>
            </w:r>
          </w:p>
        </w:tc>
      </w:tr>
      <w:tr w:rsidR="00210430" w:rsidRPr="009739EE" w:rsidTr="00210430">
        <w:trPr>
          <w:trHeight w:val="315"/>
        </w:trPr>
        <w:tc>
          <w:tcPr>
            <w:tcW w:w="28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Welfare</w:t>
            </w:r>
          </w:p>
        </w:tc>
        <w:tc>
          <w:tcPr>
            <w:tcW w:w="74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51</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31</w:t>
            </w:r>
          </w:p>
        </w:tc>
        <w:tc>
          <w:tcPr>
            <w:tcW w:w="6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20</w:t>
            </w:r>
          </w:p>
        </w:tc>
        <w:tc>
          <w:tcPr>
            <w:tcW w:w="6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132</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-163</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-46</w:t>
            </w:r>
          </w:p>
        </w:tc>
        <w:tc>
          <w:tcPr>
            <w:tcW w:w="7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25</w:t>
            </w:r>
          </w:p>
        </w:tc>
        <w:tc>
          <w:tcPr>
            <w:tcW w:w="5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-49</w:t>
            </w:r>
          </w:p>
        </w:tc>
        <w:tc>
          <w:tcPr>
            <w:tcW w:w="9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259</w:t>
            </w:r>
          </w:p>
        </w:tc>
      </w:tr>
      <w:tr w:rsidR="00210430" w:rsidRPr="009739EE" w:rsidTr="00210430">
        <w:trPr>
          <w:trHeight w:val="315"/>
        </w:trPr>
        <w:tc>
          <w:tcPr>
            <w:tcW w:w="286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Mining</w:t>
            </w:r>
          </w:p>
        </w:tc>
        <w:tc>
          <w:tcPr>
            <w:tcW w:w="74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-13</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19</w:t>
            </w:r>
          </w:p>
        </w:tc>
        <w:tc>
          <w:tcPr>
            <w:tcW w:w="6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154</w:t>
            </w:r>
          </w:p>
        </w:tc>
        <w:tc>
          <w:tcPr>
            <w:tcW w:w="6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-230</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39</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9</w:t>
            </w:r>
          </w:p>
        </w:tc>
        <w:tc>
          <w:tcPr>
            <w:tcW w:w="7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w:t>
            </w:r>
          </w:p>
        </w:tc>
        <w:tc>
          <w:tcPr>
            <w:tcW w:w="5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21</w:t>
            </w:r>
          </w:p>
        </w:tc>
        <w:tc>
          <w:tcPr>
            <w:tcW w:w="9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243</w:t>
            </w:r>
          </w:p>
        </w:tc>
      </w:tr>
      <w:tr w:rsidR="00210430" w:rsidRPr="009739EE" w:rsidTr="00210430">
        <w:trPr>
          <w:trHeight w:val="315"/>
        </w:trPr>
        <w:tc>
          <w:tcPr>
            <w:tcW w:w="28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Commonwealth payments</w:t>
            </w:r>
          </w:p>
        </w:tc>
        <w:tc>
          <w:tcPr>
            <w:tcW w:w="74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-50</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187</w:t>
            </w:r>
          </w:p>
        </w:tc>
        <w:tc>
          <w:tcPr>
            <w:tcW w:w="6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-29</w:t>
            </w:r>
          </w:p>
        </w:tc>
        <w:tc>
          <w:tcPr>
            <w:tcW w:w="6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-116</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18</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27</w:t>
            </w:r>
          </w:p>
        </w:tc>
        <w:tc>
          <w:tcPr>
            <w:tcW w:w="7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-13</w:t>
            </w:r>
          </w:p>
        </w:tc>
        <w:tc>
          <w:tcPr>
            <w:tcW w:w="5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-24</w:t>
            </w:r>
          </w:p>
        </w:tc>
        <w:tc>
          <w:tcPr>
            <w:tcW w:w="9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232</w:t>
            </w:r>
          </w:p>
        </w:tc>
      </w:tr>
      <w:tr w:rsidR="00210430" w:rsidRPr="009739EE" w:rsidTr="00210430">
        <w:trPr>
          <w:trHeight w:val="315"/>
        </w:trPr>
        <w:tc>
          <w:tcPr>
            <w:tcW w:w="2860" w:type="dxa"/>
            <w:tcBorders>
              <w:top w:val="nil"/>
              <w:left w:val="nil"/>
              <w:bottom w:val="nil"/>
              <w:right w:val="nil"/>
            </w:tcBorders>
            <w:shd w:val="clear" w:color="auto" w:fill="auto"/>
            <w:vAlign w:val="bottom"/>
            <w:hideMark/>
          </w:tcPr>
          <w:p w:rsidR="00210430" w:rsidRPr="009739EE" w:rsidRDefault="00D32358" w:rsidP="00210430">
            <w:pPr>
              <w:tabs>
                <w:tab w:val="clear" w:pos="567"/>
              </w:tabs>
              <w:spacing w:after="0" w:line="240" w:lineRule="auto"/>
              <w:rPr>
                <w:rFonts w:ascii="Calibri" w:eastAsia="Times New Roman" w:hAnsi="Calibri" w:cs="Times New Roman"/>
                <w:sz w:val="20"/>
                <w:szCs w:val="20"/>
                <w:lang w:eastAsia="en-AU"/>
              </w:rPr>
            </w:pPr>
            <w:r>
              <w:rPr>
                <w:rFonts w:ascii="Calibri" w:eastAsia="Times New Roman" w:hAnsi="Calibri" w:cs="Times New Roman"/>
                <w:sz w:val="20"/>
                <w:szCs w:val="20"/>
                <w:lang w:eastAsia="en-AU"/>
              </w:rPr>
              <w:t>State-</w:t>
            </w:r>
            <w:r w:rsidR="00210430" w:rsidRPr="009739EE">
              <w:rPr>
                <w:rFonts w:ascii="Calibri" w:eastAsia="Times New Roman" w:hAnsi="Calibri" w:cs="Times New Roman"/>
                <w:sz w:val="20"/>
                <w:szCs w:val="20"/>
                <w:lang w:eastAsia="en-AU"/>
              </w:rPr>
              <w:t>funded school education</w:t>
            </w:r>
          </w:p>
        </w:tc>
        <w:tc>
          <w:tcPr>
            <w:tcW w:w="74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-135</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45</w:t>
            </w:r>
          </w:p>
        </w:tc>
        <w:tc>
          <w:tcPr>
            <w:tcW w:w="6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13</w:t>
            </w:r>
          </w:p>
        </w:tc>
        <w:tc>
          <w:tcPr>
            <w:tcW w:w="6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-68</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99</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26</w:t>
            </w:r>
          </w:p>
        </w:tc>
        <w:tc>
          <w:tcPr>
            <w:tcW w:w="7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-12</w:t>
            </w:r>
          </w:p>
        </w:tc>
        <w:tc>
          <w:tcPr>
            <w:tcW w:w="5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33</w:t>
            </w:r>
          </w:p>
        </w:tc>
        <w:tc>
          <w:tcPr>
            <w:tcW w:w="9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216</w:t>
            </w:r>
          </w:p>
        </w:tc>
      </w:tr>
      <w:tr w:rsidR="008C67F5" w:rsidRPr="009739EE" w:rsidTr="00210430">
        <w:trPr>
          <w:trHeight w:val="315"/>
        </w:trPr>
        <w:tc>
          <w:tcPr>
            <w:tcW w:w="2860" w:type="dxa"/>
            <w:tcBorders>
              <w:top w:val="nil"/>
              <w:left w:val="nil"/>
              <w:bottom w:val="nil"/>
              <w:right w:val="nil"/>
            </w:tcBorders>
            <w:shd w:val="clear" w:color="auto" w:fill="auto"/>
            <w:vAlign w:val="bottom"/>
            <w:hideMark/>
          </w:tcPr>
          <w:p w:rsidR="008C67F5" w:rsidRPr="009739EE" w:rsidRDefault="008C67F5" w:rsidP="00210430">
            <w:pPr>
              <w:tabs>
                <w:tab w:val="clear" w:pos="567"/>
              </w:tabs>
              <w:spacing w:after="0" w:line="240" w:lineRule="auto"/>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Other</w:t>
            </w:r>
          </w:p>
        </w:tc>
        <w:tc>
          <w:tcPr>
            <w:tcW w:w="740" w:type="dxa"/>
            <w:tcBorders>
              <w:top w:val="nil"/>
              <w:left w:val="nil"/>
              <w:bottom w:val="nil"/>
              <w:right w:val="nil"/>
            </w:tcBorders>
            <w:shd w:val="clear" w:color="auto" w:fill="auto"/>
            <w:noWrap/>
            <w:vAlign w:val="bottom"/>
            <w:hideMark/>
          </w:tcPr>
          <w:p w:rsidR="008C67F5" w:rsidRPr="00DB7C07"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DB7C07">
              <w:rPr>
                <w:rFonts w:ascii="Calibri" w:eastAsia="Times New Roman" w:hAnsi="Calibri" w:cs="Times New Roman"/>
                <w:sz w:val="20"/>
                <w:szCs w:val="20"/>
                <w:lang w:eastAsia="en-AU"/>
              </w:rPr>
              <w:t>-511</w:t>
            </w:r>
          </w:p>
        </w:tc>
        <w:tc>
          <w:tcPr>
            <w:tcW w:w="620" w:type="dxa"/>
            <w:tcBorders>
              <w:top w:val="nil"/>
              <w:left w:val="nil"/>
              <w:bottom w:val="nil"/>
              <w:right w:val="nil"/>
            </w:tcBorders>
            <w:shd w:val="clear" w:color="auto" w:fill="auto"/>
            <w:noWrap/>
            <w:vAlign w:val="bottom"/>
            <w:hideMark/>
          </w:tcPr>
          <w:p w:rsidR="008C67F5" w:rsidRPr="00DB7C07"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DB7C07">
              <w:rPr>
                <w:rFonts w:ascii="Calibri" w:eastAsia="Times New Roman" w:hAnsi="Calibri" w:cs="Times New Roman"/>
                <w:sz w:val="20"/>
                <w:szCs w:val="20"/>
                <w:lang w:eastAsia="en-AU"/>
              </w:rPr>
              <w:t>-304</w:t>
            </w:r>
          </w:p>
        </w:tc>
        <w:tc>
          <w:tcPr>
            <w:tcW w:w="660" w:type="dxa"/>
            <w:tcBorders>
              <w:top w:val="nil"/>
              <w:left w:val="nil"/>
              <w:bottom w:val="nil"/>
              <w:right w:val="nil"/>
            </w:tcBorders>
            <w:shd w:val="clear" w:color="auto" w:fill="auto"/>
            <w:noWrap/>
            <w:vAlign w:val="bottom"/>
            <w:hideMark/>
          </w:tcPr>
          <w:p w:rsidR="008C67F5" w:rsidRPr="00DB7C07"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DB7C07">
              <w:rPr>
                <w:rFonts w:ascii="Calibri" w:eastAsia="Times New Roman" w:hAnsi="Calibri" w:cs="Times New Roman"/>
                <w:sz w:val="20"/>
                <w:szCs w:val="20"/>
                <w:lang w:eastAsia="en-AU"/>
              </w:rPr>
              <w:t>119</w:t>
            </w:r>
          </w:p>
        </w:tc>
        <w:tc>
          <w:tcPr>
            <w:tcW w:w="660" w:type="dxa"/>
            <w:tcBorders>
              <w:top w:val="nil"/>
              <w:left w:val="nil"/>
              <w:bottom w:val="nil"/>
              <w:right w:val="nil"/>
            </w:tcBorders>
            <w:shd w:val="clear" w:color="auto" w:fill="auto"/>
            <w:noWrap/>
            <w:vAlign w:val="bottom"/>
            <w:hideMark/>
          </w:tcPr>
          <w:p w:rsidR="008C67F5" w:rsidRPr="00DB7C07"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DB7C07">
              <w:rPr>
                <w:rFonts w:ascii="Calibri" w:eastAsia="Times New Roman" w:hAnsi="Calibri" w:cs="Times New Roman"/>
                <w:sz w:val="20"/>
                <w:szCs w:val="20"/>
                <w:lang w:eastAsia="en-AU"/>
              </w:rPr>
              <w:t>361</w:t>
            </w:r>
          </w:p>
        </w:tc>
        <w:tc>
          <w:tcPr>
            <w:tcW w:w="620" w:type="dxa"/>
            <w:tcBorders>
              <w:top w:val="nil"/>
              <w:left w:val="nil"/>
              <w:bottom w:val="nil"/>
              <w:right w:val="nil"/>
            </w:tcBorders>
            <w:shd w:val="clear" w:color="auto" w:fill="auto"/>
            <w:noWrap/>
            <w:vAlign w:val="bottom"/>
            <w:hideMark/>
          </w:tcPr>
          <w:p w:rsidR="008C67F5" w:rsidRPr="00DB7C07"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DB7C07">
              <w:rPr>
                <w:rFonts w:ascii="Calibri" w:eastAsia="Times New Roman" w:hAnsi="Calibri" w:cs="Times New Roman"/>
                <w:sz w:val="20"/>
                <w:szCs w:val="20"/>
                <w:lang w:eastAsia="en-AU"/>
              </w:rPr>
              <w:t>119</w:t>
            </w:r>
          </w:p>
        </w:tc>
        <w:tc>
          <w:tcPr>
            <w:tcW w:w="620" w:type="dxa"/>
            <w:tcBorders>
              <w:top w:val="nil"/>
              <w:left w:val="nil"/>
              <w:bottom w:val="nil"/>
              <w:right w:val="nil"/>
            </w:tcBorders>
            <w:shd w:val="clear" w:color="auto" w:fill="auto"/>
            <w:noWrap/>
            <w:vAlign w:val="bottom"/>
            <w:hideMark/>
          </w:tcPr>
          <w:p w:rsidR="008C67F5" w:rsidRPr="00DB7C07"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DB7C07">
              <w:rPr>
                <w:rFonts w:ascii="Calibri" w:eastAsia="Times New Roman" w:hAnsi="Calibri" w:cs="Times New Roman"/>
                <w:sz w:val="20"/>
                <w:szCs w:val="20"/>
                <w:lang w:eastAsia="en-AU"/>
              </w:rPr>
              <w:t>91</w:t>
            </w:r>
          </w:p>
        </w:tc>
        <w:tc>
          <w:tcPr>
            <w:tcW w:w="700" w:type="dxa"/>
            <w:tcBorders>
              <w:top w:val="nil"/>
              <w:left w:val="nil"/>
              <w:bottom w:val="nil"/>
              <w:right w:val="nil"/>
            </w:tcBorders>
            <w:shd w:val="clear" w:color="auto" w:fill="auto"/>
            <w:noWrap/>
            <w:vAlign w:val="bottom"/>
            <w:hideMark/>
          </w:tcPr>
          <w:p w:rsidR="008C67F5" w:rsidRPr="00DB7C07"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DB7C07">
              <w:rPr>
                <w:rFonts w:ascii="Calibri" w:eastAsia="Times New Roman" w:hAnsi="Calibri" w:cs="Times New Roman"/>
                <w:sz w:val="20"/>
                <w:szCs w:val="20"/>
                <w:lang w:eastAsia="en-AU"/>
              </w:rPr>
              <w:t>-10</w:t>
            </w:r>
          </w:p>
        </w:tc>
        <w:tc>
          <w:tcPr>
            <w:tcW w:w="580" w:type="dxa"/>
            <w:tcBorders>
              <w:top w:val="nil"/>
              <w:left w:val="nil"/>
              <w:bottom w:val="nil"/>
              <w:right w:val="nil"/>
            </w:tcBorders>
            <w:shd w:val="clear" w:color="auto" w:fill="auto"/>
            <w:noWrap/>
            <w:vAlign w:val="bottom"/>
            <w:hideMark/>
          </w:tcPr>
          <w:p w:rsidR="008C67F5" w:rsidRPr="00DB7C07"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DB7C07">
              <w:rPr>
                <w:rFonts w:ascii="Calibri" w:eastAsia="Times New Roman" w:hAnsi="Calibri" w:cs="Times New Roman"/>
                <w:sz w:val="20"/>
                <w:szCs w:val="20"/>
                <w:lang w:eastAsia="en-AU"/>
              </w:rPr>
              <w:t>134</w:t>
            </w:r>
          </w:p>
        </w:tc>
        <w:tc>
          <w:tcPr>
            <w:tcW w:w="900" w:type="dxa"/>
            <w:tcBorders>
              <w:top w:val="nil"/>
              <w:left w:val="nil"/>
              <w:bottom w:val="nil"/>
              <w:right w:val="nil"/>
            </w:tcBorders>
            <w:shd w:val="clear" w:color="auto" w:fill="auto"/>
            <w:noWrap/>
            <w:vAlign w:val="bottom"/>
            <w:hideMark/>
          </w:tcPr>
          <w:p w:rsidR="008C67F5" w:rsidRPr="00DB7C07"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DB7C07">
              <w:rPr>
                <w:rFonts w:ascii="Calibri" w:eastAsia="Times New Roman" w:hAnsi="Calibri" w:cs="Times New Roman"/>
                <w:sz w:val="20"/>
                <w:szCs w:val="20"/>
                <w:lang w:eastAsia="en-AU"/>
              </w:rPr>
              <w:t>825</w:t>
            </w:r>
          </w:p>
        </w:tc>
      </w:tr>
      <w:tr w:rsidR="008C67F5" w:rsidRPr="009739EE" w:rsidTr="00210430">
        <w:trPr>
          <w:trHeight w:val="315"/>
        </w:trPr>
        <w:tc>
          <w:tcPr>
            <w:tcW w:w="2860" w:type="dxa"/>
            <w:tcBorders>
              <w:top w:val="nil"/>
              <w:left w:val="nil"/>
              <w:bottom w:val="single" w:sz="4" w:space="0" w:color="auto"/>
              <w:right w:val="nil"/>
            </w:tcBorders>
            <w:shd w:val="clear" w:color="auto" w:fill="auto"/>
            <w:vAlign w:val="bottom"/>
            <w:hideMark/>
          </w:tcPr>
          <w:p w:rsidR="008C67F5" w:rsidRPr="009739EE" w:rsidRDefault="008C67F5" w:rsidP="00210430">
            <w:pPr>
              <w:tabs>
                <w:tab w:val="clear" w:pos="567"/>
              </w:tabs>
              <w:spacing w:after="0" w:line="240" w:lineRule="auto"/>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Total method changes</w:t>
            </w:r>
          </w:p>
        </w:tc>
        <w:tc>
          <w:tcPr>
            <w:tcW w:w="740" w:type="dxa"/>
            <w:tcBorders>
              <w:top w:val="single" w:sz="4" w:space="0" w:color="auto"/>
              <w:left w:val="nil"/>
              <w:bottom w:val="single" w:sz="4" w:space="0" w:color="auto"/>
              <w:right w:val="nil"/>
            </w:tcBorders>
            <w:shd w:val="clear" w:color="auto" w:fill="auto"/>
            <w:noWrap/>
            <w:vAlign w:val="bottom"/>
            <w:hideMark/>
          </w:tcPr>
          <w:p w:rsidR="008C67F5" w:rsidRPr="00DB7C07"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DB7C07">
              <w:rPr>
                <w:rFonts w:ascii="Calibri" w:eastAsia="Times New Roman" w:hAnsi="Calibri" w:cs="Times New Roman"/>
                <w:sz w:val="20"/>
                <w:szCs w:val="20"/>
                <w:lang w:eastAsia="en-AU"/>
              </w:rPr>
              <w:t>-105</w:t>
            </w:r>
          </w:p>
        </w:tc>
        <w:tc>
          <w:tcPr>
            <w:tcW w:w="620" w:type="dxa"/>
            <w:tcBorders>
              <w:top w:val="single" w:sz="4" w:space="0" w:color="auto"/>
              <w:left w:val="nil"/>
              <w:bottom w:val="single" w:sz="4" w:space="0" w:color="auto"/>
              <w:right w:val="nil"/>
            </w:tcBorders>
            <w:shd w:val="clear" w:color="auto" w:fill="auto"/>
            <w:noWrap/>
            <w:vAlign w:val="bottom"/>
            <w:hideMark/>
          </w:tcPr>
          <w:p w:rsidR="008C67F5" w:rsidRPr="00DB7C07"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DB7C07">
              <w:rPr>
                <w:rFonts w:ascii="Calibri" w:eastAsia="Times New Roman" w:hAnsi="Calibri" w:cs="Times New Roman"/>
                <w:sz w:val="20"/>
                <w:szCs w:val="20"/>
                <w:lang w:eastAsia="en-AU"/>
              </w:rPr>
              <w:t>423</w:t>
            </w:r>
          </w:p>
        </w:tc>
        <w:tc>
          <w:tcPr>
            <w:tcW w:w="660" w:type="dxa"/>
            <w:tcBorders>
              <w:top w:val="single" w:sz="4" w:space="0" w:color="auto"/>
              <w:left w:val="nil"/>
              <w:bottom w:val="single" w:sz="4" w:space="0" w:color="auto"/>
              <w:right w:val="nil"/>
            </w:tcBorders>
            <w:shd w:val="clear" w:color="auto" w:fill="auto"/>
            <w:noWrap/>
            <w:vAlign w:val="bottom"/>
            <w:hideMark/>
          </w:tcPr>
          <w:p w:rsidR="008C67F5" w:rsidRPr="00DB7C07"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DB7C07">
              <w:rPr>
                <w:rFonts w:ascii="Calibri" w:eastAsia="Times New Roman" w:hAnsi="Calibri" w:cs="Times New Roman"/>
                <w:sz w:val="20"/>
                <w:szCs w:val="20"/>
                <w:lang w:eastAsia="en-AU"/>
              </w:rPr>
              <w:t>-186</w:t>
            </w:r>
          </w:p>
        </w:tc>
        <w:tc>
          <w:tcPr>
            <w:tcW w:w="660" w:type="dxa"/>
            <w:tcBorders>
              <w:top w:val="single" w:sz="4" w:space="0" w:color="auto"/>
              <w:left w:val="nil"/>
              <w:bottom w:val="single" w:sz="4" w:space="0" w:color="auto"/>
              <w:right w:val="nil"/>
            </w:tcBorders>
            <w:shd w:val="clear" w:color="auto" w:fill="auto"/>
            <w:noWrap/>
            <w:vAlign w:val="bottom"/>
            <w:hideMark/>
          </w:tcPr>
          <w:p w:rsidR="008C67F5" w:rsidRPr="00DB7C07"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DB7C07">
              <w:rPr>
                <w:rFonts w:ascii="Calibri" w:eastAsia="Times New Roman" w:hAnsi="Calibri" w:cs="Times New Roman"/>
                <w:sz w:val="20"/>
                <w:szCs w:val="20"/>
                <w:lang w:eastAsia="en-AU"/>
              </w:rPr>
              <w:t>-255</w:t>
            </w:r>
          </w:p>
        </w:tc>
        <w:tc>
          <w:tcPr>
            <w:tcW w:w="620" w:type="dxa"/>
            <w:tcBorders>
              <w:top w:val="single" w:sz="4" w:space="0" w:color="auto"/>
              <w:left w:val="nil"/>
              <w:bottom w:val="single" w:sz="4" w:space="0" w:color="auto"/>
              <w:right w:val="nil"/>
            </w:tcBorders>
            <w:shd w:val="clear" w:color="auto" w:fill="auto"/>
            <w:noWrap/>
            <w:vAlign w:val="bottom"/>
            <w:hideMark/>
          </w:tcPr>
          <w:p w:rsidR="008C67F5" w:rsidRPr="00DB7C07"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DB7C07">
              <w:rPr>
                <w:rFonts w:ascii="Calibri" w:eastAsia="Times New Roman" w:hAnsi="Calibri" w:cs="Times New Roman"/>
                <w:sz w:val="20"/>
                <w:szCs w:val="20"/>
                <w:lang w:eastAsia="en-AU"/>
              </w:rPr>
              <w:t>74</w:t>
            </w:r>
          </w:p>
        </w:tc>
        <w:tc>
          <w:tcPr>
            <w:tcW w:w="620" w:type="dxa"/>
            <w:tcBorders>
              <w:top w:val="single" w:sz="4" w:space="0" w:color="auto"/>
              <w:left w:val="nil"/>
              <w:bottom w:val="single" w:sz="4" w:space="0" w:color="auto"/>
              <w:right w:val="nil"/>
            </w:tcBorders>
            <w:shd w:val="clear" w:color="auto" w:fill="auto"/>
            <w:noWrap/>
            <w:vAlign w:val="bottom"/>
            <w:hideMark/>
          </w:tcPr>
          <w:p w:rsidR="008C67F5" w:rsidRPr="00DB7C07"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DB7C07">
              <w:rPr>
                <w:rFonts w:ascii="Calibri" w:eastAsia="Times New Roman" w:hAnsi="Calibri" w:cs="Times New Roman"/>
                <w:sz w:val="20"/>
                <w:szCs w:val="20"/>
                <w:lang w:eastAsia="en-AU"/>
              </w:rPr>
              <w:t>89</w:t>
            </w:r>
          </w:p>
        </w:tc>
        <w:tc>
          <w:tcPr>
            <w:tcW w:w="700" w:type="dxa"/>
            <w:tcBorders>
              <w:top w:val="single" w:sz="4" w:space="0" w:color="auto"/>
              <w:left w:val="nil"/>
              <w:bottom w:val="single" w:sz="4" w:space="0" w:color="auto"/>
              <w:right w:val="nil"/>
            </w:tcBorders>
            <w:shd w:val="clear" w:color="auto" w:fill="auto"/>
            <w:noWrap/>
            <w:vAlign w:val="bottom"/>
            <w:hideMark/>
          </w:tcPr>
          <w:p w:rsidR="008C67F5" w:rsidRPr="00DB7C07"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DB7C07">
              <w:rPr>
                <w:rFonts w:ascii="Calibri" w:eastAsia="Times New Roman" w:hAnsi="Calibri" w:cs="Times New Roman"/>
                <w:sz w:val="20"/>
                <w:szCs w:val="20"/>
                <w:lang w:eastAsia="en-AU"/>
              </w:rPr>
              <w:t>-93</w:t>
            </w:r>
          </w:p>
        </w:tc>
        <w:tc>
          <w:tcPr>
            <w:tcW w:w="580" w:type="dxa"/>
            <w:tcBorders>
              <w:top w:val="single" w:sz="4" w:space="0" w:color="auto"/>
              <w:left w:val="nil"/>
              <w:bottom w:val="single" w:sz="4" w:space="0" w:color="auto"/>
              <w:right w:val="nil"/>
            </w:tcBorders>
            <w:shd w:val="clear" w:color="auto" w:fill="auto"/>
            <w:noWrap/>
            <w:vAlign w:val="bottom"/>
            <w:hideMark/>
          </w:tcPr>
          <w:p w:rsidR="008C67F5" w:rsidRPr="00DB7C07"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DB7C07">
              <w:rPr>
                <w:rFonts w:ascii="Calibri" w:eastAsia="Times New Roman" w:hAnsi="Calibri" w:cs="Times New Roman"/>
                <w:sz w:val="20"/>
                <w:szCs w:val="20"/>
                <w:lang w:eastAsia="en-AU"/>
              </w:rPr>
              <w:t>53</w:t>
            </w:r>
          </w:p>
        </w:tc>
        <w:tc>
          <w:tcPr>
            <w:tcW w:w="900" w:type="dxa"/>
            <w:tcBorders>
              <w:top w:val="single" w:sz="4" w:space="0" w:color="auto"/>
              <w:left w:val="nil"/>
              <w:bottom w:val="single" w:sz="4" w:space="0" w:color="auto"/>
              <w:right w:val="nil"/>
            </w:tcBorders>
            <w:shd w:val="clear" w:color="auto" w:fill="auto"/>
            <w:noWrap/>
            <w:vAlign w:val="bottom"/>
            <w:hideMark/>
          </w:tcPr>
          <w:p w:rsidR="008C67F5" w:rsidRPr="00DB7C07"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DB7C07">
              <w:rPr>
                <w:rFonts w:ascii="Calibri" w:eastAsia="Times New Roman" w:hAnsi="Calibri" w:cs="Times New Roman"/>
                <w:sz w:val="20"/>
                <w:szCs w:val="20"/>
                <w:lang w:eastAsia="en-AU"/>
              </w:rPr>
              <w:t>639</w:t>
            </w:r>
          </w:p>
        </w:tc>
      </w:tr>
    </w:tbl>
    <w:p w:rsidR="00037390" w:rsidRPr="00080DDF" w:rsidRDefault="00037390" w:rsidP="00037390">
      <w:pPr>
        <w:pStyle w:val="CGCTableFootnote"/>
        <w:keepNext/>
        <w:keepLines/>
      </w:pPr>
      <w:r w:rsidRPr="00080DDF">
        <w:t>Note:</w:t>
      </w:r>
      <w:r w:rsidRPr="00080DDF">
        <w:tab/>
      </w:r>
      <w:r>
        <w:t>The analysis shows the impact of the Commission introducing</w:t>
      </w:r>
      <w:r w:rsidR="00D32358">
        <w:t xml:space="preserve"> the method changes in the 2014 </w:t>
      </w:r>
      <w:r>
        <w:t xml:space="preserve">Update years. </w:t>
      </w:r>
      <w:r w:rsidRPr="00080DDF">
        <w:t>The redistribution is calculated as the sum of the positive (or negative) items in the row.</w:t>
      </w:r>
      <w:r>
        <w:t xml:space="preserve"> </w:t>
      </w:r>
      <w:r w:rsidRPr="00080DDF">
        <w:t>Totals may not add due to rounding.</w:t>
      </w:r>
    </w:p>
    <w:p w:rsidR="00037390" w:rsidRPr="00080DDF" w:rsidRDefault="00037390" w:rsidP="00037390">
      <w:pPr>
        <w:pStyle w:val="CGCTableFootnote"/>
        <w:keepLines/>
      </w:pPr>
      <w:r w:rsidRPr="00080DDF">
        <w:t>Source:</w:t>
      </w:r>
      <w:r w:rsidRPr="00080DDF">
        <w:tab/>
        <w:t>Commission calculation.</w:t>
      </w:r>
    </w:p>
    <w:p w:rsidR="00037390" w:rsidRDefault="00037390" w:rsidP="00037390">
      <w:pPr>
        <w:pStyle w:val="CGCNumberedPara"/>
        <w:numPr>
          <w:ilvl w:val="1"/>
          <w:numId w:val="2"/>
        </w:numPr>
      </w:pPr>
      <w:r>
        <w:t>Changes to methods were required for several reasons:</w:t>
      </w:r>
    </w:p>
    <w:p w:rsidR="00037390" w:rsidRDefault="00037390" w:rsidP="00037390">
      <w:pPr>
        <w:pStyle w:val="CGCBulletlist"/>
        <w:numPr>
          <w:ilvl w:val="0"/>
          <w:numId w:val="1"/>
        </w:numPr>
        <w:tabs>
          <w:tab w:val="clear" w:pos="927"/>
          <w:tab w:val="left" w:pos="1134"/>
        </w:tabs>
        <w:ind w:left="1134" w:hanging="567"/>
      </w:pPr>
      <w:r>
        <w:t xml:space="preserve">Our terms of reference asked us to review and make appropriate changes to some specific categories or disabilities. As a result, we have made changes to the way we assess mining revenue, schools, welfare, urban transport infrastructure, </w:t>
      </w:r>
      <w:r w:rsidR="00210430">
        <w:t xml:space="preserve">Indigenous status </w:t>
      </w:r>
      <w:r>
        <w:t>and some Commonwealth payments.</w:t>
      </w:r>
    </w:p>
    <w:p w:rsidR="00037390" w:rsidRDefault="00037390" w:rsidP="00037390">
      <w:pPr>
        <w:pStyle w:val="CGCBulletlist"/>
        <w:numPr>
          <w:ilvl w:val="0"/>
          <w:numId w:val="1"/>
        </w:numPr>
        <w:tabs>
          <w:tab w:val="clear" w:pos="927"/>
          <w:tab w:val="left" w:pos="1134"/>
        </w:tabs>
        <w:ind w:left="1134" w:hanging="567"/>
      </w:pPr>
      <w:r>
        <w:t>Changes in Commonwealth</w:t>
      </w:r>
      <w:r>
        <w:noBreakHyphen/>
        <w:t>State relations. Changes to Commonwealth funding for schools and health was one motivation for our changes to the assessment of State schools and health expenses. The changes we made to our welfare assessment reflect changes in responsibility for aged and disability care</w:t>
      </w:r>
      <w:r w:rsidR="00243D07">
        <w:t>.</w:t>
      </w:r>
      <w:r>
        <w:rPr>
          <w:rStyle w:val="FootnoteReference"/>
        </w:rPr>
        <w:footnoteReference w:id="14"/>
      </w:r>
    </w:p>
    <w:p w:rsidR="00037390" w:rsidRDefault="00037390" w:rsidP="00D01233">
      <w:pPr>
        <w:pStyle w:val="CGCBulletlist"/>
      </w:pPr>
      <w:r>
        <w:t xml:space="preserve">A review of the scope of State general government services. This resulted in us bringing the operations of housing and transport public non-financial corporations (PNFCs) into the general government sector, with resultant changes to the State budget data we use and the assessments for </w:t>
      </w:r>
      <w:r w:rsidR="00243D07">
        <w:t>h</w:t>
      </w:r>
      <w:r>
        <w:t xml:space="preserve">ousing, </w:t>
      </w:r>
      <w:r w:rsidR="00243D07">
        <w:t>u</w:t>
      </w:r>
      <w:r>
        <w:t xml:space="preserve">rban transport and their associated infrastructure. </w:t>
      </w:r>
      <w:r w:rsidR="00D01233" w:rsidRPr="00D01233">
        <w:t>Box 1</w:t>
      </w:r>
      <w:r>
        <w:t xml:space="preserve"> summarises the impact of these changes.</w:t>
      </w:r>
    </w:p>
    <w:p w:rsidR="00037390" w:rsidRDefault="00037390" w:rsidP="00037390">
      <w:pPr>
        <w:pStyle w:val="CGCBulletlist"/>
        <w:numPr>
          <w:ilvl w:val="0"/>
          <w:numId w:val="1"/>
        </w:numPr>
        <w:tabs>
          <w:tab w:val="clear" w:pos="927"/>
          <w:tab w:val="left" w:pos="1134"/>
        </w:tabs>
        <w:ind w:left="1134" w:hanging="567"/>
      </w:pPr>
      <w:r>
        <w:t xml:space="preserve">Improvements in data availability. These resulted in major method changes, particularly for </w:t>
      </w:r>
      <w:r w:rsidR="00243D07">
        <w:t>h</w:t>
      </w:r>
      <w:r>
        <w:t xml:space="preserve">ealth, where Independent Hospital Pricing Authority (IHPA) </w:t>
      </w:r>
      <w:r>
        <w:lastRenderedPageBreak/>
        <w:t xml:space="preserve">data enabled a more direct assessment of health needs and </w:t>
      </w:r>
      <w:r w:rsidR="00243D07">
        <w:t>s</w:t>
      </w:r>
      <w:r>
        <w:t xml:space="preserve">chools, where the availability of the </w:t>
      </w:r>
      <w:r w:rsidRPr="00BC1EDE">
        <w:t>Australian Curriculum, Assessment and Reporting Authority (ACARA)</w:t>
      </w:r>
      <w:r>
        <w:t xml:space="preserve"> dataset allowed us to better estimate the drivers of State expenses. It also substantially changed our estimates of regional cost gradients affecting State expenses.</w:t>
      </w:r>
    </w:p>
    <w:p w:rsidR="00037390" w:rsidRPr="001D318A" w:rsidRDefault="00037390" w:rsidP="00037390">
      <w:pPr>
        <w:pStyle w:val="Heading4"/>
      </w:pPr>
      <w:r w:rsidRPr="001D318A">
        <w:t>Urban transport investment</w:t>
      </w:r>
    </w:p>
    <w:p w:rsidR="00037390" w:rsidRPr="001D318A" w:rsidRDefault="00037390" w:rsidP="00037390">
      <w:pPr>
        <w:pStyle w:val="CGCNumberedPara"/>
        <w:numPr>
          <w:ilvl w:val="1"/>
          <w:numId w:val="2"/>
        </w:numPr>
      </w:pPr>
      <w:r w:rsidRPr="001D318A">
        <w:t>A new assessment of urban transport investment has been introduced. This recognises that States need different quantities of urban transport</w:t>
      </w:r>
      <w:r>
        <w:t xml:space="preserve"> infrastructure</w:t>
      </w:r>
      <w:r w:rsidRPr="001D318A">
        <w:t xml:space="preserve"> and the costs of that infrastructure vary across States. In particular, the assessment recognises larger cities need more </w:t>
      </w:r>
      <w:proofErr w:type="gramStart"/>
      <w:r w:rsidRPr="001D318A">
        <w:t>infrastructure</w:t>
      </w:r>
      <w:proofErr w:type="gramEnd"/>
      <w:r w:rsidRPr="001D318A">
        <w:t xml:space="preserve"> per capita to deliver the more complex transport systems they require, such as rail networks. </w:t>
      </w:r>
    </w:p>
    <w:p w:rsidR="00037390" w:rsidRPr="001D318A" w:rsidRDefault="006B0E1F" w:rsidP="00037390">
      <w:pPr>
        <w:pStyle w:val="CGCNumberedPara"/>
        <w:numPr>
          <w:ilvl w:val="1"/>
          <w:numId w:val="2"/>
        </w:numPr>
      </w:pPr>
      <w:r>
        <w:t>B</w:t>
      </w:r>
      <w:r w:rsidRPr="001D318A">
        <w:t xml:space="preserve">ecause the Commission considers the provision of urban transport services are more like general government services than commercial enterprises, </w:t>
      </w:r>
      <w:r>
        <w:t>we have consolidated the provision of urban transport services by general government and their PNFCs. This facilitated the development of the new assessment.</w:t>
      </w:r>
    </w:p>
    <w:p w:rsidR="00037390" w:rsidRDefault="00037390" w:rsidP="00037390">
      <w:pPr>
        <w:pStyle w:val="CGCNumberedPara"/>
        <w:numPr>
          <w:ilvl w:val="1"/>
          <w:numId w:val="2"/>
        </w:numPr>
      </w:pPr>
      <w:r w:rsidRPr="001D318A">
        <w:t xml:space="preserve">The new assessment also responds to Clause 2 (c) of our terms of reference which asks us to have regard to the recommendations of the final report of the </w:t>
      </w:r>
      <w:r w:rsidRPr="001D318A">
        <w:rPr>
          <w:i/>
        </w:rPr>
        <w:t>GST Distribution Review</w:t>
      </w:r>
      <w:r w:rsidRPr="001D318A">
        <w:t xml:space="preserve"> to develop a new transport infrastructure assessment, including, if appropriate, a framework to identify payments for nationally significant infrastructure projects which should affect the relativities only in part (Recommendation 6.1). We have not developed a framework to identify payments for nationally significant infrastructure projects but have decided 50% of payments relating to projects on the national road and rail networks, as advised by the Department of Infrastructure</w:t>
      </w:r>
      <w:r w:rsidR="00D32358">
        <w:t xml:space="preserve"> and Regional Development</w:t>
      </w:r>
      <w:r w:rsidRPr="001D318A">
        <w:t xml:space="preserve">, will not impact on the relativities. </w:t>
      </w:r>
    </w:p>
    <w:p w:rsidR="00037390" w:rsidRDefault="00037390" w:rsidP="00037390">
      <w:pPr>
        <w:pStyle w:val="CGCNumberedPara"/>
        <w:numPr>
          <w:ilvl w:val="1"/>
          <w:numId w:val="2"/>
        </w:numPr>
      </w:pPr>
      <w:r>
        <w:t>The new urban transport infrastructure assessment redistributes $</w:t>
      </w:r>
      <w:r w:rsidR="00210430">
        <w:t>55</w:t>
      </w:r>
      <w:r w:rsidR="00566B6E">
        <w:t>1</w:t>
      </w:r>
      <w:r w:rsidR="00210430">
        <w:t xml:space="preserve"> </w:t>
      </w:r>
      <w:r w:rsidR="00566B6E">
        <w:t>million to New </w:t>
      </w:r>
      <w:r>
        <w:t>South Wales, Victoria and Western Australia, away from the other States. The change</w:t>
      </w:r>
      <w:r w:rsidR="00EA009D">
        <w:t>d</w:t>
      </w:r>
      <w:r>
        <w:t xml:space="preserve"> treatment of Commonwealth rail payments is discussed in the section on Commonwealth payments.</w:t>
      </w:r>
    </w:p>
    <w:p w:rsidR="00D32358" w:rsidRDefault="00D01233" w:rsidP="00D32358">
      <w:pPr>
        <w:pStyle w:val="CGCTableHeading"/>
      </w:pPr>
      <w:r w:rsidRPr="00D01233">
        <w:lastRenderedPageBreak/>
        <w:t>Box 1</w:t>
      </w:r>
      <w:r w:rsidR="00D32358">
        <w:t xml:space="preserve"> </w:t>
      </w:r>
      <w:r w:rsidR="00D32358">
        <w:tab/>
      </w:r>
      <w:proofErr w:type="gramStart"/>
      <w:r w:rsidR="00D32358">
        <w:t>Treating</w:t>
      </w:r>
      <w:proofErr w:type="gramEnd"/>
      <w:r w:rsidR="00D32358">
        <w:t xml:space="preserve"> urban transport and housing as general government activities</w:t>
      </w:r>
    </w:p>
    <w:tbl>
      <w:tblPr>
        <w:tblStyle w:val="TableGrid"/>
        <w:tblW w:w="0" w:type="auto"/>
        <w:tblLook w:val="04A0" w:firstRow="1" w:lastRow="0" w:firstColumn="1" w:lastColumn="0" w:noHBand="0" w:noVBand="1"/>
        <w:tblDescription w:val=" "/>
      </w:tblPr>
      <w:tblGrid>
        <w:gridCol w:w="9167"/>
      </w:tblGrid>
      <w:tr w:rsidR="00D32358" w:rsidTr="002B4BC8">
        <w:tc>
          <w:tcPr>
            <w:tcW w:w="9167" w:type="dxa"/>
            <w:tcBorders>
              <w:top w:val="nil"/>
              <w:left w:val="nil"/>
              <w:bottom w:val="nil"/>
              <w:right w:val="nil"/>
            </w:tcBorders>
            <w:shd w:val="clear" w:color="auto" w:fill="D9F3E6"/>
          </w:tcPr>
          <w:p w:rsidR="00D32358" w:rsidRPr="00443F6C" w:rsidRDefault="00D32358" w:rsidP="002B4BC8">
            <w:pPr>
              <w:keepNext/>
              <w:spacing w:before="120" w:after="120" w:line="280" w:lineRule="atLeast"/>
              <w:rPr>
                <w:szCs w:val="24"/>
              </w:rPr>
            </w:pPr>
            <w:r w:rsidRPr="00443F6C">
              <w:rPr>
                <w:szCs w:val="24"/>
              </w:rPr>
              <w:t xml:space="preserve">The Commission decided to treat urban transport and housing as general government activities because they have strong similarities to the services provided by General Government agencies, even when they are delivered by State public non-financial corporations (PNFCs). </w:t>
            </w:r>
          </w:p>
          <w:p w:rsidR="00D32358" w:rsidRPr="00443F6C" w:rsidRDefault="00D32358" w:rsidP="002B4BC8">
            <w:pPr>
              <w:keepNext/>
              <w:spacing w:before="120" w:after="120" w:line="280" w:lineRule="atLeast"/>
              <w:rPr>
                <w:szCs w:val="24"/>
              </w:rPr>
            </w:pPr>
            <w:r w:rsidRPr="00443F6C">
              <w:rPr>
                <w:szCs w:val="24"/>
              </w:rPr>
              <w:t xml:space="preserve">This decision had a number of implications for the assessments as shown in the table. </w:t>
            </w:r>
          </w:p>
          <w:p w:rsidR="00D32358" w:rsidRPr="00443F6C" w:rsidRDefault="00D32358" w:rsidP="002B4BC8">
            <w:pPr>
              <w:pStyle w:val="CGCBulletlist"/>
              <w:keepNext/>
              <w:numPr>
                <w:ilvl w:val="0"/>
                <w:numId w:val="1"/>
              </w:numPr>
              <w:tabs>
                <w:tab w:val="clear" w:pos="927"/>
                <w:tab w:val="left" w:pos="1134"/>
              </w:tabs>
              <w:spacing w:line="280" w:lineRule="atLeast"/>
              <w:ind w:left="567" w:hanging="567"/>
              <w:rPr>
                <w:szCs w:val="24"/>
              </w:rPr>
            </w:pPr>
            <w:r w:rsidRPr="00443F6C">
              <w:rPr>
                <w:rStyle w:val="Heading6Char"/>
                <w:sz w:val="24"/>
                <w:szCs w:val="24"/>
              </w:rPr>
              <w:t>The assessments of recurrent expenditures.</w:t>
            </w:r>
            <w:r w:rsidRPr="00443F6C">
              <w:rPr>
                <w:szCs w:val="24"/>
              </w:rPr>
              <w:t xml:space="preserve"> They are based on the net expenses for urban transport and housing (including depreciation) instead of State subsidies to the providers.  </w:t>
            </w:r>
          </w:p>
          <w:p w:rsidR="00D32358" w:rsidRPr="00443F6C" w:rsidRDefault="00D32358" w:rsidP="002B4BC8">
            <w:pPr>
              <w:pStyle w:val="CGCBulletlist"/>
              <w:keepNext/>
              <w:numPr>
                <w:ilvl w:val="0"/>
                <w:numId w:val="1"/>
              </w:numPr>
              <w:tabs>
                <w:tab w:val="clear" w:pos="927"/>
                <w:tab w:val="left" w:pos="1134"/>
              </w:tabs>
              <w:spacing w:line="280" w:lineRule="atLeast"/>
              <w:ind w:left="567" w:hanging="567"/>
              <w:rPr>
                <w:szCs w:val="24"/>
              </w:rPr>
            </w:pPr>
            <w:r w:rsidRPr="00443F6C">
              <w:rPr>
                <w:rStyle w:val="Heading6Char"/>
                <w:sz w:val="24"/>
                <w:szCs w:val="24"/>
              </w:rPr>
              <w:t>The investment assessment.</w:t>
            </w:r>
            <w:r w:rsidRPr="00443F6C">
              <w:rPr>
                <w:szCs w:val="24"/>
              </w:rPr>
              <w:t xml:space="preserve"> Now includes the effects of population growth and State specific drivers (such as the effect of city size on urban transport and income, Indigenous status and remoteness on housing) on the infrastructure required to provide the services.</w:t>
            </w:r>
          </w:p>
          <w:p w:rsidR="00D32358" w:rsidRPr="00443F6C" w:rsidRDefault="00D32358" w:rsidP="002B4BC8">
            <w:pPr>
              <w:pStyle w:val="CGCBulletlist"/>
              <w:keepNext/>
              <w:numPr>
                <w:ilvl w:val="0"/>
                <w:numId w:val="1"/>
              </w:numPr>
              <w:tabs>
                <w:tab w:val="clear" w:pos="927"/>
                <w:tab w:val="left" w:pos="1134"/>
              </w:tabs>
              <w:spacing w:line="280" w:lineRule="atLeast"/>
              <w:ind w:left="567" w:hanging="567"/>
              <w:rPr>
                <w:szCs w:val="24"/>
              </w:rPr>
            </w:pPr>
            <w:r w:rsidRPr="00443F6C">
              <w:rPr>
                <w:rStyle w:val="Heading6Char"/>
                <w:sz w:val="24"/>
                <w:szCs w:val="24"/>
              </w:rPr>
              <w:t>The net borrowing assessment.</w:t>
            </w:r>
            <w:r w:rsidRPr="00443F6C">
              <w:rPr>
                <w:szCs w:val="24"/>
              </w:rPr>
              <w:t xml:space="preserve"> I</w:t>
            </w:r>
            <w:r w:rsidR="00BC6419" w:rsidRPr="00443F6C">
              <w:rPr>
                <w:szCs w:val="24"/>
              </w:rPr>
              <w:t>s</w:t>
            </w:r>
            <w:r w:rsidRPr="00443F6C">
              <w:rPr>
                <w:szCs w:val="24"/>
              </w:rPr>
              <w:t xml:space="preserve"> affected by the reduction in State financial assets brought about by the removal of State equity in urban transport and housing corporations.  </w:t>
            </w:r>
          </w:p>
          <w:p w:rsidR="00D32358" w:rsidRDefault="00D32358" w:rsidP="002B4BC8">
            <w:pPr>
              <w:pStyle w:val="CGCTableHeading"/>
            </w:pPr>
            <w:r>
              <w:t>GST effects of treating urban transport and housing as general government activities</w:t>
            </w:r>
          </w:p>
          <w:tbl>
            <w:tblPr>
              <w:tblW w:w="8858" w:type="dxa"/>
              <w:tblCellMar>
                <w:left w:w="0" w:type="dxa"/>
                <w:right w:w="0" w:type="dxa"/>
              </w:tblCellMar>
              <w:tblLook w:val="04A0" w:firstRow="1" w:lastRow="0" w:firstColumn="1" w:lastColumn="0" w:noHBand="0" w:noVBand="1"/>
            </w:tblPr>
            <w:tblGrid>
              <w:gridCol w:w="2522"/>
              <w:gridCol w:w="743"/>
              <w:gridCol w:w="664"/>
              <w:gridCol w:w="723"/>
              <w:gridCol w:w="723"/>
              <w:gridCol w:w="723"/>
              <w:gridCol w:w="723"/>
              <w:gridCol w:w="645"/>
              <w:gridCol w:w="625"/>
              <w:gridCol w:w="860"/>
            </w:tblGrid>
            <w:tr w:rsidR="00D32358" w:rsidRPr="009739EE" w:rsidTr="002B4BC8">
              <w:trPr>
                <w:trHeight w:val="379"/>
              </w:trPr>
              <w:tc>
                <w:tcPr>
                  <w:tcW w:w="2526" w:type="dxa"/>
                  <w:tcBorders>
                    <w:top w:val="single" w:sz="4" w:space="0" w:color="auto"/>
                    <w:left w:val="nil"/>
                    <w:bottom w:val="single" w:sz="4" w:space="0" w:color="auto"/>
                    <w:right w:val="nil"/>
                  </w:tcBorders>
                  <w:shd w:val="clear" w:color="auto" w:fill="auto"/>
                  <w:noWrap/>
                  <w:vAlign w:val="center"/>
                  <w:hideMark/>
                </w:tcPr>
                <w:p w:rsidR="00D32358" w:rsidRPr="00AB19C7" w:rsidRDefault="00D32358" w:rsidP="002B4BC8">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 </w:t>
                  </w:r>
                </w:p>
              </w:tc>
              <w:tc>
                <w:tcPr>
                  <w:tcW w:w="733" w:type="dxa"/>
                  <w:tcBorders>
                    <w:top w:val="single" w:sz="4" w:space="0" w:color="auto"/>
                    <w:left w:val="nil"/>
                    <w:bottom w:val="single" w:sz="4" w:space="0" w:color="auto"/>
                    <w:right w:val="nil"/>
                  </w:tcBorders>
                  <w:shd w:val="clear" w:color="auto" w:fill="auto"/>
                  <w:noWrap/>
                  <w:vAlign w:val="center"/>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NSW</w:t>
                  </w:r>
                </w:p>
              </w:tc>
              <w:tc>
                <w:tcPr>
                  <w:tcW w:w="653" w:type="dxa"/>
                  <w:tcBorders>
                    <w:top w:val="single" w:sz="4" w:space="0" w:color="auto"/>
                    <w:left w:val="nil"/>
                    <w:bottom w:val="single" w:sz="4" w:space="0" w:color="auto"/>
                    <w:right w:val="nil"/>
                  </w:tcBorders>
                  <w:shd w:val="clear" w:color="auto" w:fill="auto"/>
                  <w:noWrap/>
                  <w:vAlign w:val="center"/>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Vic</w:t>
                  </w:r>
                </w:p>
              </w:tc>
              <w:tc>
                <w:tcPr>
                  <w:tcW w:w="712" w:type="dxa"/>
                  <w:tcBorders>
                    <w:top w:val="single" w:sz="4" w:space="0" w:color="auto"/>
                    <w:left w:val="nil"/>
                    <w:bottom w:val="single" w:sz="4" w:space="0" w:color="auto"/>
                    <w:right w:val="nil"/>
                  </w:tcBorders>
                  <w:shd w:val="clear" w:color="auto" w:fill="auto"/>
                  <w:noWrap/>
                  <w:vAlign w:val="center"/>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Qld</w:t>
                  </w:r>
                </w:p>
              </w:tc>
              <w:tc>
                <w:tcPr>
                  <w:tcW w:w="712" w:type="dxa"/>
                  <w:tcBorders>
                    <w:top w:val="single" w:sz="4" w:space="0" w:color="auto"/>
                    <w:left w:val="nil"/>
                    <w:bottom w:val="single" w:sz="4" w:space="0" w:color="auto"/>
                    <w:right w:val="nil"/>
                  </w:tcBorders>
                  <w:shd w:val="clear" w:color="auto" w:fill="auto"/>
                  <w:noWrap/>
                  <w:vAlign w:val="center"/>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WA</w:t>
                  </w:r>
                </w:p>
              </w:tc>
              <w:tc>
                <w:tcPr>
                  <w:tcW w:w="712" w:type="dxa"/>
                  <w:tcBorders>
                    <w:top w:val="single" w:sz="4" w:space="0" w:color="auto"/>
                    <w:left w:val="nil"/>
                    <w:bottom w:val="single" w:sz="4" w:space="0" w:color="auto"/>
                    <w:right w:val="nil"/>
                  </w:tcBorders>
                  <w:shd w:val="clear" w:color="auto" w:fill="auto"/>
                  <w:noWrap/>
                  <w:vAlign w:val="center"/>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SA</w:t>
                  </w:r>
                </w:p>
              </w:tc>
              <w:tc>
                <w:tcPr>
                  <w:tcW w:w="712" w:type="dxa"/>
                  <w:tcBorders>
                    <w:top w:val="single" w:sz="4" w:space="0" w:color="auto"/>
                    <w:left w:val="nil"/>
                    <w:bottom w:val="single" w:sz="4" w:space="0" w:color="auto"/>
                    <w:right w:val="nil"/>
                  </w:tcBorders>
                  <w:shd w:val="clear" w:color="auto" w:fill="auto"/>
                  <w:noWrap/>
                  <w:vAlign w:val="center"/>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AB19C7">
                    <w:rPr>
                      <w:rFonts w:ascii="Calibri" w:eastAsia="Times New Roman" w:hAnsi="Calibri" w:cs="Times New Roman"/>
                      <w:sz w:val="20"/>
                      <w:szCs w:val="20"/>
                      <w:lang w:eastAsia="en-AU"/>
                    </w:rPr>
                    <w:t>Tas</w:t>
                  </w:r>
                  <w:proofErr w:type="spellEnd"/>
                </w:p>
              </w:tc>
              <w:tc>
                <w:tcPr>
                  <w:tcW w:w="634" w:type="dxa"/>
                  <w:tcBorders>
                    <w:top w:val="single" w:sz="4" w:space="0" w:color="auto"/>
                    <w:left w:val="nil"/>
                    <w:bottom w:val="single" w:sz="4" w:space="0" w:color="auto"/>
                    <w:right w:val="nil"/>
                  </w:tcBorders>
                  <w:shd w:val="clear" w:color="auto" w:fill="auto"/>
                  <w:noWrap/>
                  <w:vAlign w:val="center"/>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ACT</w:t>
                  </w:r>
                </w:p>
              </w:tc>
              <w:tc>
                <w:tcPr>
                  <w:tcW w:w="614" w:type="dxa"/>
                  <w:tcBorders>
                    <w:top w:val="single" w:sz="4" w:space="0" w:color="auto"/>
                    <w:left w:val="nil"/>
                    <w:bottom w:val="single" w:sz="4" w:space="0" w:color="auto"/>
                    <w:right w:val="nil"/>
                  </w:tcBorders>
                  <w:shd w:val="clear" w:color="auto" w:fill="auto"/>
                  <w:noWrap/>
                  <w:vAlign w:val="center"/>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NT</w:t>
                  </w:r>
                </w:p>
              </w:tc>
              <w:tc>
                <w:tcPr>
                  <w:tcW w:w="850" w:type="dxa"/>
                  <w:tcBorders>
                    <w:top w:val="single" w:sz="4" w:space="0" w:color="auto"/>
                    <w:left w:val="nil"/>
                    <w:bottom w:val="nil"/>
                    <w:right w:val="nil"/>
                  </w:tcBorders>
                  <w:shd w:val="clear" w:color="auto" w:fill="auto"/>
                  <w:noWrap/>
                  <w:vAlign w:val="center"/>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AB19C7">
                    <w:rPr>
                      <w:rFonts w:ascii="Calibri" w:eastAsia="Times New Roman" w:hAnsi="Calibri" w:cs="Times New Roman"/>
                      <w:sz w:val="20"/>
                      <w:szCs w:val="20"/>
                      <w:lang w:eastAsia="en-AU"/>
                    </w:rPr>
                    <w:t>Redist</w:t>
                  </w:r>
                  <w:proofErr w:type="spellEnd"/>
                </w:p>
              </w:tc>
            </w:tr>
            <w:tr w:rsidR="00D32358" w:rsidRPr="009739EE" w:rsidTr="002B4BC8">
              <w:trPr>
                <w:trHeight w:val="259"/>
              </w:trPr>
              <w:tc>
                <w:tcPr>
                  <w:tcW w:w="2526"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733"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$m</w:t>
                  </w:r>
                </w:p>
              </w:tc>
              <w:tc>
                <w:tcPr>
                  <w:tcW w:w="653"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$m</w:t>
                  </w:r>
                </w:p>
              </w:tc>
              <w:tc>
                <w:tcPr>
                  <w:tcW w:w="712"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$m</w:t>
                  </w:r>
                </w:p>
              </w:tc>
              <w:tc>
                <w:tcPr>
                  <w:tcW w:w="712"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$m</w:t>
                  </w:r>
                </w:p>
              </w:tc>
              <w:tc>
                <w:tcPr>
                  <w:tcW w:w="712"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$m</w:t>
                  </w:r>
                </w:p>
              </w:tc>
              <w:tc>
                <w:tcPr>
                  <w:tcW w:w="712"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$m</w:t>
                  </w:r>
                </w:p>
              </w:tc>
              <w:tc>
                <w:tcPr>
                  <w:tcW w:w="634"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$m</w:t>
                  </w:r>
                </w:p>
              </w:tc>
              <w:tc>
                <w:tcPr>
                  <w:tcW w:w="614"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$m</w:t>
                  </w:r>
                </w:p>
              </w:tc>
              <w:tc>
                <w:tcPr>
                  <w:tcW w:w="850" w:type="dxa"/>
                  <w:tcBorders>
                    <w:top w:val="single" w:sz="4" w:space="0" w:color="auto"/>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$m</w:t>
                  </w:r>
                </w:p>
              </w:tc>
            </w:tr>
            <w:tr w:rsidR="00D32358" w:rsidRPr="009739EE" w:rsidTr="002B4BC8">
              <w:trPr>
                <w:trHeight w:val="315"/>
              </w:trPr>
              <w:tc>
                <w:tcPr>
                  <w:tcW w:w="2526"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ind w:left="193" w:hanging="142"/>
                    <w:rPr>
                      <w:rFonts w:ascii="Calibri" w:eastAsia="Times New Roman" w:hAnsi="Calibri" w:cs="Times New Roman"/>
                      <w:b/>
                      <w:bCs/>
                      <w:sz w:val="20"/>
                      <w:szCs w:val="20"/>
                      <w:lang w:eastAsia="en-AU"/>
                    </w:rPr>
                  </w:pPr>
                  <w:r w:rsidRPr="00AB19C7">
                    <w:rPr>
                      <w:rFonts w:ascii="Calibri" w:eastAsia="Times New Roman" w:hAnsi="Calibri" w:cs="Times New Roman"/>
                      <w:b/>
                      <w:bCs/>
                      <w:sz w:val="20"/>
                      <w:szCs w:val="20"/>
                      <w:lang w:eastAsia="en-AU"/>
                    </w:rPr>
                    <w:t>Expenses</w:t>
                  </w:r>
                  <w:r w:rsidR="00783217">
                    <w:rPr>
                      <w:rFonts w:ascii="Calibri" w:eastAsia="Times New Roman" w:hAnsi="Calibri" w:cs="Times New Roman"/>
                      <w:b/>
                      <w:bCs/>
                      <w:sz w:val="20"/>
                      <w:szCs w:val="20"/>
                      <w:lang w:eastAsia="en-AU"/>
                    </w:rPr>
                    <w:t xml:space="preserve"> (a)</w:t>
                  </w:r>
                </w:p>
              </w:tc>
              <w:tc>
                <w:tcPr>
                  <w:tcW w:w="733"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53"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12"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12"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12"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12"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34"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14"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50"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p>
              </w:tc>
            </w:tr>
            <w:tr w:rsidR="00D32358" w:rsidRPr="009739EE" w:rsidTr="002B4BC8">
              <w:trPr>
                <w:trHeight w:val="315"/>
              </w:trPr>
              <w:tc>
                <w:tcPr>
                  <w:tcW w:w="2526"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Urban transport</w:t>
                  </w:r>
                </w:p>
              </w:tc>
              <w:tc>
                <w:tcPr>
                  <w:tcW w:w="733"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87</w:t>
                  </w:r>
                </w:p>
              </w:tc>
              <w:tc>
                <w:tcPr>
                  <w:tcW w:w="653"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204</w:t>
                  </w:r>
                </w:p>
              </w:tc>
              <w:tc>
                <w:tcPr>
                  <w:tcW w:w="712"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-157</w:t>
                  </w:r>
                </w:p>
              </w:tc>
              <w:tc>
                <w:tcPr>
                  <w:tcW w:w="712"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12</w:t>
                  </w:r>
                </w:p>
              </w:tc>
              <w:tc>
                <w:tcPr>
                  <w:tcW w:w="712"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-29</w:t>
                  </w:r>
                </w:p>
              </w:tc>
              <w:tc>
                <w:tcPr>
                  <w:tcW w:w="712"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-67</w:t>
                  </w:r>
                </w:p>
              </w:tc>
              <w:tc>
                <w:tcPr>
                  <w:tcW w:w="634"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-15</w:t>
                  </w:r>
                </w:p>
              </w:tc>
              <w:tc>
                <w:tcPr>
                  <w:tcW w:w="614"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-36</w:t>
                  </w:r>
                </w:p>
              </w:tc>
              <w:tc>
                <w:tcPr>
                  <w:tcW w:w="850"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303</w:t>
                  </w:r>
                </w:p>
              </w:tc>
            </w:tr>
            <w:tr w:rsidR="00D32358" w:rsidRPr="009739EE" w:rsidTr="002B4BC8">
              <w:trPr>
                <w:trHeight w:val="315"/>
              </w:trPr>
              <w:tc>
                <w:tcPr>
                  <w:tcW w:w="2526"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Housing and its depreciation</w:t>
                  </w:r>
                </w:p>
              </w:tc>
              <w:tc>
                <w:tcPr>
                  <w:tcW w:w="733"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-9</w:t>
                  </w:r>
                </w:p>
              </w:tc>
              <w:tc>
                <w:tcPr>
                  <w:tcW w:w="653"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-25</w:t>
                  </w:r>
                </w:p>
              </w:tc>
              <w:tc>
                <w:tcPr>
                  <w:tcW w:w="712"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3</w:t>
                  </w:r>
                </w:p>
              </w:tc>
              <w:tc>
                <w:tcPr>
                  <w:tcW w:w="712"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10</w:t>
                  </w:r>
                </w:p>
              </w:tc>
              <w:tc>
                <w:tcPr>
                  <w:tcW w:w="712"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5</w:t>
                  </w:r>
                </w:p>
              </w:tc>
              <w:tc>
                <w:tcPr>
                  <w:tcW w:w="712"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2</w:t>
                  </w:r>
                </w:p>
              </w:tc>
              <w:tc>
                <w:tcPr>
                  <w:tcW w:w="634"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-4</w:t>
                  </w:r>
                </w:p>
              </w:tc>
              <w:tc>
                <w:tcPr>
                  <w:tcW w:w="614"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18</w:t>
                  </w:r>
                </w:p>
              </w:tc>
              <w:tc>
                <w:tcPr>
                  <w:tcW w:w="850"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38</w:t>
                  </w:r>
                </w:p>
              </w:tc>
            </w:tr>
            <w:tr w:rsidR="00D32358" w:rsidRPr="009739EE" w:rsidTr="002B4BC8">
              <w:trPr>
                <w:trHeight w:val="315"/>
              </w:trPr>
              <w:tc>
                <w:tcPr>
                  <w:tcW w:w="2526"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ind w:left="193" w:hanging="142"/>
                    <w:rPr>
                      <w:rFonts w:ascii="Calibri" w:eastAsia="Times New Roman" w:hAnsi="Calibri" w:cs="Times New Roman"/>
                      <w:b/>
                      <w:bCs/>
                      <w:sz w:val="20"/>
                      <w:szCs w:val="20"/>
                      <w:lang w:eastAsia="en-AU"/>
                    </w:rPr>
                  </w:pPr>
                  <w:r w:rsidRPr="00AB19C7">
                    <w:rPr>
                      <w:rFonts w:ascii="Calibri" w:eastAsia="Times New Roman" w:hAnsi="Calibri" w:cs="Times New Roman"/>
                      <w:b/>
                      <w:bCs/>
                      <w:sz w:val="20"/>
                      <w:szCs w:val="20"/>
                      <w:lang w:eastAsia="en-AU"/>
                    </w:rPr>
                    <w:t>Investment assessment</w:t>
                  </w:r>
                </w:p>
              </w:tc>
              <w:tc>
                <w:tcPr>
                  <w:tcW w:w="733"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53"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12"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12"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12"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12"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34"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14"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p>
              </w:tc>
              <w:tc>
                <w:tcPr>
                  <w:tcW w:w="850"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p>
              </w:tc>
            </w:tr>
            <w:tr w:rsidR="00D32358" w:rsidRPr="009739EE" w:rsidTr="002B4BC8">
              <w:trPr>
                <w:trHeight w:val="315"/>
              </w:trPr>
              <w:tc>
                <w:tcPr>
                  <w:tcW w:w="2526"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Urban transport</w:t>
                  </w:r>
                </w:p>
              </w:tc>
              <w:tc>
                <w:tcPr>
                  <w:tcW w:w="733"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129</w:t>
                  </w:r>
                </w:p>
              </w:tc>
              <w:tc>
                <w:tcPr>
                  <w:tcW w:w="653"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332</w:t>
                  </w:r>
                </w:p>
              </w:tc>
              <w:tc>
                <w:tcPr>
                  <w:tcW w:w="712"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-275</w:t>
                  </w:r>
                </w:p>
              </w:tc>
              <w:tc>
                <w:tcPr>
                  <w:tcW w:w="712"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90</w:t>
                  </w:r>
                </w:p>
              </w:tc>
              <w:tc>
                <w:tcPr>
                  <w:tcW w:w="712"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-143</w:t>
                  </w:r>
                </w:p>
              </w:tc>
              <w:tc>
                <w:tcPr>
                  <w:tcW w:w="712"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-78</w:t>
                  </w:r>
                </w:p>
              </w:tc>
              <w:tc>
                <w:tcPr>
                  <w:tcW w:w="634"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-23</w:t>
                  </w:r>
                </w:p>
              </w:tc>
              <w:tc>
                <w:tcPr>
                  <w:tcW w:w="614"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-32</w:t>
                  </w:r>
                </w:p>
              </w:tc>
              <w:tc>
                <w:tcPr>
                  <w:tcW w:w="850"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551</w:t>
                  </w:r>
                </w:p>
              </w:tc>
            </w:tr>
            <w:tr w:rsidR="00D32358" w:rsidRPr="009739EE" w:rsidTr="002B4BC8">
              <w:trPr>
                <w:trHeight w:val="315"/>
              </w:trPr>
              <w:tc>
                <w:tcPr>
                  <w:tcW w:w="2526"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Housing</w:t>
                  </w:r>
                </w:p>
              </w:tc>
              <w:tc>
                <w:tcPr>
                  <w:tcW w:w="733"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-75</w:t>
                  </w:r>
                </w:p>
              </w:tc>
              <w:tc>
                <w:tcPr>
                  <w:tcW w:w="653"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-35</w:t>
                  </w:r>
                </w:p>
              </w:tc>
              <w:tc>
                <w:tcPr>
                  <w:tcW w:w="712"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17</w:t>
                  </w:r>
                </w:p>
              </w:tc>
              <w:tc>
                <w:tcPr>
                  <w:tcW w:w="712"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101</w:t>
                  </w:r>
                </w:p>
              </w:tc>
              <w:tc>
                <w:tcPr>
                  <w:tcW w:w="712"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-21</w:t>
                  </w:r>
                </w:p>
              </w:tc>
              <w:tc>
                <w:tcPr>
                  <w:tcW w:w="712"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-12</w:t>
                  </w:r>
                </w:p>
              </w:tc>
              <w:tc>
                <w:tcPr>
                  <w:tcW w:w="634"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-1</w:t>
                  </w:r>
                </w:p>
              </w:tc>
              <w:tc>
                <w:tcPr>
                  <w:tcW w:w="614" w:type="dxa"/>
                  <w:tcBorders>
                    <w:top w:val="nil"/>
                    <w:left w:val="nil"/>
                    <w:bottom w:val="nil"/>
                    <w:right w:val="nil"/>
                  </w:tcBorders>
                  <w:shd w:val="clear" w:color="auto" w:fill="auto"/>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color w:val="000000"/>
                      <w:sz w:val="20"/>
                      <w:szCs w:val="20"/>
                      <w:lang w:eastAsia="en-AU"/>
                    </w:rPr>
                  </w:pPr>
                  <w:r w:rsidRPr="00AB19C7">
                    <w:rPr>
                      <w:rFonts w:ascii="Calibri" w:eastAsia="Times New Roman" w:hAnsi="Calibri" w:cs="Times New Roman"/>
                      <w:color w:val="000000"/>
                      <w:sz w:val="20"/>
                      <w:szCs w:val="20"/>
                      <w:lang w:eastAsia="en-AU"/>
                    </w:rPr>
                    <w:t>27</w:t>
                  </w:r>
                </w:p>
              </w:tc>
              <w:tc>
                <w:tcPr>
                  <w:tcW w:w="850"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144</w:t>
                  </w:r>
                </w:p>
              </w:tc>
            </w:tr>
            <w:tr w:rsidR="00D32358" w:rsidRPr="009739EE" w:rsidTr="002B4BC8">
              <w:trPr>
                <w:trHeight w:val="315"/>
              </w:trPr>
              <w:tc>
                <w:tcPr>
                  <w:tcW w:w="2526" w:type="dxa"/>
                  <w:tcBorders>
                    <w:top w:val="nil"/>
                    <w:left w:val="nil"/>
                    <w:bottom w:val="nil"/>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ind w:left="193" w:hanging="142"/>
                    <w:rPr>
                      <w:rFonts w:ascii="Calibri" w:eastAsia="Times New Roman" w:hAnsi="Calibri" w:cs="Times New Roman"/>
                      <w:b/>
                      <w:bCs/>
                      <w:sz w:val="20"/>
                      <w:szCs w:val="20"/>
                      <w:lang w:eastAsia="en-AU"/>
                    </w:rPr>
                  </w:pPr>
                  <w:r w:rsidRPr="00AB19C7">
                    <w:rPr>
                      <w:rFonts w:ascii="Calibri" w:eastAsia="Times New Roman" w:hAnsi="Calibri" w:cs="Times New Roman"/>
                      <w:b/>
                      <w:bCs/>
                      <w:sz w:val="20"/>
                      <w:szCs w:val="20"/>
                      <w:lang w:eastAsia="en-AU"/>
                    </w:rPr>
                    <w:t>Net borrowing</w:t>
                  </w:r>
                </w:p>
              </w:tc>
              <w:tc>
                <w:tcPr>
                  <w:tcW w:w="733" w:type="dxa"/>
                  <w:tcBorders>
                    <w:top w:val="nil"/>
                    <w:left w:val="nil"/>
                    <w:bottom w:val="single" w:sz="4" w:space="0" w:color="auto"/>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183</w:t>
                  </w:r>
                </w:p>
              </w:tc>
              <w:tc>
                <w:tcPr>
                  <w:tcW w:w="653" w:type="dxa"/>
                  <w:tcBorders>
                    <w:top w:val="nil"/>
                    <w:left w:val="nil"/>
                    <w:bottom w:val="single" w:sz="4" w:space="0" w:color="auto"/>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3</w:t>
                  </w:r>
                </w:p>
              </w:tc>
              <w:tc>
                <w:tcPr>
                  <w:tcW w:w="712" w:type="dxa"/>
                  <w:tcBorders>
                    <w:top w:val="nil"/>
                    <w:left w:val="nil"/>
                    <w:bottom w:val="single" w:sz="4" w:space="0" w:color="auto"/>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-65</w:t>
                  </w:r>
                </w:p>
              </w:tc>
              <w:tc>
                <w:tcPr>
                  <w:tcW w:w="712" w:type="dxa"/>
                  <w:tcBorders>
                    <w:top w:val="nil"/>
                    <w:left w:val="nil"/>
                    <w:bottom w:val="single" w:sz="4" w:space="0" w:color="auto"/>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-219</w:t>
                  </w:r>
                </w:p>
              </w:tc>
              <w:tc>
                <w:tcPr>
                  <w:tcW w:w="712" w:type="dxa"/>
                  <w:tcBorders>
                    <w:top w:val="nil"/>
                    <w:left w:val="nil"/>
                    <w:bottom w:val="single" w:sz="4" w:space="0" w:color="auto"/>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68</w:t>
                  </w:r>
                </w:p>
              </w:tc>
              <w:tc>
                <w:tcPr>
                  <w:tcW w:w="712" w:type="dxa"/>
                  <w:tcBorders>
                    <w:top w:val="nil"/>
                    <w:left w:val="nil"/>
                    <w:bottom w:val="single" w:sz="4" w:space="0" w:color="auto"/>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36</w:t>
                  </w:r>
                </w:p>
              </w:tc>
              <w:tc>
                <w:tcPr>
                  <w:tcW w:w="634" w:type="dxa"/>
                  <w:tcBorders>
                    <w:top w:val="nil"/>
                    <w:left w:val="nil"/>
                    <w:bottom w:val="single" w:sz="4" w:space="0" w:color="auto"/>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-7</w:t>
                  </w:r>
                </w:p>
              </w:tc>
              <w:tc>
                <w:tcPr>
                  <w:tcW w:w="614" w:type="dxa"/>
                  <w:tcBorders>
                    <w:top w:val="nil"/>
                    <w:left w:val="nil"/>
                    <w:bottom w:val="single" w:sz="4" w:space="0" w:color="auto"/>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2</w:t>
                  </w:r>
                </w:p>
              </w:tc>
              <w:tc>
                <w:tcPr>
                  <w:tcW w:w="850" w:type="dxa"/>
                  <w:tcBorders>
                    <w:top w:val="nil"/>
                    <w:left w:val="nil"/>
                    <w:bottom w:val="single" w:sz="4" w:space="0" w:color="auto"/>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292</w:t>
                  </w:r>
                </w:p>
              </w:tc>
            </w:tr>
            <w:tr w:rsidR="00D32358" w:rsidRPr="009739EE" w:rsidTr="002B4BC8">
              <w:trPr>
                <w:trHeight w:val="315"/>
              </w:trPr>
              <w:tc>
                <w:tcPr>
                  <w:tcW w:w="2526" w:type="dxa"/>
                  <w:tcBorders>
                    <w:top w:val="nil"/>
                    <w:left w:val="nil"/>
                    <w:bottom w:val="single" w:sz="4" w:space="0" w:color="auto"/>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Total</w:t>
                  </w:r>
                </w:p>
              </w:tc>
              <w:tc>
                <w:tcPr>
                  <w:tcW w:w="733" w:type="dxa"/>
                  <w:tcBorders>
                    <w:top w:val="nil"/>
                    <w:left w:val="nil"/>
                    <w:bottom w:val="single" w:sz="4" w:space="0" w:color="auto"/>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314</w:t>
                  </w:r>
                </w:p>
              </w:tc>
              <w:tc>
                <w:tcPr>
                  <w:tcW w:w="653" w:type="dxa"/>
                  <w:tcBorders>
                    <w:top w:val="nil"/>
                    <w:left w:val="nil"/>
                    <w:bottom w:val="single" w:sz="4" w:space="0" w:color="auto"/>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479</w:t>
                  </w:r>
                </w:p>
              </w:tc>
              <w:tc>
                <w:tcPr>
                  <w:tcW w:w="712" w:type="dxa"/>
                  <w:tcBorders>
                    <w:top w:val="nil"/>
                    <w:left w:val="nil"/>
                    <w:bottom w:val="single" w:sz="4" w:space="0" w:color="auto"/>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-477</w:t>
                  </w:r>
                </w:p>
              </w:tc>
              <w:tc>
                <w:tcPr>
                  <w:tcW w:w="712" w:type="dxa"/>
                  <w:tcBorders>
                    <w:top w:val="nil"/>
                    <w:left w:val="nil"/>
                    <w:bottom w:val="single" w:sz="4" w:space="0" w:color="auto"/>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-7</w:t>
                  </w:r>
                </w:p>
              </w:tc>
              <w:tc>
                <w:tcPr>
                  <w:tcW w:w="712" w:type="dxa"/>
                  <w:tcBorders>
                    <w:top w:val="nil"/>
                    <w:left w:val="nil"/>
                    <w:bottom w:val="single" w:sz="4" w:space="0" w:color="auto"/>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-120</w:t>
                  </w:r>
                </w:p>
              </w:tc>
              <w:tc>
                <w:tcPr>
                  <w:tcW w:w="712" w:type="dxa"/>
                  <w:tcBorders>
                    <w:top w:val="nil"/>
                    <w:left w:val="nil"/>
                    <w:bottom w:val="single" w:sz="4" w:space="0" w:color="auto"/>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-118</w:t>
                  </w:r>
                </w:p>
              </w:tc>
              <w:tc>
                <w:tcPr>
                  <w:tcW w:w="634" w:type="dxa"/>
                  <w:tcBorders>
                    <w:top w:val="nil"/>
                    <w:left w:val="nil"/>
                    <w:bottom w:val="single" w:sz="4" w:space="0" w:color="auto"/>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-50</w:t>
                  </w:r>
                </w:p>
              </w:tc>
              <w:tc>
                <w:tcPr>
                  <w:tcW w:w="614" w:type="dxa"/>
                  <w:tcBorders>
                    <w:top w:val="nil"/>
                    <w:left w:val="nil"/>
                    <w:bottom w:val="single" w:sz="4" w:space="0" w:color="auto"/>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-22</w:t>
                  </w:r>
                </w:p>
              </w:tc>
              <w:tc>
                <w:tcPr>
                  <w:tcW w:w="850" w:type="dxa"/>
                  <w:tcBorders>
                    <w:top w:val="nil"/>
                    <w:left w:val="nil"/>
                    <w:bottom w:val="single" w:sz="4" w:space="0" w:color="auto"/>
                    <w:right w:val="nil"/>
                  </w:tcBorders>
                  <w:shd w:val="clear" w:color="auto" w:fill="auto"/>
                  <w:noWrap/>
                  <w:vAlign w:val="bottom"/>
                  <w:hideMark/>
                </w:tcPr>
                <w:p w:rsidR="00D32358" w:rsidRPr="00AB19C7" w:rsidRDefault="00D32358" w:rsidP="002B4BC8">
                  <w:pPr>
                    <w:keepNext/>
                    <w:keepLines/>
                    <w:tabs>
                      <w:tab w:val="clear" w:pos="567"/>
                    </w:tabs>
                    <w:spacing w:after="0" w:line="240" w:lineRule="auto"/>
                    <w:jc w:val="right"/>
                    <w:rPr>
                      <w:rFonts w:ascii="Calibri" w:eastAsia="Times New Roman" w:hAnsi="Calibri" w:cs="Times New Roman"/>
                      <w:sz w:val="20"/>
                      <w:szCs w:val="20"/>
                      <w:lang w:eastAsia="en-AU"/>
                    </w:rPr>
                  </w:pPr>
                  <w:r w:rsidRPr="00AB19C7">
                    <w:rPr>
                      <w:rFonts w:ascii="Calibri" w:eastAsia="Times New Roman" w:hAnsi="Calibri" w:cs="Times New Roman"/>
                      <w:sz w:val="20"/>
                      <w:szCs w:val="20"/>
                      <w:lang w:eastAsia="en-AU"/>
                    </w:rPr>
                    <w:t>793</w:t>
                  </w:r>
                </w:p>
              </w:tc>
            </w:tr>
          </w:tbl>
          <w:p w:rsidR="00D32358" w:rsidRDefault="00783217" w:rsidP="00EA4C84">
            <w:pPr>
              <w:pStyle w:val="CGCTableFootnote"/>
            </w:pPr>
            <w:r>
              <w:t>(a)</w:t>
            </w:r>
            <w:r w:rsidR="00D32358">
              <w:tab/>
            </w:r>
            <w:r>
              <w:t xml:space="preserve">GST effects for expenses differ from those shown in </w:t>
            </w:r>
            <w:r>
              <w:fldChar w:fldCharType="begin"/>
            </w:r>
            <w:r>
              <w:instrText xml:space="preserve"> REF _Ref401757491 \h </w:instrText>
            </w:r>
            <w:r>
              <w:fldChar w:fldCharType="separate"/>
            </w:r>
            <w:r w:rsidR="003A5DEE" w:rsidRPr="00080DDF">
              <w:t xml:space="preserve">Table </w:t>
            </w:r>
            <w:r w:rsidR="003A5DEE">
              <w:rPr>
                <w:noProof/>
              </w:rPr>
              <w:t>4</w:t>
            </w:r>
            <w:r>
              <w:fldChar w:fldCharType="end"/>
            </w:r>
            <w:r>
              <w:t xml:space="preserve"> because method changes unrelated to the treatment </w:t>
            </w:r>
            <w:r w:rsidR="00EA4C84">
              <w:t xml:space="preserve">of these expenses </w:t>
            </w:r>
            <w:r>
              <w:t xml:space="preserve">as general government activities </w:t>
            </w:r>
            <w:r w:rsidR="00EA4C84">
              <w:t>is</w:t>
            </w:r>
            <w:r>
              <w:t xml:space="preserve"> excluded from this table.</w:t>
            </w:r>
          </w:p>
          <w:p w:rsidR="005558EE" w:rsidRPr="005558EE" w:rsidRDefault="005558EE" w:rsidP="005558EE">
            <w:pPr>
              <w:pStyle w:val="CGCTableFootnote"/>
            </w:pPr>
            <w:r w:rsidRPr="005558EE">
              <w:rPr>
                <w:rStyle w:val="FootnoteReference"/>
                <w:vertAlign w:val="baseline"/>
              </w:rPr>
              <w:t>Source:</w:t>
            </w:r>
            <w:r>
              <w:rPr>
                <w:rStyle w:val="FootnoteReference"/>
                <w:vertAlign w:val="baseline"/>
              </w:rPr>
              <w:tab/>
            </w:r>
            <w:r w:rsidRPr="005558EE">
              <w:rPr>
                <w:rStyle w:val="FootnoteReference"/>
                <w:vertAlign w:val="baseline"/>
              </w:rPr>
              <w:t>Commission calculation.</w:t>
            </w:r>
          </w:p>
        </w:tc>
      </w:tr>
    </w:tbl>
    <w:p w:rsidR="00037390" w:rsidRDefault="00BB6541" w:rsidP="00037390">
      <w:pPr>
        <w:pStyle w:val="Heading4"/>
      </w:pPr>
      <w:r>
        <w:t>Health</w:t>
      </w:r>
    </w:p>
    <w:p w:rsidR="00037390" w:rsidRDefault="00037390" w:rsidP="00037390">
      <w:pPr>
        <w:pStyle w:val="CGCNumberedPara"/>
        <w:numPr>
          <w:ilvl w:val="1"/>
          <w:numId w:val="2"/>
        </w:numPr>
      </w:pPr>
      <w:r w:rsidRPr="00437345">
        <w:t>A single Health category has been created that combines expenses from all health service</w:t>
      </w:r>
      <w:r>
        <w:t>s. We adopted this approach when</w:t>
      </w:r>
      <w:r w:rsidRPr="00437345">
        <w:t xml:space="preserve"> we noted a strong similarity in the assessment approach, data sources and the services being provided in the </w:t>
      </w:r>
      <w:r>
        <w:t xml:space="preserve">different </w:t>
      </w:r>
      <w:r w:rsidRPr="00437345">
        <w:t>health components.</w:t>
      </w:r>
    </w:p>
    <w:p w:rsidR="00037390" w:rsidRPr="00437345" w:rsidRDefault="00037390" w:rsidP="00037390">
      <w:pPr>
        <w:pStyle w:val="CGCNumberedPara"/>
        <w:numPr>
          <w:ilvl w:val="1"/>
          <w:numId w:val="2"/>
        </w:numPr>
      </w:pPr>
      <w:r w:rsidRPr="00437345">
        <w:t>We have also developed a more direct method of assessment for each health component which recognises the main drivers of expenses as the socio</w:t>
      </w:r>
      <w:r w:rsidRPr="00437345">
        <w:noBreakHyphen/>
        <w:t xml:space="preserve">demographic profile of State populations and the impact of the private sector. In the last review, </w:t>
      </w:r>
      <w:r w:rsidRPr="00437345">
        <w:lastRenderedPageBreak/>
        <w:t>non</w:t>
      </w:r>
      <w:r w:rsidRPr="00437345">
        <w:noBreakHyphen/>
        <w:t xml:space="preserve">admitted patient and community health expenses were assessed using a subtraction method to take account of </w:t>
      </w:r>
      <w:r>
        <w:t xml:space="preserve">differences in the socio-demographic profile of States which lead to differences in spending and how </w:t>
      </w:r>
      <w:r w:rsidRPr="00437345">
        <w:t xml:space="preserve">non-State services </w:t>
      </w:r>
      <w:r>
        <w:t xml:space="preserve">provided a </w:t>
      </w:r>
      <w:r w:rsidRPr="00437345">
        <w:t xml:space="preserve">substitute for State service provision. The direct method assesses the impact of the private sector by calculating a </w:t>
      </w:r>
      <w:r w:rsidR="00EA009D">
        <w:t>n</w:t>
      </w:r>
      <w:r w:rsidRPr="00437345">
        <w:t>on-State sector adjustment that relates to the proportion of expenses that are assessed as substitutable.</w:t>
      </w:r>
    </w:p>
    <w:p w:rsidR="00037390" w:rsidRPr="00437345" w:rsidRDefault="00037390" w:rsidP="00037390">
      <w:pPr>
        <w:pStyle w:val="CGCNumberedPara"/>
        <w:numPr>
          <w:ilvl w:val="1"/>
          <w:numId w:val="2"/>
        </w:numPr>
      </w:pPr>
      <w:r w:rsidRPr="00437345">
        <w:t>Data on the impact of the socio-demographic composition of State populations are now sourced from IHPA. We consider that these data provide us with a more accurate estimate of the net cost for each population group. The 2010 Review assessment used data from the Australian Institute of Health and Welfare (AIHW).</w:t>
      </w:r>
    </w:p>
    <w:p w:rsidR="00037390" w:rsidRDefault="00037390" w:rsidP="00037390">
      <w:pPr>
        <w:pStyle w:val="CGCNumberedPara"/>
        <w:numPr>
          <w:ilvl w:val="1"/>
          <w:numId w:val="2"/>
        </w:numPr>
      </w:pPr>
      <w:r w:rsidRPr="00437345">
        <w:t>With the move to a direct method of assessment, health expenses are now assessed net of user charges, which is consistent with our assessment of the socio</w:t>
      </w:r>
      <w:r w:rsidRPr="00437345">
        <w:noBreakHyphen/>
        <w:t>demographic spending net of user charges.</w:t>
      </w:r>
    </w:p>
    <w:p w:rsidR="00037390" w:rsidRPr="00437345" w:rsidRDefault="00037390" w:rsidP="00037390">
      <w:pPr>
        <w:pStyle w:val="CGCNumberedPara"/>
        <w:numPr>
          <w:ilvl w:val="1"/>
          <w:numId w:val="2"/>
        </w:numPr>
      </w:pPr>
      <w:r>
        <w:t>These changes have redistributed $</w:t>
      </w:r>
      <w:r w:rsidR="00F400E4">
        <w:t xml:space="preserve">354 </w:t>
      </w:r>
      <w:r>
        <w:t>million away from Victoria, Western Australia and the ACT to the other States.</w:t>
      </w:r>
    </w:p>
    <w:p w:rsidR="00037390" w:rsidRDefault="00037390" w:rsidP="00037390">
      <w:pPr>
        <w:pStyle w:val="Heading4"/>
      </w:pPr>
      <w:r>
        <w:t>Urban transport (net expenses)</w:t>
      </w:r>
    </w:p>
    <w:p w:rsidR="00037390" w:rsidRDefault="00037390" w:rsidP="00037390">
      <w:pPr>
        <w:pStyle w:val="CGCNumberedPara"/>
        <w:numPr>
          <w:ilvl w:val="1"/>
          <w:numId w:val="2"/>
        </w:numPr>
      </w:pPr>
      <w:r>
        <w:t>For the purposes of HFE, w</w:t>
      </w:r>
      <w:r w:rsidRPr="00111022">
        <w:t xml:space="preserve">e have treated the provision of </w:t>
      </w:r>
      <w:r>
        <w:t xml:space="preserve">urban </w:t>
      </w:r>
      <w:r w:rsidRPr="00111022">
        <w:t xml:space="preserve">transport services, including those provided through PNFCs, as a general government function. </w:t>
      </w:r>
      <w:r>
        <w:t>This is because they are not commercial operations and t</w:t>
      </w:r>
      <w:r w:rsidRPr="001D1883">
        <w:t xml:space="preserve">he States are responsible for delivering </w:t>
      </w:r>
      <w:r>
        <w:t>them, deciding</w:t>
      </w:r>
      <w:r w:rsidRPr="001D1883">
        <w:t xml:space="preserve"> the level of services, set</w:t>
      </w:r>
      <w:r>
        <w:t>ting</w:t>
      </w:r>
      <w:r w:rsidRPr="001D1883">
        <w:t xml:space="preserve"> the revenues to be collected </w:t>
      </w:r>
      <w:r>
        <w:t>a</w:t>
      </w:r>
      <w:r w:rsidRPr="001D1883">
        <w:t>nd meet</w:t>
      </w:r>
      <w:r>
        <w:t>ing</w:t>
      </w:r>
      <w:r w:rsidRPr="001D1883">
        <w:t xml:space="preserve"> deficits.</w:t>
      </w:r>
      <w:r>
        <w:t xml:space="preserve"> The scope of the assessment has changed to cover </w:t>
      </w:r>
      <w:r w:rsidRPr="00111022">
        <w:t xml:space="preserve">urban </w:t>
      </w:r>
      <w:r w:rsidR="00D32358">
        <w:t xml:space="preserve">transport </w:t>
      </w:r>
      <w:r w:rsidRPr="00111022">
        <w:t xml:space="preserve">net operating expenses instead of subsidies as in the 2010 Review. </w:t>
      </w:r>
    </w:p>
    <w:p w:rsidR="00037390" w:rsidRPr="001D318A" w:rsidRDefault="00037390" w:rsidP="00037390">
      <w:pPr>
        <w:pStyle w:val="CGCNumberedPara"/>
        <w:numPr>
          <w:ilvl w:val="1"/>
          <w:numId w:val="2"/>
        </w:numPr>
      </w:pPr>
      <w:r>
        <w:t>This change has redistributed $</w:t>
      </w:r>
      <w:r w:rsidR="00F400E4">
        <w:t xml:space="preserve">332 </w:t>
      </w:r>
      <w:r>
        <w:t xml:space="preserve">million to New South Wales, Victoria and Western Australia, away from the other States. </w:t>
      </w:r>
    </w:p>
    <w:p w:rsidR="00037390" w:rsidRDefault="00037390" w:rsidP="00037390">
      <w:pPr>
        <w:pStyle w:val="Heading4"/>
      </w:pPr>
      <w:r>
        <w:t>Net borrowing</w:t>
      </w:r>
    </w:p>
    <w:p w:rsidR="00B7171D" w:rsidRDefault="00B7171D" w:rsidP="00B7171D">
      <w:pPr>
        <w:pStyle w:val="CGCNumberedPara"/>
        <w:numPr>
          <w:ilvl w:val="1"/>
          <w:numId w:val="2"/>
        </w:numPr>
      </w:pPr>
      <w:r>
        <w:t>Our decision to treat the provision of urban transport and housing services as general government activities has a consequential impact on this assessment.</w:t>
      </w:r>
    </w:p>
    <w:p w:rsidR="00B7171D" w:rsidRDefault="00B7171D" w:rsidP="00B7171D">
      <w:pPr>
        <w:pStyle w:val="CGCNumberedPara"/>
        <w:numPr>
          <w:ilvl w:val="1"/>
          <w:numId w:val="2"/>
        </w:numPr>
      </w:pPr>
      <w:r>
        <w:t>Because we now treat the assets and liabilities of PNFCs providing those services as State assets and liabilities our measure of State financial worth has moved from showing States as having net financial assets to having net debt.</w:t>
      </w:r>
    </w:p>
    <w:p w:rsidR="00B7171D" w:rsidRDefault="00B7171D" w:rsidP="00B7171D">
      <w:pPr>
        <w:pStyle w:val="CGCNumberedPara"/>
        <w:numPr>
          <w:ilvl w:val="1"/>
          <w:numId w:val="2"/>
        </w:numPr>
      </w:pPr>
      <w:r>
        <w:t xml:space="preserve">States with faster growing populations are now seen as being able to borrow more (at average per capita debt levels) than States with more stable populations because each new resident can acquire new debt. This reduces those States’ need for GST revenue relative to States with slower growing populations and GST has been redistributed from the growth States of Queensland, Western Australia and </w:t>
      </w:r>
      <w:r w:rsidRPr="00FD2BEF">
        <w:t>the ACT</w:t>
      </w:r>
      <w:r>
        <w:t xml:space="preserve"> to the other States.</w:t>
      </w:r>
      <w:r w:rsidRPr="00437DC6">
        <w:t xml:space="preserve"> </w:t>
      </w:r>
    </w:p>
    <w:p w:rsidR="00B7171D" w:rsidRPr="00C21EF9" w:rsidRDefault="00B7171D" w:rsidP="00B7171D">
      <w:pPr>
        <w:pStyle w:val="CGCNumberedPara"/>
        <w:numPr>
          <w:ilvl w:val="1"/>
          <w:numId w:val="2"/>
        </w:numPr>
      </w:pPr>
      <w:r>
        <w:lastRenderedPageBreak/>
        <w:t>The changed treatment of housing and urban transport reduced our concerns that the assessment may not capture some disabilities and we reduced the discount from 25% in the 2010 Review to 12.5%.</w:t>
      </w:r>
    </w:p>
    <w:p w:rsidR="00037390" w:rsidRPr="001D318A" w:rsidRDefault="00AB19C7" w:rsidP="00037390">
      <w:pPr>
        <w:pStyle w:val="Heading4"/>
      </w:pPr>
      <w:r>
        <w:t>Welfare</w:t>
      </w:r>
    </w:p>
    <w:p w:rsidR="00037390" w:rsidRDefault="00037390" w:rsidP="00037390">
      <w:pPr>
        <w:pStyle w:val="CGCNumberedPara"/>
        <w:numPr>
          <w:ilvl w:val="1"/>
          <w:numId w:val="2"/>
        </w:numPr>
      </w:pPr>
      <w:r w:rsidRPr="001D318A">
        <w:t xml:space="preserve">The assessment of welfare services has been changed mostly because of changes in Commonwealth-State responsibilities. </w:t>
      </w:r>
    </w:p>
    <w:p w:rsidR="00037390" w:rsidRDefault="00037390" w:rsidP="00037390">
      <w:pPr>
        <w:pStyle w:val="CGCNumberedPara"/>
        <w:numPr>
          <w:ilvl w:val="1"/>
          <w:numId w:val="2"/>
        </w:numPr>
      </w:pPr>
      <w:r w:rsidRPr="001D318A">
        <w:t xml:space="preserve">All States, other than Western Australia, have passed responsibility for aged care services and disability services for older people to the Commonwealth. We have </w:t>
      </w:r>
      <w:r>
        <w:t>decided that, as this is no longer a State function, it should no longer affect any States’ fiscal capacities. To comply with the terms of reference, u</w:t>
      </w:r>
      <w:r w:rsidRPr="001D318A">
        <w:t xml:space="preserve">nder average policy, </w:t>
      </w:r>
      <w:r>
        <w:t xml:space="preserve">we have </w:t>
      </w:r>
      <w:r w:rsidRPr="001D318A">
        <w:t xml:space="preserve">assessed </w:t>
      </w:r>
      <w:r>
        <w:t xml:space="preserve">Western Australia’s </w:t>
      </w:r>
      <w:r w:rsidRPr="001D318A">
        <w:t xml:space="preserve">expenses </w:t>
      </w:r>
      <w:r>
        <w:t xml:space="preserve">as equal to an imputed level of Commonwealth funding. </w:t>
      </w:r>
      <w:r w:rsidR="00987084">
        <w:t>T</w:t>
      </w:r>
      <w:r>
        <w:t>here is no impact on its fiscal capacity.</w:t>
      </w:r>
    </w:p>
    <w:p w:rsidR="00037390" w:rsidRDefault="00037390" w:rsidP="00037390">
      <w:pPr>
        <w:pStyle w:val="CGCNumberedPara"/>
        <w:numPr>
          <w:ilvl w:val="1"/>
          <w:numId w:val="2"/>
        </w:numPr>
      </w:pPr>
      <w:r w:rsidRPr="001D318A">
        <w:t xml:space="preserve">We will also change our disability services assessment to reflect the introduction of the National Disability Insurance Scheme (NDIS). </w:t>
      </w:r>
      <w:r>
        <w:t>As the ND</w:t>
      </w:r>
      <w:r w:rsidRPr="001D318A">
        <w:t>IS</w:t>
      </w:r>
      <w:r>
        <w:t xml:space="preserve"> comes into effect</w:t>
      </w:r>
      <w:r w:rsidRPr="001D318A">
        <w:t xml:space="preserve">, </w:t>
      </w:r>
      <w:r>
        <w:t xml:space="preserve">we will assess </w:t>
      </w:r>
      <w:r w:rsidRPr="001D318A">
        <w:t>States</w:t>
      </w:r>
      <w:r>
        <w:t>’ expense streams</w:t>
      </w:r>
      <w:r w:rsidRPr="001D318A">
        <w:t xml:space="preserve"> </w:t>
      </w:r>
      <w:r>
        <w:t xml:space="preserve">separately. States will be </w:t>
      </w:r>
      <w:r w:rsidRPr="001D318A">
        <w:t xml:space="preserve">contributing to the NDIS and </w:t>
      </w:r>
      <w:r>
        <w:t>continuing to provide</w:t>
      </w:r>
      <w:r w:rsidRPr="001D318A">
        <w:t xml:space="preserve"> some services directly to people</w:t>
      </w:r>
      <w:r w:rsidR="00EA009D">
        <w:t xml:space="preserve"> with a disability</w:t>
      </w:r>
      <w:r w:rsidRPr="001D318A">
        <w:t>. State contributions to the NDIS in a transition year will be assessed according</w:t>
      </w:r>
      <w:r>
        <w:t xml:space="preserve"> to</w:t>
      </w:r>
      <w:r w:rsidRPr="001D318A">
        <w:t xml:space="preserve"> their shares of</w:t>
      </w:r>
      <w:r>
        <w:t xml:space="preserve"> the</w:t>
      </w:r>
      <w:r w:rsidRPr="001D318A">
        <w:t xml:space="preserve"> total number of people eligible to be covered by the NDIS</w:t>
      </w:r>
      <w:r>
        <w:t xml:space="preserve"> in that year if the scheme were</w:t>
      </w:r>
      <w:r w:rsidRPr="001D318A">
        <w:t xml:space="preserve"> fully operational. </w:t>
      </w:r>
      <w:r w:rsidR="00FD2BEF">
        <w:t xml:space="preserve">We now also </w:t>
      </w:r>
      <w:r w:rsidR="00FD2BEF" w:rsidRPr="001D318A">
        <w:t xml:space="preserve">use </w:t>
      </w:r>
      <w:r w:rsidR="00FD2BEF">
        <w:t xml:space="preserve">the same </w:t>
      </w:r>
      <w:r w:rsidR="00FD2BEF" w:rsidRPr="001D318A">
        <w:t>shares of the NDIS eligible population in each State</w:t>
      </w:r>
      <w:r w:rsidR="00FD2BEF">
        <w:t xml:space="preserve"> for our assessment of </w:t>
      </w:r>
      <w:r w:rsidRPr="001D318A">
        <w:t>existing disability services.</w:t>
      </w:r>
      <w:r>
        <w:t xml:space="preserve"> </w:t>
      </w:r>
    </w:p>
    <w:p w:rsidR="00037390" w:rsidRPr="001D318A" w:rsidRDefault="00037390" w:rsidP="00037390">
      <w:pPr>
        <w:pStyle w:val="CGCNumberedPara"/>
        <w:numPr>
          <w:ilvl w:val="1"/>
          <w:numId w:val="2"/>
        </w:numPr>
      </w:pPr>
      <w:r w:rsidRPr="001D318A">
        <w:t>Because we con</w:t>
      </w:r>
      <w:r>
        <w:t>sider</w:t>
      </w:r>
      <w:r w:rsidRPr="001D318A">
        <w:t xml:space="preserve"> the implementation of the NDIS a major change in Commonwealth-State relations</w:t>
      </w:r>
      <w:r w:rsidR="00056A51">
        <w:t xml:space="preserve"> if suitable data are available</w:t>
      </w:r>
      <w:r w:rsidRPr="001D318A">
        <w:t xml:space="preserve">, we will </w:t>
      </w:r>
      <w:proofErr w:type="spellStart"/>
      <w:r w:rsidRPr="001D318A">
        <w:t>backcast</w:t>
      </w:r>
      <w:proofErr w:type="spellEnd"/>
      <w:r w:rsidRPr="001D318A">
        <w:t xml:space="preserve"> the change, probably </w:t>
      </w:r>
      <w:r w:rsidR="00056A51">
        <w:t>from</w:t>
      </w:r>
      <w:r w:rsidRPr="001D318A">
        <w:t xml:space="preserve"> the 2016 Update. </w:t>
      </w:r>
      <w:r>
        <w:t>Only the change to the way we assess existing disability service expenses has an impact on the 2015-16 relativities.</w:t>
      </w:r>
    </w:p>
    <w:p w:rsidR="00037390" w:rsidRPr="001D318A" w:rsidRDefault="00037390" w:rsidP="00037390">
      <w:pPr>
        <w:pStyle w:val="CGCNumberedPara"/>
        <w:numPr>
          <w:ilvl w:val="1"/>
          <w:numId w:val="2"/>
        </w:numPr>
      </w:pPr>
      <w:r>
        <w:t xml:space="preserve">Minor changes have been made to the way </w:t>
      </w:r>
      <w:r w:rsidR="00921F5E">
        <w:t>f</w:t>
      </w:r>
      <w:r>
        <w:t xml:space="preserve">amily and child welfare and </w:t>
      </w:r>
      <w:r w:rsidR="00921F5E">
        <w:t>o</w:t>
      </w:r>
      <w:r>
        <w:t xml:space="preserve">ther general welfare </w:t>
      </w:r>
      <w:proofErr w:type="gramStart"/>
      <w:r>
        <w:t>have</w:t>
      </w:r>
      <w:proofErr w:type="gramEnd"/>
      <w:r>
        <w:t xml:space="preserve"> been assessed. A more direct assessment of disabilities has been undertaken using more reliable administrative and other data.</w:t>
      </w:r>
    </w:p>
    <w:p w:rsidR="00037390" w:rsidRPr="001D318A" w:rsidRDefault="00037390" w:rsidP="00037390">
      <w:pPr>
        <w:pStyle w:val="CGCNumberedPara"/>
        <w:numPr>
          <w:ilvl w:val="1"/>
          <w:numId w:val="2"/>
        </w:numPr>
      </w:pPr>
      <w:r>
        <w:t>The changes have moved $</w:t>
      </w:r>
      <w:r w:rsidR="00F400E4">
        <w:t xml:space="preserve">259 </w:t>
      </w:r>
      <w:r>
        <w:t>million from South Australia, Tasmania and the Northern Territory to the other States.</w:t>
      </w:r>
    </w:p>
    <w:p w:rsidR="00037390" w:rsidRPr="001D318A" w:rsidRDefault="00037390" w:rsidP="00037390">
      <w:pPr>
        <w:pStyle w:val="Heading4"/>
      </w:pPr>
      <w:r w:rsidRPr="001D318A">
        <w:t xml:space="preserve">Mining revenue </w:t>
      </w:r>
    </w:p>
    <w:p w:rsidR="00037390" w:rsidRDefault="00037390" w:rsidP="00037390">
      <w:pPr>
        <w:pStyle w:val="CGCNumberedPara"/>
        <w:numPr>
          <w:ilvl w:val="1"/>
          <w:numId w:val="2"/>
        </w:numPr>
      </w:pPr>
      <w:r w:rsidRPr="001D318A">
        <w:t>We have replaced the two-tier mining assessment with a mineral by mineral approach. The mineral by mineral approach involves separately assessing a mineral if it is material to do so. This approach results in separate assessments for seven minerals, including iron ore, coal and petroleum. We intend to continue to assess each of these seven minerals separately until the next review.</w:t>
      </w:r>
      <w:r>
        <w:t xml:space="preserve"> However, we will monitor any changes States might make to their revenue raising policies, and </w:t>
      </w:r>
      <w:r w:rsidR="006C483A">
        <w:t xml:space="preserve">any </w:t>
      </w:r>
      <w:r>
        <w:t>changes in capacity to ensure this assessment approach remains appropriate.</w:t>
      </w:r>
    </w:p>
    <w:p w:rsidR="00037390" w:rsidRDefault="00037390" w:rsidP="00037390">
      <w:pPr>
        <w:pStyle w:val="CGCNumberedPara"/>
        <w:numPr>
          <w:ilvl w:val="1"/>
          <w:numId w:val="2"/>
        </w:numPr>
      </w:pPr>
      <w:r>
        <w:lastRenderedPageBreak/>
        <w:t xml:space="preserve">The terms of reference constraint in past updates, requiring iron ore fines to be included with low royalty rate minerals, </w:t>
      </w:r>
      <w:r w:rsidR="006B0E1F">
        <w:t>no longer operate</w:t>
      </w:r>
      <w:r w:rsidR="00B7171D">
        <w:t>s</w:t>
      </w:r>
      <w:r>
        <w:t xml:space="preserve"> in this </w:t>
      </w:r>
      <w:r w:rsidR="00D32358">
        <w:t>r</w:t>
      </w:r>
      <w:r>
        <w:t>eview. As a result, the actual royalty rate for iron ore is now applied to their value of production.</w:t>
      </w:r>
    </w:p>
    <w:p w:rsidR="00037390" w:rsidRPr="001D318A" w:rsidRDefault="00037390" w:rsidP="00037390">
      <w:pPr>
        <w:pStyle w:val="CGCNumberedPara"/>
        <w:numPr>
          <w:ilvl w:val="1"/>
          <w:numId w:val="2"/>
        </w:numPr>
      </w:pPr>
      <w:r>
        <w:t>Queensland and Western Australia have been most affected by these changes which have worked in opposite directions. The change in the assessment approach redistributed GST from Queensland to Western Australia. The removal of the constraint has moved GST from Western Australia to all the other States. The net impact of the two changes has been to move $</w:t>
      </w:r>
      <w:r w:rsidR="007F701B">
        <w:t xml:space="preserve">243 </w:t>
      </w:r>
      <w:r>
        <w:t>million GST, mostly from Western Australia to the other States.</w:t>
      </w:r>
    </w:p>
    <w:p w:rsidR="00037390" w:rsidRPr="001D318A" w:rsidRDefault="00037390" w:rsidP="00037390">
      <w:pPr>
        <w:pStyle w:val="Heading4"/>
      </w:pPr>
      <w:r w:rsidRPr="001D318A">
        <w:t>Commonwealth payments</w:t>
      </w:r>
    </w:p>
    <w:p w:rsidR="00037390" w:rsidRDefault="00037390" w:rsidP="00037390">
      <w:pPr>
        <w:pStyle w:val="CGCNumberedPara"/>
        <w:numPr>
          <w:ilvl w:val="1"/>
          <w:numId w:val="2"/>
        </w:numPr>
      </w:pPr>
      <w:r w:rsidRPr="001D318A">
        <w:t xml:space="preserve">Due to major changes in Commonwealth-State financial relations, and how our terms of reference have told us to respond to those changes, we have changed the </w:t>
      </w:r>
      <w:proofErr w:type="spellStart"/>
      <w:r w:rsidRPr="001D318A">
        <w:t>backcasting</w:t>
      </w:r>
      <w:proofErr w:type="spellEnd"/>
      <w:r w:rsidRPr="001D318A">
        <w:t xml:space="preserve"> of the major payments affecting school education, health and aged care. For more information on the </w:t>
      </w:r>
      <w:proofErr w:type="spellStart"/>
      <w:r w:rsidRPr="001D318A">
        <w:t>backcasting</w:t>
      </w:r>
      <w:proofErr w:type="spellEnd"/>
      <w:r w:rsidRPr="001D318A">
        <w:t xml:space="preserve"> arrangements for these payments see the relevant expense assessment chapters (</w:t>
      </w:r>
      <w:r w:rsidR="00921F5E">
        <w:t>S</w:t>
      </w:r>
      <w:r w:rsidRPr="001D318A">
        <w:t>chool</w:t>
      </w:r>
      <w:r w:rsidR="00921F5E">
        <w:t>s</w:t>
      </w:r>
      <w:r w:rsidRPr="001D318A">
        <w:t xml:space="preserve"> education, Health, and Welfare).</w:t>
      </w:r>
    </w:p>
    <w:p w:rsidR="00037390" w:rsidRPr="001D318A" w:rsidRDefault="00037390" w:rsidP="00037390">
      <w:pPr>
        <w:pStyle w:val="CGCNumberedPara"/>
        <w:numPr>
          <w:ilvl w:val="1"/>
          <w:numId w:val="2"/>
        </w:numPr>
      </w:pPr>
      <w:r>
        <w:t>Terms of reference also required us to ensure 50% of selected Commonwealth payments for major roads not affect the relativities. We have changed the treatment of those that were paid in the assessment years.</w:t>
      </w:r>
    </w:p>
    <w:p w:rsidR="00037390" w:rsidRDefault="00037390" w:rsidP="00037390">
      <w:pPr>
        <w:pStyle w:val="CGCNumberedPara"/>
        <w:numPr>
          <w:ilvl w:val="1"/>
          <w:numId w:val="2"/>
        </w:numPr>
      </w:pPr>
      <w:r w:rsidRPr="001D318A">
        <w:t xml:space="preserve">We </w:t>
      </w:r>
      <w:r>
        <w:t xml:space="preserve">also </w:t>
      </w:r>
      <w:r w:rsidRPr="001D318A">
        <w:t xml:space="preserve">decided 50% of Commonwealth rail infrastructure payments for projects on the national rail network should not affect the GST distribution. </w:t>
      </w:r>
      <w:r>
        <w:t xml:space="preserve">This change treats national network rail payments on the same basis as national network roads payments. </w:t>
      </w:r>
      <w:r w:rsidRPr="001D318A">
        <w:t>This change in treatment between the 2014 Update and</w:t>
      </w:r>
      <w:r>
        <w:t xml:space="preserve"> 2015 Review increased Victoria’s assessed GST distribution because it received an above average share of those rail infrastructure payments in the assessment years. The opposite </w:t>
      </w:r>
      <w:r w:rsidR="009E7D8E">
        <w:t xml:space="preserve">is </w:t>
      </w:r>
      <w:r>
        <w:t>the case for most other States.</w:t>
      </w:r>
    </w:p>
    <w:p w:rsidR="00037390" w:rsidRPr="003C71BD" w:rsidRDefault="00037390" w:rsidP="00037390">
      <w:pPr>
        <w:pStyle w:val="CGCNumberedPara"/>
        <w:numPr>
          <w:ilvl w:val="1"/>
          <w:numId w:val="2"/>
        </w:numPr>
      </w:pPr>
      <w:r>
        <w:t>Overall, the changes to the treatment of Commonwealth payments moved $</w:t>
      </w:r>
      <w:r w:rsidR="00B7171D">
        <w:t>232 </w:t>
      </w:r>
      <w:r>
        <w:t xml:space="preserve">million of GST to Victoria, South Australia and Tasmania </w:t>
      </w:r>
      <w:r w:rsidR="00987084">
        <w:t xml:space="preserve">from </w:t>
      </w:r>
      <w:r>
        <w:t>the other States.</w:t>
      </w:r>
    </w:p>
    <w:p w:rsidR="00037390" w:rsidRDefault="00037390" w:rsidP="00037390">
      <w:pPr>
        <w:pStyle w:val="Heading4"/>
      </w:pPr>
      <w:r>
        <w:t>Schools education</w:t>
      </w:r>
    </w:p>
    <w:p w:rsidR="00037390" w:rsidRDefault="00037390" w:rsidP="00037390">
      <w:pPr>
        <w:pStyle w:val="CGCNumberedPara"/>
        <w:numPr>
          <w:ilvl w:val="1"/>
          <w:numId w:val="2"/>
        </w:numPr>
      </w:pPr>
      <w:r>
        <w:t>We have a new</w:t>
      </w:r>
      <w:r w:rsidR="009E7D8E">
        <w:t xml:space="preserve"> and</w:t>
      </w:r>
      <w:r>
        <w:t xml:space="preserve"> more reliable method using ACARA data for estimating the spending States undertake on students from different socio-economic groups, geographic regions and school sectors.</w:t>
      </w:r>
    </w:p>
    <w:p w:rsidR="00037390" w:rsidRDefault="00037390" w:rsidP="00037390">
      <w:pPr>
        <w:pStyle w:val="CGCNumberedPara"/>
        <w:numPr>
          <w:ilvl w:val="1"/>
          <w:numId w:val="2"/>
        </w:numPr>
      </w:pPr>
      <w:r>
        <w:t>We have also moved to actual enrolments as our broad measure of use for all age groups because State policy influences on enrolments are now considered minimal. In the 2010 Review, we calculated a</w:t>
      </w:r>
      <w:r w:rsidR="00117151">
        <w:t>n average</w:t>
      </w:r>
      <w:r>
        <w:t xml:space="preserve"> policy neutral number of pre</w:t>
      </w:r>
      <w:r>
        <w:noBreakHyphen/>
        <w:t xml:space="preserve"> and post</w:t>
      </w:r>
      <w:r>
        <w:noBreakHyphen/>
        <w:t xml:space="preserve">compulsory students. </w:t>
      </w:r>
    </w:p>
    <w:p w:rsidR="00037390" w:rsidRPr="001D318A" w:rsidRDefault="00037390" w:rsidP="001E778C">
      <w:pPr>
        <w:pStyle w:val="CGCNumberedPara"/>
      </w:pPr>
      <w:r>
        <w:lastRenderedPageBreak/>
        <w:t xml:space="preserve">To comply </w:t>
      </w:r>
      <w:r w:rsidRPr="001D318A">
        <w:t>with the National Education Reform Agreement (NERA) instruction in the terms of reference</w:t>
      </w:r>
      <w:r>
        <w:t xml:space="preserve"> to </w:t>
      </w:r>
      <w:r w:rsidRPr="001D318A">
        <w:t>avoid unwinding the recognition of educational disadvantage embedded in the NERA funding arrangements</w:t>
      </w:r>
      <w:r>
        <w:t xml:space="preserve">, we have </w:t>
      </w:r>
      <w:r w:rsidRPr="001D318A">
        <w:t xml:space="preserve">created a separate component for Commonwealth funding for government schools. We have assessed expenses based on the average </w:t>
      </w:r>
      <w:r w:rsidR="001E778C" w:rsidRPr="001E778C">
        <w:t xml:space="preserve">School Resourcing Standard </w:t>
      </w:r>
      <w:r w:rsidR="001E778C">
        <w:t>(</w:t>
      </w:r>
      <w:r w:rsidRPr="001D318A">
        <w:t>SRS</w:t>
      </w:r>
      <w:r w:rsidR="001E778C">
        <w:t>)</w:t>
      </w:r>
      <w:r w:rsidRPr="001D318A">
        <w:t xml:space="preserve"> amount for gove</w:t>
      </w:r>
      <w:r>
        <w:t>rnment students in each State</w:t>
      </w:r>
      <w:r w:rsidRPr="001D318A">
        <w:t xml:space="preserve">. </w:t>
      </w:r>
      <w:r>
        <w:t>We have als</w:t>
      </w:r>
      <w:r w:rsidR="001E778C">
        <w:t>o assessed NERA funding for non</w:t>
      </w:r>
      <w:r w:rsidR="001E778C">
        <w:noBreakHyphen/>
      </w:r>
      <w:r>
        <w:t>government schools in a way that does not affect the GST distribution.</w:t>
      </w:r>
    </w:p>
    <w:p w:rsidR="00037390" w:rsidRPr="001D318A" w:rsidRDefault="00037390" w:rsidP="00037390">
      <w:pPr>
        <w:pStyle w:val="CGCNumberedPara"/>
        <w:numPr>
          <w:ilvl w:val="1"/>
          <w:numId w:val="2"/>
        </w:numPr>
      </w:pPr>
      <w:r w:rsidRPr="001D318A">
        <w:t>These changes increase</w:t>
      </w:r>
      <w:r>
        <w:t>d</w:t>
      </w:r>
      <w:r w:rsidRPr="001D318A">
        <w:t xml:space="preserve"> the GST shares for Victoria, Queensland, South Australia, Tasmania and the Northern Territory and decrease</w:t>
      </w:r>
      <w:r w:rsidR="009E7D8E">
        <w:t>d</w:t>
      </w:r>
      <w:r w:rsidRPr="001D318A">
        <w:t xml:space="preserve"> the shares for New South Wales, Western Australia and the ACT</w:t>
      </w:r>
      <w:r>
        <w:t>,</w:t>
      </w:r>
      <w:r w:rsidRPr="001D318A">
        <w:t xml:space="preserve"> due to the partially offsetting effects of the move to actual enrolments and the combined effects of new</w:t>
      </w:r>
      <w:r w:rsidR="00921F5E">
        <w:t xml:space="preserve"> Indigenous, remoteness and non</w:t>
      </w:r>
      <w:r w:rsidR="00921F5E">
        <w:noBreakHyphen/>
      </w:r>
      <w:r w:rsidRPr="001D318A">
        <w:t xml:space="preserve">government student loadings. </w:t>
      </w:r>
    </w:p>
    <w:p w:rsidR="00037390" w:rsidRDefault="00037390" w:rsidP="00037390">
      <w:pPr>
        <w:pStyle w:val="Heading4"/>
      </w:pPr>
      <w:r w:rsidRPr="001D318A">
        <w:t>Socio-demographic composition</w:t>
      </w:r>
    </w:p>
    <w:p w:rsidR="00037390" w:rsidRDefault="00037390" w:rsidP="00037390">
      <w:pPr>
        <w:pStyle w:val="CGCNumberedPara"/>
        <w:numPr>
          <w:ilvl w:val="1"/>
          <w:numId w:val="2"/>
        </w:numPr>
      </w:pPr>
      <w:r>
        <w:t>There have been two main changes to the way we capture the impact on State expenses of differences between the States in the socio-demographic composition of State populations in this review.</w:t>
      </w:r>
    </w:p>
    <w:p w:rsidR="00037390" w:rsidRDefault="00037390" w:rsidP="00037390">
      <w:pPr>
        <w:pStyle w:val="CGCBulletlist"/>
        <w:numPr>
          <w:ilvl w:val="0"/>
          <w:numId w:val="1"/>
        </w:numPr>
        <w:tabs>
          <w:tab w:val="clear" w:pos="927"/>
          <w:tab w:val="left" w:pos="1134"/>
        </w:tabs>
        <w:ind w:left="1134" w:hanging="567"/>
      </w:pPr>
      <w:r>
        <w:t xml:space="preserve">We have used ABS remoteness areas instead of the State based </w:t>
      </w:r>
      <w:r w:rsidR="000362E0">
        <w:t>Accessibility/Remoteness I</w:t>
      </w:r>
      <w:r>
        <w:t xml:space="preserve">ndex of </w:t>
      </w:r>
      <w:r w:rsidR="000362E0">
        <w:t xml:space="preserve">Australia (SARIA) </w:t>
      </w:r>
      <w:r w:rsidRPr="001119D6">
        <w:t xml:space="preserve">to better capture the differences in </w:t>
      </w:r>
      <w:r>
        <w:t xml:space="preserve">the impact that </w:t>
      </w:r>
      <w:r w:rsidRPr="001119D6">
        <w:t xml:space="preserve">remoteness </w:t>
      </w:r>
      <w:r>
        <w:t>has on State spending. The same approach has been adopted in the regional cost assessment.</w:t>
      </w:r>
      <w:r w:rsidRPr="00132F30">
        <w:t xml:space="preserve"> </w:t>
      </w:r>
      <w:r w:rsidRPr="001119D6">
        <w:t>The most significant impact is that we now consider New South Wales to be more accessible, as Newcastle and Wollongong are now classified as major cities, while Tasmania and the Northern Territory are less accessible as their capitals are no longer classified as major cities.</w:t>
      </w:r>
    </w:p>
    <w:p w:rsidR="00037390" w:rsidRDefault="00037390" w:rsidP="00037390">
      <w:pPr>
        <w:pStyle w:val="CGCBulletlist"/>
        <w:numPr>
          <w:ilvl w:val="0"/>
          <w:numId w:val="1"/>
        </w:numPr>
        <w:tabs>
          <w:tab w:val="clear" w:pos="927"/>
          <w:tab w:val="left" w:pos="1134"/>
        </w:tabs>
        <w:ind w:left="1134" w:hanging="567"/>
      </w:pPr>
      <w:r>
        <w:t xml:space="preserve">Instead of the </w:t>
      </w:r>
      <w:r w:rsidR="000362E0" w:rsidRPr="00EC79CF">
        <w:t xml:space="preserve">ABS </w:t>
      </w:r>
      <w:r w:rsidR="000362E0" w:rsidRPr="002F7724">
        <w:t xml:space="preserve">Socio-Economic Indexes for Areas </w:t>
      </w:r>
      <w:r>
        <w:t>(SEIFA), we have used area</w:t>
      </w:r>
      <w:r>
        <w:noBreakHyphen/>
        <w:t>based measures of socio-economic status specific to Indigenous and non</w:t>
      </w:r>
      <w:r>
        <w:noBreakHyphen/>
        <w:t xml:space="preserve">Indigenous people. The most significant changes have been to recognise that the Northern Territory’ </w:t>
      </w:r>
      <w:r w:rsidRPr="001119D6">
        <w:t xml:space="preserve">s non-Indigenous population </w:t>
      </w:r>
      <w:r>
        <w:t>is</w:t>
      </w:r>
      <w:r w:rsidRPr="001119D6">
        <w:t xml:space="preserve"> less disadvantage</w:t>
      </w:r>
      <w:r>
        <w:t xml:space="preserve">d than indicated in the past, </w:t>
      </w:r>
      <w:r w:rsidRPr="001119D6">
        <w:t xml:space="preserve">Tasmania’s Indigenous population is significantly less </w:t>
      </w:r>
      <w:r w:rsidRPr="00635C77">
        <w:t>disadvantaged and Western Australia’s Indigenous population is significantly</w:t>
      </w:r>
      <w:r>
        <w:t xml:space="preserve"> more disadvantaged.</w:t>
      </w:r>
    </w:p>
    <w:p w:rsidR="00037390" w:rsidRPr="00635C77" w:rsidRDefault="00037390" w:rsidP="00037390">
      <w:pPr>
        <w:pStyle w:val="CGCNumberedPara"/>
        <w:numPr>
          <w:ilvl w:val="1"/>
          <w:numId w:val="2"/>
        </w:numPr>
      </w:pPr>
      <w:r w:rsidRPr="00635C77">
        <w:t xml:space="preserve">It has been difficult to disentangle the impact of these changes from other data and method changes between the 2014 Update and the 2015 Review. As it would be </w:t>
      </w:r>
      <w:r>
        <w:t xml:space="preserve">potentially </w:t>
      </w:r>
      <w:r w:rsidRPr="00635C77">
        <w:t xml:space="preserve">misleading to report </w:t>
      </w:r>
      <w:r>
        <w:t xml:space="preserve">this </w:t>
      </w:r>
      <w:r w:rsidRPr="00635C77">
        <w:t>partial impact, we have not done so.</w:t>
      </w:r>
    </w:p>
    <w:p w:rsidR="00037390" w:rsidRDefault="00037390" w:rsidP="00037390">
      <w:pPr>
        <w:pStyle w:val="Heading4"/>
      </w:pPr>
      <w:r>
        <w:t>Summary of changes to assessments</w:t>
      </w:r>
    </w:p>
    <w:p w:rsidR="00037390" w:rsidRDefault="00037390" w:rsidP="00037390">
      <w:pPr>
        <w:pStyle w:val="CGCNumberedPara"/>
        <w:numPr>
          <w:ilvl w:val="1"/>
          <w:numId w:val="2"/>
        </w:numPr>
      </w:pPr>
      <w:r>
        <w:fldChar w:fldCharType="begin"/>
      </w:r>
      <w:r>
        <w:instrText xml:space="preserve"> REF _Ref389647665 \h </w:instrText>
      </w:r>
      <w:r>
        <w:fldChar w:fldCharType="separate"/>
      </w:r>
      <w:r w:rsidR="003A5DEE">
        <w:t xml:space="preserve">Table </w:t>
      </w:r>
      <w:r w:rsidR="003A5DEE">
        <w:rPr>
          <w:noProof/>
        </w:rPr>
        <w:t>5</w:t>
      </w:r>
      <w:r>
        <w:fldChar w:fldCharType="end"/>
      </w:r>
      <w:r>
        <w:t xml:space="preserve">, </w:t>
      </w:r>
      <w:r>
        <w:fldChar w:fldCharType="begin"/>
      </w:r>
      <w:r>
        <w:instrText xml:space="preserve"> REF _Ref401758681 \h </w:instrText>
      </w:r>
      <w:r>
        <w:fldChar w:fldCharType="separate"/>
      </w:r>
      <w:r w:rsidR="003A5DEE">
        <w:t xml:space="preserve">Table </w:t>
      </w:r>
      <w:r w:rsidR="003A5DEE">
        <w:rPr>
          <w:noProof/>
        </w:rPr>
        <w:t>6</w:t>
      </w:r>
      <w:r>
        <w:fldChar w:fldCharType="end"/>
      </w:r>
      <w:r>
        <w:t xml:space="preserve"> and </w:t>
      </w:r>
      <w:r>
        <w:fldChar w:fldCharType="begin"/>
      </w:r>
      <w:r>
        <w:instrText xml:space="preserve"> REF _Ref389647668 \h </w:instrText>
      </w:r>
      <w:r>
        <w:fldChar w:fldCharType="separate"/>
      </w:r>
      <w:r w:rsidR="003A5DEE">
        <w:t xml:space="preserve">Table </w:t>
      </w:r>
      <w:r w:rsidR="003A5DEE">
        <w:rPr>
          <w:noProof/>
        </w:rPr>
        <w:t>7</w:t>
      </w:r>
      <w:r>
        <w:fldChar w:fldCharType="end"/>
      </w:r>
      <w:r>
        <w:t xml:space="preserve"> summarise the changes in methods for each revenue, expense and capital category and to disabilities used across a range of categories. </w:t>
      </w:r>
    </w:p>
    <w:p w:rsidR="00037390" w:rsidRDefault="00037390" w:rsidP="00037390">
      <w:pPr>
        <w:pStyle w:val="Caption"/>
      </w:pPr>
      <w:bookmarkStart w:id="660" w:name="_Ref389647665"/>
      <w:r>
        <w:lastRenderedPageBreak/>
        <w:t xml:space="preserve">Table </w:t>
      </w:r>
      <w:fldSimple w:instr=" SEQ Table \* ARABIC ">
        <w:r w:rsidR="003A5DEE">
          <w:rPr>
            <w:noProof/>
          </w:rPr>
          <w:t>5</w:t>
        </w:r>
      </w:fldSimple>
      <w:bookmarkEnd w:id="660"/>
      <w:r>
        <w:tab/>
        <w:t>Summary of method changes in revenue categories between 2010 and 2015 Reviews</w:t>
      </w:r>
    </w:p>
    <w:tbl>
      <w:tblPr>
        <w:tblW w:w="5000" w:type="pct"/>
        <w:tblCellMar>
          <w:left w:w="85" w:type="dxa"/>
          <w:right w:w="85" w:type="dxa"/>
        </w:tblCellMar>
        <w:tblLook w:val="04A0" w:firstRow="1" w:lastRow="0" w:firstColumn="1" w:lastColumn="0" w:noHBand="0" w:noVBand="1"/>
      </w:tblPr>
      <w:tblGrid>
        <w:gridCol w:w="2496"/>
        <w:gridCol w:w="6625"/>
      </w:tblGrid>
      <w:tr w:rsidR="00037390" w:rsidTr="008256D5">
        <w:tc>
          <w:tcPr>
            <w:tcW w:w="1368" w:type="pct"/>
            <w:tcBorders>
              <w:top w:val="single" w:sz="6" w:space="0" w:color="auto"/>
              <w:left w:val="nil"/>
              <w:bottom w:val="single" w:sz="6" w:space="0" w:color="auto"/>
              <w:right w:val="nil"/>
            </w:tcBorders>
            <w:hideMark/>
          </w:tcPr>
          <w:p w:rsidR="00037390" w:rsidRDefault="00037390" w:rsidP="008256D5">
            <w:pPr>
              <w:pStyle w:val="TableColHeadings"/>
              <w:spacing w:line="276" w:lineRule="auto"/>
              <w:jc w:val="left"/>
              <w:rPr>
                <w:rFonts w:cstheme="minorHAnsi"/>
              </w:rPr>
            </w:pPr>
            <w:r>
              <w:rPr>
                <w:rFonts w:cstheme="minorHAnsi"/>
              </w:rPr>
              <w:t>Category</w:t>
            </w:r>
          </w:p>
        </w:tc>
        <w:tc>
          <w:tcPr>
            <w:tcW w:w="3632" w:type="pct"/>
            <w:tcBorders>
              <w:top w:val="single" w:sz="6" w:space="0" w:color="auto"/>
              <w:left w:val="nil"/>
              <w:bottom w:val="single" w:sz="6" w:space="0" w:color="auto"/>
              <w:right w:val="nil"/>
            </w:tcBorders>
            <w:hideMark/>
          </w:tcPr>
          <w:p w:rsidR="00037390" w:rsidRDefault="00037390" w:rsidP="008256D5">
            <w:pPr>
              <w:pStyle w:val="TableColHeadings"/>
              <w:spacing w:line="276" w:lineRule="auto"/>
              <w:ind w:hanging="86"/>
              <w:jc w:val="left"/>
              <w:rPr>
                <w:rFonts w:cstheme="minorHAnsi"/>
              </w:rPr>
            </w:pPr>
            <w:r>
              <w:rPr>
                <w:rFonts w:cstheme="minorHAnsi"/>
              </w:rPr>
              <w:t>Method changes</w:t>
            </w:r>
          </w:p>
        </w:tc>
      </w:tr>
      <w:tr w:rsidR="00037390" w:rsidTr="008256D5">
        <w:tc>
          <w:tcPr>
            <w:tcW w:w="1368" w:type="pct"/>
            <w:hideMark/>
          </w:tcPr>
          <w:p w:rsidR="00037390" w:rsidRDefault="00037390" w:rsidP="008256D5">
            <w:pPr>
              <w:pStyle w:val="CGCTableStub"/>
              <w:spacing w:before="0" w:after="0"/>
              <w:rPr>
                <w:rFonts w:cstheme="minorHAnsi"/>
              </w:rPr>
            </w:pPr>
            <w:r>
              <w:rPr>
                <w:rFonts w:cstheme="minorHAnsi"/>
              </w:rPr>
              <w:t>Land tax</w:t>
            </w:r>
          </w:p>
        </w:tc>
        <w:tc>
          <w:tcPr>
            <w:tcW w:w="3632" w:type="pct"/>
            <w:hideMark/>
          </w:tcPr>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Metropolitan improvement levies, the property part of fire and emergency services levies and conveyance duty replacement ACT general rates are combined and are assessed equal per capita</w:t>
            </w:r>
            <w:r w:rsidR="001E778C">
              <w:rPr>
                <w:sz w:val="20"/>
                <w:szCs w:val="20"/>
              </w:rPr>
              <w:t xml:space="preserve"> (EPC)</w:t>
            </w:r>
            <w:r w:rsidRPr="001D318A">
              <w:rPr>
                <w:sz w:val="20"/>
                <w:szCs w:val="20"/>
              </w:rPr>
              <w:t>.</w:t>
            </w:r>
          </w:p>
          <w:p w:rsidR="00037390" w:rsidRPr="00CA224E" w:rsidRDefault="00037390" w:rsidP="00037390">
            <w:pPr>
              <w:pStyle w:val="ListParagraph"/>
              <w:numPr>
                <w:ilvl w:val="0"/>
                <w:numId w:val="11"/>
              </w:numPr>
              <w:spacing w:after="0" w:line="240" w:lineRule="auto"/>
              <w:ind w:left="339" w:hanging="339"/>
              <w:rPr>
                <w:sz w:val="20"/>
                <w:szCs w:val="20"/>
              </w:rPr>
            </w:pPr>
            <w:r w:rsidRPr="00CA224E">
              <w:rPr>
                <w:sz w:val="20"/>
                <w:szCs w:val="20"/>
              </w:rPr>
              <w:t>The assessment method for land taxes levied on a landholder basis is unchanged.</w:t>
            </w:r>
          </w:p>
        </w:tc>
      </w:tr>
      <w:tr w:rsidR="00037390" w:rsidTr="008256D5">
        <w:tc>
          <w:tcPr>
            <w:tcW w:w="1368" w:type="pct"/>
            <w:hideMark/>
          </w:tcPr>
          <w:p w:rsidR="00037390" w:rsidRDefault="001E778C" w:rsidP="001E778C">
            <w:pPr>
              <w:pStyle w:val="CGCTableStub"/>
              <w:spacing w:before="0" w:after="0"/>
              <w:rPr>
                <w:rFonts w:cstheme="minorHAnsi"/>
              </w:rPr>
            </w:pPr>
            <w:r>
              <w:rPr>
                <w:rFonts w:cstheme="minorHAnsi"/>
              </w:rPr>
              <w:t>Stamp duty</w:t>
            </w:r>
          </w:p>
        </w:tc>
        <w:tc>
          <w:tcPr>
            <w:tcW w:w="3632" w:type="pct"/>
            <w:hideMark/>
          </w:tcPr>
          <w:p w:rsidR="00037390" w:rsidRPr="00CA224E" w:rsidRDefault="00037390" w:rsidP="00037390">
            <w:pPr>
              <w:pStyle w:val="ListParagraph"/>
              <w:numPr>
                <w:ilvl w:val="0"/>
                <w:numId w:val="11"/>
              </w:numPr>
              <w:spacing w:after="0" w:line="240" w:lineRule="auto"/>
              <w:ind w:left="339" w:hanging="339"/>
              <w:rPr>
                <w:sz w:val="20"/>
                <w:szCs w:val="20"/>
              </w:rPr>
            </w:pPr>
            <w:r w:rsidRPr="00CA224E">
              <w:rPr>
                <w:sz w:val="20"/>
                <w:szCs w:val="20"/>
              </w:rPr>
              <w:t>The stamp duty on the transfer of motor vehicles assessment has been included in this category.</w:t>
            </w:r>
          </w:p>
          <w:p w:rsidR="00037390" w:rsidRPr="00CA224E" w:rsidRDefault="00037390" w:rsidP="00037390">
            <w:pPr>
              <w:pStyle w:val="ListParagraph"/>
              <w:numPr>
                <w:ilvl w:val="0"/>
                <w:numId w:val="11"/>
              </w:numPr>
              <w:spacing w:after="0" w:line="240" w:lineRule="auto"/>
              <w:ind w:left="339" w:hanging="339"/>
              <w:rPr>
                <w:sz w:val="20"/>
                <w:szCs w:val="20"/>
              </w:rPr>
            </w:pPr>
            <w:r w:rsidRPr="00CA224E">
              <w:rPr>
                <w:sz w:val="20"/>
                <w:szCs w:val="20"/>
              </w:rPr>
              <w:t>Expenses and duty concessions relating to first home owners (such as First Home Owners Bonus Payments) have been moved from this category to Housing.</w:t>
            </w:r>
          </w:p>
          <w:p w:rsidR="00037390" w:rsidRPr="00CA224E" w:rsidRDefault="00037390" w:rsidP="00037390">
            <w:pPr>
              <w:pStyle w:val="ListParagraph"/>
              <w:numPr>
                <w:ilvl w:val="0"/>
                <w:numId w:val="11"/>
              </w:numPr>
              <w:spacing w:after="0" w:line="240" w:lineRule="auto"/>
              <w:ind w:left="339" w:hanging="339"/>
              <w:rPr>
                <w:sz w:val="20"/>
                <w:szCs w:val="20"/>
              </w:rPr>
            </w:pPr>
            <w:r w:rsidRPr="00CA224E">
              <w:rPr>
                <w:sz w:val="20"/>
                <w:szCs w:val="20"/>
              </w:rPr>
              <w:t>The land rich adjustment for Tasmania has been discontinued because it is not material.</w:t>
            </w:r>
          </w:p>
        </w:tc>
      </w:tr>
      <w:tr w:rsidR="00037390" w:rsidTr="008256D5">
        <w:tc>
          <w:tcPr>
            <w:tcW w:w="1368" w:type="pct"/>
            <w:hideMark/>
          </w:tcPr>
          <w:p w:rsidR="00037390" w:rsidRDefault="00037390" w:rsidP="008256D5">
            <w:pPr>
              <w:pStyle w:val="CGCTableStub"/>
              <w:spacing w:before="0" w:after="0"/>
              <w:rPr>
                <w:rFonts w:cstheme="minorHAnsi"/>
              </w:rPr>
            </w:pPr>
            <w:r>
              <w:rPr>
                <w:rFonts w:cstheme="minorHAnsi"/>
              </w:rPr>
              <w:t>Insurance tax</w:t>
            </w:r>
          </w:p>
        </w:tc>
        <w:tc>
          <w:tcPr>
            <w:tcW w:w="3632" w:type="pct"/>
            <w:hideMark/>
          </w:tcPr>
          <w:p w:rsidR="004A661E" w:rsidRDefault="00037390" w:rsidP="001E778C">
            <w:pPr>
              <w:pStyle w:val="ListParagraph"/>
              <w:numPr>
                <w:ilvl w:val="0"/>
                <w:numId w:val="11"/>
              </w:numPr>
              <w:spacing w:after="0" w:line="240" w:lineRule="auto"/>
              <w:ind w:left="339" w:hanging="339"/>
              <w:rPr>
                <w:sz w:val="20"/>
                <w:szCs w:val="20"/>
              </w:rPr>
            </w:pPr>
            <w:r w:rsidRPr="00CA224E">
              <w:rPr>
                <w:sz w:val="20"/>
                <w:szCs w:val="20"/>
              </w:rPr>
              <w:t>The assessment method is unchanged</w:t>
            </w:r>
          </w:p>
          <w:p w:rsidR="00037390" w:rsidRDefault="004A661E" w:rsidP="001E778C">
            <w:pPr>
              <w:pStyle w:val="ListParagraph"/>
              <w:numPr>
                <w:ilvl w:val="0"/>
                <w:numId w:val="11"/>
              </w:numPr>
              <w:spacing w:after="0" w:line="240" w:lineRule="auto"/>
              <w:ind w:left="339" w:hanging="339"/>
              <w:rPr>
                <w:sz w:val="20"/>
                <w:szCs w:val="20"/>
              </w:rPr>
            </w:pPr>
            <w:r>
              <w:rPr>
                <w:sz w:val="20"/>
                <w:szCs w:val="20"/>
              </w:rPr>
              <w:t xml:space="preserve">Revenue from </w:t>
            </w:r>
            <w:r w:rsidR="00037390" w:rsidRPr="00CA224E">
              <w:rPr>
                <w:sz w:val="20"/>
                <w:szCs w:val="20"/>
              </w:rPr>
              <w:t>fire and emergency services levies imposed on insurance premiums have been moved to this category and assessed using the insurance tax base instead of EPC.</w:t>
            </w:r>
          </w:p>
          <w:p w:rsidR="004A661E" w:rsidRPr="00CA224E" w:rsidRDefault="004A661E" w:rsidP="004A661E">
            <w:pPr>
              <w:pStyle w:val="ListParagraph"/>
              <w:numPr>
                <w:ilvl w:val="0"/>
                <w:numId w:val="11"/>
              </w:numPr>
              <w:spacing w:after="0" w:line="240" w:lineRule="auto"/>
              <w:ind w:left="339" w:hanging="339"/>
              <w:rPr>
                <w:sz w:val="20"/>
                <w:szCs w:val="20"/>
              </w:rPr>
            </w:pPr>
            <w:r>
              <w:rPr>
                <w:sz w:val="20"/>
                <w:szCs w:val="20"/>
              </w:rPr>
              <w:t xml:space="preserve">Revenue from workers’ compensation insurance was moved to the </w:t>
            </w:r>
            <w:proofErr w:type="gramStart"/>
            <w:r>
              <w:rPr>
                <w:sz w:val="20"/>
                <w:szCs w:val="20"/>
              </w:rPr>
              <w:t>Other</w:t>
            </w:r>
            <w:proofErr w:type="gramEnd"/>
            <w:r>
              <w:rPr>
                <w:sz w:val="20"/>
                <w:szCs w:val="20"/>
              </w:rPr>
              <w:t xml:space="preserve"> revenue category.</w:t>
            </w:r>
          </w:p>
        </w:tc>
      </w:tr>
      <w:tr w:rsidR="00037390" w:rsidTr="008256D5">
        <w:tc>
          <w:tcPr>
            <w:tcW w:w="1368" w:type="pct"/>
            <w:hideMark/>
          </w:tcPr>
          <w:p w:rsidR="00037390" w:rsidRDefault="00037390" w:rsidP="008256D5">
            <w:pPr>
              <w:pStyle w:val="CGCTableStub"/>
              <w:spacing w:before="0" w:after="0"/>
              <w:rPr>
                <w:rFonts w:cstheme="minorHAnsi"/>
              </w:rPr>
            </w:pPr>
            <w:r>
              <w:rPr>
                <w:rFonts w:cstheme="minorHAnsi"/>
              </w:rPr>
              <w:t>Motor taxes</w:t>
            </w:r>
          </w:p>
        </w:tc>
        <w:tc>
          <w:tcPr>
            <w:tcW w:w="3632" w:type="pct"/>
            <w:hideMark/>
          </w:tcPr>
          <w:p w:rsidR="00037390" w:rsidRPr="00CA224E" w:rsidRDefault="00037390" w:rsidP="001E778C">
            <w:pPr>
              <w:pStyle w:val="ListParagraph"/>
              <w:numPr>
                <w:ilvl w:val="0"/>
                <w:numId w:val="11"/>
              </w:numPr>
              <w:spacing w:after="0" w:line="240" w:lineRule="auto"/>
              <w:ind w:left="339" w:hanging="339"/>
              <w:rPr>
                <w:sz w:val="20"/>
                <w:szCs w:val="20"/>
              </w:rPr>
            </w:pPr>
            <w:r w:rsidRPr="00CA224E">
              <w:rPr>
                <w:sz w:val="20"/>
                <w:szCs w:val="20"/>
              </w:rPr>
              <w:t>The assessment method is unchanged, but the stamp dut</w:t>
            </w:r>
            <w:r w:rsidR="001E778C">
              <w:rPr>
                <w:sz w:val="20"/>
                <w:szCs w:val="20"/>
              </w:rPr>
              <w:t>y</w:t>
            </w:r>
            <w:r w:rsidRPr="00CA224E">
              <w:rPr>
                <w:sz w:val="20"/>
                <w:szCs w:val="20"/>
              </w:rPr>
              <w:t xml:space="preserve"> on the transfer of motor vehicles assessment has been moved to the </w:t>
            </w:r>
            <w:r w:rsidR="001E778C">
              <w:rPr>
                <w:sz w:val="20"/>
                <w:szCs w:val="20"/>
              </w:rPr>
              <w:t>Stamp duty</w:t>
            </w:r>
            <w:r w:rsidRPr="00CA224E">
              <w:rPr>
                <w:sz w:val="20"/>
                <w:szCs w:val="20"/>
              </w:rPr>
              <w:t xml:space="preserve"> category. Revenue from fire and emergency levies on motor vehicles has been included in this category.</w:t>
            </w:r>
          </w:p>
        </w:tc>
      </w:tr>
      <w:tr w:rsidR="00037390" w:rsidTr="008256D5">
        <w:tc>
          <w:tcPr>
            <w:tcW w:w="1368" w:type="pct"/>
            <w:hideMark/>
          </w:tcPr>
          <w:p w:rsidR="00037390" w:rsidRDefault="00037390" w:rsidP="008256D5">
            <w:pPr>
              <w:pStyle w:val="CGCTableStub"/>
              <w:spacing w:before="0" w:after="0"/>
              <w:rPr>
                <w:rFonts w:cstheme="minorHAnsi"/>
              </w:rPr>
            </w:pPr>
            <w:r>
              <w:rPr>
                <w:rFonts w:cstheme="minorHAnsi"/>
              </w:rPr>
              <w:t>Mining revenue</w:t>
            </w:r>
          </w:p>
        </w:tc>
        <w:tc>
          <w:tcPr>
            <w:tcW w:w="3632" w:type="pct"/>
            <w:hideMark/>
          </w:tcPr>
          <w:p w:rsidR="00037390" w:rsidRDefault="00037390" w:rsidP="00037390">
            <w:pPr>
              <w:pStyle w:val="ListParagraph"/>
              <w:numPr>
                <w:ilvl w:val="0"/>
                <w:numId w:val="11"/>
              </w:numPr>
              <w:spacing w:after="0" w:line="240" w:lineRule="auto"/>
              <w:ind w:left="339" w:hanging="339"/>
              <w:rPr>
                <w:sz w:val="20"/>
                <w:szCs w:val="20"/>
              </w:rPr>
            </w:pPr>
            <w:r w:rsidRPr="00CA224E">
              <w:rPr>
                <w:sz w:val="20"/>
                <w:szCs w:val="20"/>
              </w:rPr>
              <w:t>This category is assessed on a mineral by mineral basis with separate assessments of iron ore, coal, gold, onshore oil and gas, copper, bauxite and nickel.</w:t>
            </w:r>
          </w:p>
          <w:p w:rsidR="007F701B" w:rsidRPr="00E02A4E" w:rsidRDefault="00F400E4" w:rsidP="00F400E4">
            <w:pPr>
              <w:pStyle w:val="ListParagraph"/>
              <w:numPr>
                <w:ilvl w:val="0"/>
                <w:numId w:val="11"/>
              </w:numPr>
              <w:spacing w:after="0" w:line="240" w:lineRule="auto"/>
              <w:ind w:left="339" w:hanging="339"/>
              <w:rPr>
                <w:sz w:val="20"/>
                <w:szCs w:val="20"/>
              </w:rPr>
            </w:pPr>
            <w:r w:rsidRPr="00B7171D">
              <w:rPr>
                <w:sz w:val="20"/>
                <w:szCs w:val="20"/>
              </w:rPr>
              <w:t>Previous restrictions in terms of reference on the assessment of revenues from iron ore fines no longer apply</w:t>
            </w:r>
            <w:r w:rsidR="007F701B" w:rsidRPr="00B7171D">
              <w:rPr>
                <w:sz w:val="20"/>
                <w:szCs w:val="20"/>
              </w:rPr>
              <w:t>.</w:t>
            </w:r>
          </w:p>
        </w:tc>
      </w:tr>
      <w:tr w:rsidR="00037390" w:rsidTr="008256D5">
        <w:tc>
          <w:tcPr>
            <w:tcW w:w="1368" w:type="pct"/>
            <w:tcBorders>
              <w:bottom w:val="single" w:sz="4" w:space="0" w:color="auto"/>
            </w:tcBorders>
            <w:hideMark/>
          </w:tcPr>
          <w:p w:rsidR="00037390" w:rsidRDefault="00037390" w:rsidP="008256D5">
            <w:pPr>
              <w:pStyle w:val="CGCTableStub"/>
              <w:spacing w:before="0" w:after="0"/>
              <w:rPr>
                <w:rFonts w:cstheme="minorHAnsi"/>
              </w:rPr>
            </w:pPr>
            <w:r>
              <w:rPr>
                <w:rFonts w:cstheme="minorHAnsi"/>
              </w:rPr>
              <w:t>Other revenue</w:t>
            </w:r>
          </w:p>
        </w:tc>
        <w:tc>
          <w:tcPr>
            <w:tcW w:w="3632" w:type="pct"/>
            <w:tcBorders>
              <w:bottom w:val="single" w:sz="4" w:space="0" w:color="auto"/>
            </w:tcBorders>
            <w:hideMark/>
          </w:tcPr>
          <w:p w:rsidR="004A661E" w:rsidRDefault="00037390" w:rsidP="00921F5E">
            <w:pPr>
              <w:pStyle w:val="ListParagraph"/>
              <w:numPr>
                <w:ilvl w:val="0"/>
                <w:numId w:val="11"/>
              </w:numPr>
              <w:spacing w:after="0" w:line="240" w:lineRule="auto"/>
              <w:ind w:left="339" w:hanging="339"/>
              <w:rPr>
                <w:sz w:val="20"/>
                <w:szCs w:val="20"/>
              </w:rPr>
            </w:pPr>
            <w:r w:rsidRPr="00CA224E">
              <w:rPr>
                <w:sz w:val="20"/>
                <w:szCs w:val="20"/>
              </w:rPr>
              <w:t xml:space="preserve">The assessment method is unchanged. </w:t>
            </w:r>
          </w:p>
          <w:p w:rsidR="00037390" w:rsidRDefault="00037390" w:rsidP="00921F5E">
            <w:pPr>
              <w:pStyle w:val="ListParagraph"/>
              <w:numPr>
                <w:ilvl w:val="0"/>
                <w:numId w:val="11"/>
              </w:numPr>
              <w:spacing w:after="0" w:line="240" w:lineRule="auto"/>
              <w:ind w:left="339" w:hanging="339"/>
              <w:rPr>
                <w:sz w:val="20"/>
                <w:szCs w:val="20"/>
              </w:rPr>
            </w:pPr>
            <w:r w:rsidRPr="00CA224E">
              <w:rPr>
                <w:sz w:val="20"/>
                <w:szCs w:val="20"/>
              </w:rPr>
              <w:t xml:space="preserve">Revenue from </w:t>
            </w:r>
            <w:r w:rsidR="00921F5E">
              <w:rPr>
                <w:sz w:val="20"/>
                <w:szCs w:val="20"/>
              </w:rPr>
              <w:t>f</w:t>
            </w:r>
            <w:r w:rsidRPr="00CA224E">
              <w:rPr>
                <w:sz w:val="20"/>
                <w:szCs w:val="20"/>
              </w:rPr>
              <w:t>ire and emergency services levies have been moved from this category to the Land tax, Insurance tax and Motor taxes categories.</w:t>
            </w:r>
          </w:p>
          <w:p w:rsidR="004A661E" w:rsidRPr="00CA224E" w:rsidRDefault="004A661E" w:rsidP="004A661E">
            <w:pPr>
              <w:pStyle w:val="ListParagraph"/>
              <w:numPr>
                <w:ilvl w:val="0"/>
                <w:numId w:val="11"/>
              </w:numPr>
              <w:spacing w:after="0" w:line="240" w:lineRule="auto"/>
              <w:ind w:left="339" w:hanging="339"/>
              <w:rPr>
                <w:sz w:val="20"/>
                <w:szCs w:val="20"/>
              </w:rPr>
            </w:pPr>
            <w:r>
              <w:rPr>
                <w:sz w:val="20"/>
                <w:szCs w:val="20"/>
              </w:rPr>
              <w:t>Revenue from workers’ compensation insurance was moved from the Insurance category to this category.</w:t>
            </w:r>
          </w:p>
        </w:tc>
      </w:tr>
    </w:tbl>
    <w:p w:rsidR="00037390" w:rsidRDefault="00037390" w:rsidP="00037390">
      <w:r>
        <w:br w:type="page"/>
      </w:r>
    </w:p>
    <w:p w:rsidR="00037390" w:rsidRDefault="00037390" w:rsidP="00037390">
      <w:pPr>
        <w:pStyle w:val="Caption"/>
      </w:pPr>
      <w:bookmarkStart w:id="661" w:name="_Ref401758681"/>
      <w:r>
        <w:lastRenderedPageBreak/>
        <w:t xml:space="preserve">Table </w:t>
      </w:r>
      <w:fldSimple w:instr=" SEQ Table \* ARABIC ">
        <w:r w:rsidR="003A5DEE">
          <w:rPr>
            <w:noProof/>
          </w:rPr>
          <w:t>6</w:t>
        </w:r>
      </w:fldSimple>
      <w:bookmarkEnd w:id="661"/>
      <w:r>
        <w:tab/>
        <w:t>Summary of method changes in expense categories</w:t>
      </w:r>
      <w:r w:rsidR="007C640F">
        <w:t xml:space="preserve"> between 2010 and 2015 Reviews</w:t>
      </w:r>
    </w:p>
    <w:tbl>
      <w:tblPr>
        <w:tblW w:w="5000" w:type="pct"/>
        <w:tblCellMar>
          <w:left w:w="85" w:type="dxa"/>
          <w:right w:w="85" w:type="dxa"/>
        </w:tblCellMar>
        <w:tblLook w:val="04A0" w:firstRow="1" w:lastRow="0" w:firstColumn="1" w:lastColumn="0" w:noHBand="0" w:noVBand="1"/>
      </w:tblPr>
      <w:tblGrid>
        <w:gridCol w:w="2496"/>
        <w:gridCol w:w="6625"/>
      </w:tblGrid>
      <w:tr w:rsidR="00037390" w:rsidTr="008256D5">
        <w:tc>
          <w:tcPr>
            <w:tcW w:w="1368" w:type="pct"/>
            <w:tcBorders>
              <w:top w:val="single" w:sz="6" w:space="0" w:color="auto"/>
              <w:left w:val="nil"/>
              <w:bottom w:val="single" w:sz="6" w:space="0" w:color="auto"/>
              <w:right w:val="nil"/>
            </w:tcBorders>
            <w:hideMark/>
          </w:tcPr>
          <w:p w:rsidR="00037390" w:rsidRDefault="00037390" w:rsidP="008256D5">
            <w:pPr>
              <w:pStyle w:val="TableColHeadings"/>
              <w:spacing w:line="276" w:lineRule="auto"/>
              <w:jc w:val="left"/>
              <w:rPr>
                <w:rFonts w:cstheme="minorHAnsi"/>
              </w:rPr>
            </w:pPr>
            <w:r>
              <w:rPr>
                <w:rFonts w:cstheme="minorHAnsi"/>
              </w:rPr>
              <w:t>Category</w:t>
            </w:r>
          </w:p>
        </w:tc>
        <w:tc>
          <w:tcPr>
            <w:tcW w:w="3632" w:type="pct"/>
            <w:tcBorders>
              <w:top w:val="single" w:sz="6" w:space="0" w:color="auto"/>
              <w:left w:val="nil"/>
              <w:bottom w:val="single" w:sz="6" w:space="0" w:color="auto"/>
              <w:right w:val="nil"/>
            </w:tcBorders>
            <w:hideMark/>
          </w:tcPr>
          <w:p w:rsidR="00037390" w:rsidRDefault="00037390" w:rsidP="008256D5">
            <w:pPr>
              <w:pStyle w:val="TableColHeadings"/>
              <w:spacing w:line="276" w:lineRule="auto"/>
              <w:ind w:hanging="86"/>
              <w:jc w:val="left"/>
              <w:rPr>
                <w:rFonts w:cstheme="minorHAnsi"/>
              </w:rPr>
            </w:pPr>
            <w:r>
              <w:rPr>
                <w:rFonts w:cstheme="minorHAnsi"/>
              </w:rPr>
              <w:t>Method changes</w:t>
            </w:r>
          </w:p>
        </w:tc>
      </w:tr>
      <w:tr w:rsidR="00037390" w:rsidRPr="00844EE4" w:rsidTr="008256D5">
        <w:tc>
          <w:tcPr>
            <w:tcW w:w="1368" w:type="pct"/>
            <w:hideMark/>
          </w:tcPr>
          <w:p w:rsidR="00037390" w:rsidRPr="005838C7" w:rsidRDefault="00037390" w:rsidP="008256D5">
            <w:pPr>
              <w:pStyle w:val="CGCTableStub"/>
              <w:spacing w:before="0" w:after="0"/>
              <w:rPr>
                <w:rFonts w:cstheme="minorHAnsi"/>
              </w:rPr>
            </w:pPr>
            <w:r w:rsidRPr="005838C7">
              <w:rPr>
                <w:rFonts w:cstheme="minorHAnsi"/>
              </w:rPr>
              <w:t>Schools education</w:t>
            </w:r>
          </w:p>
        </w:tc>
        <w:tc>
          <w:tcPr>
            <w:tcW w:w="3632" w:type="pct"/>
            <w:hideMark/>
          </w:tcPr>
          <w:p w:rsidR="00037390" w:rsidRPr="00CA224E" w:rsidRDefault="00037390" w:rsidP="00037390">
            <w:pPr>
              <w:pStyle w:val="ListParagraph"/>
              <w:numPr>
                <w:ilvl w:val="0"/>
                <w:numId w:val="11"/>
              </w:numPr>
              <w:spacing w:after="0" w:line="240" w:lineRule="auto"/>
              <w:ind w:left="339" w:hanging="339"/>
              <w:rPr>
                <w:sz w:val="20"/>
                <w:szCs w:val="20"/>
              </w:rPr>
            </w:pPr>
            <w:r w:rsidRPr="00CA224E">
              <w:rPr>
                <w:sz w:val="20"/>
                <w:szCs w:val="20"/>
              </w:rPr>
              <w:t xml:space="preserve">The assessment uses actual enrolments as </w:t>
            </w:r>
            <w:r>
              <w:rPr>
                <w:sz w:val="20"/>
                <w:szCs w:val="20"/>
              </w:rPr>
              <w:t>a</w:t>
            </w:r>
            <w:r w:rsidRPr="00CA224E">
              <w:rPr>
                <w:sz w:val="20"/>
                <w:szCs w:val="20"/>
              </w:rPr>
              <w:t xml:space="preserve"> broad measure of use for all age groups </w:t>
            </w:r>
            <w:r>
              <w:rPr>
                <w:sz w:val="20"/>
                <w:szCs w:val="20"/>
              </w:rPr>
              <w:t xml:space="preserve">but </w:t>
            </w:r>
            <w:r w:rsidRPr="00CA224E">
              <w:rPr>
                <w:sz w:val="20"/>
                <w:szCs w:val="20"/>
              </w:rPr>
              <w:t>with an adjustment to the distribution of students in pre</w:t>
            </w:r>
            <w:r>
              <w:rPr>
                <w:sz w:val="20"/>
                <w:szCs w:val="20"/>
              </w:rPr>
              <w:noBreakHyphen/>
            </w:r>
            <w:r w:rsidRPr="00CA224E">
              <w:rPr>
                <w:sz w:val="20"/>
                <w:szCs w:val="20"/>
              </w:rPr>
              <w:t>Year 1.</w:t>
            </w:r>
          </w:p>
          <w:p w:rsidR="00037390" w:rsidRPr="00CA224E" w:rsidRDefault="00037390" w:rsidP="00037390">
            <w:pPr>
              <w:pStyle w:val="ListParagraph"/>
              <w:numPr>
                <w:ilvl w:val="0"/>
                <w:numId w:val="11"/>
              </w:numPr>
              <w:spacing w:after="0" w:line="240" w:lineRule="auto"/>
              <w:ind w:left="339" w:hanging="339"/>
              <w:rPr>
                <w:sz w:val="20"/>
                <w:szCs w:val="20"/>
              </w:rPr>
            </w:pPr>
            <w:r w:rsidRPr="00CA224E">
              <w:rPr>
                <w:sz w:val="20"/>
                <w:szCs w:val="20"/>
              </w:rPr>
              <w:t xml:space="preserve">Regression analysis based on ACARA data is used to directly estimate cost weights for </w:t>
            </w:r>
            <w:r w:rsidR="00210430">
              <w:rPr>
                <w:sz w:val="20"/>
                <w:szCs w:val="20"/>
              </w:rPr>
              <w:t>Indigenous status</w:t>
            </w:r>
            <w:r w:rsidRPr="00CA224E">
              <w:rPr>
                <w:sz w:val="20"/>
                <w:szCs w:val="20"/>
              </w:rPr>
              <w:t>, SES, SDS, non-government students and remoteness. We are now using the socio-demographic characteristics of non-government students rather than as</w:t>
            </w:r>
            <w:r w:rsidR="00921F5E">
              <w:rPr>
                <w:sz w:val="20"/>
                <w:szCs w:val="20"/>
              </w:rPr>
              <w:t>suming they have the same socio</w:t>
            </w:r>
            <w:r w:rsidR="00921F5E">
              <w:rPr>
                <w:sz w:val="20"/>
                <w:szCs w:val="20"/>
              </w:rPr>
              <w:noBreakHyphen/>
            </w:r>
            <w:r w:rsidRPr="00CA224E">
              <w:rPr>
                <w:sz w:val="20"/>
                <w:szCs w:val="20"/>
              </w:rPr>
              <w:t xml:space="preserve">demographic characteristics as government students. </w:t>
            </w:r>
          </w:p>
          <w:p w:rsidR="00037390" w:rsidRPr="00CA224E" w:rsidRDefault="00037390" w:rsidP="00037390">
            <w:pPr>
              <w:pStyle w:val="ListParagraph"/>
              <w:numPr>
                <w:ilvl w:val="0"/>
                <w:numId w:val="11"/>
              </w:numPr>
              <w:spacing w:after="0" w:line="240" w:lineRule="auto"/>
              <w:ind w:left="339" w:hanging="339"/>
              <w:rPr>
                <w:sz w:val="20"/>
                <w:szCs w:val="20"/>
              </w:rPr>
            </w:pPr>
            <w:r w:rsidRPr="00CA224E">
              <w:rPr>
                <w:sz w:val="20"/>
                <w:szCs w:val="20"/>
              </w:rPr>
              <w:t>The assessment of expenditure of Commonwealth NERA funding for government schools is based on the average SRS amount for government students in each State to avoid unwinding the recognition of educational disadvantage embedded in the NERA funding arrangements.</w:t>
            </w:r>
          </w:p>
        </w:tc>
      </w:tr>
      <w:tr w:rsidR="00037390" w:rsidTr="008256D5">
        <w:tc>
          <w:tcPr>
            <w:tcW w:w="1368" w:type="pct"/>
            <w:tcBorders>
              <w:left w:val="nil"/>
              <w:right w:val="nil"/>
            </w:tcBorders>
          </w:tcPr>
          <w:p w:rsidR="00037390" w:rsidRDefault="00037390" w:rsidP="008256D5">
            <w:pPr>
              <w:pStyle w:val="CGCTableStub"/>
              <w:spacing w:before="0" w:after="0"/>
              <w:rPr>
                <w:rFonts w:cstheme="minorHAnsi"/>
              </w:rPr>
            </w:pPr>
            <w:r>
              <w:rPr>
                <w:rFonts w:cstheme="minorHAnsi"/>
              </w:rPr>
              <w:t>Post-secondary education</w:t>
            </w:r>
          </w:p>
        </w:tc>
        <w:tc>
          <w:tcPr>
            <w:tcW w:w="3632" w:type="pct"/>
            <w:tcBorders>
              <w:left w:val="nil"/>
              <w:right w:val="nil"/>
            </w:tcBorders>
          </w:tcPr>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Vocational education and training expenses have been moved from Services to industry to this category.</w:t>
            </w:r>
          </w:p>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The assessment recognises non-remote people from low socio-economic backgrounds use post-secondary education services more.</w:t>
            </w:r>
          </w:p>
          <w:p w:rsidR="0072395F"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The differential use and cost of people who do not speak English at home is no longer assessed.</w:t>
            </w:r>
          </w:p>
          <w:p w:rsidR="0072395F" w:rsidRDefault="00037390" w:rsidP="00037390">
            <w:pPr>
              <w:pStyle w:val="ListParagraph"/>
              <w:numPr>
                <w:ilvl w:val="0"/>
                <w:numId w:val="11"/>
              </w:numPr>
              <w:spacing w:after="0" w:line="240" w:lineRule="auto"/>
              <w:ind w:left="339" w:hanging="339"/>
              <w:rPr>
                <w:sz w:val="20"/>
                <w:szCs w:val="20"/>
              </w:rPr>
            </w:pPr>
            <w:r w:rsidRPr="001D318A">
              <w:rPr>
                <w:sz w:val="20"/>
                <w:szCs w:val="20"/>
              </w:rPr>
              <w:t xml:space="preserve">Expenses </w:t>
            </w:r>
            <w:r w:rsidR="009E7D8E">
              <w:rPr>
                <w:sz w:val="20"/>
                <w:szCs w:val="20"/>
              </w:rPr>
              <w:t xml:space="preserve">are </w:t>
            </w:r>
            <w:r w:rsidRPr="001D318A">
              <w:rPr>
                <w:sz w:val="20"/>
                <w:szCs w:val="20"/>
              </w:rPr>
              <w:t>now assessed net of user charges.</w:t>
            </w:r>
          </w:p>
          <w:p w:rsidR="00602CD6" w:rsidRPr="001D318A" w:rsidRDefault="00602CD6" w:rsidP="00037390">
            <w:pPr>
              <w:pStyle w:val="ListParagraph"/>
              <w:numPr>
                <w:ilvl w:val="0"/>
                <w:numId w:val="11"/>
              </w:numPr>
              <w:spacing w:after="0" w:line="240" w:lineRule="auto"/>
              <w:ind w:left="339" w:hanging="339"/>
              <w:rPr>
                <w:sz w:val="20"/>
                <w:szCs w:val="20"/>
              </w:rPr>
            </w:pPr>
            <w:r>
              <w:rPr>
                <w:sz w:val="20"/>
                <w:szCs w:val="20"/>
              </w:rPr>
              <w:t>The general regional costs gradient is used to assess remoteness costs instead of State provided data.</w:t>
            </w:r>
          </w:p>
        </w:tc>
      </w:tr>
      <w:tr w:rsidR="00037390" w:rsidTr="008256D5">
        <w:tc>
          <w:tcPr>
            <w:tcW w:w="1368" w:type="pct"/>
            <w:tcBorders>
              <w:left w:val="nil"/>
              <w:right w:val="nil"/>
            </w:tcBorders>
            <w:hideMark/>
          </w:tcPr>
          <w:p w:rsidR="00037390" w:rsidRDefault="00037390" w:rsidP="008256D5">
            <w:pPr>
              <w:pStyle w:val="CGCTableStub"/>
              <w:spacing w:before="0" w:after="0"/>
              <w:rPr>
                <w:rFonts w:cstheme="minorHAnsi"/>
              </w:rPr>
            </w:pPr>
            <w:r>
              <w:rPr>
                <w:rFonts w:cstheme="minorHAnsi"/>
              </w:rPr>
              <w:t>Health</w:t>
            </w:r>
          </w:p>
        </w:tc>
        <w:tc>
          <w:tcPr>
            <w:tcW w:w="3632" w:type="pct"/>
            <w:tcBorders>
              <w:left w:val="nil"/>
              <w:right w:val="nil"/>
            </w:tcBorders>
            <w:hideMark/>
          </w:tcPr>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There is a single Health category and a direct method of assessment is used for all components instead of the previous subtraction method. The impact of the private sector is assessed using non-State sector adjustments.</w:t>
            </w:r>
          </w:p>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Category expenses are assessed net of user charges because we have data on net expenses incurred on different socio-demographic groups.</w:t>
            </w:r>
          </w:p>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Data on the use and cost of State health services are sourced from IHPA instead of the AIHW.</w:t>
            </w:r>
          </w:p>
        </w:tc>
      </w:tr>
      <w:tr w:rsidR="00037390" w:rsidTr="008256D5">
        <w:tc>
          <w:tcPr>
            <w:tcW w:w="1368" w:type="pct"/>
            <w:tcBorders>
              <w:bottom w:val="single" w:sz="4" w:space="0" w:color="auto"/>
            </w:tcBorders>
            <w:hideMark/>
          </w:tcPr>
          <w:p w:rsidR="00037390" w:rsidRDefault="00037390" w:rsidP="008256D5">
            <w:pPr>
              <w:pStyle w:val="CGCTableStub"/>
              <w:spacing w:before="0" w:after="0"/>
              <w:rPr>
                <w:rFonts w:cstheme="minorHAnsi"/>
              </w:rPr>
            </w:pPr>
            <w:r>
              <w:rPr>
                <w:rFonts w:cstheme="minorHAnsi"/>
              </w:rPr>
              <w:t>Welfare</w:t>
            </w:r>
          </w:p>
        </w:tc>
        <w:tc>
          <w:tcPr>
            <w:tcW w:w="3632" w:type="pct"/>
            <w:tcBorders>
              <w:bottom w:val="single" w:sz="4" w:space="0" w:color="auto"/>
            </w:tcBorders>
            <w:hideMark/>
          </w:tcPr>
          <w:p w:rsidR="00037390" w:rsidRPr="00CA224E" w:rsidRDefault="00037390" w:rsidP="00037390">
            <w:pPr>
              <w:pStyle w:val="ListParagraph"/>
              <w:numPr>
                <w:ilvl w:val="0"/>
                <w:numId w:val="11"/>
              </w:numPr>
              <w:spacing w:after="0" w:line="240" w:lineRule="auto"/>
              <w:ind w:left="339" w:hanging="339"/>
              <w:rPr>
                <w:sz w:val="20"/>
                <w:szCs w:val="20"/>
              </w:rPr>
            </w:pPr>
            <w:r w:rsidRPr="00CA224E">
              <w:rPr>
                <w:sz w:val="20"/>
                <w:szCs w:val="20"/>
              </w:rPr>
              <w:t>New child protection unit record data are used which improves the reliability of the family and child welfare services assessment.</w:t>
            </w:r>
          </w:p>
          <w:p w:rsidR="00037390" w:rsidRPr="00CA224E" w:rsidRDefault="00037390" w:rsidP="00037390">
            <w:pPr>
              <w:pStyle w:val="ListParagraph"/>
              <w:numPr>
                <w:ilvl w:val="0"/>
                <w:numId w:val="11"/>
              </w:numPr>
              <w:spacing w:after="0" w:line="240" w:lineRule="auto"/>
              <w:ind w:left="339" w:hanging="339"/>
              <w:rPr>
                <w:sz w:val="20"/>
                <w:szCs w:val="20"/>
              </w:rPr>
            </w:pPr>
            <w:r w:rsidRPr="00CA224E">
              <w:rPr>
                <w:sz w:val="20"/>
                <w:szCs w:val="20"/>
              </w:rPr>
              <w:t xml:space="preserve">As the Commonwealth has taken over State responsibilities in the areas of aged care services and disability services for older people, needs relating to welfare-related aged care services, including for Western Australia, are assessed EPC. </w:t>
            </w:r>
          </w:p>
          <w:p w:rsidR="00037390" w:rsidRPr="00CD615E" w:rsidRDefault="00037390" w:rsidP="00037390">
            <w:pPr>
              <w:pStyle w:val="ListParagraph"/>
              <w:numPr>
                <w:ilvl w:val="0"/>
                <w:numId w:val="11"/>
              </w:numPr>
              <w:spacing w:after="0" w:line="240" w:lineRule="auto"/>
              <w:ind w:left="339" w:hanging="339"/>
              <w:rPr>
                <w:sz w:val="20"/>
                <w:szCs w:val="20"/>
              </w:rPr>
            </w:pPr>
            <w:r w:rsidRPr="00CD615E">
              <w:rPr>
                <w:sz w:val="20"/>
                <w:szCs w:val="20"/>
              </w:rPr>
              <w:t xml:space="preserve">During the NDIS transition period, we are adopting </w:t>
            </w:r>
            <w:r>
              <w:rPr>
                <w:sz w:val="20"/>
                <w:szCs w:val="20"/>
              </w:rPr>
              <w:t>dual</w:t>
            </w:r>
            <w:r w:rsidRPr="00CD615E">
              <w:rPr>
                <w:sz w:val="20"/>
                <w:szCs w:val="20"/>
              </w:rPr>
              <w:t xml:space="preserve"> disability services assessments — one for NDIS services and one for existing disability services delivered under the National Disability Agreement. Both NDIS and existing disability services </w:t>
            </w:r>
            <w:r w:rsidR="00FD2BEF">
              <w:rPr>
                <w:sz w:val="20"/>
                <w:szCs w:val="20"/>
              </w:rPr>
              <w:t>are</w:t>
            </w:r>
            <w:r w:rsidRPr="00CD615E">
              <w:rPr>
                <w:sz w:val="20"/>
                <w:szCs w:val="20"/>
              </w:rPr>
              <w:t xml:space="preserve"> assessed using the population eligible for NDIS.</w:t>
            </w:r>
          </w:p>
          <w:p w:rsidR="00037390" w:rsidRPr="00CA224E" w:rsidRDefault="00037390" w:rsidP="007C640F">
            <w:pPr>
              <w:pStyle w:val="ListParagraph"/>
              <w:numPr>
                <w:ilvl w:val="0"/>
                <w:numId w:val="11"/>
              </w:numPr>
              <w:spacing w:after="0" w:line="240" w:lineRule="auto"/>
              <w:ind w:left="339" w:hanging="339"/>
              <w:rPr>
                <w:sz w:val="20"/>
                <w:szCs w:val="20"/>
              </w:rPr>
            </w:pPr>
            <w:r w:rsidRPr="00CA224E">
              <w:rPr>
                <w:sz w:val="20"/>
                <w:szCs w:val="20"/>
              </w:rPr>
              <w:t xml:space="preserve">All concessions other than transport concessions are included in the general welfare component and assessed using the number of concession card holders. </w:t>
            </w:r>
            <w:r w:rsidRPr="00D85CED">
              <w:rPr>
                <w:sz w:val="20"/>
                <w:szCs w:val="20"/>
              </w:rPr>
              <w:t>The remainder of general welfare services are assessed using the relative State proportions of people in the bottom quintile of the ABS’s 2006 Census SEIFI</w:t>
            </w:r>
            <w:r>
              <w:rPr>
                <w:sz w:val="20"/>
                <w:szCs w:val="20"/>
              </w:rPr>
              <w:t xml:space="preserve"> </w:t>
            </w:r>
            <w:r w:rsidRPr="00D85CED">
              <w:rPr>
                <w:sz w:val="20"/>
                <w:szCs w:val="20"/>
              </w:rPr>
              <w:t>adjusted for changes in the relative proportions of State populations with a health care card or pensioner concession card between the 2006 and 2011 Censuses</w:t>
            </w:r>
            <w:r w:rsidRPr="00CA224E">
              <w:rPr>
                <w:sz w:val="20"/>
                <w:szCs w:val="20"/>
              </w:rPr>
              <w:t>.</w:t>
            </w:r>
          </w:p>
        </w:tc>
      </w:tr>
    </w:tbl>
    <w:p w:rsidR="00037390" w:rsidRDefault="00037390" w:rsidP="00037390">
      <w:pPr>
        <w:pStyle w:val="CGCTableHeading"/>
      </w:pPr>
      <w:r>
        <w:br w:type="page"/>
      </w:r>
      <w:r w:rsidRPr="00335945">
        <w:lastRenderedPageBreak/>
        <w:t xml:space="preserve">Table </w:t>
      </w:r>
      <w:r w:rsidR="008256D5">
        <w:t>6</w:t>
      </w:r>
      <w:r w:rsidRPr="00335945">
        <w:tab/>
        <w:t>Summary of method changes in expense categories between 2010 and 2015 Reviews</w:t>
      </w:r>
      <w:r w:rsidR="007C640F">
        <w:t xml:space="preserve"> (</w:t>
      </w:r>
      <w:proofErr w:type="spellStart"/>
      <w:r w:rsidR="007C640F">
        <w:t>cont</w:t>
      </w:r>
      <w:proofErr w:type="spellEnd"/>
      <w:r w:rsidR="007C640F">
        <w:t>)</w:t>
      </w:r>
    </w:p>
    <w:tbl>
      <w:tblPr>
        <w:tblW w:w="5146" w:type="pct"/>
        <w:tblLayout w:type="fixed"/>
        <w:tblCellMar>
          <w:left w:w="0" w:type="dxa"/>
          <w:right w:w="0" w:type="dxa"/>
        </w:tblCellMar>
        <w:tblLook w:val="04A0" w:firstRow="1" w:lastRow="0" w:firstColumn="1" w:lastColumn="0" w:noHBand="0" w:noVBand="1"/>
      </w:tblPr>
      <w:tblGrid>
        <w:gridCol w:w="2268"/>
        <w:gridCol w:w="6944"/>
      </w:tblGrid>
      <w:tr w:rsidR="00037390" w:rsidTr="008256D5">
        <w:tc>
          <w:tcPr>
            <w:tcW w:w="1231" w:type="pct"/>
            <w:tcBorders>
              <w:top w:val="single" w:sz="6" w:space="0" w:color="auto"/>
              <w:left w:val="nil"/>
              <w:bottom w:val="single" w:sz="6" w:space="0" w:color="auto"/>
              <w:right w:val="nil"/>
            </w:tcBorders>
            <w:hideMark/>
          </w:tcPr>
          <w:p w:rsidR="00037390" w:rsidRDefault="00037390" w:rsidP="008256D5">
            <w:pPr>
              <w:pStyle w:val="TableColHeadings"/>
              <w:tabs>
                <w:tab w:val="clear" w:pos="2160"/>
                <w:tab w:val="left" w:pos="2268"/>
              </w:tabs>
              <w:spacing w:line="276" w:lineRule="auto"/>
              <w:ind w:left="193" w:hanging="142"/>
              <w:jc w:val="left"/>
              <w:rPr>
                <w:rFonts w:cstheme="minorHAnsi"/>
              </w:rPr>
            </w:pPr>
            <w:r>
              <w:rPr>
                <w:rFonts w:cstheme="minorHAnsi"/>
              </w:rPr>
              <w:t>Category</w:t>
            </w:r>
          </w:p>
        </w:tc>
        <w:tc>
          <w:tcPr>
            <w:tcW w:w="3769" w:type="pct"/>
            <w:tcBorders>
              <w:top w:val="single" w:sz="6" w:space="0" w:color="auto"/>
              <w:left w:val="nil"/>
              <w:bottom w:val="single" w:sz="6" w:space="0" w:color="auto"/>
              <w:right w:val="nil"/>
            </w:tcBorders>
            <w:hideMark/>
          </w:tcPr>
          <w:p w:rsidR="00037390" w:rsidRDefault="00037390" w:rsidP="008256D5">
            <w:pPr>
              <w:pStyle w:val="TableColHeadings"/>
              <w:spacing w:line="276" w:lineRule="auto"/>
              <w:ind w:hanging="86"/>
              <w:jc w:val="left"/>
              <w:rPr>
                <w:rFonts w:cstheme="minorHAnsi"/>
              </w:rPr>
            </w:pPr>
            <w:r>
              <w:rPr>
                <w:rFonts w:cstheme="minorHAnsi"/>
              </w:rPr>
              <w:t xml:space="preserve">  Method changes</w:t>
            </w:r>
          </w:p>
        </w:tc>
      </w:tr>
      <w:tr w:rsidR="007C640F" w:rsidRPr="001D318A" w:rsidTr="00C72921">
        <w:tc>
          <w:tcPr>
            <w:tcW w:w="1231" w:type="pct"/>
          </w:tcPr>
          <w:p w:rsidR="007C640F" w:rsidRPr="001D318A" w:rsidRDefault="007C640F" w:rsidP="00C72921">
            <w:pPr>
              <w:pStyle w:val="CGCTableStub"/>
              <w:spacing w:before="0" w:after="0"/>
              <w:rPr>
                <w:rFonts w:cstheme="minorHAnsi"/>
              </w:rPr>
            </w:pPr>
            <w:r>
              <w:rPr>
                <w:rFonts w:cstheme="minorHAnsi"/>
              </w:rPr>
              <w:t>Welfare (</w:t>
            </w:r>
            <w:proofErr w:type="spellStart"/>
            <w:r>
              <w:rPr>
                <w:rFonts w:cstheme="minorHAnsi"/>
              </w:rPr>
              <w:t>cont</w:t>
            </w:r>
            <w:proofErr w:type="spellEnd"/>
            <w:r>
              <w:rPr>
                <w:rFonts w:cstheme="minorHAnsi"/>
              </w:rPr>
              <w:t>)</w:t>
            </w:r>
          </w:p>
        </w:tc>
        <w:tc>
          <w:tcPr>
            <w:tcW w:w="3769" w:type="pct"/>
          </w:tcPr>
          <w:p w:rsidR="007C640F" w:rsidRPr="001D318A" w:rsidRDefault="007C640F" w:rsidP="00C72921">
            <w:pPr>
              <w:pStyle w:val="ListParagraph"/>
              <w:numPr>
                <w:ilvl w:val="0"/>
                <w:numId w:val="11"/>
              </w:numPr>
              <w:spacing w:after="0" w:line="240" w:lineRule="auto"/>
              <w:ind w:left="339" w:hanging="339"/>
              <w:rPr>
                <w:sz w:val="20"/>
                <w:szCs w:val="20"/>
              </w:rPr>
            </w:pPr>
            <w:r w:rsidRPr="00CA224E">
              <w:rPr>
                <w:sz w:val="20"/>
                <w:szCs w:val="20"/>
              </w:rPr>
              <w:t xml:space="preserve">The changes in Commonwealth-State arrangements affecting this category and associated Commonwealth payments are, or will be, </w:t>
            </w:r>
            <w:proofErr w:type="spellStart"/>
            <w:r w:rsidRPr="00CA224E">
              <w:rPr>
                <w:sz w:val="20"/>
                <w:szCs w:val="20"/>
              </w:rPr>
              <w:t>backcast</w:t>
            </w:r>
            <w:proofErr w:type="spellEnd"/>
            <w:r w:rsidRPr="00CA224E">
              <w:rPr>
                <w:sz w:val="20"/>
                <w:szCs w:val="20"/>
              </w:rPr>
              <w:t xml:space="preserve"> as required.</w:t>
            </w:r>
          </w:p>
        </w:tc>
      </w:tr>
      <w:tr w:rsidR="00037390" w:rsidRPr="001D318A" w:rsidTr="008256D5">
        <w:tc>
          <w:tcPr>
            <w:tcW w:w="1231" w:type="pct"/>
          </w:tcPr>
          <w:p w:rsidR="00037390" w:rsidRPr="001D318A" w:rsidRDefault="00037390" w:rsidP="008256D5">
            <w:pPr>
              <w:pStyle w:val="CGCTableStub"/>
              <w:spacing w:before="0" w:after="0"/>
              <w:rPr>
                <w:rFonts w:cstheme="minorHAnsi"/>
              </w:rPr>
            </w:pPr>
            <w:r w:rsidRPr="001D318A">
              <w:rPr>
                <w:rFonts w:cstheme="minorHAnsi"/>
              </w:rPr>
              <w:t>Housing</w:t>
            </w:r>
          </w:p>
        </w:tc>
        <w:tc>
          <w:tcPr>
            <w:tcW w:w="3769" w:type="pct"/>
          </w:tcPr>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The category covers PNFC and general government expenses and revenue.</w:t>
            </w:r>
          </w:p>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Gross expenses are assessed using Census data on households in social housing cross-classified by income, I</w:t>
            </w:r>
            <w:r w:rsidR="00210430">
              <w:rPr>
                <w:sz w:val="20"/>
                <w:szCs w:val="20"/>
              </w:rPr>
              <w:t>ndigenous status</w:t>
            </w:r>
            <w:r w:rsidRPr="001D318A">
              <w:rPr>
                <w:sz w:val="20"/>
                <w:szCs w:val="20"/>
              </w:rPr>
              <w:t xml:space="preserve"> and location instead of Commonwealth pensioner numbers classified by Indigenous status.</w:t>
            </w:r>
          </w:p>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Assessed rents are calculated by applying average rents paid by the different household groups to assessed households.</w:t>
            </w:r>
          </w:p>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First home buyer grants, bonuses and stamp duty concessions are consolidated in the Housing category and are assessed EPC.</w:t>
            </w:r>
          </w:p>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The Remote Indigenous Housing NPP will impact on the relativities from 2013</w:t>
            </w:r>
            <w:r w:rsidRPr="001D318A">
              <w:rPr>
                <w:sz w:val="20"/>
                <w:szCs w:val="20"/>
              </w:rPr>
              <w:noBreakHyphen/>
              <w:t>14.</w:t>
            </w:r>
          </w:p>
        </w:tc>
      </w:tr>
      <w:tr w:rsidR="00037390" w:rsidRPr="001D318A" w:rsidTr="008256D5">
        <w:tc>
          <w:tcPr>
            <w:tcW w:w="1231" w:type="pct"/>
            <w:hideMark/>
          </w:tcPr>
          <w:p w:rsidR="00037390" w:rsidRPr="001D318A" w:rsidRDefault="00037390" w:rsidP="008256D5">
            <w:pPr>
              <w:pStyle w:val="CGCTableStub"/>
              <w:spacing w:before="0" w:after="0"/>
              <w:rPr>
                <w:rFonts w:cstheme="minorHAnsi"/>
              </w:rPr>
            </w:pPr>
            <w:r w:rsidRPr="001D318A">
              <w:rPr>
                <w:rFonts w:cstheme="minorHAnsi"/>
              </w:rPr>
              <w:t>Services to communities</w:t>
            </w:r>
          </w:p>
        </w:tc>
        <w:tc>
          <w:tcPr>
            <w:tcW w:w="3769" w:type="pct"/>
            <w:hideMark/>
          </w:tcPr>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A utilities subsidies assessment has been introduced, distinguishing between common subsidies provided to all users and subsidies principally provided to residents in smaller and isolated communities where costs are higher. The latter is assessed using the proportion of population living in small remote and very remote communities. The former is assessed EPC.</w:t>
            </w:r>
          </w:p>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Small communities cover those with population between 50 and 1 000 instead of 200 to 1 000.</w:t>
            </w:r>
          </w:p>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The impact on expenses of water availability and quality is no longer assessed.</w:t>
            </w:r>
          </w:p>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A new definition of discrete Indigenous communities has been adopted.</w:t>
            </w:r>
          </w:p>
        </w:tc>
      </w:tr>
      <w:tr w:rsidR="00037390" w:rsidRPr="001D318A" w:rsidTr="008256D5">
        <w:tc>
          <w:tcPr>
            <w:tcW w:w="1231" w:type="pct"/>
            <w:tcBorders>
              <w:left w:val="nil"/>
              <w:right w:val="nil"/>
            </w:tcBorders>
          </w:tcPr>
          <w:p w:rsidR="00037390" w:rsidRPr="001D318A" w:rsidRDefault="00037390" w:rsidP="008256D5">
            <w:pPr>
              <w:pStyle w:val="CGCTableStub"/>
              <w:spacing w:before="0" w:after="0"/>
              <w:rPr>
                <w:rFonts w:cstheme="minorHAnsi"/>
              </w:rPr>
            </w:pPr>
            <w:r w:rsidRPr="001D318A">
              <w:rPr>
                <w:rFonts w:cstheme="minorHAnsi"/>
              </w:rPr>
              <w:t>Justice</w:t>
            </w:r>
          </w:p>
        </w:tc>
        <w:tc>
          <w:tcPr>
            <w:tcW w:w="3769" w:type="pct"/>
            <w:tcBorders>
              <w:left w:val="nil"/>
              <w:right w:val="nil"/>
            </w:tcBorders>
          </w:tcPr>
          <w:p w:rsidR="004A661E" w:rsidRDefault="00037390" w:rsidP="00037390">
            <w:pPr>
              <w:pStyle w:val="ListParagraph"/>
              <w:numPr>
                <w:ilvl w:val="0"/>
                <w:numId w:val="11"/>
              </w:numPr>
              <w:spacing w:after="0" w:line="240" w:lineRule="auto"/>
              <w:ind w:left="339" w:hanging="339"/>
              <w:rPr>
                <w:sz w:val="20"/>
                <w:szCs w:val="20"/>
              </w:rPr>
            </w:pPr>
            <w:r w:rsidRPr="001D318A">
              <w:rPr>
                <w:sz w:val="20"/>
                <w:szCs w:val="20"/>
              </w:rPr>
              <w:t xml:space="preserve">Assessment method unchanged but data on Indigenous and SES use rates </w:t>
            </w:r>
            <w:r w:rsidR="00BB6541" w:rsidRPr="001D318A">
              <w:rPr>
                <w:sz w:val="20"/>
                <w:szCs w:val="20"/>
              </w:rPr>
              <w:t>ha</w:t>
            </w:r>
            <w:r w:rsidR="00BB6541">
              <w:rPr>
                <w:sz w:val="20"/>
                <w:szCs w:val="20"/>
              </w:rPr>
              <w:t>ve</w:t>
            </w:r>
            <w:r w:rsidR="00BB6541" w:rsidRPr="001D318A">
              <w:rPr>
                <w:sz w:val="20"/>
                <w:szCs w:val="20"/>
              </w:rPr>
              <w:t xml:space="preserve"> </w:t>
            </w:r>
            <w:r w:rsidRPr="001D318A">
              <w:rPr>
                <w:sz w:val="20"/>
                <w:szCs w:val="20"/>
              </w:rPr>
              <w:t>been updated.</w:t>
            </w:r>
          </w:p>
          <w:p w:rsidR="00037390" w:rsidRPr="001D318A" w:rsidRDefault="004A661E" w:rsidP="00037390">
            <w:pPr>
              <w:pStyle w:val="ListParagraph"/>
              <w:numPr>
                <w:ilvl w:val="0"/>
                <w:numId w:val="11"/>
              </w:numPr>
              <w:spacing w:after="0" w:line="240" w:lineRule="auto"/>
              <w:ind w:left="339" w:hanging="339"/>
              <w:rPr>
                <w:sz w:val="20"/>
                <w:szCs w:val="20"/>
              </w:rPr>
            </w:pPr>
            <w:r>
              <w:rPr>
                <w:sz w:val="20"/>
                <w:szCs w:val="20"/>
              </w:rPr>
              <w:t>Sex is no longer assessed and age groups have changed.</w:t>
            </w:r>
          </w:p>
        </w:tc>
      </w:tr>
      <w:tr w:rsidR="00037390" w:rsidRPr="001D318A" w:rsidTr="008256D5">
        <w:tc>
          <w:tcPr>
            <w:tcW w:w="1231" w:type="pct"/>
            <w:tcBorders>
              <w:left w:val="nil"/>
              <w:right w:val="nil"/>
            </w:tcBorders>
            <w:hideMark/>
          </w:tcPr>
          <w:p w:rsidR="00037390" w:rsidRPr="001D318A" w:rsidRDefault="00037390" w:rsidP="008256D5">
            <w:pPr>
              <w:pStyle w:val="CGCTableStub"/>
              <w:spacing w:before="0" w:after="0"/>
              <w:rPr>
                <w:rFonts w:cstheme="minorHAnsi"/>
              </w:rPr>
            </w:pPr>
            <w:r w:rsidRPr="001D318A">
              <w:rPr>
                <w:rFonts w:cstheme="minorHAnsi"/>
              </w:rPr>
              <w:t>Roads</w:t>
            </w:r>
          </w:p>
        </w:tc>
        <w:tc>
          <w:tcPr>
            <w:tcW w:w="3769" w:type="pct"/>
            <w:tcBorders>
              <w:left w:val="nil"/>
              <w:right w:val="nil"/>
            </w:tcBorders>
            <w:hideMark/>
          </w:tcPr>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The assessment method is unchanged</w:t>
            </w:r>
            <w:r w:rsidR="007F701B">
              <w:rPr>
                <w:sz w:val="20"/>
                <w:szCs w:val="20"/>
              </w:rPr>
              <w:t xml:space="preserve"> but data ha</w:t>
            </w:r>
            <w:r w:rsidR="00BB6541">
              <w:rPr>
                <w:sz w:val="20"/>
                <w:szCs w:val="20"/>
              </w:rPr>
              <w:t>ve</w:t>
            </w:r>
            <w:r w:rsidR="007F701B">
              <w:rPr>
                <w:sz w:val="20"/>
                <w:szCs w:val="20"/>
              </w:rPr>
              <w:t xml:space="preserve"> been revised</w:t>
            </w:r>
            <w:r w:rsidRPr="001D318A">
              <w:rPr>
                <w:sz w:val="20"/>
                <w:szCs w:val="20"/>
              </w:rPr>
              <w:t>.</w:t>
            </w:r>
          </w:p>
        </w:tc>
      </w:tr>
      <w:tr w:rsidR="00037390" w:rsidRPr="001D318A" w:rsidTr="008256D5">
        <w:tc>
          <w:tcPr>
            <w:tcW w:w="1231" w:type="pct"/>
            <w:hideMark/>
          </w:tcPr>
          <w:p w:rsidR="00037390" w:rsidRPr="001D318A" w:rsidRDefault="00037390" w:rsidP="008256D5">
            <w:pPr>
              <w:pStyle w:val="CGCTableStub"/>
              <w:spacing w:before="0" w:after="0"/>
              <w:rPr>
                <w:rFonts w:cstheme="minorHAnsi"/>
              </w:rPr>
            </w:pPr>
            <w:r w:rsidRPr="001D318A">
              <w:rPr>
                <w:rFonts w:cstheme="minorHAnsi"/>
              </w:rPr>
              <w:t>Transport</w:t>
            </w:r>
          </w:p>
        </w:tc>
        <w:tc>
          <w:tcPr>
            <w:tcW w:w="3769" w:type="pct"/>
            <w:hideMark/>
          </w:tcPr>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 xml:space="preserve">The category covers urban transport PNFC expenses and revenue as well as general government expenses and revenues, resulting in an increase in total expenses. </w:t>
            </w:r>
          </w:p>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The regression model used to estimate net assessed expenses has been refined.</w:t>
            </w:r>
          </w:p>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A regional cost assessment has been added to the non-urban expenses assessment, which is otherwise unchanged.</w:t>
            </w:r>
          </w:p>
        </w:tc>
      </w:tr>
      <w:tr w:rsidR="00037390" w:rsidRPr="001D318A" w:rsidTr="008256D5">
        <w:tc>
          <w:tcPr>
            <w:tcW w:w="1231" w:type="pct"/>
            <w:hideMark/>
          </w:tcPr>
          <w:p w:rsidR="00037390" w:rsidRPr="001D318A" w:rsidRDefault="00037390" w:rsidP="008256D5">
            <w:pPr>
              <w:pStyle w:val="CGCTableStub"/>
              <w:spacing w:before="0" w:after="0"/>
              <w:rPr>
                <w:rFonts w:cstheme="minorHAnsi"/>
              </w:rPr>
            </w:pPr>
            <w:r w:rsidRPr="001D318A">
              <w:rPr>
                <w:rFonts w:cstheme="minorHAnsi"/>
              </w:rPr>
              <w:t>Services to industry</w:t>
            </w:r>
          </w:p>
        </w:tc>
        <w:tc>
          <w:tcPr>
            <w:tcW w:w="3769" w:type="pct"/>
            <w:hideMark/>
          </w:tcPr>
          <w:p w:rsidR="00037390" w:rsidRPr="001D318A" w:rsidRDefault="00FD2BEF" w:rsidP="00037390">
            <w:pPr>
              <w:pStyle w:val="ListParagraph"/>
              <w:numPr>
                <w:ilvl w:val="0"/>
                <w:numId w:val="11"/>
              </w:numPr>
              <w:spacing w:after="0" w:line="240" w:lineRule="auto"/>
              <w:ind w:left="339" w:hanging="339"/>
              <w:rPr>
                <w:sz w:val="20"/>
                <w:szCs w:val="20"/>
              </w:rPr>
            </w:pPr>
            <w:r>
              <w:rPr>
                <w:sz w:val="20"/>
                <w:szCs w:val="20"/>
              </w:rPr>
              <w:t>Mining user char</w:t>
            </w:r>
            <w:r w:rsidR="00037390" w:rsidRPr="001D318A">
              <w:rPr>
                <w:sz w:val="20"/>
                <w:szCs w:val="20"/>
              </w:rPr>
              <w:t>ges have been netted off the relevant expenses.</w:t>
            </w:r>
          </w:p>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Vocational education and training expenses are no longer included in this category but in Post-secondary education.</w:t>
            </w:r>
          </w:p>
          <w:p w:rsidR="00037390" w:rsidRDefault="00037390" w:rsidP="00037390">
            <w:pPr>
              <w:pStyle w:val="ListParagraph"/>
              <w:numPr>
                <w:ilvl w:val="0"/>
                <w:numId w:val="11"/>
              </w:numPr>
              <w:spacing w:after="0" w:line="240" w:lineRule="auto"/>
              <w:ind w:left="339" w:hanging="339"/>
              <w:rPr>
                <w:sz w:val="20"/>
                <w:szCs w:val="20"/>
              </w:rPr>
            </w:pPr>
            <w:r w:rsidRPr="001D318A">
              <w:rPr>
                <w:sz w:val="20"/>
                <w:szCs w:val="20"/>
              </w:rPr>
              <w:t>The 12.5% discount to the expense weights for this assessment has been removed.</w:t>
            </w:r>
          </w:p>
          <w:p w:rsidR="0072395F" w:rsidRDefault="0072395F" w:rsidP="00037390">
            <w:pPr>
              <w:pStyle w:val="ListParagraph"/>
              <w:numPr>
                <w:ilvl w:val="0"/>
                <w:numId w:val="11"/>
              </w:numPr>
              <w:spacing w:after="0" w:line="240" w:lineRule="auto"/>
              <w:ind w:left="339" w:hanging="339"/>
              <w:rPr>
                <w:sz w:val="20"/>
                <w:szCs w:val="20"/>
              </w:rPr>
            </w:pPr>
            <w:r>
              <w:rPr>
                <w:sz w:val="20"/>
                <w:szCs w:val="20"/>
              </w:rPr>
              <w:t>The general regional costs gradient has been used to derive a regional costs factor to apply to regulatory expenses.</w:t>
            </w:r>
          </w:p>
          <w:p w:rsidR="0072395F" w:rsidRPr="001D318A" w:rsidRDefault="00F7119F" w:rsidP="00037390">
            <w:pPr>
              <w:pStyle w:val="ListParagraph"/>
              <w:numPr>
                <w:ilvl w:val="0"/>
                <w:numId w:val="11"/>
              </w:numPr>
              <w:spacing w:after="0" w:line="240" w:lineRule="auto"/>
              <w:ind w:left="339" w:hanging="339"/>
              <w:rPr>
                <w:sz w:val="20"/>
                <w:szCs w:val="20"/>
              </w:rPr>
            </w:pPr>
            <w:r>
              <w:rPr>
                <w:sz w:val="20"/>
                <w:szCs w:val="20"/>
              </w:rPr>
              <w:t>Regulation</w:t>
            </w:r>
            <w:r w:rsidR="0072395F">
              <w:rPr>
                <w:sz w:val="20"/>
                <w:szCs w:val="20"/>
              </w:rPr>
              <w:t xml:space="preserve"> of investment projects is assessed using the level of private non-dwelling construction activity.</w:t>
            </w:r>
          </w:p>
        </w:tc>
      </w:tr>
      <w:tr w:rsidR="00037390" w:rsidRPr="001D318A" w:rsidTr="008256D5">
        <w:tc>
          <w:tcPr>
            <w:tcW w:w="1231" w:type="pct"/>
            <w:tcBorders>
              <w:bottom w:val="single" w:sz="4" w:space="0" w:color="auto"/>
            </w:tcBorders>
            <w:hideMark/>
          </w:tcPr>
          <w:p w:rsidR="00037390" w:rsidRPr="001D318A" w:rsidRDefault="00037390" w:rsidP="008256D5">
            <w:pPr>
              <w:pStyle w:val="CGCTableStub"/>
              <w:spacing w:before="0" w:after="0"/>
              <w:rPr>
                <w:rFonts w:cstheme="minorHAnsi"/>
              </w:rPr>
            </w:pPr>
            <w:r w:rsidRPr="001D318A">
              <w:rPr>
                <w:rFonts w:cstheme="minorHAnsi"/>
              </w:rPr>
              <w:t>Other expenses</w:t>
            </w:r>
          </w:p>
        </w:tc>
        <w:tc>
          <w:tcPr>
            <w:tcW w:w="3769" w:type="pct"/>
            <w:tcBorders>
              <w:bottom w:val="single" w:sz="4" w:space="0" w:color="auto"/>
            </w:tcBorders>
            <w:hideMark/>
          </w:tcPr>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The impact of cultural and linguistic diversity on State expenses is no longer assessed.</w:t>
            </w:r>
          </w:p>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Administrative scale, native title and land rights and some national capital assessments have been relocated from other categories.</w:t>
            </w:r>
          </w:p>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Capital grants to local government</w:t>
            </w:r>
            <w:r w:rsidR="0030018C">
              <w:rPr>
                <w:sz w:val="20"/>
                <w:szCs w:val="20"/>
              </w:rPr>
              <w:t>s</w:t>
            </w:r>
            <w:r w:rsidRPr="001D318A">
              <w:rPr>
                <w:sz w:val="20"/>
                <w:szCs w:val="20"/>
              </w:rPr>
              <w:t xml:space="preserve"> are assessed using population growth, not population shares.</w:t>
            </w:r>
          </w:p>
        </w:tc>
      </w:tr>
    </w:tbl>
    <w:p w:rsidR="00037390" w:rsidRPr="001D318A" w:rsidRDefault="00037390" w:rsidP="00037390">
      <w:r w:rsidRPr="001D318A">
        <w:br w:type="page"/>
      </w:r>
    </w:p>
    <w:p w:rsidR="00037390" w:rsidRPr="001D318A" w:rsidRDefault="00037390" w:rsidP="00037390">
      <w:pPr>
        <w:pStyle w:val="CGCTableHeading"/>
      </w:pPr>
      <w:r w:rsidRPr="001D318A">
        <w:lastRenderedPageBreak/>
        <w:t xml:space="preserve">Table </w:t>
      </w:r>
      <w:r w:rsidR="008256D5">
        <w:t>6</w:t>
      </w:r>
      <w:r w:rsidRPr="001D318A">
        <w:tab/>
        <w:t>Summary of method changes in expense categories between 2010 and 2015 Reviews (</w:t>
      </w:r>
      <w:proofErr w:type="spellStart"/>
      <w:r w:rsidRPr="001D318A">
        <w:t>cont</w:t>
      </w:r>
      <w:proofErr w:type="spellEnd"/>
      <w:r w:rsidRPr="001D318A">
        <w:t>)</w:t>
      </w:r>
    </w:p>
    <w:tbl>
      <w:tblPr>
        <w:tblW w:w="5275" w:type="pct"/>
        <w:tblInd w:w="-85" w:type="dxa"/>
        <w:tblLayout w:type="fixed"/>
        <w:tblCellMar>
          <w:left w:w="0" w:type="dxa"/>
          <w:right w:w="0" w:type="dxa"/>
        </w:tblCellMar>
        <w:tblLook w:val="04A0" w:firstRow="1" w:lastRow="0" w:firstColumn="1" w:lastColumn="0" w:noHBand="0" w:noVBand="1"/>
      </w:tblPr>
      <w:tblGrid>
        <w:gridCol w:w="83"/>
        <w:gridCol w:w="2412"/>
        <w:gridCol w:w="6801"/>
        <w:gridCol w:w="147"/>
      </w:tblGrid>
      <w:tr w:rsidR="00037390" w:rsidRPr="001D318A" w:rsidTr="008256D5">
        <w:trPr>
          <w:gridAfter w:val="1"/>
          <w:wAfter w:w="78" w:type="pct"/>
        </w:trPr>
        <w:tc>
          <w:tcPr>
            <w:tcW w:w="1321" w:type="pct"/>
            <w:gridSpan w:val="2"/>
            <w:tcBorders>
              <w:top w:val="single" w:sz="6" w:space="0" w:color="auto"/>
              <w:left w:val="nil"/>
              <w:bottom w:val="single" w:sz="6" w:space="0" w:color="auto"/>
              <w:right w:val="nil"/>
            </w:tcBorders>
            <w:hideMark/>
          </w:tcPr>
          <w:p w:rsidR="00037390" w:rsidRPr="001D318A" w:rsidRDefault="00037390" w:rsidP="008256D5">
            <w:pPr>
              <w:pStyle w:val="TableColHeadings"/>
              <w:spacing w:line="276" w:lineRule="auto"/>
              <w:ind w:left="193" w:hanging="142"/>
              <w:jc w:val="left"/>
              <w:rPr>
                <w:rFonts w:cstheme="minorHAnsi"/>
              </w:rPr>
            </w:pPr>
            <w:r w:rsidRPr="001D318A">
              <w:rPr>
                <w:rFonts w:cstheme="minorHAnsi"/>
              </w:rPr>
              <w:t>Category</w:t>
            </w:r>
          </w:p>
        </w:tc>
        <w:tc>
          <w:tcPr>
            <w:tcW w:w="3601" w:type="pct"/>
            <w:tcBorders>
              <w:top w:val="single" w:sz="6" w:space="0" w:color="auto"/>
              <w:left w:val="nil"/>
              <w:bottom w:val="single" w:sz="6" w:space="0" w:color="auto"/>
              <w:right w:val="nil"/>
            </w:tcBorders>
            <w:hideMark/>
          </w:tcPr>
          <w:p w:rsidR="00037390" w:rsidRPr="001D318A" w:rsidRDefault="00037390" w:rsidP="008256D5">
            <w:pPr>
              <w:pStyle w:val="TableColHeadings"/>
              <w:spacing w:line="276" w:lineRule="auto"/>
              <w:ind w:hanging="86"/>
              <w:jc w:val="left"/>
              <w:rPr>
                <w:rFonts w:cstheme="minorHAnsi"/>
              </w:rPr>
            </w:pPr>
            <w:r w:rsidRPr="001D318A">
              <w:rPr>
                <w:rFonts w:cstheme="minorHAnsi"/>
              </w:rPr>
              <w:t xml:space="preserve">  Method changes</w:t>
            </w:r>
          </w:p>
        </w:tc>
      </w:tr>
      <w:tr w:rsidR="00037390" w:rsidRPr="001D318A" w:rsidTr="008256D5">
        <w:trPr>
          <w:gridBefore w:val="1"/>
          <w:wBefore w:w="44" w:type="pct"/>
        </w:trPr>
        <w:tc>
          <w:tcPr>
            <w:tcW w:w="1277" w:type="pct"/>
            <w:hideMark/>
          </w:tcPr>
          <w:p w:rsidR="00037390" w:rsidRPr="001D318A" w:rsidRDefault="00037390" w:rsidP="008256D5">
            <w:pPr>
              <w:pStyle w:val="CGCTableStub"/>
              <w:spacing w:before="0" w:after="0"/>
              <w:rPr>
                <w:rFonts w:cstheme="minorHAnsi"/>
              </w:rPr>
            </w:pPr>
            <w:r w:rsidRPr="001D318A">
              <w:rPr>
                <w:rFonts w:cstheme="minorHAnsi"/>
              </w:rPr>
              <w:t>Infrastructure</w:t>
            </w:r>
          </w:p>
        </w:tc>
        <w:tc>
          <w:tcPr>
            <w:tcW w:w="3679" w:type="pct"/>
            <w:gridSpan w:val="2"/>
            <w:hideMark/>
          </w:tcPr>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An assessment is made of PNFC and general government infrastructure used in providing urban transport and housing.</w:t>
            </w:r>
          </w:p>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 xml:space="preserve">Factors affecting recurrent service use but which do not affect infrastructure requirements are explicitly excluded from the infrastructure calculations and the 12.5% discount </w:t>
            </w:r>
            <w:proofErr w:type="gramStart"/>
            <w:r w:rsidRPr="001D318A">
              <w:rPr>
                <w:sz w:val="20"/>
                <w:szCs w:val="20"/>
              </w:rPr>
              <w:t>has</w:t>
            </w:r>
            <w:proofErr w:type="gramEnd"/>
            <w:r w:rsidRPr="001D318A">
              <w:rPr>
                <w:sz w:val="20"/>
                <w:szCs w:val="20"/>
              </w:rPr>
              <w:t xml:space="preserve"> been </w:t>
            </w:r>
            <w:r w:rsidR="00921F5E">
              <w:rPr>
                <w:sz w:val="20"/>
                <w:szCs w:val="20"/>
              </w:rPr>
              <w:t>removed</w:t>
            </w:r>
            <w:r w:rsidRPr="001D318A">
              <w:rPr>
                <w:sz w:val="20"/>
                <w:szCs w:val="20"/>
              </w:rPr>
              <w:t>.</w:t>
            </w:r>
          </w:p>
          <w:p w:rsidR="00037390" w:rsidRPr="001D318A" w:rsidRDefault="00037390" w:rsidP="00FD2BEF">
            <w:pPr>
              <w:pStyle w:val="ListParagraph"/>
              <w:numPr>
                <w:ilvl w:val="0"/>
                <w:numId w:val="11"/>
              </w:numPr>
              <w:spacing w:after="0" w:line="240" w:lineRule="auto"/>
              <w:ind w:left="339" w:hanging="339"/>
              <w:rPr>
                <w:sz w:val="20"/>
                <w:szCs w:val="20"/>
              </w:rPr>
            </w:pPr>
            <w:r w:rsidRPr="001D318A">
              <w:rPr>
                <w:sz w:val="20"/>
                <w:szCs w:val="20"/>
              </w:rPr>
              <w:t xml:space="preserve">Capital cost disabilities are measured as the average of capital cost indices derived from </w:t>
            </w:r>
            <w:proofErr w:type="spellStart"/>
            <w:proofErr w:type="gramStart"/>
            <w:r w:rsidRPr="001D318A">
              <w:rPr>
                <w:sz w:val="20"/>
                <w:szCs w:val="20"/>
              </w:rPr>
              <w:t>Rawlinsons</w:t>
            </w:r>
            <w:proofErr w:type="spellEnd"/>
            <w:proofErr w:type="gramEnd"/>
            <w:r w:rsidRPr="001D318A">
              <w:rPr>
                <w:sz w:val="20"/>
                <w:szCs w:val="20"/>
              </w:rPr>
              <w:t xml:space="preserve"> construction indices and the recurrent wage and location cost factors, which are themselves a</w:t>
            </w:r>
            <w:r w:rsidR="00FD2BEF">
              <w:rPr>
                <w:sz w:val="20"/>
                <w:szCs w:val="20"/>
              </w:rPr>
              <w:t>ffected by some method changes.</w:t>
            </w:r>
          </w:p>
        </w:tc>
      </w:tr>
      <w:tr w:rsidR="00037390" w:rsidRPr="001D318A" w:rsidTr="008256D5">
        <w:trPr>
          <w:gridBefore w:val="1"/>
          <w:wBefore w:w="44" w:type="pct"/>
        </w:trPr>
        <w:tc>
          <w:tcPr>
            <w:tcW w:w="1277" w:type="pct"/>
            <w:tcBorders>
              <w:top w:val="nil"/>
              <w:left w:val="nil"/>
              <w:bottom w:val="single" w:sz="4" w:space="0" w:color="auto"/>
              <w:right w:val="nil"/>
            </w:tcBorders>
            <w:hideMark/>
          </w:tcPr>
          <w:p w:rsidR="00037390" w:rsidRPr="001D318A" w:rsidRDefault="00037390" w:rsidP="008256D5">
            <w:pPr>
              <w:pStyle w:val="CGCTableStub"/>
              <w:spacing w:before="0" w:after="0"/>
              <w:rPr>
                <w:rFonts w:cstheme="minorHAnsi"/>
              </w:rPr>
            </w:pPr>
            <w:r w:rsidRPr="001D318A">
              <w:rPr>
                <w:rFonts w:cstheme="minorHAnsi"/>
              </w:rPr>
              <w:t>Net borrowing</w:t>
            </w:r>
          </w:p>
        </w:tc>
        <w:tc>
          <w:tcPr>
            <w:tcW w:w="3679" w:type="pct"/>
            <w:gridSpan w:val="2"/>
            <w:tcBorders>
              <w:top w:val="nil"/>
              <w:left w:val="nil"/>
              <w:bottom w:val="single" w:sz="4" w:space="0" w:color="auto"/>
              <w:right w:val="nil"/>
            </w:tcBorders>
            <w:hideMark/>
          </w:tcPr>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Infrastructure assets of urban transport and housing PNFCs are excluded from State net financial asset bases.</w:t>
            </w:r>
          </w:p>
          <w:p w:rsidR="00037390" w:rsidRPr="001D318A" w:rsidRDefault="00037390" w:rsidP="007F701B">
            <w:pPr>
              <w:pStyle w:val="ListParagraph"/>
              <w:numPr>
                <w:ilvl w:val="0"/>
                <w:numId w:val="11"/>
              </w:numPr>
              <w:spacing w:after="0" w:line="240" w:lineRule="auto"/>
              <w:ind w:left="339" w:hanging="339"/>
              <w:rPr>
                <w:sz w:val="20"/>
                <w:szCs w:val="20"/>
              </w:rPr>
            </w:pPr>
            <w:r w:rsidRPr="001D318A">
              <w:rPr>
                <w:sz w:val="20"/>
                <w:szCs w:val="20"/>
              </w:rPr>
              <w:t xml:space="preserve">The 25% discount on this assessment has been </w:t>
            </w:r>
            <w:r w:rsidR="007F701B" w:rsidRPr="001D318A">
              <w:rPr>
                <w:sz w:val="20"/>
                <w:szCs w:val="20"/>
              </w:rPr>
              <w:t>r</w:t>
            </w:r>
            <w:r w:rsidR="007F701B">
              <w:rPr>
                <w:sz w:val="20"/>
                <w:szCs w:val="20"/>
              </w:rPr>
              <w:t>educed to 12.5%</w:t>
            </w:r>
            <w:r w:rsidR="007F701B" w:rsidRPr="001D318A">
              <w:rPr>
                <w:sz w:val="20"/>
                <w:szCs w:val="20"/>
              </w:rPr>
              <w:t xml:space="preserve"> </w:t>
            </w:r>
            <w:r w:rsidRPr="001D318A">
              <w:rPr>
                <w:sz w:val="20"/>
                <w:szCs w:val="20"/>
              </w:rPr>
              <w:t>because the new treatment of housing and urban transport assets has reduced the possibility that not all non-policy influences on net borrowing requirements are assessed.</w:t>
            </w:r>
          </w:p>
        </w:tc>
      </w:tr>
    </w:tbl>
    <w:p w:rsidR="00037390" w:rsidRDefault="00FD2BEF" w:rsidP="00037390">
      <w:pPr>
        <w:pStyle w:val="CGCTableFootnote"/>
      </w:pPr>
      <w:r>
        <w:t>Note:</w:t>
      </w:r>
      <w:r w:rsidR="00037390" w:rsidRPr="001D318A">
        <w:tab/>
        <w:t>Acronyms used in this table are spelt out in the relevant attachments</w:t>
      </w:r>
      <w:r w:rsidR="00037390">
        <w:t>.</w:t>
      </w:r>
    </w:p>
    <w:p w:rsidR="00037390" w:rsidRDefault="00037390" w:rsidP="00037390">
      <w:pPr>
        <w:pStyle w:val="CGCTableFootnote"/>
      </w:pPr>
      <w:r>
        <w:t>Source:</w:t>
      </w:r>
      <w:r>
        <w:tab/>
      </w:r>
      <w:r w:rsidRPr="007461AB">
        <w:t>Commission</w:t>
      </w:r>
      <w:r>
        <w:t xml:space="preserve"> decisions.</w:t>
      </w:r>
    </w:p>
    <w:p w:rsidR="00037390" w:rsidRDefault="00037390" w:rsidP="00037390">
      <w:pPr>
        <w:pStyle w:val="Caption"/>
      </w:pPr>
      <w:bookmarkStart w:id="662" w:name="_Ref389647668"/>
      <w:r>
        <w:t xml:space="preserve">Table </w:t>
      </w:r>
      <w:fldSimple w:instr=" SEQ Table \* ARABIC ">
        <w:r w:rsidR="003A5DEE">
          <w:rPr>
            <w:noProof/>
          </w:rPr>
          <w:t>7</w:t>
        </w:r>
      </w:fldSimple>
      <w:bookmarkEnd w:id="662"/>
      <w:r>
        <w:tab/>
      </w:r>
      <w:r w:rsidRPr="00335945">
        <w:t>Summary of meth</w:t>
      </w:r>
      <w:r>
        <w:t>od changes in common disabilities</w:t>
      </w:r>
      <w:r w:rsidRPr="00335945">
        <w:t xml:space="preserve"> between 2010 and 2015 Reviews</w:t>
      </w:r>
      <w:r>
        <w:t xml:space="preserve"> </w:t>
      </w:r>
    </w:p>
    <w:tbl>
      <w:tblPr>
        <w:tblW w:w="5000" w:type="pct"/>
        <w:tblCellMar>
          <w:left w:w="85" w:type="dxa"/>
          <w:right w:w="85" w:type="dxa"/>
        </w:tblCellMar>
        <w:tblLook w:val="04A0" w:firstRow="1" w:lastRow="0" w:firstColumn="1" w:lastColumn="0" w:noHBand="0" w:noVBand="1"/>
      </w:tblPr>
      <w:tblGrid>
        <w:gridCol w:w="2496"/>
        <w:gridCol w:w="6625"/>
      </w:tblGrid>
      <w:tr w:rsidR="00037390" w:rsidTr="008256D5">
        <w:tc>
          <w:tcPr>
            <w:tcW w:w="1368" w:type="pct"/>
            <w:tcBorders>
              <w:top w:val="single" w:sz="6" w:space="0" w:color="auto"/>
              <w:left w:val="nil"/>
              <w:bottom w:val="single" w:sz="6" w:space="0" w:color="auto"/>
              <w:right w:val="nil"/>
            </w:tcBorders>
            <w:hideMark/>
          </w:tcPr>
          <w:p w:rsidR="00037390" w:rsidRDefault="00037390" w:rsidP="008256D5">
            <w:pPr>
              <w:pStyle w:val="TableColHeadings"/>
              <w:spacing w:line="276" w:lineRule="auto"/>
              <w:jc w:val="left"/>
              <w:rPr>
                <w:rFonts w:cstheme="minorHAnsi"/>
              </w:rPr>
            </w:pPr>
            <w:r>
              <w:rPr>
                <w:rFonts w:cstheme="minorHAnsi"/>
              </w:rPr>
              <w:t>Category</w:t>
            </w:r>
          </w:p>
        </w:tc>
        <w:tc>
          <w:tcPr>
            <w:tcW w:w="3632" w:type="pct"/>
            <w:tcBorders>
              <w:top w:val="single" w:sz="6" w:space="0" w:color="auto"/>
              <w:left w:val="nil"/>
              <w:bottom w:val="single" w:sz="6" w:space="0" w:color="auto"/>
              <w:right w:val="nil"/>
            </w:tcBorders>
            <w:hideMark/>
          </w:tcPr>
          <w:p w:rsidR="00037390" w:rsidRDefault="00037390" w:rsidP="008256D5">
            <w:pPr>
              <w:pStyle w:val="TableColHeadings"/>
              <w:spacing w:line="276" w:lineRule="auto"/>
              <w:ind w:hanging="86"/>
              <w:jc w:val="left"/>
              <w:rPr>
                <w:rFonts w:cstheme="minorHAnsi"/>
              </w:rPr>
            </w:pPr>
            <w:r>
              <w:rPr>
                <w:rFonts w:cstheme="minorHAnsi"/>
              </w:rPr>
              <w:t>Method changes</w:t>
            </w:r>
          </w:p>
        </w:tc>
      </w:tr>
      <w:tr w:rsidR="00037390" w:rsidTr="008256D5">
        <w:tc>
          <w:tcPr>
            <w:tcW w:w="1368" w:type="pct"/>
            <w:hideMark/>
          </w:tcPr>
          <w:p w:rsidR="00037390" w:rsidRPr="001D318A" w:rsidRDefault="00037390" w:rsidP="008256D5">
            <w:pPr>
              <w:pStyle w:val="CGCTableStub"/>
              <w:spacing w:before="0" w:after="0"/>
              <w:rPr>
                <w:rFonts w:cstheme="minorHAnsi"/>
              </w:rPr>
            </w:pPr>
            <w:r w:rsidRPr="001D318A">
              <w:rPr>
                <w:rFonts w:cstheme="minorHAnsi"/>
              </w:rPr>
              <w:t>Regional costs</w:t>
            </w:r>
          </w:p>
        </w:tc>
        <w:tc>
          <w:tcPr>
            <w:tcW w:w="3632" w:type="pct"/>
            <w:hideMark/>
          </w:tcPr>
          <w:p w:rsidR="00037390" w:rsidRDefault="00037390" w:rsidP="00037390">
            <w:pPr>
              <w:pStyle w:val="ListParagraph"/>
              <w:numPr>
                <w:ilvl w:val="0"/>
                <w:numId w:val="11"/>
              </w:numPr>
              <w:spacing w:after="0" w:line="240" w:lineRule="auto"/>
              <w:ind w:left="339" w:hanging="339"/>
              <w:rPr>
                <w:sz w:val="20"/>
                <w:szCs w:val="20"/>
              </w:rPr>
            </w:pPr>
            <w:r w:rsidRPr="001D318A">
              <w:rPr>
                <w:sz w:val="20"/>
                <w:szCs w:val="20"/>
              </w:rPr>
              <w:t>Remoteness is assessed on the basis of A</w:t>
            </w:r>
            <w:r>
              <w:rPr>
                <w:sz w:val="20"/>
                <w:szCs w:val="20"/>
              </w:rPr>
              <w:t>BS remoteness areas</w:t>
            </w:r>
            <w:r w:rsidRPr="001D318A">
              <w:rPr>
                <w:sz w:val="20"/>
                <w:szCs w:val="20"/>
              </w:rPr>
              <w:t xml:space="preserve"> rather than SARIA.</w:t>
            </w:r>
            <w:r>
              <w:rPr>
                <w:sz w:val="20"/>
                <w:szCs w:val="20"/>
              </w:rPr>
              <w:t xml:space="preserve"> </w:t>
            </w:r>
          </w:p>
          <w:p w:rsidR="004A661E" w:rsidRPr="001D318A" w:rsidRDefault="004A661E" w:rsidP="00037390">
            <w:pPr>
              <w:pStyle w:val="ListParagraph"/>
              <w:numPr>
                <w:ilvl w:val="0"/>
                <w:numId w:val="11"/>
              </w:numPr>
              <w:spacing w:after="0" w:line="240" w:lineRule="auto"/>
              <w:ind w:left="339" w:hanging="339"/>
              <w:rPr>
                <w:sz w:val="20"/>
                <w:szCs w:val="20"/>
              </w:rPr>
            </w:pPr>
            <w:r>
              <w:rPr>
                <w:sz w:val="20"/>
                <w:szCs w:val="20"/>
              </w:rPr>
              <w:t>Regional costs gradient in schools is calculated as part of a regression of school costs.</w:t>
            </w:r>
          </w:p>
          <w:p w:rsidR="00037390" w:rsidRPr="001D318A" w:rsidRDefault="00037390" w:rsidP="007C640F">
            <w:pPr>
              <w:pStyle w:val="ListParagraph"/>
              <w:numPr>
                <w:ilvl w:val="0"/>
                <w:numId w:val="11"/>
              </w:numPr>
              <w:spacing w:after="0" w:line="240" w:lineRule="auto"/>
              <w:ind w:left="339" w:hanging="339"/>
              <w:rPr>
                <w:sz w:val="20"/>
                <w:szCs w:val="20"/>
              </w:rPr>
            </w:pPr>
            <w:r w:rsidRPr="001D318A">
              <w:rPr>
                <w:sz w:val="20"/>
                <w:szCs w:val="20"/>
              </w:rPr>
              <w:t>For</w:t>
            </w:r>
            <w:r w:rsidR="001E778C">
              <w:rPr>
                <w:sz w:val="20"/>
                <w:szCs w:val="20"/>
              </w:rPr>
              <w:t xml:space="preserve"> categories other than Justice</w:t>
            </w:r>
            <w:r w:rsidRPr="001D318A">
              <w:rPr>
                <w:sz w:val="20"/>
                <w:szCs w:val="20"/>
              </w:rPr>
              <w:t>, where a regional cost disability is assessed, the general gradient has been applied, this is the average of the police and schools gradient</w:t>
            </w:r>
            <w:r>
              <w:rPr>
                <w:sz w:val="20"/>
                <w:szCs w:val="20"/>
              </w:rPr>
              <w:t>, discounted by 25%</w:t>
            </w:r>
            <w:r w:rsidRPr="001D318A">
              <w:rPr>
                <w:sz w:val="20"/>
                <w:szCs w:val="20"/>
              </w:rPr>
              <w:t xml:space="preserve">. </w:t>
            </w:r>
          </w:p>
        </w:tc>
      </w:tr>
      <w:tr w:rsidR="00037390" w:rsidTr="008256D5">
        <w:tc>
          <w:tcPr>
            <w:tcW w:w="1368" w:type="pct"/>
          </w:tcPr>
          <w:p w:rsidR="00037390" w:rsidRPr="001D318A" w:rsidRDefault="00210430" w:rsidP="008256D5">
            <w:pPr>
              <w:pStyle w:val="CGCTableStub"/>
              <w:spacing w:before="0" w:after="0"/>
              <w:rPr>
                <w:rFonts w:cstheme="minorHAnsi"/>
              </w:rPr>
            </w:pPr>
            <w:r>
              <w:rPr>
                <w:rFonts w:cstheme="minorHAnsi"/>
              </w:rPr>
              <w:t>Wage</w:t>
            </w:r>
            <w:r w:rsidR="00037390" w:rsidRPr="001D318A">
              <w:rPr>
                <w:rFonts w:cstheme="minorHAnsi"/>
              </w:rPr>
              <w:t xml:space="preserve"> costs</w:t>
            </w:r>
          </w:p>
        </w:tc>
        <w:tc>
          <w:tcPr>
            <w:tcW w:w="3632" w:type="pct"/>
          </w:tcPr>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The assessment method is unchanged but will be reviewed once the ABS releases a replacement for the SET data currently used in the assessment.</w:t>
            </w:r>
          </w:p>
        </w:tc>
      </w:tr>
      <w:tr w:rsidR="00037390" w:rsidTr="008256D5">
        <w:tc>
          <w:tcPr>
            <w:tcW w:w="1368" w:type="pct"/>
            <w:hideMark/>
          </w:tcPr>
          <w:p w:rsidR="00037390" w:rsidRPr="001D318A" w:rsidRDefault="00921F5E" w:rsidP="00210430">
            <w:pPr>
              <w:pStyle w:val="CGCTableStub"/>
              <w:spacing w:before="0" w:after="0"/>
              <w:rPr>
                <w:rFonts w:cstheme="minorHAnsi"/>
              </w:rPr>
            </w:pPr>
            <w:r>
              <w:rPr>
                <w:rFonts w:cstheme="minorHAnsi"/>
              </w:rPr>
              <w:t>Location adjustment</w:t>
            </w:r>
          </w:p>
        </w:tc>
        <w:tc>
          <w:tcPr>
            <w:tcW w:w="3632" w:type="pct"/>
            <w:hideMark/>
          </w:tcPr>
          <w:p w:rsidR="00037390" w:rsidRPr="001D318A" w:rsidRDefault="00037390" w:rsidP="00037390">
            <w:pPr>
              <w:pStyle w:val="ListParagraph"/>
              <w:numPr>
                <w:ilvl w:val="0"/>
                <w:numId w:val="11"/>
              </w:numPr>
              <w:spacing w:after="0" w:line="240" w:lineRule="auto"/>
              <w:ind w:left="339" w:hanging="339"/>
              <w:rPr>
                <w:sz w:val="20"/>
                <w:szCs w:val="20"/>
              </w:rPr>
            </w:pPr>
            <w:r w:rsidRPr="001D318A">
              <w:rPr>
                <w:sz w:val="20"/>
                <w:szCs w:val="20"/>
              </w:rPr>
              <w:t xml:space="preserve">A separate assessment is not undertaken but the regional costs assessment, through the move to </w:t>
            </w:r>
            <w:r>
              <w:rPr>
                <w:sz w:val="20"/>
                <w:szCs w:val="20"/>
              </w:rPr>
              <w:t xml:space="preserve">ABS remoteness areas </w:t>
            </w:r>
            <w:r w:rsidRPr="001D318A">
              <w:rPr>
                <w:sz w:val="20"/>
                <w:szCs w:val="20"/>
              </w:rPr>
              <w:t xml:space="preserve">from SARIA, </w:t>
            </w:r>
            <w:r>
              <w:rPr>
                <w:sz w:val="20"/>
                <w:szCs w:val="20"/>
              </w:rPr>
              <w:t xml:space="preserve">with a location adjustment, </w:t>
            </w:r>
            <w:r w:rsidRPr="001D318A">
              <w:rPr>
                <w:sz w:val="20"/>
                <w:szCs w:val="20"/>
              </w:rPr>
              <w:t xml:space="preserve">allows needs for </w:t>
            </w:r>
            <w:r w:rsidRPr="00805541">
              <w:rPr>
                <w:sz w:val="20"/>
                <w:szCs w:val="20"/>
              </w:rPr>
              <w:t>Western Australia</w:t>
            </w:r>
            <w:r>
              <w:rPr>
                <w:sz w:val="20"/>
                <w:szCs w:val="20"/>
              </w:rPr>
              <w:t xml:space="preserve">, </w:t>
            </w:r>
            <w:r w:rsidRPr="001D318A">
              <w:rPr>
                <w:sz w:val="20"/>
                <w:szCs w:val="20"/>
              </w:rPr>
              <w:t>Tasmania</w:t>
            </w:r>
            <w:r>
              <w:rPr>
                <w:sz w:val="20"/>
                <w:szCs w:val="20"/>
              </w:rPr>
              <w:t>, the ACT</w:t>
            </w:r>
            <w:r w:rsidRPr="001D318A">
              <w:rPr>
                <w:sz w:val="20"/>
                <w:szCs w:val="20"/>
              </w:rPr>
              <w:t xml:space="preserve"> and the Northern Territory to be recognised.</w:t>
            </w:r>
          </w:p>
        </w:tc>
      </w:tr>
      <w:tr w:rsidR="00037390" w:rsidRPr="00E747EC" w:rsidTr="008256D5">
        <w:tc>
          <w:tcPr>
            <w:tcW w:w="1368" w:type="pct"/>
            <w:hideMark/>
          </w:tcPr>
          <w:p w:rsidR="00037390" w:rsidRDefault="00037390" w:rsidP="008256D5">
            <w:pPr>
              <w:pStyle w:val="CGCTableStub"/>
              <w:spacing w:before="0" w:after="0"/>
              <w:rPr>
                <w:rFonts w:cstheme="minorHAnsi"/>
              </w:rPr>
            </w:pPr>
            <w:r>
              <w:rPr>
                <w:rFonts w:cstheme="minorHAnsi"/>
              </w:rPr>
              <w:t>Service delivery scale</w:t>
            </w:r>
          </w:p>
        </w:tc>
        <w:tc>
          <w:tcPr>
            <w:tcW w:w="3632" w:type="pct"/>
            <w:hideMark/>
          </w:tcPr>
          <w:p w:rsidR="00037390" w:rsidRPr="00CA224E" w:rsidRDefault="00037390" w:rsidP="00037390">
            <w:pPr>
              <w:pStyle w:val="ListParagraph"/>
              <w:numPr>
                <w:ilvl w:val="0"/>
                <w:numId w:val="11"/>
              </w:numPr>
              <w:spacing w:after="0" w:line="240" w:lineRule="auto"/>
              <w:ind w:left="339" w:hanging="339"/>
              <w:rPr>
                <w:sz w:val="20"/>
                <w:szCs w:val="20"/>
              </w:rPr>
            </w:pPr>
            <w:r w:rsidRPr="00CA224E">
              <w:rPr>
                <w:sz w:val="20"/>
                <w:szCs w:val="20"/>
              </w:rPr>
              <w:t>Output from the regression analysis of the ACARA data has been used to assess service delivery scale disabilities in Schools education.</w:t>
            </w:r>
          </w:p>
          <w:p w:rsidR="00037390" w:rsidRPr="00CA224E" w:rsidRDefault="00037390" w:rsidP="00037390">
            <w:pPr>
              <w:pStyle w:val="ListParagraph"/>
              <w:numPr>
                <w:ilvl w:val="0"/>
                <w:numId w:val="11"/>
              </w:numPr>
              <w:spacing w:after="0" w:line="240" w:lineRule="auto"/>
              <w:ind w:left="339" w:hanging="339"/>
              <w:rPr>
                <w:sz w:val="20"/>
                <w:szCs w:val="20"/>
              </w:rPr>
            </w:pPr>
            <w:r w:rsidRPr="00CA224E">
              <w:rPr>
                <w:sz w:val="20"/>
                <w:szCs w:val="20"/>
              </w:rPr>
              <w:t>The assessment of service delivery scale for housing and community health expenses, as well as for all Welfare services with the exception of family and child services, has ceased.</w:t>
            </w:r>
          </w:p>
        </w:tc>
      </w:tr>
      <w:tr w:rsidR="00037390" w:rsidTr="008256D5">
        <w:tc>
          <w:tcPr>
            <w:tcW w:w="1368" w:type="pct"/>
            <w:hideMark/>
          </w:tcPr>
          <w:p w:rsidR="00037390" w:rsidRDefault="00037390" w:rsidP="00210430">
            <w:pPr>
              <w:pStyle w:val="CGCTableStub"/>
              <w:spacing w:before="0" w:after="0"/>
              <w:rPr>
                <w:rFonts w:cstheme="minorHAnsi"/>
              </w:rPr>
            </w:pPr>
            <w:r>
              <w:rPr>
                <w:rFonts w:cstheme="minorHAnsi"/>
              </w:rPr>
              <w:t>I</w:t>
            </w:r>
            <w:r w:rsidR="00210430">
              <w:rPr>
                <w:rFonts w:cstheme="minorHAnsi"/>
              </w:rPr>
              <w:t>ndigenous status</w:t>
            </w:r>
          </w:p>
        </w:tc>
        <w:tc>
          <w:tcPr>
            <w:tcW w:w="3632" w:type="pct"/>
            <w:hideMark/>
          </w:tcPr>
          <w:p w:rsidR="00037390" w:rsidRPr="00CA224E" w:rsidRDefault="00037390" w:rsidP="004A661E">
            <w:pPr>
              <w:pStyle w:val="ListParagraph"/>
              <w:numPr>
                <w:ilvl w:val="0"/>
                <w:numId w:val="11"/>
              </w:numPr>
              <w:spacing w:after="0" w:line="240" w:lineRule="auto"/>
              <w:ind w:left="339" w:hanging="339"/>
              <w:rPr>
                <w:sz w:val="20"/>
                <w:szCs w:val="20"/>
              </w:rPr>
            </w:pPr>
            <w:r w:rsidRPr="00CA224E">
              <w:rPr>
                <w:sz w:val="20"/>
                <w:szCs w:val="20"/>
              </w:rPr>
              <w:t xml:space="preserve">Where we use a geographic measure of socio-economic status, we use the Indigenous specific </w:t>
            </w:r>
            <w:proofErr w:type="gramStart"/>
            <w:r w:rsidRPr="00CA224E">
              <w:rPr>
                <w:sz w:val="20"/>
                <w:szCs w:val="20"/>
              </w:rPr>
              <w:t>IRSEO,</w:t>
            </w:r>
            <w:proofErr w:type="gramEnd"/>
            <w:r w:rsidRPr="00CA224E">
              <w:rPr>
                <w:sz w:val="20"/>
                <w:szCs w:val="20"/>
              </w:rPr>
              <w:t xml:space="preserve"> and non-Indigenous specific NISEIFA measures where appropriate. In the 2010 Review</w:t>
            </w:r>
            <w:r>
              <w:rPr>
                <w:sz w:val="20"/>
                <w:szCs w:val="20"/>
              </w:rPr>
              <w:t>,</w:t>
            </w:r>
            <w:r w:rsidRPr="00CA224E">
              <w:rPr>
                <w:sz w:val="20"/>
                <w:szCs w:val="20"/>
              </w:rPr>
              <w:t xml:space="preserve"> we used a generic SEIFA to measure relative disadvantage for both Indigenous and </w:t>
            </w:r>
            <w:r>
              <w:rPr>
                <w:sz w:val="20"/>
                <w:szCs w:val="20"/>
              </w:rPr>
              <w:t>n</w:t>
            </w:r>
            <w:r w:rsidRPr="00CA224E">
              <w:rPr>
                <w:sz w:val="20"/>
                <w:szCs w:val="20"/>
              </w:rPr>
              <w:t xml:space="preserve">on-Indigenous people. This change has been applied in </w:t>
            </w:r>
            <w:r w:rsidR="00921F5E">
              <w:rPr>
                <w:sz w:val="20"/>
                <w:szCs w:val="20"/>
              </w:rPr>
              <w:t xml:space="preserve">the </w:t>
            </w:r>
            <w:r w:rsidRPr="00CA224E">
              <w:rPr>
                <w:sz w:val="20"/>
                <w:szCs w:val="20"/>
              </w:rPr>
              <w:t>Health, Post</w:t>
            </w:r>
            <w:r>
              <w:rPr>
                <w:sz w:val="20"/>
                <w:szCs w:val="20"/>
              </w:rPr>
              <w:noBreakHyphen/>
            </w:r>
            <w:r w:rsidRPr="00CA224E">
              <w:rPr>
                <w:sz w:val="20"/>
                <w:szCs w:val="20"/>
              </w:rPr>
              <w:t>secondary education</w:t>
            </w:r>
            <w:r>
              <w:rPr>
                <w:sz w:val="20"/>
                <w:szCs w:val="20"/>
              </w:rPr>
              <w:t>,</w:t>
            </w:r>
            <w:r w:rsidRPr="00CA224E">
              <w:rPr>
                <w:sz w:val="20"/>
                <w:szCs w:val="20"/>
              </w:rPr>
              <w:t xml:space="preserve"> Welfare and </w:t>
            </w:r>
            <w:r>
              <w:rPr>
                <w:sz w:val="20"/>
                <w:szCs w:val="20"/>
              </w:rPr>
              <w:t>Justice</w:t>
            </w:r>
            <w:r w:rsidR="00921F5E">
              <w:rPr>
                <w:sz w:val="20"/>
                <w:szCs w:val="20"/>
              </w:rPr>
              <w:t xml:space="preserve"> </w:t>
            </w:r>
            <w:proofErr w:type="gramStart"/>
            <w:r w:rsidR="00921F5E">
              <w:rPr>
                <w:sz w:val="20"/>
                <w:szCs w:val="20"/>
              </w:rPr>
              <w:t>categories</w:t>
            </w:r>
            <w:proofErr w:type="gramEnd"/>
            <w:r w:rsidRPr="00CA224E">
              <w:rPr>
                <w:sz w:val="20"/>
                <w:szCs w:val="20"/>
              </w:rPr>
              <w:t>.</w:t>
            </w:r>
          </w:p>
        </w:tc>
      </w:tr>
      <w:tr w:rsidR="00037390" w:rsidTr="008256D5">
        <w:tc>
          <w:tcPr>
            <w:tcW w:w="1368" w:type="pct"/>
            <w:tcBorders>
              <w:top w:val="nil"/>
              <w:left w:val="nil"/>
              <w:bottom w:val="single" w:sz="4" w:space="0" w:color="auto"/>
              <w:right w:val="nil"/>
            </w:tcBorders>
            <w:hideMark/>
          </w:tcPr>
          <w:p w:rsidR="00037390" w:rsidRDefault="00037390" w:rsidP="008256D5">
            <w:pPr>
              <w:pStyle w:val="CGCTableStub"/>
              <w:spacing w:before="0" w:after="0"/>
              <w:rPr>
                <w:rFonts w:cstheme="minorHAnsi"/>
              </w:rPr>
            </w:pPr>
            <w:r>
              <w:rPr>
                <w:rFonts w:cstheme="minorHAnsi"/>
              </w:rPr>
              <w:t>Cultural and linguistic diversity</w:t>
            </w:r>
          </w:p>
        </w:tc>
        <w:tc>
          <w:tcPr>
            <w:tcW w:w="3632" w:type="pct"/>
            <w:tcBorders>
              <w:top w:val="nil"/>
              <w:left w:val="nil"/>
              <w:bottom w:val="single" w:sz="4" w:space="0" w:color="auto"/>
              <w:right w:val="nil"/>
            </w:tcBorders>
            <w:hideMark/>
          </w:tcPr>
          <w:p w:rsidR="00037390" w:rsidRPr="00CA224E" w:rsidRDefault="00037390" w:rsidP="00037390">
            <w:pPr>
              <w:pStyle w:val="ListParagraph"/>
              <w:numPr>
                <w:ilvl w:val="0"/>
                <w:numId w:val="11"/>
              </w:numPr>
              <w:spacing w:after="0" w:line="240" w:lineRule="auto"/>
              <w:ind w:left="339" w:hanging="339"/>
              <w:rPr>
                <w:sz w:val="20"/>
                <w:szCs w:val="20"/>
              </w:rPr>
            </w:pPr>
            <w:r w:rsidRPr="00CA224E">
              <w:rPr>
                <w:sz w:val="20"/>
                <w:szCs w:val="20"/>
              </w:rPr>
              <w:t>Cultural and linguistic diversity is no longer assessed.</w:t>
            </w:r>
          </w:p>
        </w:tc>
      </w:tr>
    </w:tbl>
    <w:p w:rsidR="00037390" w:rsidRDefault="00FD2BEF" w:rsidP="00037390">
      <w:pPr>
        <w:pStyle w:val="CGCTableFootnote"/>
      </w:pPr>
      <w:r>
        <w:t>Note:</w:t>
      </w:r>
      <w:r w:rsidR="00037390">
        <w:tab/>
        <w:t>Acronyms used in this table are spelt out in the relevant attachments.</w:t>
      </w:r>
    </w:p>
    <w:p w:rsidR="00037390" w:rsidRDefault="00037390" w:rsidP="00037390">
      <w:pPr>
        <w:pStyle w:val="CGCTableFootnote"/>
      </w:pPr>
      <w:r>
        <w:t>Source:</w:t>
      </w:r>
      <w:r>
        <w:tab/>
        <w:t>Commission decisions.</w:t>
      </w:r>
    </w:p>
    <w:p w:rsidR="00037390" w:rsidRDefault="00037390" w:rsidP="00037390">
      <w:pPr>
        <w:pStyle w:val="Heading3"/>
      </w:pPr>
      <w:bookmarkStart w:id="663" w:name="_Toc411924617"/>
      <w:bookmarkStart w:id="664" w:name="_Toc316722142"/>
      <w:r>
        <w:lastRenderedPageBreak/>
        <w:t>Revisions to data</w:t>
      </w:r>
      <w:bookmarkEnd w:id="663"/>
    </w:p>
    <w:p w:rsidR="00037390" w:rsidRDefault="00037390" w:rsidP="00037390">
      <w:pPr>
        <w:pStyle w:val="CGCNumberedPara"/>
        <w:numPr>
          <w:ilvl w:val="1"/>
          <w:numId w:val="2"/>
        </w:numPr>
      </w:pPr>
      <w:r>
        <w:t>In every inquiry we revise data to ensure that we use the latest available data to reflect our best measure of State circumstances. We incorporate revisions made by ABS and other data providers to the datasets we use. In addition to this, we have updated some data not available annually. Finally, in this review, we have identified a number of better data sources.</w:t>
      </w:r>
    </w:p>
    <w:p w:rsidR="00037390" w:rsidRPr="00124804" w:rsidRDefault="00DD5521" w:rsidP="00037390">
      <w:pPr>
        <w:pStyle w:val="CGCNumberedPara"/>
        <w:numPr>
          <w:ilvl w:val="1"/>
          <w:numId w:val="2"/>
        </w:numPr>
      </w:pPr>
      <w:fldSimple w:instr=" REF _Ref410821276 ">
        <w:r w:rsidR="003A5DEE">
          <w:t xml:space="preserve">Table </w:t>
        </w:r>
        <w:r w:rsidR="003A5DEE">
          <w:rPr>
            <w:noProof/>
          </w:rPr>
          <w:t>8</w:t>
        </w:r>
      </w:fldSimple>
      <w:r w:rsidR="00037390">
        <w:t xml:space="preserve"> shows the main impacts of revisions to data.</w:t>
      </w:r>
    </w:p>
    <w:p w:rsidR="00037390" w:rsidRDefault="00037390" w:rsidP="00037390">
      <w:pPr>
        <w:pStyle w:val="Caption"/>
      </w:pPr>
      <w:bookmarkStart w:id="665" w:name="_Ref410821276"/>
      <w:r>
        <w:t xml:space="preserve">Table </w:t>
      </w:r>
      <w:fldSimple w:instr=" SEQ Table \* ARABIC ">
        <w:r w:rsidR="003A5DEE">
          <w:rPr>
            <w:noProof/>
          </w:rPr>
          <w:t>8</w:t>
        </w:r>
      </w:fldSimple>
      <w:bookmarkEnd w:id="665"/>
      <w:r>
        <w:tab/>
      </w:r>
      <w:r w:rsidRPr="00080DDF">
        <w:t xml:space="preserve">Effect of </w:t>
      </w:r>
      <w:r>
        <w:t xml:space="preserve">data revisions </w:t>
      </w:r>
      <w:r w:rsidRPr="00080DDF">
        <w:t>on the illustrative GST distribution, 2015</w:t>
      </w:r>
      <w:r w:rsidRPr="00080DDF">
        <w:noBreakHyphen/>
        <w:t>16</w:t>
      </w:r>
    </w:p>
    <w:tbl>
      <w:tblPr>
        <w:tblW w:w="8960" w:type="dxa"/>
        <w:tblInd w:w="93" w:type="dxa"/>
        <w:tblLook w:val="04A0" w:firstRow="1" w:lastRow="0" w:firstColumn="1" w:lastColumn="0" w:noHBand="0" w:noVBand="1"/>
      </w:tblPr>
      <w:tblGrid>
        <w:gridCol w:w="1880"/>
        <w:gridCol w:w="840"/>
        <w:gridCol w:w="820"/>
        <w:gridCol w:w="760"/>
        <w:gridCol w:w="760"/>
        <w:gridCol w:w="720"/>
        <w:gridCol w:w="740"/>
        <w:gridCol w:w="760"/>
        <w:gridCol w:w="720"/>
        <w:gridCol w:w="960"/>
      </w:tblGrid>
      <w:tr w:rsidR="006B46D2" w:rsidRPr="002D5942" w:rsidTr="00236E06">
        <w:trPr>
          <w:trHeight w:val="379"/>
        </w:trPr>
        <w:tc>
          <w:tcPr>
            <w:tcW w:w="188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bookmarkStart w:id="666" w:name="RANGE!A48:J54"/>
            <w:r w:rsidRPr="002D5942">
              <w:rPr>
                <w:rFonts w:ascii="Calibri" w:eastAsia="Times New Roman" w:hAnsi="Calibri" w:cs="Times New Roman"/>
                <w:sz w:val="20"/>
                <w:szCs w:val="20"/>
                <w:lang w:eastAsia="en-AU"/>
              </w:rPr>
              <w:t> </w:t>
            </w:r>
            <w:bookmarkEnd w:id="666"/>
          </w:p>
        </w:tc>
        <w:tc>
          <w:tcPr>
            <w:tcW w:w="84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NSW</w:t>
            </w:r>
          </w:p>
        </w:tc>
        <w:tc>
          <w:tcPr>
            <w:tcW w:w="82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Vic</w:t>
            </w:r>
          </w:p>
        </w:tc>
        <w:tc>
          <w:tcPr>
            <w:tcW w:w="76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Qld</w:t>
            </w:r>
          </w:p>
        </w:tc>
        <w:tc>
          <w:tcPr>
            <w:tcW w:w="76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WA</w:t>
            </w:r>
          </w:p>
        </w:tc>
        <w:tc>
          <w:tcPr>
            <w:tcW w:w="72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SA</w:t>
            </w:r>
          </w:p>
        </w:tc>
        <w:tc>
          <w:tcPr>
            <w:tcW w:w="74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proofErr w:type="spellStart"/>
            <w:r w:rsidRPr="002D5942">
              <w:rPr>
                <w:rFonts w:ascii="Calibri" w:eastAsia="Times New Roman" w:hAnsi="Calibri" w:cs="Times New Roman"/>
                <w:sz w:val="20"/>
                <w:szCs w:val="20"/>
                <w:lang w:eastAsia="en-AU"/>
              </w:rPr>
              <w:t>Tas</w:t>
            </w:r>
            <w:proofErr w:type="spellEnd"/>
          </w:p>
        </w:tc>
        <w:tc>
          <w:tcPr>
            <w:tcW w:w="76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ACT</w:t>
            </w:r>
          </w:p>
        </w:tc>
        <w:tc>
          <w:tcPr>
            <w:tcW w:w="72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NT</w:t>
            </w:r>
          </w:p>
        </w:tc>
        <w:tc>
          <w:tcPr>
            <w:tcW w:w="96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proofErr w:type="spellStart"/>
            <w:r w:rsidRPr="002D5942">
              <w:rPr>
                <w:rFonts w:ascii="Calibri" w:eastAsia="Times New Roman" w:hAnsi="Calibri" w:cs="Times New Roman"/>
                <w:sz w:val="20"/>
                <w:szCs w:val="20"/>
                <w:lang w:eastAsia="en-AU"/>
              </w:rPr>
              <w:t>Redist</w:t>
            </w:r>
            <w:proofErr w:type="spellEnd"/>
          </w:p>
        </w:tc>
      </w:tr>
      <w:tr w:rsidR="006B46D2" w:rsidRPr="002D5942" w:rsidTr="00236E06">
        <w:trPr>
          <w:trHeight w:val="259"/>
        </w:trPr>
        <w:tc>
          <w:tcPr>
            <w:tcW w:w="1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p>
        </w:tc>
        <w:tc>
          <w:tcPr>
            <w:tcW w:w="8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$m</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$m</w:t>
            </w:r>
          </w:p>
        </w:tc>
      </w:tr>
      <w:tr w:rsidR="006B46D2" w:rsidRPr="002D5942" w:rsidTr="00236E06">
        <w:trPr>
          <w:trHeight w:val="315"/>
        </w:trPr>
        <w:tc>
          <w:tcPr>
            <w:tcW w:w="1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Roads investment</w:t>
            </w:r>
          </w:p>
        </w:tc>
        <w:tc>
          <w:tcPr>
            <w:tcW w:w="8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-177</w:t>
            </w:r>
          </w:p>
        </w:tc>
        <w:tc>
          <w:tcPr>
            <w:tcW w:w="8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-121</w:t>
            </w:r>
          </w:p>
        </w:tc>
        <w:tc>
          <w:tcPr>
            <w:tcW w:w="7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44</w:t>
            </w:r>
          </w:p>
        </w:tc>
        <w:tc>
          <w:tcPr>
            <w:tcW w:w="7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225</w:t>
            </w:r>
          </w:p>
        </w:tc>
        <w:tc>
          <w:tcPr>
            <w:tcW w:w="7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-14</w:t>
            </w:r>
          </w:p>
        </w:tc>
        <w:tc>
          <w:tcPr>
            <w:tcW w:w="7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-15</w:t>
            </w:r>
          </w:p>
        </w:tc>
        <w:tc>
          <w:tcPr>
            <w:tcW w:w="7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-16</w:t>
            </w:r>
          </w:p>
        </w:tc>
        <w:tc>
          <w:tcPr>
            <w:tcW w:w="7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75</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344</w:t>
            </w:r>
          </w:p>
        </w:tc>
      </w:tr>
      <w:tr w:rsidR="006B46D2" w:rsidRPr="002D5942" w:rsidTr="00236E06">
        <w:trPr>
          <w:trHeight w:val="315"/>
        </w:trPr>
        <w:tc>
          <w:tcPr>
            <w:tcW w:w="1880" w:type="dxa"/>
            <w:tcBorders>
              <w:top w:val="nil"/>
              <w:left w:val="nil"/>
              <w:bottom w:val="nil"/>
              <w:right w:val="nil"/>
            </w:tcBorders>
            <w:shd w:val="clear" w:color="auto" w:fill="auto"/>
            <w:vAlign w:val="bottom"/>
            <w:hideMark/>
          </w:tcPr>
          <w:p w:rsidR="006B46D2" w:rsidRPr="002D5942"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Payrolls paid</w:t>
            </w:r>
          </w:p>
        </w:tc>
        <w:tc>
          <w:tcPr>
            <w:tcW w:w="8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-6</w:t>
            </w:r>
          </w:p>
        </w:tc>
        <w:tc>
          <w:tcPr>
            <w:tcW w:w="8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68</w:t>
            </w:r>
          </w:p>
        </w:tc>
        <w:tc>
          <w:tcPr>
            <w:tcW w:w="7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-23</w:t>
            </w:r>
          </w:p>
        </w:tc>
        <w:tc>
          <w:tcPr>
            <w:tcW w:w="7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w:t>
            </w:r>
          </w:p>
        </w:tc>
        <w:tc>
          <w:tcPr>
            <w:tcW w:w="7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-8</w:t>
            </w:r>
          </w:p>
        </w:tc>
        <w:tc>
          <w:tcPr>
            <w:tcW w:w="7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3</w:t>
            </w:r>
          </w:p>
        </w:tc>
        <w:tc>
          <w:tcPr>
            <w:tcW w:w="7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-35</w:t>
            </w:r>
          </w:p>
        </w:tc>
        <w:tc>
          <w:tcPr>
            <w:tcW w:w="7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73</w:t>
            </w:r>
          </w:p>
        </w:tc>
      </w:tr>
      <w:tr w:rsidR="008C67F5" w:rsidRPr="002D5942" w:rsidTr="00236E06">
        <w:trPr>
          <w:trHeight w:val="315"/>
        </w:trPr>
        <w:tc>
          <w:tcPr>
            <w:tcW w:w="1880" w:type="dxa"/>
            <w:tcBorders>
              <w:top w:val="nil"/>
              <w:left w:val="nil"/>
              <w:bottom w:val="nil"/>
              <w:right w:val="nil"/>
            </w:tcBorders>
            <w:shd w:val="clear" w:color="auto" w:fill="auto"/>
            <w:vAlign w:val="bottom"/>
          </w:tcPr>
          <w:p w:rsidR="008C67F5" w:rsidRPr="002D5942" w:rsidRDefault="008C67F5" w:rsidP="00236E06">
            <w:pPr>
              <w:keepNext/>
              <w:tabs>
                <w:tab w:val="clear" w:pos="567"/>
              </w:tabs>
              <w:spacing w:after="0" w:line="240" w:lineRule="auto"/>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Land tax</w:t>
            </w:r>
          </w:p>
        </w:tc>
        <w:tc>
          <w:tcPr>
            <w:tcW w:w="840" w:type="dxa"/>
            <w:tcBorders>
              <w:top w:val="nil"/>
              <w:left w:val="nil"/>
              <w:bottom w:val="nil"/>
              <w:right w:val="nil"/>
            </w:tcBorders>
            <w:shd w:val="clear" w:color="auto" w:fill="auto"/>
            <w:noWrap/>
            <w:vAlign w:val="bottom"/>
          </w:tcPr>
          <w:p w:rsidR="008C67F5" w:rsidRPr="00AE4BB6" w:rsidRDefault="008C67F5" w:rsidP="008C67F5">
            <w:pPr>
              <w:keepNext/>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12</w:t>
            </w:r>
          </w:p>
        </w:tc>
        <w:tc>
          <w:tcPr>
            <w:tcW w:w="820" w:type="dxa"/>
            <w:tcBorders>
              <w:top w:val="nil"/>
              <w:left w:val="nil"/>
              <w:bottom w:val="nil"/>
              <w:right w:val="nil"/>
            </w:tcBorders>
            <w:shd w:val="clear" w:color="auto" w:fill="auto"/>
            <w:noWrap/>
            <w:vAlign w:val="bottom"/>
          </w:tcPr>
          <w:p w:rsidR="008C67F5" w:rsidRPr="00AE4BB6" w:rsidRDefault="008C67F5" w:rsidP="008C67F5">
            <w:pPr>
              <w:keepNext/>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-25</w:t>
            </w:r>
          </w:p>
        </w:tc>
        <w:tc>
          <w:tcPr>
            <w:tcW w:w="760" w:type="dxa"/>
            <w:tcBorders>
              <w:top w:val="nil"/>
              <w:left w:val="nil"/>
              <w:bottom w:val="nil"/>
              <w:right w:val="nil"/>
            </w:tcBorders>
            <w:shd w:val="clear" w:color="auto" w:fill="auto"/>
            <w:noWrap/>
            <w:vAlign w:val="bottom"/>
          </w:tcPr>
          <w:p w:rsidR="008C67F5" w:rsidRPr="00AE4BB6" w:rsidRDefault="008C67F5" w:rsidP="008C67F5">
            <w:pPr>
              <w:keepNext/>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-42</w:t>
            </w:r>
          </w:p>
        </w:tc>
        <w:tc>
          <w:tcPr>
            <w:tcW w:w="760" w:type="dxa"/>
            <w:tcBorders>
              <w:top w:val="nil"/>
              <w:left w:val="nil"/>
              <w:bottom w:val="nil"/>
              <w:right w:val="nil"/>
            </w:tcBorders>
            <w:shd w:val="clear" w:color="auto" w:fill="auto"/>
            <w:noWrap/>
            <w:vAlign w:val="bottom"/>
          </w:tcPr>
          <w:p w:rsidR="008C67F5" w:rsidRPr="00AE4BB6" w:rsidRDefault="008C67F5" w:rsidP="008C67F5">
            <w:pPr>
              <w:keepNext/>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4</w:t>
            </w:r>
          </w:p>
        </w:tc>
        <w:tc>
          <w:tcPr>
            <w:tcW w:w="720" w:type="dxa"/>
            <w:tcBorders>
              <w:top w:val="nil"/>
              <w:left w:val="nil"/>
              <w:bottom w:val="nil"/>
              <w:right w:val="nil"/>
            </w:tcBorders>
            <w:shd w:val="clear" w:color="auto" w:fill="auto"/>
            <w:noWrap/>
            <w:vAlign w:val="bottom"/>
          </w:tcPr>
          <w:p w:rsidR="008C67F5" w:rsidRPr="00AE4BB6" w:rsidRDefault="008C67F5" w:rsidP="008C67F5">
            <w:pPr>
              <w:keepNext/>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55</w:t>
            </w:r>
          </w:p>
        </w:tc>
        <w:tc>
          <w:tcPr>
            <w:tcW w:w="740" w:type="dxa"/>
            <w:tcBorders>
              <w:top w:val="nil"/>
              <w:left w:val="nil"/>
              <w:bottom w:val="nil"/>
              <w:right w:val="nil"/>
            </w:tcBorders>
            <w:shd w:val="clear" w:color="auto" w:fill="auto"/>
            <w:noWrap/>
            <w:vAlign w:val="bottom"/>
          </w:tcPr>
          <w:p w:rsidR="008C67F5" w:rsidRPr="00AE4BB6" w:rsidRDefault="008C67F5" w:rsidP="008C67F5">
            <w:pPr>
              <w:keepNext/>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-2</w:t>
            </w:r>
          </w:p>
        </w:tc>
        <w:tc>
          <w:tcPr>
            <w:tcW w:w="760" w:type="dxa"/>
            <w:tcBorders>
              <w:top w:val="nil"/>
              <w:left w:val="nil"/>
              <w:bottom w:val="nil"/>
              <w:right w:val="nil"/>
            </w:tcBorders>
            <w:shd w:val="clear" w:color="auto" w:fill="auto"/>
            <w:noWrap/>
            <w:vAlign w:val="bottom"/>
          </w:tcPr>
          <w:p w:rsidR="008C67F5" w:rsidRPr="00AE4BB6" w:rsidRDefault="008C67F5" w:rsidP="008C67F5">
            <w:pPr>
              <w:keepNext/>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-1</w:t>
            </w:r>
          </w:p>
        </w:tc>
        <w:tc>
          <w:tcPr>
            <w:tcW w:w="720" w:type="dxa"/>
            <w:tcBorders>
              <w:top w:val="nil"/>
              <w:left w:val="nil"/>
              <w:bottom w:val="nil"/>
              <w:right w:val="nil"/>
            </w:tcBorders>
            <w:shd w:val="clear" w:color="auto" w:fill="auto"/>
            <w:noWrap/>
            <w:vAlign w:val="bottom"/>
          </w:tcPr>
          <w:p w:rsidR="008C67F5" w:rsidRPr="00AE4BB6" w:rsidRDefault="008C67F5" w:rsidP="008C67F5">
            <w:pPr>
              <w:keepNext/>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-1</w:t>
            </w:r>
          </w:p>
        </w:tc>
        <w:tc>
          <w:tcPr>
            <w:tcW w:w="960" w:type="dxa"/>
            <w:tcBorders>
              <w:top w:val="nil"/>
              <w:left w:val="nil"/>
              <w:bottom w:val="nil"/>
              <w:right w:val="nil"/>
            </w:tcBorders>
            <w:shd w:val="clear" w:color="auto" w:fill="auto"/>
            <w:noWrap/>
            <w:vAlign w:val="bottom"/>
          </w:tcPr>
          <w:p w:rsidR="008C67F5" w:rsidRPr="00AE4BB6" w:rsidRDefault="008C67F5" w:rsidP="008C67F5">
            <w:pPr>
              <w:keepNext/>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72</w:t>
            </w:r>
          </w:p>
        </w:tc>
      </w:tr>
      <w:tr w:rsidR="008C67F5" w:rsidRPr="002D5942" w:rsidTr="00236E06">
        <w:trPr>
          <w:trHeight w:val="315"/>
        </w:trPr>
        <w:tc>
          <w:tcPr>
            <w:tcW w:w="1880" w:type="dxa"/>
            <w:tcBorders>
              <w:top w:val="nil"/>
              <w:left w:val="nil"/>
              <w:bottom w:val="nil"/>
              <w:right w:val="nil"/>
            </w:tcBorders>
            <w:shd w:val="clear" w:color="auto" w:fill="auto"/>
            <w:vAlign w:val="bottom"/>
            <w:hideMark/>
          </w:tcPr>
          <w:p w:rsidR="008C67F5" w:rsidRPr="002D5942" w:rsidRDefault="008C67F5"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Student transport</w:t>
            </w:r>
          </w:p>
        </w:tc>
        <w:tc>
          <w:tcPr>
            <w:tcW w:w="840" w:type="dxa"/>
            <w:tcBorders>
              <w:top w:val="nil"/>
              <w:left w:val="nil"/>
              <w:bottom w:val="nil"/>
              <w:right w:val="nil"/>
            </w:tcBorders>
            <w:shd w:val="clear" w:color="auto" w:fill="auto"/>
            <w:noWrap/>
            <w:vAlign w:val="bottom"/>
            <w:hideMark/>
          </w:tcPr>
          <w:p w:rsidR="008C67F5" w:rsidRPr="002D5942" w:rsidRDefault="008C67F5"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30</w:t>
            </w:r>
          </w:p>
        </w:tc>
        <w:tc>
          <w:tcPr>
            <w:tcW w:w="820" w:type="dxa"/>
            <w:tcBorders>
              <w:top w:val="nil"/>
              <w:left w:val="nil"/>
              <w:bottom w:val="nil"/>
              <w:right w:val="nil"/>
            </w:tcBorders>
            <w:shd w:val="clear" w:color="auto" w:fill="auto"/>
            <w:noWrap/>
            <w:vAlign w:val="bottom"/>
            <w:hideMark/>
          </w:tcPr>
          <w:p w:rsidR="008C67F5" w:rsidRPr="002D5942" w:rsidRDefault="008C67F5"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28</w:t>
            </w:r>
          </w:p>
        </w:tc>
        <w:tc>
          <w:tcPr>
            <w:tcW w:w="760" w:type="dxa"/>
            <w:tcBorders>
              <w:top w:val="nil"/>
              <w:left w:val="nil"/>
              <w:bottom w:val="nil"/>
              <w:right w:val="nil"/>
            </w:tcBorders>
            <w:shd w:val="clear" w:color="auto" w:fill="auto"/>
            <w:noWrap/>
            <w:vAlign w:val="bottom"/>
            <w:hideMark/>
          </w:tcPr>
          <w:p w:rsidR="008C67F5" w:rsidRPr="002D5942" w:rsidRDefault="008C67F5"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-18</w:t>
            </w:r>
          </w:p>
        </w:tc>
        <w:tc>
          <w:tcPr>
            <w:tcW w:w="760" w:type="dxa"/>
            <w:tcBorders>
              <w:top w:val="nil"/>
              <w:left w:val="nil"/>
              <w:bottom w:val="nil"/>
              <w:right w:val="nil"/>
            </w:tcBorders>
            <w:shd w:val="clear" w:color="auto" w:fill="auto"/>
            <w:noWrap/>
            <w:vAlign w:val="bottom"/>
            <w:hideMark/>
          </w:tcPr>
          <w:p w:rsidR="008C67F5" w:rsidRPr="002D5942" w:rsidRDefault="008C67F5"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-14</w:t>
            </w:r>
          </w:p>
        </w:tc>
        <w:tc>
          <w:tcPr>
            <w:tcW w:w="720" w:type="dxa"/>
            <w:tcBorders>
              <w:top w:val="nil"/>
              <w:left w:val="nil"/>
              <w:bottom w:val="nil"/>
              <w:right w:val="nil"/>
            </w:tcBorders>
            <w:shd w:val="clear" w:color="auto" w:fill="auto"/>
            <w:noWrap/>
            <w:vAlign w:val="bottom"/>
            <w:hideMark/>
          </w:tcPr>
          <w:p w:rsidR="008C67F5" w:rsidRPr="002D5942" w:rsidRDefault="008C67F5"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w:t>
            </w:r>
          </w:p>
        </w:tc>
        <w:tc>
          <w:tcPr>
            <w:tcW w:w="740" w:type="dxa"/>
            <w:tcBorders>
              <w:top w:val="nil"/>
              <w:left w:val="nil"/>
              <w:bottom w:val="nil"/>
              <w:right w:val="nil"/>
            </w:tcBorders>
            <w:shd w:val="clear" w:color="auto" w:fill="auto"/>
            <w:noWrap/>
            <w:vAlign w:val="bottom"/>
            <w:hideMark/>
          </w:tcPr>
          <w:p w:rsidR="008C67F5" w:rsidRPr="002D5942" w:rsidRDefault="008C67F5"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-4</w:t>
            </w:r>
          </w:p>
        </w:tc>
        <w:tc>
          <w:tcPr>
            <w:tcW w:w="760" w:type="dxa"/>
            <w:tcBorders>
              <w:top w:val="nil"/>
              <w:left w:val="nil"/>
              <w:bottom w:val="nil"/>
              <w:right w:val="nil"/>
            </w:tcBorders>
            <w:shd w:val="clear" w:color="auto" w:fill="auto"/>
            <w:noWrap/>
            <w:vAlign w:val="bottom"/>
            <w:hideMark/>
          </w:tcPr>
          <w:p w:rsidR="008C67F5" w:rsidRPr="002D5942" w:rsidRDefault="008C67F5"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9</w:t>
            </w:r>
          </w:p>
        </w:tc>
        <w:tc>
          <w:tcPr>
            <w:tcW w:w="720" w:type="dxa"/>
            <w:tcBorders>
              <w:top w:val="nil"/>
              <w:left w:val="nil"/>
              <w:bottom w:val="nil"/>
              <w:right w:val="nil"/>
            </w:tcBorders>
            <w:shd w:val="clear" w:color="auto" w:fill="auto"/>
            <w:noWrap/>
            <w:vAlign w:val="bottom"/>
            <w:hideMark/>
          </w:tcPr>
          <w:p w:rsidR="008C67F5" w:rsidRPr="002D5942" w:rsidRDefault="008C67F5"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-33</w:t>
            </w:r>
          </w:p>
        </w:tc>
        <w:tc>
          <w:tcPr>
            <w:tcW w:w="960" w:type="dxa"/>
            <w:tcBorders>
              <w:top w:val="nil"/>
              <w:left w:val="nil"/>
              <w:bottom w:val="nil"/>
              <w:right w:val="nil"/>
            </w:tcBorders>
            <w:shd w:val="clear" w:color="auto" w:fill="auto"/>
            <w:noWrap/>
            <w:vAlign w:val="bottom"/>
            <w:hideMark/>
          </w:tcPr>
          <w:p w:rsidR="008C67F5" w:rsidRPr="002D5942" w:rsidRDefault="008C67F5"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69</w:t>
            </w:r>
          </w:p>
        </w:tc>
      </w:tr>
      <w:tr w:rsidR="008C67F5" w:rsidRPr="002D5942" w:rsidTr="00236E06">
        <w:trPr>
          <w:trHeight w:val="315"/>
        </w:trPr>
        <w:tc>
          <w:tcPr>
            <w:tcW w:w="1880" w:type="dxa"/>
            <w:tcBorders>
              <w:top w:val="nil"/>
              <w:left w:val="nil"/>
              <w:bottom w:val="nil"/>
              <w:right w:val="nil"/>
            </w:tcBorders>
            <w:shd w:val="clear" w:color="auto" w:fill="auto"/>
            <w:noWrap/>
            <w:vAlign w:val="bottom"/>
            <w:hideMark/>
          </w:tcPr>
          <w:p w:rsidR="008C67F5" w:rsidRPr="002D5942" w:rsidRDefault="008C67F5"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Other</w:t>
            </w:r>
          </w:p>
        </w:tc>
        <w:tc>
          <w:tcPr>
            <w:tcW w:w="840" w:type="dxa"/>
            <w:tcBorders>
              <w:top w:val="nil"/>
              <w:left w:val="nil"/>
              <w:bottom w:val="nil"/>
              <w:right w:val="nil"/>
            </w:tcBorders>
            <w:shd w:val="clear" w:color="auto" w:fill="auto"/>
            <w:noWrap/>
            <w:vAlign w:val="bottom"/>
            <w:hideMark/>
          </w:tcPr>
          <w:p w:rsidR="008C67F5" w:rsidRPr="00AE4BB6"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13</w:t>
            </w:r>
          </w:p>
        </w:tc>
        <w:tc>
          <w:tcPr>
            <w:tcW w:w="820" w:type="dxa"/>
            <w:tcBorders>
              <w:top w:val="nil"/>
              <w:left w:val="nil"/>
              <w:bottom w:val="nil"/>
              <w:right w:val="nil"/>
            </w:tcBorders>
            <w:shd w:val="clear" w:color="auto" w:fill="auto"/>
            <w:noWrap/>
            <w:vAlign w:val="bottom"/>
            <w:hideMark/>
          </w:tcPr>
          <w:p w:rsidR="008C67F5" w:rsidRPr="00AE4BB6"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34</w:t>
            </w:r>
          </w:p>
        </w:tc>
        <w:tc>
          <w:tcPr>
            <w:tcW w:w="760" w:type="dxa"/>
            <w:tcBorders>
              <w:top w:val="nil"/>
              <w:left w:val="nil"/>
              <w:bottom w:val="nil"/>
              <w:right w:val="nil"/>
            </w:tcBorders>
            <w:shd w:val="clear" w:color="auto" w:fill="auto"/>
            <w:noWrap/>
            <w:vAlign w:val="bottom"/>
            <w:hideMark/>
          </w:tcPr>
          <w:p w:rsidR="008C67F5" w:rsidRPr="00AE4BB6"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-23</w:t>
            </w:r>
          </w:p>
        </w:tc>
        <w:tc>
          <w:tcPr>
            <w:tcW w:w="760" w:type="dxa"/>
            <w:tcBorders>
              <w:top w:val="nil"/>
              <w:left w:val="nil"/>
              <w:bottom w:val="nil"/>
              <w:right w:val="nil"/>
            </w:tcBorders>
            <w:shd w:val="clear" w:color="auto" w:fill="auto"/>
            <w:noWrap/>
            <w:vAlign w:val="bottom"/>
            <w:hideMark/>
          </w:tcPr>
          <w:p w:rsidR="008C67F5" w:rsidRPr="00AE4BB6"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-28</w:t>
            </w:r>
          </w:p>
        </w:tc>
        <w:tc>
          <w:tcPr>
            <w:tcW w:w="720" w:type="dxa"/>
            <w:tcBorders>
              <w:top w:val="nil"/>
              <w:left w:val="nil"/>
              <w:bottom w:val="nil"/>
              <w:right w:val="nil"/>
            </w:tcBorders>
            <w:shd w:val="clear" w:color="auto" w:fill="auto"/>
            <w:noWrap/>
            <w:vAlign w:val="bottom"/>
            <w:hideMark/>
          </w:tcPr>
          <w:p w:rsidR="008C67F5" w:rsidRPr="00AE4BB6"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26</w:t>
            </w:r>
          </w:p>
        </w:tc>
        <w:tc>
          <w:tcPr>
            <w:tcW w:w="740" w:type="dxa"/>
            <w:tcBorders>
              <w:top w:val="nil"/>
              <w:left w:val="nil"/>
              <w:bottom w:val="nil"/>
              <w:right w:val="nil"/>
            </w:tcBorders>
            <w:shd w:val="clear" w:color="auto" w:fill="auto"/>
            <w:noWrap/>
            <w:vAlign w:val="bottom"/>
            <w:hideMark/>
          </w:tcPr>
          <w:p w:rsidR="008C67F5" w:rsidRPr="00AE4BB6"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8</w:t>
            </w:r>
          </w:p>
        </w:tc>
        <w:tc>
          <w:tcPr>
            <w:tcW w:w="760" w:type="dxa"/>
            <w:tcBorders>
              <w:top w:val="nil"/>
              <w:left w:val="nil"/>
              <w:bottom w:val="nil"/>
              <w:right w:val="nil"/>
            </w:tcBorders>
            <w:shd w:val="clear" w:color="auto" w:fill="auto"/>
            <w:noWrap/>
            <w:vAlign w:val="bottom"/>
            <w:hideMark/>
          </w:tcPr>
          <w:p w:rsidR="008C67F5" w:rsidRPr="00AE4BB6"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6</w:t>
            </w:r>
          </w:p>
        </w:tc>
        <w:tc>
          <w:tcPr>
            <w:tcW w:w="720" w:type="dxa"/>
            <w:tcBorders>
              <w:top w:val="nil"/>
              <w:left w:val="nil"/>
              <w:bottom w:val="nil"/>
              <w:right w:val="nil"/>
            </w:tcBorders>
            <w:shd w:val="clear" w:color="auto" w:fill="auto"/>
            <w:noWrap/>
            <w:vAlign w:val="bottom"/>
            <w:hideMark/>
          </w:tcPr>
          <w:p w:rsidR="008C67F5" w:rsidRPr="00AE4BB6"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-35</w:t>
            </w:r>
          </w:p>
        </w:tc>
        <w:tc>
          <w:tcPr>
            <w:tcW w:w="960" w:type="dxa"/>
            <w:tcBorders>
              <w:top w:val="nil"/>
              <w:left w:val="nil"/>
              <w:bottom w:val="nil"/>
              <w:right w:val="nil"/>
            </w:tcBorders>
            <w:shd w:val="clear" w:color="auto" w:fill="auto"/>
            <w:noWrap/>
            <w:vAlign w:val="bottom"/>
            <w:hideMark/>
          </w:tcPr>
          <w:p w:rsidR="008C67F5" w:rsidRPr="00AE4BB6"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86</w:t>
            </w:r>
          </w:p>
        </w:tc>
      </w:tr>
      <w:tr w:rsidR="008C67F5" w:rsidRPr="002D5942" w:rsidTr="00236E06">
        <w:trPr>
          <w:trHeight w:val="315"/>
        </w:trPr>
        <w:tc>
          <w:tcPr>
            <w:tcW w:w="1880" w:type="dxa"/>
            <w:tcBorders>
              <w:top w:val="nil"/>
              <w:left w:val="nil"/>
              <w:bottom w:val="single" w:sz="4" w:space="0" w:color="auto"/>
              <w:right w:val="nil"/>
            </w:tcBorders>
            <w:shd w:val="clear" w:color="auto" w:fill="auto"/>
            <w:noWrap/>
            <w:vAlign w:val="bottom"/>
            <w:hideMark/>
          </w:tcPr>
          <w:p w:rsidR="008C67F5" w:rsidRPr="002D5942" w:rsidRDefault="008C67F5"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Total</w:t>
            </w:r>
          </w:p>
        </w:tc>
        <w:tc>
          <w:tcPr>
            <w:tcW w:w="840" w:type="dxa"/>
            <w:tcBorders>
              <w:top w:val="single" w:sz="4" w:space="0" w:color="auto"/>
              <w:left w:val="nil"/>
              <w:bottom w:val="single" w:sz="4" w:space="0" w:color="auto"/>
              <w:right w:val="nil"/>
            </w:tcBorders>
            <w:shd w:val="clear" w:color="auto" w:fill="auto"/>
            <w:noWrap/>
            <w:vAlign w:val="bottom"/>
            <w:hideMark/>
          </w:tcPr>
          <w:p w:rsidR="008C67F5" w:rsidRPr="00AE4BB6"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-157</w:t>
            </w:r>
          </w:p>
        </w:tc>
        <w:tc>
          <w:tcPr>
            <w:tcW w:w="820" w:type="dxa"/>
            <w:tcBorders>
              <w:top w:val="single" w:sz="4" w:space="0" w:color="auto"/>
              <w:left w:val="nil"/>
              <w:bottom w:val="single" w:sz="4" w:space="0" w:color="auto"/>
              <w:right w:val="nil"/>
            </w:tcBorders>
            <w:shd w:val="clear" w:color="auto" w:fill="auto"/>
            <w:noWrap/>
            <w:vAlign w:val="bottom"/>
            <w:hideMark/>
          </w:tcPr>
          <w:p w:rsidR="008C67F5" w:rsidRPr="00AE4BB6"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-44</w:t>
            </w:r>
          </w:p>
        </w:tc>
        <w:tc>
          <w:tcPr>
            <w:tcW w:w="760" w:type="dxa"/>
            <w:tcBorders>
              <w:top w:val="single" w:sz="4" w:space="0" w:color="auto"/>
              <w:left w:val="nil"/>
              <w:bottom w:val="single" w:sz="4" w:space="0" w:color="auto"/>
              <w:right w:val="nil"/>
            </w:tcBorders>
            <w:shd w:val="clear" w:color="auto" w:fill="auto"/>
            <w:noWrap/>
            <w:vAlign w:val="bottom"/>
            <w:hideMark/>
          </w:tcPr>
          <w:p w:rsidR="008C67F5" w:rsidRPr="00AE4BB6"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-45</w:t>
            </w:r>
          </w:p>
        </w:tc>
        <w:tc>
          <w:tcPr>
            <w:tcW w:w="760" w:type="dxa"/>
            <w:tcBorders>
              <w:top w:val="single" w:sz="4" w:space="0" w:color="auto"/>
              <w:left w:val="nil"/>
              <w:bottom w:val="single" w:sz="4" w:space="0" w:color="auto"/>
              <w:right w:val="nil"/>
            </w:tcBorders>
            <w:shd w:val="clear" w:color="auto" w:fill="auto"/>
            <w:noWrap/>
            <w:vAlign w:val="bottom"/>
            <w:hideMark/>
          </w:tcPr>
          <w:p w:rsidR="008C67F5" w:rsidRPr="00AE4BB6"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202</w:t>
            </w:r>
          </w:p>
        </w:tc>
        <w:tc>
          <w:tcPr>
            <w:tcW w:w="720" w:type="dxa"/>
            <w:tcBorders>
              <w:top w:val="single" w:sz="4" w:space="0" w:color="auto"/>
              <w:left w:val="nil"/>
              <w:bottom w:val="single" w:sz="4" w:space="0" w:color="auto"/>
              <w:right w:val="nil"/>
            </w:tcBorders>
            <w:shd w:val="clear" w:color="auto" w:fill="auto"/>
            <w:noWrap/>
            <w:vAlign w:val="bottom"/>
            <w:hideMark/>
          </w:tcPr>
          <w:p w:rsidR="008C67F5" w:rsidRPr="00AE4BB6"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58</w:t>
            </w:r>
          </w:p>
        </w:tc>
        <w:tc>
          <w:tcPr>
            <w:tcW w:w="740" w:type="dxa"/>
            <w:tcBorders>
              <w:top w:val="single" w:sz="4" w:space="0" w:color="auto"/>
              <w:left w:val="nil"/>
              <w:bottom w:val="single" w:sz="4" w:space="0" w:color="auto"/>
              <w:right w:val="nil"/>
            </w:tcBorders>
            <w:shd w:val="clear" w:color="auto" w:fill="auto"/>
            <w:noWrap/>
            <w:vAlign w:val="bottom"/>
            <w:hideMark/>
          </w:tcPr>
          <w:p w:rsidR="008C67F5" w:rsidRPr="00AE4BB6"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-7</w:t>
            </w:r>
          </w:p>
        </w:tc>
        <w:tc>
          <w:tcPr>
            <w:tcW w:w="760" w:type="dxa"/>
            <w:tcBorders>
              <w:top w:val="single" w:sz="4" w:space="0" w:color="auto"/>
              <w:left w:val="nil"/>
              <w:bottom w:val="single" w:sz="4" w:space="0" w:color="auto"/>
              <w:right w:val="nil"/>
            </w:tcBorders>
            <w:shd w:val="clear" w:color="auto" w:fill="auto"/>
            <w:noWrap/>
            <w:vAlign w:val="bottom"/>
            <w:hideMark/>
          </w:tcPr>
          <w:p w:rsidR="008C67F5" w:rsidRPr="00AE4BB6"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-47</w:t>
            </w:r>
          </w:p>
        </w:tc>
        <w:tc>
          <w:tcPr>
            <w:tcW w:w="720" w:type="dxa"/>
            <w:tcBorders>
              <w:top w:val="single" w:sz="4" w:space="0" w:color="auto"/>
              <w:left w:val="nil"/>
              <w:bottom w:val="single" w:sz="4" w:space="0" w:color="auto"/>
              <w:right w:val="nil"/>
            </w:tcBorders>
            <w:shd w:val="clear" w:color="auto" w:fill="auto"/>
            <w:noWrap/>
            <w:vAlign w:val="bottom"/>
            <w:hideMark/>
          </w:tcPr>
          <w:p w:rsidR="008C67F5" w:rsidRPr="00AE4BB6"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40</w:t>
            </w:r>
          </w:p>
        </w:tc>
        <w:tc>
          <w:tcPr>
            <w:tcW w:w="960" w:type="dxa"/>
            <w:tcBorders>
              <w:top w:val="single" w:sz="4" w:space="0" w:color="auto"/>
              <w:left w:val="nil"/>
              <w:bottom w:val="single" w:sz="4" w:space="0" w:color="auto"/>
              <w:right w:val="nil"/>
            </w:tcBorders>
            <w:shd w:val="clear" w:color="auto" w:fill="auto"/>
            <w:noWrap/>
            <w:vAlign w:val="bottom"/>
            <w:hideMark/>
          </w:tcPr>
          <w:p w:rsidR="008C67F5" w:rsidRPr="00AE4BB6" w:rsidRDefault="008C67F5" w:rsidP="0006306B">
            <w:pPr>
              <w:tabs>
                <w:tab w:val="clear" w:pos="567"/>
              </w:tabs>
              <w:spacing w:after="0" w:line="240" w:lineRule="auto"/>
              <w:jc w:val="right"/>
              <w:rPr>
                <w:rFonts w:ascii="Calibri" w:eastAsia="Times New Roman" w:hAnsi="Calibri" w:cs="Times New Roman"/>
                <w:sz w:val="20"/>
                <w:szCs w:val="20"/>
                <w:lang w:eastAsia="en-AU"/>
              </w:rPr>
            </w:pPr>
            <w:r w:rsidRPr="00AE4BB6">
              <w:rPr>
                <w:rFonts w:ascii="Calibri" w:eastAsia="Times New Roman" w:hAnsi="Calibri" w:cs="Times New Roman"/>
                <w:sz w:val="20"/>
                <w:szCs w:val="20"/>
                <w:lang w:eastAsia="en-AU"/>
              </w:rPr>
              <w:t>300</w:t>
            </w:r>
          </w:p>
        </w:tc>
      </w:tr>
    </w:tbl>
    <w:p w:rsidR="00037390" w:rsidRDefault="00037390" w:rsidP="00037390">
      <w:pPr>
        <w:pStyle w:val="CGCTableFootnote"/>
        <w:ind w:left="0" w:firstLine="0"/>
        <w:rPr>
          <w:rFonts w:eastAsiaTheme="majorEastAsia"/>
        </w:rPr>
      </w:pPr>
      <w:r>
        <w:rPr>
          <w:rFonts w:eastAsiaTheme="majorEastAsia"/>
        </w:rPr>
        <w:t>Source:</w:t>
      </w:r>
      <w:r>
        <w:rPr>
          <w:rFonts w:eastAsiaTheme="majorEastAsia"/>
        </w:rPr>
        <w:tab/>
        <w:t>Commission calculation.</w:t>
      </w:r>
    </w:p>
    <w:p w:rsidR="00037390" w:rsidRPr="001D318A" w:rsidRDefault="00037390" w:rsidP="00037390">
      <w:pPr>
        <w:pStyle w:val="CGCNumberedPara"/>
        <w:numPr>
          <w:ilvl w:val="1"/>
          <w:numId w:val="2"/>
        </w:numPr>
        <w:rPr>
          <w:rFonts w:eastAsiaTheme="majorEastAsia"/>
        </w:rPr>
      </w:pPr>
      <w:r w:rsidRPr="001D318A">
        <w:rPr>
          <w:rFonts w:eastAsiaTheme="majorEastAsia"/>
        </w:rPr>
        <w:t>Two major changes affected the roads investment assessment</w:t>
      </w:r>
      <w:r>
        <w:rPr>
          <w:rFonts w:eastAsiaTheme="majorEastAsia"/>
        </w:rPr>
        <w:t xml:space="preserve">, moving GST mainly from </w:t>
      </w:r>
      <w:r w:rsidRPr="00805541">
        <w:rPr>
          <w:rFonts w:eastAsiaTheme="majorEastAsia"/>
        </w:rPr>
        <w:t>New South Wales</w:t>
      </w:r>
      <w:r>
        <w:rPr>
          <w:rFonts w:eastAsiaTheme="majorEastAsia"/>
        </w:rPr>
        <w:t xml:space="preserve"> and Victoria to </w:t>
      </w:r>
      <w:r w:rsidRPr="00805541">
        <w:rPr>
          <w:rFonts w:eastAsiaTheme="majorEastAsia"/>
        </w:rPr>
        <w:t>Western Australia</w:t>
      </w:r>
      <w:r>
        <w:rPr>
          <w:rFonts w:eastAsiaTheme="majorEastAsia"/>
        </w:rPr>
        <w:t xml:space="preserve"> and the </w:t>
      </w:r>
      <w:r w:rsidRPr="00805541">
        <w:rPr>
          <w:rFonts w:eastAsiaTheme="majorEastAsia"/>
        </w:rPr>
        <w:t>Northern Territory</w:t>
      </w:r>
      <w:r w:rsidRPr="001D318A">
        <w:rPr>
          <w:rFonts w:eastAsiaTheme="majorEastAsia"/>
        </w:rPr>
        <w:t xml:space="preserve">. </w:t>
      </w:r>
    </w:p>
    <w:p w:rsidR="00037390" w:rsidRPr="001D318A" w:rsidRDefault="00037390" w:rsidP="00037390">
      <w:pPr>
        <w:pStyle w:val="CGCBulletlist"/>
        <w:numPr>
          <w:ilvl w:val="0"/>
          <w:numId w:val="1"/>
        </w:numPr>
        <w:tabs>
          <w:tab w:val="clear" w:pos="927"/>
          <w:tab w:val="left" w:pos="1134"/>
        </w:tabs>
        <w:ind w:left="1134" w:hanging="567"/>
        <w:rPr>
          <w:rFonts w:eastAsiaTheme="majorEastAsia"/>
        </w:rPr>
      </w:pPr>
      <w:r>
        <w:rPr>
          <w:rFonts w:eastAsiaTheme="majorEastAsia"/>
        </w:rPr>
        <w:t>Using State data on asset</w:t>
      </w:r>
      <w:r w:rsidRPr="001D318A">
        <w:rPr>
          <w:rFonts w:eastAsiaTheme="majorEastAsia"/>
        </w:rPr>
        <w:t xml:space="preserve"> value</w:t>
      </w:r>
      <w:r>
        <w:rPr>
          <w:rFonts w:eastAsiaTheme="majorEastAsia"/>
        </w:rPr>
        <w:t xml:space="preserve">s, we revised our estimate of </w:t>
      </w:r>
      <w:r w:rsidRPr="001D318A">
        <w:rPr>
          <w:rFonts w:eastAsiaTheme="majorEastAsia"/>
        </w:rPr>
        <w:t xml:space="preserve">the </w:t>
      </w:r>
      <w:r>
        <w:rPr>
          <w:rFonts w:eastAsiaTheme="majorEastAsia"/>
        </w:rPr>
        <w:t xml:space="preserve">proportion of States assets (other than urban transport assets) attributed to roads from 30% to </w:t>
      </w:r>
      <w:r w:rsidR="00445172">
        <w:rPr>
          <w:rFonts w:eastAsiaTheme="majorEastAsia"/>
        </w:rPr>
        <w:t>5</w:t>
      </w:r>
      <w:r w:rsidR="00210430">
        <w:rPr>
          <w:rFonts w:eastAsiaTheme="majorEastAsia"/>
        </w:rPr>
        <w:t>0</w:t>
      </w:r>
      <w:r>
        <w:rPr>
          <w:rFonts w:eastAsiaTheme="majorEastAsia"/>
        </w:rPr>
        <w:t>%.</w:t>
      </w:r>
      <w:r w:rsidRPr="001D318A">
        <w:t xml:space="preserve"> This increased the importance of roads in the investment assessment.</w:t>
      </w:r>
      <w:r w:rsidRPr="001D318A">
        <w:rPr>
          <w:rFonts w:eastAsiaTheme="majorEastAsia"/>
        </w:rPr>
        <w:t xml:space="preserve"> </w:t>
      </w:r>
    </w:p>
    <w:p w:rsidR="00037390" w:rsidRPr="001D318A" w:rsidRDefault="00037390" w:rsidP="00037390">
      <w:pPr>
        <w:pStyle w:val="CGCBulletlist"/>
        <w:numPr>
          <w:ilvl w:val="0"/>
          <w:numId w:val="1"/>
        </w:numPr>
        <w:tabs>
          <w:tab w:val="clear" w:pos="927"/>
          <w:tab w:val="left" w:pos="1134"/>
        </w:tabs>
        <w:ind w:left="1134" w:hanging="567"/>
        <w:rPr>
          <w:rFonts w:eastAsiaTheme="majorEastAsia"/>
        </w:rPr>
      </w:pPr>
      <w:r>
        <w:t xml:space="preserve">Based on a mixture of State and </w:t>
      </w:r>
      <w:r w:rsidRPr="001D318A">
        <w:t>National Transport Commission (NTC)</w:t>
      </w:r>
      <w:r>
        <w:t xml:space="preserve"> data, we have revised up the share of roads investment on rural roads from 10% to </w:t>
      </w:r>
      <w:r w:rsidR="00445172">
        <w:t>4</w:t>
      </w:r>
      <w:r>
        <w:t>0%, increasing the importance of the rural roads investment assessment.</w:t>
      </w:r>
    </w:p>
    <w:p w:rsidR="00037390" w:rsidRDefault="00037390" w:rsidP="00037390">
      <w:pPr>
        <w:pStyle w:val="CGCNumberedPara"/>
        <w:numPr>
          <w:ilvl w:val="1"/>
          <w:numId w:val="2"/>
        </w:numPr>
      </w:pPr>
      <w:r w:rsidRPr="001D318A">
        <w:t>Revisions to ABS payroll data for the 2010-11 to 2012-13 years ha</w:t>
      </w:r>
      <w:r>
        <w:t>ve affected States’ measured fiscal capacities.</w:t>
      </w:r>
      <w:r w:rsidRPr="001D318A">
        <w:t xml:space="preserve"> There was a large</w:t>
      </w:r>
      <w:r>
        <w:t xml:space="preserve"> downward revision for Victoria and smaller downward revisions for Tasmania and the Northern Territory. This reduced their share of payrolls, and hence revenue capacity, and increased their GST share. There were upward revisions for other States, particularly the ACT, which increased their shares of payrolls and their revenue capacity, which consequently reduced their GST shares.</w:t>
      </w:r>
    </w:p>
    <w:p w:rsidR="008C67F5" w:rsidRPr="00056A51" w:rsidRDefault="008C67F5" w:rsidP="00037390">
      <w:pPr>
        <w:pStyle w:val="CGCNumberedPara"/>
        <w:numPr>
          <w:ilvl w:val="1"/>
          <w:numId w:val="2"/>
        </w:numPr>
      </w:pPr>
      <w:r w:rsidRPr="00056A51">
        <w:t>Five States revised land value data previously provided to the Commission. There were large upward revisions to Victorian and Queensland data and downward revisions to data for New South Wales, Western Australia and South Australia. These revisions increased the assessed capacities of Victoria and Queensland and reduced the assessed capacities of the latter three States.</w:t>
      </w:r>
    </w:p>
    <w:p w:rsidR="00037390" w:rsidRDefault="00037390" w:rsidP="00037390">
      <w:pPr>
        <w:pStyle w:val="CGCNumberedPara"/>
        <w:numPr>
          <w:ilvl w:val="1"/>
          <w:numId w:val="2"/>
        </w:numPr>
      </w:pPr>
      <w:r>
        <w:lastRenderedPageBreak/>
        <w:t xml:space="preserve">In the Schools category, we have updated the average distance travelled by rural students for the student transport assessment using data from the 2011 Census. Previous estimates were based on data from the 1996 Census. This </w:t>
      </w:r>
      <w:r w:rsidR="008C67F5">
        <w:t>redistributed $69 </w:t>
      </w:r>
      <w:r w:rsidR="00EA07C6">
        <w:t>million mainly from Queensland, Western Australia and the Northern Territory and mainly to New South Wales and Victoria</w:t>
      </w:r>
      <w:r>
        <w:t>.</w:t>
      </w:r>
    </w:p>
    <w:p w:rsidR="00037390" w:rsidRDefault="00037390" w:rsidP="00037390">
      <w:pPr>
        <w:pStyle w:val="Heading3"/>
      </w:pPr>
      <w:bookmarkStart w:id="667" w:name="_Toc411924618"/>
      <w:r>
        <w:t>Changes in State circumstances</w:t>
      </w:r>
      <w:bookmarkEnd w:id="667"/>
    </w:p>
    <w:p w:rsidR="00037390" w:rsidRDefault="00037390" w:rsidP="00037390">
      <w:pPr>
        <w:pStyle w:val="CGCNumberedPara"/>
        <w:numPr>
          <w:ilvl w:val="1"/>
          <w:numId w:val="2"/>
        </w:numPr>
      </w:pPr>
      <w:r>
        <w:t>This section describes the main impacts resulting from changes in State circumstances since the 2014 Update. The 2014 Update used data for the three year period 2010</w:t>
      </w:r>
      <w:r>
        <w:noBreakHyphen/>
        <w:t>11 to 2012</w:t>
      </w:r>
      <w:r>
        <w:noBreakHyphen/>
        <w:t>13. The review uses data for 2011</w:t>
      </w:r>
      <w:r>
        <w:noBreakHyphen/>
        <w:t>12 to 2013</w:t>
      </w:r>
      <w:r>
        <w:noBreakHyphen/>
        <w:t>14 so we are effectively measuring the impact of removing 2010</w:t>
      </w:r>
      <w:r>
        <w:noBreakHyphen/>
        <w:t>11 data and replacing it with 2013</w:t>
      </w:r>
      <w:r>
        <w:noBreakHyphen/>
        <w:t xml:space="preserve">14 data on our assessments. </w:t>
      </w:r>
      <w:r>
        <w:fldChar w:fldCharType="begin"/>
      </w:r>
      <w:r>
        <w:instrText xml:space="preserve"> REF _Ref410722893 \h </w:instrText>
      </w:r>
      <w:r>
        <w:fldChar w:fldCharType="separate"/>
      </w:r>
      <w:r w:rsidR="003A5DEE">
        <w:t xml:space="preserve">Table </w:t>
      </w:r>
      <w:r w:rsidR="003A5DEE">
        <w:rPr>
          <w:noProof/>
        </w:rPr>
        <w:t>9</w:t>
      </w:r>
      <w:r>
        <w:fldChar w:fldCharType="end"/>
      </w:r>
      <w:r>
        <w:t xml:space="preserve"> show the major changes in State circumstances.</w:t>
      </w:r>
    </w:p>
    <w:p w:rsidR="00037390" w:rsidRPr="00962B40" w:rsidRDefault="00037390" w:rsidP="00037390">
      <w:pPr>
        <w:pStyle w:val="Caption"/>
      </w:pPr>
      <w:bookmarkStart w:id="668" w:name="_Ref410722893"/>
      <w:r>
        <w:t xml:space="preserve">Table </w:t>
      </w:r>
      <w:fldSimple w:instr=" SEQ Table \* ARABIC ">
        <w:r w:rsidR="003A5DEE">
          <w:rPr>
            <w:noProof/>
          </w:rPr>
          <w:t>9</w:t>
        </w:r>
      </w:fldSimple>
      <w:bookmarkEnd w:id="668"/>
      <w:r>
        <w:tab/>
        <w:t>Effect of major changes in circumstances</w:t>
      </w:r>
      <w:r w:rsidR="00FD2BEF">
        <w:t>,</w:t>
      </w:r>
      <w:r>
        <w:t xml:space="preserve"> 2010-11 to 2013-14</w:t>
      </w:r>
    </w:p>
    <w:tbl>
      <w:tblPr>
        <w:tblW w:w="8980" w:type="dxa"/>
        <w:tblInd w:w="93" w:type="dxa"/>
        <w:tblLook w:val="04A0" w:firstRow="1" w:lastRow="0" w:firstColumn="1" w:lastColumn="0" w:noHBand="0" w:noVBand="1"/>
      </w:tblPr>
      <w:tblGrid>
        <w:gridCol w:w="2920"/>
        <w:gridCol w:w="700"/>
        <w:gridCol w:w="680"/>
        <w:gridCol w:w="620"/>
        <w:gridCol w:w="680"/>
        <w:gridCol w:w="620"/>
        <w:gridCol w:w="620"/>
        <w:gridCol w:w="600"/>
        <w:gridCol w:w="680"/>
        <w:gridCol w:w="860"/>
      </w:tblGrid>
      <w:tr w:rsidR="00210430" w:rsidRPr="009739EE" w:rsidTr="00210430">
        <w:trPr>
          <w:trHeight w:val="379"/>
        </w:trPr>
        <w:tc>
          <w:tcPr>
            <w:tcW w:w="2920" w:type="dxa"/>
            <w:tcBorders>
              <w:top w:val="single" w:sz="4" w:space="0" w:color="auto"/>
              <w:left w:val="nil"/>
              <w:bottom w:val="nil"/>
              <w:right w:val="nil"/>
            </w:tcBorders>
            <w:shd w:val="clear" w:color="auto" w:fill="auto"/>
            <w:noWrap/>
            <w:vAlign w:val="center"/>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 </w:t>
            </w:r>
          </w:p>
        </w:tc>
        <w:tc>
          <w:tcPr>
            <w:tcW w:w="700" w:type="dxa"/>
            <w:tcBorders>
              <w:top w:val="single" w:sz="4" w:space="0" w:color="auto"/>
              <w:left w:val="nil"/>
              <w:bottom w:val="nil"/>
              <w:right w:val="nil"/>
            </w:tcBorders>
            <w:shd w:val="clear" w:color="auto" w:fill="auto"/>
            <w:noWrap/>
            <w:vAlign w:val="center"/>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NSW</w:t>
            </w:r>
          </w:p>
        </w:tc>
        <w:tc>
          <w:tcPr>
            <w:tcW w:w="680" w:type="dxa"/>
            <w:tcBorders>
              <w:top w:val="single" w:sz="4" w:space="0" w:color="auto"/>
              <w:left w:val="nil"/>
              <w:bottom w:val="nil"/>
              <w:right w:val="nil"/>
            </w:tcBorders>
            <w:shd w:val="clear" w:color="auto" w:fill="auto"/>
            <w:noWrap/>
            <w:vAlign w:val="center"/>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Vic</w:t>
            </w:r>
          </w:p>
        </w:tc>
        <w:tc>
          <w:tcPr>
            <w:tcW w:w="620" w:type="dxa"/>
            <w:tcBorders>
              <w:top w:val="single" w:sz="4" w:space="0" w:color="auto"/>
              <w:left w:val="nil"/>
              <w:bottom w:val="nil"/>
              <w:right w:val="nil"/>
            </w:tcBorders>
            <w:shd w:val="clear" w:color="auto" w:fill="auto"/>
            <w:noWrap/>
            <w:vAlign w:val="center"/>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Qld</w:t>
            </w:r>
          </w:p>
        </w:tc>
        <w:tc>
          <w:tcPr>
            <w:tcW w:w="680" w:type="dxa"/>
            <w:tcBorders>
              <w:top w:val="single" w:sz="4" w:space="0" w:color="auto"/>
              <w:left w:val="nil"/>
              <w:bottom w:val="nil"/>
              <w:right w:val="nil"/>
            </w:tcBorders>
            <w:shd w:val="clear" w:color="auto" w:fill="auto"/>
            <w:noWrap/>
            <w:vAlign w:val="center"/>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WA</w:t>
            </w:r>
          </w:p>
        </w:tc>
        <w:tc>
          <w:tcPr>
            <w:tcW w:w="620" w:type="dxa"/>
            <w:tcBorders>
              <w:top w:val="single" w:sz="4" w:space="0" w:color="auto"/>
              <w:left w:val="nil"/>
              <w:bottom w:val="nil"/>
              <w:right w:val="nil"/>
            </w:tcBorders>
            <w:shd w:val="clear" w:color="auto" w:fill="auto"/>
            <w:noWrap/>
            <w:vAlign w:val="center"/>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SA</w:t>
            </w:r>
          </w:p>
        </w:tc>
        <w:tc>
          <w:tcPr>
            <w:tcW w:w="620" w:type="dxa"/>
            <w:tcBorders>
              <w:top w:val="single" w:sz="4" w:space="0" w:color="auto"/>
              <w:left w:val="nil"/>
              <w:bottom w:val="nil"/>
              <w:right w:val="nil"/>
            </w:tcBorders>
            <w:shd w:val="clear" w:color="auto" w:fill="auto"/>
            <w:noWrap/>
            <w:vAlign w:val="center"/>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proofErr w:type="spellStart"/>
            <w:r w:rsidRPr="009739EE">
              <w:rPr>
                <w:rFonts w:ascii="Calibri" w:eastAsia="Times New Roman" w:hAnsi="Calibri" w:cs="Times New Roman"/>
                <w:sz w:val="20"/>
                <w:szCs w:val="20"/>
                <w:lang w:eastAsia="en-AU"/>
              </w:rPr>
              <w:t>Tas</w:t>
            </w:r>
            <w:proofErr w:type="spellEnd"/>
          </w:p>
        </w:tc>
        <w:tc>
          <w:tcPr>
            <w:tcW w:w="600" w:type="dxa"/>
            <w:tcBorders>
              <w:top w:val="single" w:sz="4" w:space="0" w:color="auto"/>
              <w:left w:val="nil"/>
              <w:bottom w:val="nil"/>
              <w:right w:val="nil"/>
            </w:tcBorders>
            <w:shd w:val="clear" w:color="auto" w:fill="auto"/>
            <w:noWrap/>
            <w:vAlign w:val="center"/>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ACT</w:t>
            </w:r>
          </w:p>
        </w:tc>
        <w:tc>
          <w:tcPr>
            <w:tcW w:w="680" w:type="dxa"/>
            <w:tcBorders>
              <w:top w:val="single" w:sz="4" w:space="0" w:color="auto"/>
              <w:left w:val="nil"/>
              <w:bottom w:val="nil"/>
              <w:right w:val="nil"/>
            </w:tcBorders>
            <w:shd w:val="clear" w:color="auto" w:fill="auto"/>
            <w:noWrap/>
            <w:vAlign w:val="center"/>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NT</w:t>
            </w:r>
          </w:p>
        </w:tc>
        <w:tc>
          <w:tcPr>
            <w:tcW w:w="860" w:type="dxa"/>
            <w:tcBorders>
              <w:top w:val="single" w:sz="4" w:space="0" w:color="auto"/>
              <w:left w:val="nil"/>
              <w:bottom w:val="nil"/>
              <w:right w:val="nil"/>
            </w:tcBorders>
            <w:shd w:val="clear" w:color="auto" w:fill="auto"/>
            <w:noWrap/>
            <w:vAlign w:val="center"/>
            <w:hideMark/>
          </w:tcPr>
          <w:p w:rsidR="00210430" w:rsidRPr="009739EE" w:rsidRDefault="00921F5E" w:rsidP="00210430">
            <w:pPr>
              <w:tabs>
                <w:tab w:val="clear" w:pos="567"/>
              </w:tabs>
              <w:spacing w:after="0" w:line="240" w:lineRule="auto"/>
              <w:jc w:val="right"/>
              <w:rPr>
                <w:rFonts w:ascii="Calibri" w:eastAsia="Times New Roman" w:hAnsi="Calibri" w:cs="Times New Roman"/>
                <w:sz w:val="20"/>
                <w:szCs w:val="20"/>
                <w:lang w:eastAsia="en-AU"/>
              </w:rPr>
            </w:pPr>
            <w:proofErr w:type="spellStart"/>
            <w:r>
              <w:rPr>
                <w:rFonts w:ascii="Calibri" w:eastAsia="Times New Roman" w:hAnsi="Calibri" w:cs="Times New Roman"/>
                <w:sz w:val="20"/>
                <w:szCs w:val="20"/>
                <w:lang w:eastAsia="en-AU"/>
              </w:rPr>
              <w:t>Redist</w:t>
            </w:r>
            <w:proofErr w:type="spellEnd"/>
          </w:p>
        </w:tc>
      </w:tr>
      <w:tr w:rsidR="00210430" w:rsidRPr="009739EE" w:rsidTr="00210430">
        <w:trPr>
          <w:trHeight w:val="259"/>
        </w:trPr>
        <w:tc>
          <w:tcPr>
            <w:tcW w:w="2920" w:type="dxa"/>
            <w:tcBorders>
              <w:top w:val="single" w:sz="4" w:space="0" w:color="auto"/>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 </w:t>
            </w:r>
          </w:p>
        </w:tc>
        <w:tc>
          <w:tcPr>
            <w:tcW w:w="700" w:type="dxa"/>
            <w:tcBorders>
              <w:top w:val="single" w:sz="4" w:space="0" w:color="auto"/>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$m</w:t>
            </w:r>
          </w:p>
        </w:tc>
        <w:tc>
          <w:tcPr>
            <w:tcW w:w="680" w:type="dxa"/>
            <w:tcBorders>
              <w:top w:val="single" w:sz="4" w:space="0" w:color="auto"/>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$m</w:t>
            </w:r>
          </w:p>
        </w:tc>
        <w:tc>
          <w:tcPr>
            <w:tcW w:w="620" w:type="dxa"/>
            <w:tcBorders>
              <w:top w:val="single" w:sz="4" w:space="0" w:color="auto"/>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$m</w:t>
            </w:r>
          </w:p>
        </w:tc>
        <w:tc>
          <w:tcPr>
            <w:tcW w:w="680" w:type="dxa"/>
            <w:tcBorders>
              <w:top w:val="single" w:sz="4" w:space="0" w:color="auto"/>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$m</w:t>
            </w:r>
          </w:p>
        </w:tc>
        <w:tc>
          <w:tcPr>
            <w:tcW w:w="620" w:type="dxa"/>
            <w:tcBorders>
              <w:top w:val="single" w:sz="4" w:space="0" w:color="auto"/>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$m</w:t>
            </w:r>
          </w:p>
        </w:tc>
        <w:tc>
          <w:tcPr>
            <w:tcW w:w="620" w:type="dxa"/>
            <w:tcBorders>
              <w:top w:val="single" w:sz="4" w:space="0" w:color="auto"/>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$m</w:t>
            </w:r>
          </w:p>
        </w:tc>
        <w:tc>
          <w:tcPr>
            <w:tcW w:w="600" w:type="dxa"/>
            <w:tcBorders>
              <w:top w:val="single" w:sz="4" w:space="0" w:color="auto"/>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$m</w:t>
            </w:r>
          </w:p>
        </w:tc>
        <w:tc>
          <w:tcPr>
            <w:tcW w:w="680" w:type="dxa"/>
            <w:tcBorders>
              <w:top w:val="single" w:sz="4" w:space="0" w:color="auto"/>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$m</w:t>
            </w:r>
          </w:p>
        </w:tc>
        <w:tc>
          <w:tcPr>
            <w:tcW w:w="860" w:type="dxa"/>
            <w:tcBorders>
              <w:top w:val="single" w:sz="4" w:space="0" w:color="auto"/>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$m</w:t>
            </w:r>
          </w:p>
        </w:tc>
      </w:tr>
      <w:tr w:rsidR="00210430" w:rsidRPr="009739EE" w:rsidTr="00210430">
        <w:trPr>
          <w:trHeight w:val="315"/>
        </w:trPr>
        <w:tc>
          <w:tcPr>
            <w:tcW w:w="29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Commonwealth payments</w:t>
            </w:r>
          </w:p>
        </w:tc>
        <w:tc>
          <w:tcPr>
            <w:tcW w:w="7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53</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-477</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50</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169</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112</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129</w:t>
            </w:r>
          </w:p>
        </w:tc>
        <w:tc>
          <w:tcPr>
            <w:tcW w:w="6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-4</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-32</w:t>
            </w:r>
          </w:p>
        </w:tc>
        <w:tc>
          <w:tcPr>
            <w:tcW w:w="8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514</w:t>
            </w:r>
          </w:p>
        </w:tc>
      </w:tr>
      <w:tr w:rsidR="00210430" w:rsidRPr="009739EE" w:rsidTr="00210430">
        <w:trPr>
          <w:trHeight w:val="315"/>
        </w:trPr>
        <w:tc>
          <w:tcPr>
            <w:tcW w:w="292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Mining revenue</w:t>
            </w:r>
          </w:p>
        </w:tc>
        <w:tc>
          <w:tcPr>
            <w:tcW w:w="7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116</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50</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282</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-410</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-24</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4</w:t>
            </w:r>
          </w:p>
        </w:tc>
        <w:tc>
          <w:tcPr>
            <w:tcW w:w="6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3</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-21</w:t>
            </w:r>
          </w:p>
        </w:tc>
        <w:tc>
          <w:tcPr>
            <w:tcW w:w="8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455</w:t>
            </w:r>
          </w:p>
        </w:tc>
      </w:tr>
      <w:tr w:rsidR="00210430" w:rsidRPr="009739EE" w:rsidTr="00210430">
        <w:trPr>
          <w:trHeight w:val="315"/>
        </w:trPr>
        <w:tc>
          <w:tcPr>
            <w:tcW w:w="2920" w:type="dxa"/>
            <w:tcBorders>
              <w:top w:val="nil"/>
              <w:left w:val="nil"/>
              <w:bottom w:val="nil"/>
              <w:right w:val="nil"/>
            </w:tcBorders>
            <w:shd w:val="clear" w:color="auto" w:fill="auto"/>
            <w:vAlign w:val="bottom"/>
            <w:hideMark/>
          </w:tcPr>
          <w:p w:rsidR="00210430" w:rsidRPr="009739EE" w:rsidRDefault="00210430" w:rsidP="00210430">
            <w:pPr>
              <w:tabs>
                <w:tab w:val="clear" w:pos="567"/>
              </w:tabs>
              <w:spacing w:after="0" w:line="240" w:lineRule="auto"/>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Natural disaster relief</w:t>
            </w:r>
          </w:p>
        </w:tc>
        <w:tc>
          <w:tcPr>
            <w:tcW w:w="7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-184</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-231</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419</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9</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-10</w:t>
            </w:r>
          </w:p>
        </w:tc>
        <w:tc>
          <w:tcPr>
            <w:tcW w:w="6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-4</w:t>
            </w:r>
          </w:p>
        </w:tc>
        <w:tc>
          <w:tcPr>
            <w:tcW w:w="8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429</w:t>
            </w:r>
          </w:p>
        </w:tc>
      </w:tr>
      <w:tr w:rsidR="00210430" w:rsidRPr="009739EE" w:rsidTr="00210430">
        <w:trPr>
          <w:trHeight w:val="315"/>
        </w:trPr>
        <w:tc>
          <w:tcPr>
            <w:tcW w:w="2920" w:type="dxa"/>
            <w:tcBorders>
              <w:top w:val="nil"/>
              <w:left w:val="nil"/>
              <w:bottom w:val="nil"/>
              <w:right w:val="nil"/>
            </w:tcBorders>
            <w:shd w:val="clear" w:color="auto" w:fill="auto"/>
            <w:noWrap/>
            <w:vAlign w:val="bottom"/>
            <w:hideMark/>
          </w:tcPr>
          <w:p w:rsidR="00210430" w:rsidRPr="001E778C" w:rsidRDefault="00210430" w:rsidP="00210430">
            <w:pPr>
              <w:tabs>
                <w:tab w:val="clear" w:pos="567"/>
              </w:tabs>
              <w:spacing w:after="0" w:line="240" w:lineRule="auto"/>
              <w:rPr>
                <w:rFonts w:ascii="Calibri" w:eastAsia="Times New Roman" w:hAnsi="Calibri" w:cs="Times New Roman"/>
                <w:sz w:val="20"/>
                <w:szCs w:val="20"/>
                <w:lang w:eastAsia="en-AU"/>
              </w:rPr>
            </w:pPr>
            <w:r w:rsidRPr="001E778C">
              <w:rPr>
                <w:rFonts w:ascii="Calibri" w:eastAsia="Times New Roman" w:hAnsi="Calibri" w:cs="Times New Roman"/>
                <w:sz w:val="20"/>
                <w:szCs w:val="20"/>
                <w:lang w:eastAsia="en-AU"/>
              </w:rPr>
              <w:t>Property sales</w:t>
            </w:r>
          </w:p>
        </w:tc>
        <w:tc>
          <w:tcPr>
            <w:tcW w:w="7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-295</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191</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-25</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78</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20</w:t>
            </w:r>
          </w:p>
        </w:tc>
        <w:tc>
          <w:tcPr>
            <w:tcW w:w="6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25</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5</w:t>
            </w:r>
          </w:p>
        </w:tc>
        <w:tc>
          <w:tcPr>
            <w:tcW w:w="8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320</w:t>
            </w:r>
          </w:p>
        </w:tc>
      </w:tr>
      <w:tr w:rsidR="00210430" w:rsidRPr="009739EE" w:rsidTr="00210430">
        <w:trPr>
          <w:trHeight w:val="315"/>
        </w:trPr>
        <w:tc>
          <w:tcPr>
            <w:tcW w:w="29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Payrolls paid</w:t>
            </w:r>
          </w:p>
        </w:tc>
        <w:tc>
          <w:tcPr>
            <w:tcW w:w="7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25</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133</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-10</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-155</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20</w:t>
            </w:r>
          </w:p>
        </w:tc>
        <w:tc>
          <w:tcPr>
            <w:tcW w:w="6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6</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-18</w:t>
            </w:r>
          </w:p>
        </w:tc>
        <w:tc>
          <w:tcPr>
            <w:tcW w:w="8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184</w:t>
            </w:r>
          </w:p>
        </w:tc>
      </w:tr>
      <w:tr w:rsidR="00210430" w:rsidRPr="009739EE" w:rsidTr="00210430">
        <w:trPr>
          <w:trHeight w:val="315"/>
        </w:trPr>
        <w:tc>
          <w:tcPr>
            <w:tcW w:w="29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Population growth</w:t>
            </w:r>
          </w:p>
        </w:tc>
        <w:tc>
          <w:tcPr>
            <w:tcW w:w="7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13</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52</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-57</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44</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-39</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-31</w:t>
            </w:r>
          </w:p>
        </w:tc>
        <w:tc>
          <w:tcPr>
            <w:tcW w:w="6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-17</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35</w:t>
            </w:r>
          </w:p>
        </w:tc>
        <w:tc>
          <w:tcPr>
            <w:tcW w:w="8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144</w:t>
            </w:r>
          </w:p>
        </w:tc>
      </w:tr>
      <w:tr w:rsidR="00210430" w:rsidRPr="009739EE" w:rsidTr="00210430">
        <w:trPr>
          <w:trHeight w:val="315"/>
        </w:trPr>
        <w:tc>
          <w:tcPr>
            <w:tcW w:w="29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Other change in circumstances</w:t>
            </w:r>
          </w:p>
        </w:tc>
        <w:tc>
          <w:tcPr>
            <w:tcW w:w="7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18</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34</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101</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-72</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24</w:t>
            </w:r>
          </w:p>
        </w:tc>
        <w:tc>
          <w:tcPr>
            <w:tcW w:w="62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11</w:t>
            </w:r>
          </w:p>
        </w:tc>
        <w:tc>
          <w:tcPr>
            <w:tcW w:w="60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w:t>
            </w:r>
          </w:p>
        </w:tc>
        <w:tc>
          <w:tcPr>
            <w:tcW w:w="68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-115</w:t>
            </w:r>
          </w:p>
        </w:tc>
        <w:tc>
          <w:tcPr>
            <w:tcW w:w="860" w:type="dxa"/>
            <w:tcBorders>
              <w:top w:val="nil"/>
              <w:left w:val="nil"/>
              <w:bottom w:val="nil"/>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187</w:t>
            </w:r>
          </w:p>
        </w:tc>
      </w:tr>
      <w:tr w:rsidR="00210430" w:rsidRPr="009739EE" w:rsidTr="00210430">
        <w:trPr>
          <w:trHeight w:val="315"/>
        </w:trPr>
        <w:tc>
          <w:tcPr>
            <w:tcW w:w="2920" w:type="dxa"/>
            <w:tcBorders>
              <w:top w:val="nil"/>
              <w:left w:val="nil"/>
              <w:bottom w:val="single" w:sz="4" w:space="0" w:color="auto"/>
              <w:right w:val="nil"/>
            </w:tcBorders>
            <w:shd w:val="clear" w:color="auto" w:fill="auto"/>
            <w:vAlign w:val="bottom"/>
            <w:hideMark/>
          </w:tcPr>
          <w:p w:rsidR="00210430" w:rsidRPr="009739EE" w:rsidRDefault="00210430" w:rsidP="00210430">
            <w:pPr>
              <w:tabs>
                <w:tab w:val="clear" w:pos="567"/>
              </w:tabs>
              <w:spacing w:after="0" w:line="240" w:lineRule="auto"/>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Total change in circumstances</w:t>
            </w:r>
          </w:p>
        </w:tc>
        <w:tc>
          <w:tcPr>
            <w:tcW w:w="700" w:type="dxa"/>
            <w:tcBorders>
              <w:top w:val="single" w:sz="4" w:space="0" w:color="auto"/>
              <w:left w:val="nil"/>
              <w:bottom w:val="single" w:sz="4" w:space="0" w:color="auto"/>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-254</w:t>
            </w:r>
          </w:p>
        </w:tc>
        <w:tc>
          <w:tcPr>
            <w:tcW w:w="680" w:type="dxa"/>
            <w:tcBorders>
              <w:top w:val="single" w:sz="4" w:space="0" w:color="auto"/>
              <w:left w:val="nil"/>
              <w:bottom w:val="single" w:sz="4" w:space="0" w:color="auto"/>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-249</w:t>
            </w:r>
          </w:p>
        </w:tc>
        <w:tc>
          <w:tcPr>
            <w:tcW w:w="620" w:type="dxa"/>
            <w:tcBorders>
              <w:top w:val="single" w:sz="4" w:space="0" w:color="auto"/>
              <w:left w:val="nil"/>
              <w:bottom w:val="single" w:sz="4" w:space="0" w:color="auto"/>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787</w:t>
            </w:r>
          </w:p>
        </w:tc>
        <w:tc>
          <w:tcPr>
            <w:tcW w:w="680" w:type="dxa"/>
            <w:tcBorders>
              <w:top w:val="single" w:sz="4" w:space="0" w:color="auto"/>
              <w:left w:val="nil"/>
              <w:bottom w:val="single" w:sz="4" w:space="0" w:color="auto"/>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-441</w:t>
            </w:r>
          </w:p>
        </w:tc>
        <w:tc>
          <w:tcPr>
            <w:tcW w:w="620" w:type="dxa"/>
            <w:tcBorders>
              <w:top w:val="single" w:sz="4" w:space="0" w:color="auto"/>
              <w:left w:val="nil"/>
              <w:bottom w:val="single" w:sz="4" w:space="0" w:color="auto"/>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152</w:t>
            </w:r>
          </w:p>
        </w:tc>
        <w:tc>
          <w:tcPr>
            <w:tcW w:w="620" w:type="dxa"/>
            <w:tcBorders>
              <w:top w:val="single" w:sz="4" w:space="0" w:color="auto"/>
              <w:left w:val="nil"/>
              <w:bottom w:val="single" w:sz="4" w:space="0" w:color="auto"/>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144</w:t>
            </w:r>
          </w:p>
        </w:tc>
        <w:tc>
          <w:tcPr>
            <w:tcW w:w="600" w:type="dxa"/>
            <w:tcBorders>
              <w:top w:val="single" w:sz="4" w:space="0" w:color="auto"/>
              <w:left w:val="nil"/>
              <w:bottom w:val="single" w:sz="4" w:space="0" w:color="auto"/>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10</w:t>
            </w:r>
          </w:p>
        </w:tc>
        <w:tc>
          <w:tcPr>
            <w:tcW w:w="680" w:type="dxa"/>
            <w:tcBorders>
              <w:top w:val="single" w:sz="4" w:space="0" w:color="auto"/>
              <w:left w:val="nil"/>
              <w:bottom w:val="single" w:sz="4" w:space="0" w:color="auto"/>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-149</w:t>
            </w:r>
          </w:p>
        </w:tc>
        <w:tc>
          <w:tcPr>
            <w:tcW w:w="860" w:type="dxa"/>
            <w:tcBorders>
              <w:top w:val="single" w:sz="4" w:space="0" w:color="auto"/>
              <w:left w:val="nil"/>
              <w:bottom w:val="single" w:sz="4" w:space="0" w:color="auto"/>
              <w:right w:val="nil"/>
            </w:tcBorders>
            <w:shd w:val="clear" w:color="auto" w:fill="auto"/>
            <w:noWrap/>
            <w:vAlign w:val="bottom"/>
            <w:hideMark/>
          </w:tcPr>
          <w:p w:rsidR="00210430" w:rsidRPr="009739EE" w:rsidRDefault="00210430" w:rsidP="00210430">
            <w:pPr>
              <w:tabs>
                <w:tab w:val="clear" w:pos="567"/>
              </w:tabs>
              <w:spacing w:after="0" w:line="240" w:lineRule="auto"/>
              <w:jc w:val="right"/>
              <w:rPr>
                <w:rFonts w:ascii="Calibri" w:eastAsia="Times New Roman" w:hAnsi="Calibri" w:cs="Times New Roman"/>
                <w:sz w:val="20"/>
                <w:szCs w:val="20"/>
                <w:lang w:eastAsia="en-AU"/>
              </w:rPr>
            </w:pPr>
            <w:r w:rsidRPr="009739EE">
              <w:rPr>
                <w:rFonts w:ascii="Calibri" w:eastAsia="Times New Roman" w:hAnsi="Calibri" w:cs="Times New Roman"/>
                <w:sz w:val="20"/>
                <w:szCs w:val="20"/>
                <w:lang w:eastAsia="en-AU"/>
              </w:rPr>
              <w:t>1 092</w:t>
            </w:r>
          </w:p>
        </w:tc>
      </w:tr>
    </w:tbl>
    <w:p w:rsidR="00037390" w:rsidRPr="006E22E2" w:rsidRDefault="00037390" w:rsidP="00037390">
      <w:pPr>
        <w:pStyle w:val="CGCTableFootnote"/>
      </w:pPr>
      <w:r>
        <w:t>Source:</w:t>
      </w:r>
      <w:r>
        <w:tab/>
        <w:t>Commission calculation</w:t>
      </w:r>
    </w:p>
    <w:p w:rsidR="00037390" w:rsidRDefault="00037390" w:rsidP="00037390">
      <w:pPr>
        <w:pStyle w:val="Heading4"/>
      </w:pPr>
      <w:bookmarkStart w:id="669" w:name="_Toc348945291"/>
      <w:bookmarkStart w:id="670" w:name="_Toc348945466"/>
      <w:bookmarkStart w:id="671" w:name="_Toc348945625"/>
      <w:bookmarkStart w:id="672" w:name="_Toc348946503"/>
      <w:bookmarkStart w:id="673" w:name="_Toc348951179"/>
      <w:bookmarkStart w:id="674" w:name="_Toc348951630"/>
      <w:bookmarkStart w:id="675" w:name="_Toc348951828"/>
      <w:bookmarkStart w:id="676" w:name="_Toc348951923"/>
      <w:bookmarkStart w:id="677" w:name="_Toc348952032"/>
      <w:bookmarkStart w:id="678" w:name="_Toc348957559"/>
      <w:bookmarkStart w:id="679" w:name="_Toc348957675"/>
      <w:bookmarkStart w:id="680" w:name="_Toc380590548"/>
      <w:bookmarkStart w:id="681" w:name="_Toc380590666"/>
      <w:r>
        <w:t>Commonwealth payments</w:t>
      </w:r>
    </w:p>
    <w:p w:rsidR="00037390" w:rsidRDefault="00037390" w:rsidP="00037390">
      <w:pPr>
        <w:pStyle w:val="CGCNumberedPara"/>
        <w:numPr>
          <w:ilvl w:val="1"/>
          <w:numId w:val="2"/>
        </w:numPr>
      </w:pPr>
      <w:r>
        <w:t>Between 2010</w:t>
      </w:r>
      <w:r>
        <w:noBreakHyphen/>
        <w:t>11 and 2013</w:t>
      </w:r>
      <w:r>
        <w:noBreakHyphen/>
        <w:t>14, there were changes in the amounts paid and the interstate distribution of some payments</w:t>
      </w:r>
      <w:r w:rsidR="000362E0">
        <w:t xml:space="preserve"> for specific purposes</w:t>
      </w:r>
      <w:r>
        <w:t xml:space="preserve">, especially payments for transport infrastructure and health services, which had repercussions for the GST distribution. In particular, Victoria received an above average increase in road and rail infrastructure payments which led to a reduction in its assessed GST distribution. </w:t>
      </w:r>
    </w:p>
    <w:p w:rsidR="00037390" w:rsidRPr="00BE4E2D" w:rsidRDefault="00037390" w:rsidP="00037390">
      <w:pPr>
        <w:pStyle w:val="CGCNumberedPara"/>
        <w:numPr>
          <w:ilvl w:val="1"/>
          <w:numId w:val="2"/>
        </w:numPr>
      </w:pPr>
      <w:r>
        <w:t xml:space="preserve">More information on the changes arising from the assessment of individual Commonwealth payments </w:t>
      </w:r>
      <w:proofErr w:type="gramStart"/>
      <w:r>
        <w:t>are</w:t>
      </w:r>
      <w:proofErr w:type="gramEnd"/>
      <w:r>
        <w:t xml:space="preserve"> in the supporting information available on </w:t>
      </w:r>
      <w:r w:rsidR="00D05F5E">
        <w:t xml:space="preserve">the </w:t>
      </w:r>
      <w:hyperlink r:id="rId77" w:history="1">
        <w:r w:rsidR="00D05F5E" w:rsidRPr="00D05F5E">
          <w:rPr>
            <w:rStyle w:val="Hyperlink"/>
          </w:rPr>
          <w:t>Commission’s website</w:t>
        </w:r>
      </w:hyperlink>
      <w:r w:rsidR="00D05F5E">
        <w:t xml:space="preserve"> (</w:t>
      </w:r>
      <w:r w:rsidR="00D05F5E" w:rsidRPr="00D05F5E">
        <w:t>https://www.cgc.gov.au/</w:t>
      </w:r>
      <w:r w:rsidR="00D05F5E">
        <w:t>)</w:t>
      </w:r>
      <w:r>
        <w:t>.</w:t>
      </w:r>
    </w:p>
    <w:p w:rsidR="00037390" w:rsidRDefault="00037390" w:rsidP="00037390">
      <w:pPr>
        <w:pStyle w:val="Heading4"/>
      </w:pPr>
      <w:bookmarkStart w:id="682" w:name="_Toc380590554"/>
      <w:bookmarkStart w:id="683" w:name="_Toc380590672"/>
      <w:bookmarkStart w:id="684" w:name="_Toc316722143"/>
      <w:bookmarkStart w:id="685" w:name="_Toc348945292"/>
      <w:bookmarkStart w:id="686" w:name="_Toc348945467"/>
      <w:bookmarkStart w:id="687" w:name="_Toc348945626"/>
      <w:bookmarkStart w:id="688" w:name="_Toc348946504"/>
      <w:bookmarkStart w:id="689" w:name="_Toc348951180"/>
      <w:bookmarkStart w:id="690" w:name="_Toc348951631"/>
      <w:bookmarkStart w:id="691" w:name="_Toc348951829"/>
      <w:bookmarkStart w:id="692" w:name="_Toc348951924"/>
      <w:bookmarkStart w:id="693" w:name="_Toc348952033"/>
      <w:bookmarkStart w:id="694" w:name="_Toc348957560"/>
      <w:bookmarkStart w:id="695" w:name="_Toc348957676"/>
      <w:bookmarkStart w:id="696" w:name="_Toc380590549"/>
      <w:bookmarkStart w:id="697" w:name="_Toc380590667"/>
      <w:bookmarkEnd w:id="664"/>
      <w:bookmarkEnd w:id="669"/>
      <w:bookmarkEnd w:id="670"/>
      <w:bookmarkEnd w:id="671"/>
      <w:bookmarkEnd w:id="672"/>
      <w:bookmarkEnd w:id="673"/>
      <w:bookmarkEnd w:id="674"/>
      <w:bookmarkEnd w:id="675"/>
      <w:bookmarkEnd w:id="676"/>
      <w:bookmarkEnd w:id="677"/>
      <w:bookmarkEnd w:id="678"/>
      <w:bookmarkEnd w:id="679"/>
      <w:bookmarkEnd w:id="680"/>
      <w:bookmarkEnd w:id="681"/>
      <w:r>
        <w:lastRenderedPageBreak/>
        <w:t>Mining revenue</w:t>
      </w:r>
    </w:p>
    <w:p w:rsidR="00037390" w:rsidRDefault="00037390" w:rsidP="00037390">
      <w:pPr>
        <w:pStyle w:val="CGCNumberedPara"/>
        <w:numPr>
          <w:ilvl w:val="1"/>
          <w:numId w:val="2"/>
        </w:numPr>
      </w:pPr>
      <w:r>
        <w:t>The mining revenue assessment typically produces large redistributions due to the uneven distribution of mining activity between the States and the large movements that can occur from year to year in the value</w:t>
      </w:r>
      <w:r w:rsidR="007D562D">
        <w:t xml:space="preserve"> of mining production. In this r</w:t>
      </w:r>
      <w:r>
        <w:t>eview</w:t>
      </w:r>
      <w:r w:rsidR="003A0FB9">
        <w:t>,</w:t>
      </w:r>
      <w:r>
        <w:t xml:space="preserve"> these have led to a redistribution of a further $</w:t>
      </w:r>
      <w:r w:rsidR="00EA07C6">
        <w:t xml:space="preserve">455 </w:t>
      </w:r>
      <w:r>
        <w:t>million of GST revenue.</w:t>
      </w:r>
    </w:p>
    <w:p w:rsidR="00037390" w:rsidRPr="004D53B0" w:rsidRDefault="00037390" w:rsidP="00037390">
      <w:pPr>
        <w:pStyle w:val="CGCNumberedPara"/>
        <w:numPr>
          <w:ilvl w:val="1"/>
          <w:numId w:val="2"/>
        </w:numPr>
      </w:pPr>
      <w:r>
        <w:t>While the total value of mineral production increased significantly between 2010-11 and 2013-14, rates of growth varied between minerals. Strong export demand resulted in large increases in iron ore production (29%) and prices (50%) over the period. This significant increase in the value of iron ore production strengthened the revenue raising ability of iron ore producing States (mainly Western Australia) and reduced their GST share</w:t>
      </w:r>
      <w:r>
        <w:rPr>
          <w:rFonts w:cs="Calibri"/>
        </w:rPr>
        <w:t>. In contrast, the value of coal production in 2013-14 was 9% lower than in 2010-11.</w:t>
      </w:r>
    </w:p>
    <w:p w:rsidR="00037390" w:rsidRDefault="00E76674" w:rsidP="00037390">
      <w:pPr>
        <w:pStyle w:val="CGCNumberedPara"/>
        <w:numPr>
          <w:ilvl w:val="1"/>
          <w:numId w:val="2"/>
        </w:numPr>
      </w:pPr>
      <w:r>
        <w:fldChar w:fldCharType="begin"/>
      </w:r>
      <w:r>
        <w:instrText xml:space="preserve"> REF _Ref411931974 \h </w:instrText>
      </w:r>
      <w:r>
        <w:fldChar w:fldCharType="separate"/>
      </w:r>
      <w:r w:rsidR="003A5DEE">
        <w:t xml:space="preserve">Figure </w:t>
      </w:r>
      <w:proofErr w:type="gramStart"/>
      <w:r w:rsidR="003A5DEE">
        <w:rPr>
          <w:noProof/>
        </w:rPr>
        <w:t>1</w:t>
      </w:r>
      <w:r>
        <w:fldChar w:fldCharType="end"/>
      </w:r>
      <w:r>
        <w:t xml:space="preserve"> </w:t>
      </w:r>
      <w:r w:rsidR="00037390">
        <w:t>shows</w:t>
      </w:r>
      <w:proofErr w:type="gramEnd"/>
      <w:r w:rsidR="00037390">
        <w:t xml:space="preserve"> that the value of iron ore production increased strongly between 2010-11 and 2013-14, while the value of coal production and other minerals declined modestly.</w:t>
      </w:r>
    </w:p>
    <w:p w:rsidR="00037390" w:rsidRDefault="00037390" w:rsidP="00037390">
      <w:pPr>
        <w:pStyle w:val="Caption"/>
      </w:pPr>
      <w:bookmarkStart w:id="698" w:name="_Ref410644360"/>
      <w:bookmarkStart w:id="699" w:name="_Ref411930889"/>
      <w:bookmarkStart w:id="700" w:name="_Ref411931974"/>
      <w:r>
        <w:t xml:space="preserve">Figure </w:t>
      </w:r>
      <w:bookmarkEnd w:id="698"/>
      <w:bookmarkEnd w:id="699"/>
      <w:r w:rsidR="00E76674">
        <w:fldChar w:fldCharType="begin"/>
      </w:r>
      <w:r w:rsidR="00E76674">
        <w:instrText xml:space="preserve"> SEQ Figure \* ARABIC \r1 </w:instrText>
      </w:r>
      <w:r w:rsidR="00E76674">
        <w:fldChar w:fldCharType="separate"/>
      </w:r>
      <w:r w:rsidR="003A5DEE">
        <w:rPr>
          <w:noProof/>
        </w:rPr>
        <w:t>1</w:t>
      </w:r>
      <w:r w:rsidR="00E76674">
        <w:fldChar w:fldCharType="end"/>
      </w:r>
      <w:bookmarkEnd w:id="700"/>
      <w:r>
        <w:tab/>
        <w:t>Mining value of production, selected minerals, 2010-11 and 2013-14</w:t>
      </w:r>
    </w:p>
    <w:p w:rsidR="00037390" w:rsidRDefault="00037390" w:rsidP="00037390">
      <w:pPr>
        <w:pStyle w:val="CGCTableFootnote"/>
      </w:pPr>
      <w:r w:rsidRPr="004D53B0">
        <w:rPr>
          <w:noProof/>
          <w:lang w:eastAsia="en-AU"/>
        </w:rPr>
        <w:drawing>
          <wp:inline distT="0" distB="0" distL="0" distR="0" wp14:anchorId="7FA4D453" wp14:editId="71727088">
            <wp:extent cx="5657850" cy="3562350"/>
            <wp:effectExtent l="0" t="0" r="0" b="0"/>
            <wp:docPr id="42" name="Picture 42" descr="This figure shows that the value of iron ore production increased strongly between 2010-11 and 2013-14, while the value of coal production and other minerals declined modes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037390" w:rsidRDefault="00037390" w:rsidP="00037390">
      <w:pPr>
        <w:pStyle w:val="CGCTableFootnote"/>
      </w:pPr>
      <w:r>
        <w:t>Source:</w:t>
      </w:r>
      <w:r>
        <w:tab/>
        <w:t>State and ABS data.</w:t>
      </w:r>
    </w:p>
    <w:p w:rsidR="00037390" w:rsidRPr="008B5FE3" w:rsidRDefault="00037390" w:rsidP="00037390">
      <w:pPr>
        <w:pStyle w:val="CGCNumberedPara"/>
        <w:numPr>
          <w:ilvl w:val="1"/>
          <w:numId w:val="2"/>
        </w:numPr>
      </w:pPr>
      <w:r>
        <w:rPr>
          <w:rFonts w:cs="Calibri"/>
        </w:rPr>
        <w:t xml:space="preserve">Within the major coal producing States, production in New South Wales grew 1% over the period, increasing its assessed revenue raising capacity. However, Queensland production volume declined by 15%. This lowered Queensland’s value of </w:t>
      </w:r>
      <w:r>
        <w:rPr>
          <w:rFonts w:cs="Calibri"/>
        </w:rPr>
        <w:lastRenderedPageBreak/>
        <w:t>production, decreasing its assessed revenue raising capacity and increasing its GST share.</w:t>
      </w:r>
    </w:p>
    <w:p w:rsidR="008B5FE3" w:rsidRDefault="008B5FE3" w:rsidP="008B5FE3">
      <w:pPr>
        <w:pStyle w:val="Heading4"/>
      </w:pPr>
      <w:r>
        <w:t>Natural disaster relief</w:t>
      </w:r>
    </w:p>
    <w:p w:rsidR="008B5FE3" w:rsidRPr="00DF774E" w:rsidRDefault="008B5FE3" w:rsidP="008B5FE3">
      <w:pPr>
        <w:pStyle w:val="CGCNumberedPara"/>
        <w:keepNext/>
        <w:keepLines/>
        <w:numPr>
          <w:ilvl w:val="1"/>
          <w:numId w:val="2"/>
        </w:numPr>
      </w:pPr>
      <w:r w:rsidRPr="00DF774E">
        <w:t xml:space="preserve">There has been a sharp increase in the natural disaster relief expenses (net of Commonwealth assistance) </w:t>
      </w:r>
      <w:r>
        <w:t>for</w:t>
      </w:r>
      <w:r w:rsidRPr="00DF774E">
        <w:t xml:space="preserve"> Queensland in 2013-14 compared with 2010</w:t>
      </w:r>
      <w:r w:rsidRPr="00DF774E">
        <w:noBreakHyphen/>
        <w:t xml:space="preserve">11, leading to increases in its GST share. Its expenses principally relate to the flood and cyclone events of 2011 and 2012. On the other hand, New South Wales and Victoria expenses in 2013-14 were more than offset by Commonwealth reimbursements </w:t>
      </w:r>
      <w:r>
        <w:t xml:space="preserve">paid or payable </w:t>
      </w:r>
      <w:r w:rsidRPr="00DF774E">
        <w:t>for expenditure incurred in previous years.</w:t>
      </w:r>
    </w:p>
    <w:p w:rsidR="00037390" w:rsidRDefault="00037390" w:rsidP="00037390">
      <w:pPr>
        <w:pStyle w:val="Heading4"/>
      </w:pPr>
      <w:bookmarkStart w:id="701" w:name="_Toc316722144"/>
      <w:bookmarkStart w:id="702" w:name="_Toc348945293"/>
      <w:bookmarkStart w:id="703" w:name="_Toc348945468"/>
      <w:bookmarkStart w:id="704" w:name="_Toc348945627"/>
      <w:bookmarkStart w:id="705" w:name="_Toc348946505"/>
      <w:bookmarkStart w:id="706" w:name="_Toc348951181"/>
      <w:bookmarkStart w:id="707" w:name="_Toc348951632"/>
      <w:bookmarkStart w:id="708" w:name="_Toc348951830"/>
      <w:bookmarkStart w:id="709" w:name="_Toc348951925"/>
      <w:bookmarkStart w:id="710" w:name="_Toc348952034"/>
      <w:bookmarkStart w:id="711" w:name="_Toc348957561"/>
      <w:bookmarkStart w:id="712" w:name="_Toc348957677"/>
      <w:bookmarkStart w:id="713" w:name="_Toc380590550"/>
      <w:bookmarkStart w:id="714" w:name="_Toc380590668"/>
      <w:bookmarkStart w:id="715" w:name="_Toc349656705"/>
      <w:bookmarkStart w:id="716" w:name="_Toc350438428"/>
      <w:bookmarkStart w:id="717" w:name="_Toc380590556"/>
      <w:bookmarkStart w:id="718" w:name="_Toc380590674"/>
      <w:bookmarkEnd w:id="682"/>
      <w:bookmarkEnd w:id="683"/>
      <w:r>
        <w:t>Stamp duty</w:t>
      </w:r>
    </w:p>
    <w:p w:rsidR="00037390" w:rsidRDefault="00037390" w:rsidP="00037390">
      <w:pPr>
        <w:pStyle w:val="CGCNumberedPara"/>
        <w:numPr>
          <w:ilvl w:val="1"/>
          <w:numId w:val="2"/>
        </w:numPr>
      </w:pPr>
      <w:r>
        <w:t>The change in the GST impact between 2014 Update and this review was $</w:t>
      </w:r>
      <w:r w:rsidR="00EA07C6">
        <w:t>320 </w:t>
      </w:r>
      <w:r>
        <w:t>million. The largest effects were seen in New South Wales, Victoria and South Australia.</w:t>
      </w:r>
    </w:p>
    <w:p w:rsidR="00037390" w:rsidRDefault="00037390" w:rsidP="00037390">
      <w:pPr>
        <w:pStyle w:val="CGCNumberedPara"/>
        <w:numPr>
          <w:ilvl w:val="1"/>
          <w:numId w:val="2"/>
        </w:numPr>
      </w:pPr>
      <w:r>
        <w:t xml:space="preserve">Cycles in property markets can lead to substantial changes from year to year and State to State, which can have marked impacts on State revenue capacities. The current inquiry has been no exception. Most States experienced growth in </w:t>
      </w:r>
      <w:r w:rsidR="00B331D2">
        <w:t xml:space="preserve">the value of </w:t>
      </w:r>
      <w:r>
        <w:t xml:space="preserve">property </w:t>
      </w:r>
      <w:r w:rsidR="00B331D2">
        <w:t>transferred</w:t>
      </w:r>
      <w:r>
        <w:t>. New South Wales and Western Australia experienced above average growth, which reduced their GST share. Victoria</w:t>
      </w:r>
      <w:r w:rsidR="00B7171D">
        <w:t xml:space="preserve"> </w:t>
      </w:r>
      <w:r>
        <w:t xml:space="preserve">and the Northern Territory experienced growth, but less than the average. Their GST shares increased. The other three States experienced a decline in </w:t>
      </w:r>
      <w:r w:rsidR="00B331D2">
        <w:t>the value of</w:t>
      </w:r>
      <w:r>
        <w:t xml:space="preserve"> property </w:t>
      </w:r>
      <w:r w:rsidR="00B331D2">
        <w:t>transferred</w:t>
      </w:r>
      <w:r>
        <w:t>. Their GST shares also increased.</w:t>
      </w:r>
    </w:p>
    <w:p w:rsidR="00037390" w:rsidRDefault="00037390" w:rsidP="00037390">
      <w:pPr>
        <w:pStyle w:val="CGCNumberedPara"/>
        <w:numPr>
          <w:ilvl w:val="1"/>
          <w:numId w:val="2"/>
        </w:numPr>
      </w:pPr>
      <w:r>
        <w:t>The strongest growth was in New South Wales, while the ACT showed the weakest trend in its property market between 2010</w:t>
      </w:r>
      <w:r>
        <w:noBreakHyphen/>
        <w:t>11 and 2013</w:t>
      </w:r>
      <w:r>
        <w:noBreakHyphen/>
        <w:t>14. Overall value of transactions per capita increased for New South Wales, Queensland and Western Australia, by 36%, 21% and 24%. They fell in South Australia</w:t>
      </w:r>
      <w:r w:rsidR="009E7D8E">
        <w:t>, Tasmania</w:t>
      </w:r>
      <w:r>
        <w:t xml:space="preserve"> and the ACT, by 5%</w:t>
      </w:r>
      <w:r w:rsidR="009E7D8E">
        <w:t>, 2%</w:t>
      </w:r>
      <w:r>
        <w:t xml:space="preserve"> and 8% respectively (</w:t>
      </w:r>
      <w:r>
        <w:fldChar w:fldCharType="begin"/>
      </w:r>
      <w:r>
        <w:instrText xml:space="preserve"> REF _Ref410651495 \h </w:instrText>
      </w:r>
      <w:r>
        <w:fldChar w:fldCharType="separate"/>
      </w:r>
      <w:r w:rsidR="003A5DEE">
        <w:t xml:space="preserve">Figure </w:t>
      </w:r>
      <w:r w:rsidR="003A5DEE">
        <w:rPr>
          <w:noProof/>
        </w:rPr>
        <w:t>2</w:t>
      </w:r>
      <w:r>
        <w:fldChar w:fldCharType="end"/>
      </w:r>
      <w:r>
        <w:t>).</w:t>
      </w:r>
    </w:p>
    <w:p w:rsidR="00037390" w:rsidRDefault="00037390" w:rsidP="00037390">
      <w:pPr>
        <w:pStyle w:val="Caption"/>
      </w:pPr>
      <w:bookmarkStart w:id="719" w:name="_Ref410651495"/>
      <w:r>
        <w:lastRenderedPageBreak/>
        <w:t xml:space="preserve">Figure </w:t>
      </w:r>
      <w:fldSimple w:instr=" SEQ Figure \* ARABIC ">
        <w:r w:rsidR="003A5DEE">
          <w:rPr>
            <w:noProof/>
          </w:rPr>
          <w:t>2</w:t>
        </w:r>
      </w:fldSimple>
      <w:bookmarkEnd w:id="719"/>
      <w:r>
        <w:tab/>
        <w:t>Growth in per capita conveyance transactions, 2010-11 to 2013-14</w:t>
      </w:r>
    </w:p>
    <w:p w:rsidR="00037390" w:rsidRDefault="00037390" w:rsidP="00037390">
      <w:pPr>
        <w:pStyle w:val="CGCTableFootnote"/>
      </w:pPr>
      <w:r w:rsidRPr="00000F69">
        <w:rPr>
          <w:noProof/>
          <w:lang w:eastAsia="en-AU"/>
        </w:rPr>
        <w:drawing>
          <wp:inline distT="0" distB="0" distL="0" distR="0" wp14:anchorId="4E53FF53" wp14:editId="0776FEFA">
            <wp:extent cx="5657850" cy="3562350"/>
            <wp:effectExtent l="0" t="0" r="0" b="0"/>
            <wp:docPr id="43" name="Picture 43" descr="This figure shows the growth in per capita conveyance transactions between 2010-11 and 2013-14.The strongest growth was in New South Wales, while the ACT showed the weakest trend in its property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037390" w:rsidRDefault="00037390" w:rsidP="00037390">
      <w:pPr>
        <w:pStyle w:val="CGCTableFootnote"/>
      </w:pPr>
      <w:r>
        <w:t>Note:</w:t>
      </w:r>
      <w:r>
        <w:tab/>
        <w:t>Data are adjusted to account for differences in the scope of duty.</w:t>
      </w:r>
    </w:p>
    <w:p w:rsidR="00037390" w:rsidRDefault="00037390" w:rsidP="00037390">
      <w:pPr>
        <w:pStyle w:val="CGCTableFootnote"/>
      </w:pPr>
      <w:r>
        <w:t>Source:</w:t>
      </w:r>
      <w:r>
        <w:tab/>
        <w:t>Commission calculation.</w:t>
      </w:r>
    </w:p>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rsidR="00037390" w:rsidRDefault="00037390" w:rsidP="00037390">
      <w:pPr>
        <w:pStyle w:val="Heading4"/>
      </w:pPr>
      <w:r>
        <w:t>Payroll tax</w:t>
      </w:r>
    </w:p>
    <w:p w:rsidR="00037390" w:rsidRDefault="00037390" w:rsidP="00037390">
      <w:pPr>
        <w:pStyle w:val="CGCNumberedPara"/>
        <w:numPr>
          <w:ilvl w:val="1"/>
          <w:numId w:val="2"/>
        </w:numPr>
      </w:pPr>
      <w:bookmarkStart w:id="720" w:name="_Ref349210673"/>
      <w:r>
        <w:t>Changes in State capacities to raise payroll tax redistributed $</w:t>
      </w:r>
      <w:r w:rsidR="00EA07C6">
        <w:t xml:space="preserve">184 </w:t>
      </w:r>
      <w:r>
        <w:t xml:space="preserve">million in GST revenue. The redistribution was mainly driven by differences across States in the rate of growth of taxable private sector payrolls between 2010-11 and 2013-14. </w:t>
      </w:r>
      <w:bookmarkEnd w:id="720"/>
    </w:p>
    <w:p w:rsidR="00037390" w:rsidRPr="00B20E8A" w:rsidRDefault="00037390" w:rsidP="00037390">
      <w:pPr>
        <w:pStyle w:val="CGCNumberedPara"/>
        <w:numPr>
          <w:ilvl w:val="1"/>
          <w:numId w:val="2"/>
        </w:numPr>
      </w:pPr>
      <w:r>
        <w:fldChar w:fldCharType="begin"/>
      </w:r>
      <w:r>
        <w:instrText xml:space="preserve"> REF _Ref410648403 \h </w:instrText>
      </w:r>
      <w:r>
        <w:fldChar w:fldCharType="separate"/>
      </w:r>
      <w:r w:rsidR="003A5DEE">
        <w:t xml:space="preserve">Figure </w:t>
      </w:r>
      <w:r w:rsidR="003A5DEE">
        <w:rPr>
          <w:noProof/>
        </w:rPr>
        <w:t>3</w:t>
      </w:r>
      <w:r>
        <w:fldChar w:fldCharType="end"/>
      </w:r>
      <w:r>
        <w:t xml:space="preserve"> shows the growth in per capita taxable private sector payrolls between 2010</w:t>
      </w:r>
      <w:r>
        <w:noBreakHyphen/>
        <w:t xml:space="preserve">11 and 2013-14. Western Australia and the Northern Territory had </w:t>
      </w:r>
      <w:r w:rsidR="00EA07C6">
        <w:t xml:space="preserve">significantly faster than </w:t>
      </w:r>
      <w:r>
        <w:t>average growth. T</w:t>
      </w:r>
      <w:r>
        <w:rPr>
          <w:rFonts w:cs="Calibri"/>
        </w:rPr>
        <w:t>his increased their ability to raise payroll tax and reduced their GST share.</w:t>
      </w:r>
    </w:p>
    <w:p w:rsidR="00037390" w:rsidRDefault="00037390" w:rsidP="00037390">
      <w:pPr>
        <w:pStyle w:val="Caption"/>
      </w:pPr>
      <w:bookmarkStart w:id="721" w:name="_Ref410648403"/>
      <w:r>
        <w:lastRenderedPageBreak/>
        <w:t xml:space="preserve">Figure </w:t>
      </w:r>
      <w:fldSimple w:instr=" SEQ Figure \* ARABIC ">
        <w:r w:rsidR="003A5DEE">
          <w:rPr>
            <w:noProof/>
          </w:rPr>
          <w:t>3</w:t>
        </w:r>
      </w:fldSimple>
      <w:bookmarkEnd w:id="721"/>
      <w:r>
        <w:tab/>
        <w:t>Growth in per capita taxable private sector payrolls, 2010-11 to 2013-14</w:t>
      </w:r>
    </w:p>
    <w:p w:rsidR="00037390" w:rsidRPr="008B2D3D" w:rsidRDefault="00037390" w:rsidP="00037390">
      <w:pPr>
        <w:pStyle w:val="CGCTableFootnote"/>
      </w:pPr>
      <w:r w:rsidRPr="008B2D3D">
        <w:rPr>
          <w:noProof/>
          <w:lang w:eastAsia="en-AU"/>
        </w:rPr>
        <w:drawing>
          <wp:inline distT="0" distB="0" distL="0" distR="0" wp14:anchorId="7B207EE7" wp14:editId="28B16C10">
            <wp:extent cx="5657850" cy="3562350"/>
            <wp:effectExtent l="0" t="0" r="0" b="0"/>
            <wp:docPr id="44" name="Picture 44" descr="This figure shows the growth in per capita taxable private sector payrolls between 2010 11 and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037390" w:rsidRDefault="00037390" w:rsidP="00037390">
      <w:pPr>
        <w:pStyle w:val="CGCTableFootnote"/>
      </w:pPr>
      <w:r>
        <w:t>Source:</w:t>
      </w:r>
      <w:r>
        <w:tab/>
        <w:t>Commission calculation.</w:t>
      </w:r>
    </w:p>
    <w:bookmarkEnd w:id="715"/>
    <w:bookmarkEnd w:id="716"/>
    <w:bookmarkEnd w:id="717"/>
    <w:bookmarkEnd w:id="718"/>
    <w:p w:rsidR="00037390" w:rsidRDefault="00037390" w:rsidP="00037390">
      <w:pPr>
        <w:pStyle w:val="Heading4"/>
      </w:pPr>
      <w:r>
        <w:t>Population growth</w:t>
      </w:r>
    </w:p>
    <w:p w:rsidR="00037390" w:rsidRPr="00606C2B" w:rsidRDefault="00037390" w:rsidP="00037390">
      <w:pPr>
        <w:pStyle w:val="CGCNumberedPara"/>
        <w:numPr>
          <w:ilvl w:val="1"/>
          <w:numId w:val="2"/>
        </w:numPr>
        <w:spacing w:after="0" w:line="240" w:lineRule="auto"/>
      </w:pPr>
      <w:r>
        <w:t>Interstate differences in population growth affect the GST distribution through the Commission’s assessments of State requirements to invest in infras</w:t>
      </w:r>
      <w:r w:rsidR="00AD50FC">
        <w:t xml:space="preserve">tructure and financial assets. </w:t>
      </w:r>
      <w:r>
        <w:t>The largest of these effects is on investment, where the C</w:t>
      </w:r>
      <w:r w:rsidRPr="00606C2B">
        <w:t xml:space="preserve">ommission aims to provide each State with the capacity to </w:t>
      </w:r>
      <w:r>
        <w:t xml:space="preserve">invest in </w:t>
      </w:r>
      <w:r w:rsidRPr="00606C2B">
        <w:t xml:space="preserve">the infrastructure it needs to provide the average level of services to its residents. In doing so, it recognises that States with faster population growth will need to invest more </w:t>
      </w:r>
      <w:r>
        <w:t>per capita than average.</w:t>
      </w:r>
    </w:p>
    <w:p w:rsidR="00037390" w:rsidRDefault="00037390" w:rsidP="00037390">
      <w:pPr>
        <w:pStyle w:val="CGCNumberedPara"/>
        <w:numPr>
          <w:ilvl w:val="1"/>
          <w:numId w:val="2"/>
        </w:numPr>
        <w:spacing w:after="0" w:line="240" w:lineRule="auto"/>
      </w:pPr>
      <w:r w:rsidRPr="00606C2B">
        <w:t>The population growth rates of the States have changed over the period covered by this review</w:t>
      </w:r>
      <w:r>
        <w:t xml:space="preserve">. </w:t>
      </w:r>
      <w:fldSimple w:instr=" REF _Ref410822117 ">
        <w:r w:rsidR="003A5DEE" w:rsidRPr="00E00E2D">
          <w:t xml:space="preserve">Table </w:t>
        </w:r>
        <w:r w:rsidR="003A5DEE">
          <w:rPr>
            <w:noProof/>
          </w:rPr>
          <w:t>10</w:t>
        </w:r>
      </w:fldSimple>
      <w:r>
        <w:t xml:space="preserve"> shows</w:t>
      </w:r>
      <w:r w:rsidRPr="00606C2B">
        <w:t xml:space="preserve"> population growth in 2013</w:t>
      </w:r>
      <w:r w:rsidRPr="00606C2B">
        <w:noBreakHyphen/>
        <w:t xml:space="preserve">14 in Western Australia is about </w:t>
      </w:r>
      <w:r>
        <w:t>as much</w:t>
      </w:r>
      <w:r w:rsidRPr="00606C2B">
        <w:t xml:space="preserve"> above the average as it was in 2010-11. Victoria and the Northern Territory have moved to be about 10% above average and New South Wales </w:t>
      </w:r>
      <w:r>
        <w:t xml:space="preserve">has increased to be only 10% below the average. </w:t>
      </w:r>
      <w:r w:rsidRPr="00606C2B">
        <w:t xml:space="preserve">Queensland’s growth </w:t>
      </w:r>
      <w:r w:rsidR="009E7D8E">
        <w:t xml:space="preserve">decreased </w:t>
      </w:r>
      <w:r>
        <w:t>to the average, the ACT fell below the average and the oth</w:t>
      </w:r>
      <w:r w:rsidR="00921F5E">
        <w:t>er States fell further below.</w:t>
      </w:r>
    </w:p>
    <w:p w:rsidR="00037390" w:rsidRDefault="00037390" w:rsidP="00037390">
      <w:pPr>
        <w:pStyle w:val="CGCNumberedPara"/>
        <w:numPr>
          <w:ilvl w:val="1"/>
          <w:numId w:val="2"/>
        </w:numPr>
        <w:spacing w:after="0" w:line="240" w:lineRule="auto"/>
      </w:pPr>
      <w:r w:rsidRPr="00606C2B">
        <w:t>These changes in relative growth</w:t>
      </w:r>
      <w:r>
        <w:t xml:space="preserve"> rates </w:t>
      </w:r>
      <w:r w:rsidRPr="00606C2B">
        <w:t xml:space="preserve">had major effects on the </w:t>
      </w:r>
      <w:r w:rsidR="00921F5E">
        <w:t>i</w:t>
      </w:r>
      <w:r>
        <w:t xml:space="preserve">nvestment assessment and consequently on </w:t>
      </w:r>
      <w:r w:rsidR="00921F5E">
        <w:t xml:space="preserve">State GST requirements. </w:t>
      </w:r>
      <w:r>
        <w:t xml:space="preserve">They increased the GST requirements of States whose relative population growth rose and reduced them for the States whose relative growth </w:t>
      </w:r>
      <w:r w:rsidR="009E7D8E">
        <w:t>declined</w:t>
      </w:r>
      <w:r>
        <w:t xml:space="preserve">. </w:t>
      </w:r>
    </w:p>
    <w:p w:rsidR="00037390" w:rsidRDefault="00037390" w:rsidP="00037390">
      <w:pPr>
        <w:pStyle w:val="CGCTableHeading"/>
      </w:pPr>
      <w:bookmarkStart w:id="722" w:name="_Ref410822117"/>
      <w:r w:rsidRPr="00E00E2D">
        <w:lastRenderedPageBreak/>
        <w:t xml:space="preserve">Table </w:t>
      </w:r>
      <w:fldSimple w:instr=" SEQ Table \* ARABIC ">
        <w:r w:rsidR="003A5DEE">
          <w:rPr>
            <w:noProof/>
          </w:rPr>
          <w:t>10</w:t>
        </w:r>
      </w:fldSimple>
      <w:bookmarkEnd w:id="722"/>
      <w:r w:rsidRPr="00E00E2D">
        <w:tab/>
      </w:r>
      <w:r>
        <w:t>Population growth rates 2010-11 and 2013-14</w:t>
      </w:r>
    </w:p>
    <w:tbl>
      <w:tblPr>
        <w:tblW w:w="8940" w:type="dxa"/>
        <w:tblInd w:w="93" w:type="dxa"/>
        <w:tblLook w:val="04A0" w:firstRow="1" w:lastRow="0" w:firstColumn="1" w:lastColumn="0" w:noHBand="0" w:noVBand="1"/>
      </w:tblPr>
      <w:tblGrid>
        <w:gridCol w:w="3000"/>
        <w:gridCol w:w="660"/>
        <w:gridCol w:w="660"/>
        <w:gridCol w:w="660"/>
        <w:gridCol w:w="660"/>
        <w:gridCol w:w="660"/>
        <w:gridCol w:w="660"/>
        <w:gridCol w:w="660"/>
        <w:gridCol w:w="660"/>
        <w:gridCol w:w="660"/>
      </w:tblGrid>
      <w:tr w:rsidR="00E11EF7" w:rsidRPr="009F0B50" w:rsidTr="00236E06">
        <w:trPr>
          <w:trHeight w:val="379"/>
        </w:trPr>
        <w:tc>
          <w:tcPr>
            <w:tcW w:w="3000" w:type="dxa"/>
            <w:tcBorders>
              <w:top w:val="single" w:sz="4" w:space="0" w:color="auto"/>
              <w:left w:val="nil"/>
              <w:bottom w:val="single" w:sz="4" w:space="0" w:color="auto"/>
              <w:right w:val="nil"/>
            </w:tcBorders>
            <w:shd w:val="clear" w:color="auto" w:fill="auto"/>
            <w:noWrap/>
            <w:vAlign w:val="center"/>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 </w:t>
            </w:r>
          </w:p>
        </w:tc>
        <w:tc>
          <w:tcPr>
            <w:tcW w:w="660" w:type="dxa"/>
            <w:tcBorders>
              <w:top w:val="single" w:sz="4" w:space="0" w:color="auto"/>
              <w:left w:val="nil"/>
              <w:bottom w:val="single" w:sz="4" w:space="0" w:color="auto"/>
              <w:right w:val="nil"/>
            </w:tcBorders>
            <w:shd w:val="clear" w:color="auto" w:fill="auto"/>
            <w:noWrap/>
            <w:vAlign w:val="center"/>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NSW</w:t>
            </w:r>
          </w:p>
        </w:tc>
        <w:tc>
          <w:tcPr>
            <w:tcW w:w="660" w:type="dxa"/>
            <w:tcBorders>
              <w:top w:val="single" w:sz="4" w:space="0" w:color="auto"/>
              <w:left w:val="nil"/>
              <w:bottom w:val="single" w:sz="4" w:space="0" w:color="auto"/>
              <w:right w:val="nil"/>
            </w:tcBorders>
            <w:shd w:val="clear" w:color="auto" w:fill="auto"/>
            <w:noWrap/>
            <w:vAlign w:val="center"/>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Vic</w:t>
            </w:r>
          </w:p>
        </w:tc>
        <w:tc>
          <w:tcPr>
            <w:tcW w:w="660" w:type="dxa"/>
            <w:tcBorders>
              <w:top w:val="single" w:sz="4" w:space="0" w:color="auto"/>
              <w:left w:val="nil"/>
              <w:bottom w:val="single" w:sz="4" w:space="0" w:color="auto"/>
              <w:right w:val="nil"/>
            </w:tcBorders>
            <w:shd w:val="clear" w:color="auto" w:fill="auto"/>
            <w:noWrap/>
            <w:vAlign w:val="center"/>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Qld</w:t>
            </w:r>
          </w:p>
        </w:tc>
        <w:tc>
          <w:tcPr>
            <w:tcW w:w="660" w:type="dxa"/>
            <w:tcBorders>
              <w:top w:val="single" w:sz="4" w:space="0" w:color="auto"/>
              <w:left w:val="nil"/>
              <w:bottom w:val="single" w:sz="4" w:space="0" w:color="auto"/>
              <w:right w:val="nil"/>
            </w:tcBorders>
            <w:shd w:val="clear" w:color="auto" w:fill="auto"/>
            <w:noWrap/>
            <w:vAlign w:val="center"/>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WA</w:t>
            </w:r>
          </w:p>
        </w:tc>
        <w:tc>
          <w:tcPr>
            <w:tcW w:w="660" w:type="dxa"/>
            <w:tcBorders>
              <w:top w:val="single" w:sz="4" w:space="0" w:color="auto"/>
              <w:left w:val="nil"/>
              <w:bottom w:val="single" w:sz="4" w:space="0" w:color="auto"/>
              <w:right w:val="nil"/>
            </w:tcBorders>
            <w:shd w:val="clear" w:color="auto" w:fill="auto"/>
            <w:noWrap/>
            <w:vAlign w:val="center"/>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SA</w:t>
            </w:r>
          </w:p>
        </w:tc>
        <w:tc>
          <w:tcPr>
            <w:tcW w:w="660" w:type="dxa"/>
            <w:tcBorders>
              <w:top w:val="single" w:sz="4" w:space="0" w:color="auto"/>
              <w:left w:val="nil"/>
              <w:bottom w:val="single" w:sz="4" w:space="0" w:color="auto"/>
              <w:right w:val="nil"/>
            </w:tcBorders>
            <w:shd w:val="clear" w:color="auto" w:fill="auto"/>
            <w:noWrap/>
            <w:vAlign w:val="center"/>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proofErr w:type="spellStart"/>
            <w:r w:rsidRPr="009F0B50">
              <w:rPr>
                <w:rFonts w:ascii="Calibri" w:eastAsia="Times New Roman" w:hAnsi="Calibri" w:cs="Times New Roman"/>
                <w:sz w:val="20"/>
                <w:szCs w:val="20"/>
                <w:lang w:eastAsia="en-AU"/>
              </w:rPr>
              <w:t>Tas</w:t>
            </w:r>
            <w:proofErr w:type="spellEnd"/>
          </w:p>
        </w:tc>
        <w:tc>
          <w:tcPr>
            <w:tcW w:w="660" w:type="dxa"/>
            <w:tcBorders>
              <w:top w:val="single" w:sz="4" w:space="0" w:color="auto"/>
              <w:left w:val="nil"/>
              <w:bottom w:val="single" w:sz="4" w:space="0" w:color="auto"/>
              <w:right w:val="nil"/>
            </w:tcBorders>
            <w:shd w:val="clear" w:color="auto" w:fill="auto"/>
            <w:noWrap/>
            <w:vAlign w:val="center"/>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ACT</w:t>
            </w:r>
          </w:p>
        </w:tc>
        <w:tc>
          <w:tcPr>
            <w:tcW w:w="660" w:type="dxa"/>
            <w:tcBorders>
              <w:top w:val="single" w:sz="4" w:space="0" w:color="auto"/>
              <w:left w:val="nil"/>
              <w:bottom w:val="single" w:sz="4" w:space="0" w:color="auto"/>
              <w:right w:val="nil"/>
            </w:tcBorders>
            <w:shd w:val="clear" w:color="auto" w:fill="auto"/>
            <w:noWrap/>
            <w:vAlign w:val="center"/>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NT</w:t>
            </w:r>
          </w:p>
        </w:tc>
        <w:tc>
          <w:tcPr>
            <w:tcW w:w="660" w:type="dxa"/>
            <w:tcBorders>
              <w:top w:val="single" w:sz="4" w:space="0" w:color="auto"/>
              <w:left w:val="nil"/>
              <w:bottom w:val="single" w:sz="4" w:space="0" w:color="auto"/>
              <w:right w:val="nil"/>
            </w:tcBorders>
            <w:shd w:val="clear" w:color="auto" w:fill="auto"/>
            <w:noWrap/>
            <w:vAlign w:val="center"/>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Ave</w:t>
            </w:r>
          </w:p>
        </w:tc>
      </w:tr>
      <w:tr w:rsidR="00E11EF7" w:rsidRPr="009F0B50" w:rsidTr="00236E06">
        <w:trPr>
          <w:trHeight w:val="315"/>
        </w:trPr>
        <w:tc>
          <w:tcPr>
            <w:tcW w:w="3000" w:type="dxa"/>
            <w:tcBorders>
              <w:top w:val="nil"/>
              <w:left w:val="nil"/>
              <w:bottom w:val="nil"/>
              <w:right w:val="nil"/>
            </w:tcBorders>
            <w:shd w:val="clear" w:color="auto" w:fill="auto"/>
            <w:vAlign w:val="bottom"/>
            <w:hideMark/>
          </w:tcPr>
          <w:p w:rsidR="00E11EF7" w:rsidRPr="009F0B50" w:rsidRDefault="00E11EF7" w:rsidP="00E11EF7">
            <w:pPr>
              <w:keepNext/>
              <w:tabs>
                <w:tab w:val="clear" w:pos="567"/>
              </w:tabs>
              <w:spacing w:after="0" w:line="240" w:lineRule="auto"/>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Population growth rates (a) (%)</w:t>
            </w:r>
          </w:p>
        </w:tc>
        <w:tc>
          <w:tcPr>
            <w:tcW w:w="660" w:type="dxa"/>
            <w:tcBorders>
              <w:top w:val="nil"/>
              <w:left w:val="nil"/>
              <w:bottom w:val="nil"/>
              <w:right w:val="nil"/>
            </w:tcBorders>
            <w:shd w:val="clear" w:color="auto" w:fill="auto"/>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p>
        </w:tc>
      </w:tr>
      <w:tr w:rsidR="00E11EF7" w:rsidRPr="009F0B50" w:rsidTr="00236E06">
        <w:trPr>
          <w:trHeight w:val="315"/>
        </w:trPr>
        <w:tc>
          <w:tcPr>
            <w:tcW w:w="300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2010-11</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1.1</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1.4</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1.6</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2.4</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0.9</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0.7</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1.9</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1.1</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1.4</w:t>
            </w:r>
          </w:p>
        </w:tc>
      </w:tr>
      <w:tr w:rsidR="00E11EF7" w:rsidRPr="009F0B50" w:rsidTr="00236E06">
        <w:trPr>
          <w:trHeight w:val="315"/>
        </w:trPr>
        <w:tc>
          <w:tcPr>
            <w:tcW w:w="300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2013-14</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1.5</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1.9</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1.7</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2.8</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0.9</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0.3</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1.6</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1.9</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1.7</w:t>
            </w:r>
          </w:p>
        </w:tc>
      </w:tr>
      <w:tr w:rsidR="00E11EF7" w:rsidRPr="009F0B50" w:rsidTr="00236E06">
        <w:trPr>
          <w:trHeight w:val="315"/>
        </w:trPr>
        <w:tc>
          <w:tcPr>
            <w:tcW w:w="3000" w:type="dxa"/>
            <w:tcBorders>
              <w:top w:val="nil"/>
              <w:left w:val="nil"/>
              <w:bottom w:val="nil"/>
              <w:right w:val="nil"/>
            </w:tcBorders>
            <w:shd w:val="clear" w:color="auto" w:fill="auto"/>
            <w:vAlign w:val="bottom"/>
            <w:hideMark/>
          </w:tcPr>
          <w:p w:rsidR="00E11EF7" w:rsidRPr="009F0B50" w:rsidRDefault="00E11EF7" w:rsidP="00E11EF7">
            <w:pPr>
              <w:keepNext/>
              <w:tabs>
                <w:tab w:val="clear" w:pos="567"/>
              </w:tabs>
              <w:spacing w:after="0" w:line="240" w:lineRule="auto"/>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Growth relative to average</w:t>
            </w:r>
          </w:p>
        </w:tc>
        <w:tc>
          <w:tcPr>
            <w:tcW w:w="660" w:type="dxa"/>
            <w:tcBorders>
              <w:top w:val="nil"/>
              <w:left w:val="nil"/>
              <w:bottom w:val="nil"/>
              <w:right w:val="nil"/>
            </w:tcBorders>
            <w:shd w:val="clear" w:color="auto" w:fill="auto"/>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p>
        </w:tc>
      </w:tr>
      <w:tr w:rsidR="00E11EF7" w:rsidRPr="009F0B50" w:rsidTr="00236E06">
        <w:trPr>
          <w:trHeight w:val="315"/>
        </w:trPr>
        <w:tc>
          <w:tcPr>
            <w:tcW w:w="300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2010-11</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0.8</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1.0</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1.1</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1.7</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0.6</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0.5</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1.4</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0.8</w:t>
            </w:r>
          </w:p>
        </w:tc>
        <w:tc>
          <w:tcPr>
            <w:tcW w:w="660" w:type="dxa"/>
            <w:tcBorders>
              <w:top w:val="nil"/>
              <w:left w:val="nil"/>
              <w:bottom w:val="nil"/>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1.0</w:t>
            </w:r>
          </w:p>
        </w:tc>
      </w:tr>
      <w:tr w:rsidR="00E11EF7" w:rsidRPr="009F0B50" w:rsidTr="00236E06">
        <w:trPr>
          <w:trHeight w:val="315"/>
        </w:trPr>
        <w:tc>
          <w:tcPr>
            <w:tcW w:w="3000" w:type="dxa"/>
            <w:tcBorders>
              <w:top w:val="nil"/>
              <w:left w:val="nil"/>
              <w:bottom w:val="single" w:sz="4" w:space="0" w:color="auto"/>
              <w:right w:val="nil"/>
            </w:tcBorders>
            <w:shd w:val="clear" w:color="auto" w:fill="auto"/>
            <w:noWrap/>
            <w:vAlign w:val="bottom"/>
            <w:hideMark/>
          </w:tcPr>
          <w:p w:rsidR="00E11EF7" w:rsidRPr="009F0B50" w:rsidRDefault="00E11EF7" w:rsidP="00E11EF7">
            <w:pPr>
              <w:keepNext/>
              <w:tabs>
                <w:tab w:val="clear" w:pos="567"/>
              </w:tabs>
              <w:spacing w:after="0" w:line="240" w:lineRule="auto"/>
              <w:ind w:firstLineChars="100" w:firstLine="200"/>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2013-14</w:t>
            </w:r>
          </w:p>
        </w:tc>
        <w:tc>
          <w:tcPr>
            <w:tcW w:w="660" w:type="dxa"/>
            <w:tcBorders>
              <w:top w:val="nil"/>
              <w:left w:val="nil"/>
              <w:bottom w:val="single" w:sz="4" w:space="0" w:color="auto"/>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0.9</w:t>
            </w:r>
          </w:p>
        </w:tc>
        <w:tc>
          <w:tcPr>
            <w:tcW w:w="660" w:type="dxa"/>
            <w:tcBorders>
              <w:top w:val="nil"/>
              <w:left w:val="nil"/>
              <w:bottom w:val="single" w:sz="4" w:space="0" w:color="auto"/>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1.1</w:t>
            </w:r>
          </w:p>
        </w:tc>
        <w:tc>
          <w:tcPr>
            <w:tcW w:w="660" w:type="dxa"/>
            <w:tcBorders>
              <w:top w:val="nil"/>
              <w:left w:val="nil"/>
              <w:bottom w:val="single" w:sz="4" w:space="0" w:color="auto"/>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1.0</w:t>
            </w:r>
          </w:p>
        </w:tc>
        <w:tc>
          <w:tcPr>
            <w:tcW w:w="660" w:type="dxa"/>
            <w:tcBorders>
              <w:top w:val="nil"/>
              <w:left w:val="nil"/>
              <w:bottom w:val="single" w:sz="4" w:space="0" w:color="auto"/>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1.7</w:t>
            </w:r>
          </w:p>
        </w:tc>
        <w:tc>
          <w:tcPr>
            <w:tcW w:w="660" w:type="dxa"/>
            <w:tcBorders>
              <w:top w:val="nil"/>
              <w:left w:val="nil"/>
              <w:bottom w:val="single" w:sz="4" w:space="0" w:color="auto"/>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0.5</w:t>
            </w:r>
          </w:p>
        </w:tc>
        <w:tc>
          <w:tcPr>
            <w:tcW w:w="660" w:type="dxa"/>
            <w:tcBorders>
              <w:top w:val="nil"/>
              <w:left w:val="nil"/>
              <w:bottom w:val="single" w:sz="4" w:space="0" w:color="auto"/>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0.2</w:t>
            </w:r>
          </w:p>
        </w:tc>
        <w:tc>
          <w:tcPr>
            <w:tcW w:w="660" w:type="dxa"/>
            <w:tcBorders>
              <w:top w:val="nil"/>
              <w:left w:val="nil"/>
              <w:bottom w:val="single" w:sz="4" w:space="0" w:color="auto"/>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0.9</w:t>
            </w:r>
          </w:p>
        </w:tc>
        <w:tc>
          <w:tcPr>
            <w:tcW w:w="660" w:type="dxa"/>
            <w:tcBorders>
              <w:top w:val="nil"/>
              <w:left w:val="nil"/>
              <w:bottom w:val="single" w:sz="4" w:space="0" w:color="auto"/>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1.1</w:t>
            </w:r>
          </w:p>
        </w:tc>
        <w:tc>
          <w:tcPr>
            <w:tcW w:w="660" w:type="dxa"/>
            <w:tcBorders>
              <w:top w:val="nil"/>
              <w:left w:val="nil"/>
              <w:bottom w:val="single" w:sz="4" w:space="0" w:color="auto"/>
              <w:right w:val="nil"/>
            </w:tcBorders>
            <w:shd w:val="clear" w:color="auto" w:fill="auto"/>
            <w:noWrap/>
            <w:vAlign w:val="bottom"/>
            <w:hideMark/>
          </w:tcPr>
          <w:p w:rsidR="00E11EF7" w:rsidRPr="009F0B50" w:rsidRDefault="00E11EF7" w:rsidP="00E11EF7">
            <w:pPr>
              <w:keepNext/>
              <w:tabs>
                <w:tab w:val="clear" w:pos="567"/>
              </w:tabs>
              <w:spacing w:after="0" w:line="240" w:lineRule="auto"/>
              <w:jc w:val="right"/>
              <w:rPr>
                <w:rFonts w:ascii="Calibri" w:eastAsia="Times New Roman" w:hAnsi="Calibri" w:cs="Times New Roman"/>
                <w:sz w:val="20"/>
                <w:szCs w:val="20"/>
                <w:lang w:eastAsia="en-AU"/>
              </w:rPr>
            </w:pPr>
            <w:r w:rsidRPr="009F0B50">
              <w:rPr>
                <w:rFonts w:ascii="Calibri" w:eastAsia="Times New Roman" w:hAnsi="Calibri" w:cs="Times New Roman"/>
                <w:sz w:val="20"/>
                <w:szCs w:val="20"/>
                <w:lang w:eastAsia="en-AU"/>
              </w:rPr>
              <w:t>1.0</w:t>
            </w:r>
          </w:p>
        </w:tc>
      </w:tr>
    </w:tbl>
    <w:p w:rsidR="00037390" w:rsidRPr="00E00E2D" w:rsidRDefault="00037390" w:rsidP="00037390">
      <w:pPr>
        <w:pStyle w:val="CGCTableFootnote"/>
        <w:ind w:left="0" w:firstLine="0"/>
      </w:pPr>
      <w:r w:rsidRPr="00E00E2D">
        <w:t>(a)</w:t>
      </w:r>
      <w:r w:rsidRPr="00E00E2D">
        <w:tab/>
        <w:t xml:space="preserve">These are growth rates between State estimated resident </w:t>
      </w:r>
      <w:r w:rsidRPr="00606C2B">
        <w:t>populations at December in each year.</w:t>
      </w:r>
    </w:p>
    <w:p w:rsidR="00037390" w:rsidRDefault="00037390" w:rsidP="00037390">
      <w:pPr>
        <w:pStyle w:val="CGCTableFootnote"/>
        <w:ind w:left="0" w:firstLine="0"/>
      </w:pPr>
      <w:r w:rsidRPr="00E00E2D">
        <w:t>Source:</w:t>
      </w:r>
      <w:r w:rsidRPr="00E00E2D">
        <w:tab/>
        <w:t>Commission calculation</w:t>
      </w:r>
      <w:r>
        <w:t xml:space="preserve"> based on ABS estimated resident populations</w:t>
      </w:r>
      <w:r w:rsidRPr="00E00E2D">
        <w:t>.</w:t>
      </w:r>
    </w:p>
    <w:p w:rsidR="00037390" w:rsidRPr="00D612A8" w:rsidRDefault="00037390" w:rsidP="00037390">
      <w:pPr>
        <w:pStyle w:val="Heading4"/>
      </w:pPr>
      <w:bookmarkStart w:id="723" w:name="_Toc127775372"/>
      <w:bookmarkStart w:id="724" w:name="_Toc156814252"/>
      <w:bookmarkStart w:id="725" w:name="_Toc158187333"/>
      <w:bookmarkStart w:id="726" w:name="_Toc282615620"/>
      <w:bookmarkStart w:id="727" w:name="_Toc283734632"/>
      <w:bookmarkStart w:id="728" w:name="_Toc283984360"/>
      <w:bookmarkStart w:id="729" w:name="_Toc284593092"/>
      <w:bookmarkStart w:id="730" w:name="_Toc284950489"/>
      <w:bookmarkStart w:id="731" w:name="_Toc284950558"/>
      <w:bookmarkStart w:id="732" w:name="_Toc284950919"/>
      <w:bookmarkStart w:id="733" w:name="_Toc284951123"/>
      <w:bookmarkStart w:id="734" w:name="_Toc285635102"/>
      <w:bookmarkStart w:id="735" w:name="_Toc316722154"/>
      <w:bookmarkStart w:id="736" w:name="_Toc316727546"/>
      <w:bookmarkStart w:id="737" w:name="_Toc316727851"/>
      <w:bookmarkStart w:id="738" w:name="_Toc316728096"/>
      <w:bookmarkStart w:id="739" w:name="_Toc316735995"/>
      <w:bookmarkStart w:id="740" w:name="_Toc348088399"/>
      <w:bookmarkStart w:id="741" w:name="_Toc348088567"/>
      <w:bookmarkStart w:id="742" w:name="_Toc348945300"/>
      <w:bookmarkStart w:id="743" w:name="_Toc348946512"/>
      <w:bookmarkStart w:id="744" w:name="_Toc348951639"/>
      <w:bookmarkStart w:id="745" w:name="_Toc348957568"/>
      <w:bookmarkStart w:id="746" w:name="_Toc348957684"/>
      <w:bookmarkStart w:id="747" w:name="_Toc348961772"/>
      <w:bookmarkStart w:id="748" w:name="_Toc348962400"/>
      <w:bookmarkStart w:id="749" w:name="_Toc349134611"/>
      <w:bookmarkStart w:id="750" w:name="_Toc349134712"/>
      <w:bookmarkStart w:id="751" w:name="_Toc349656708"/>
      <w:bookmarkStart w:id="752" w:name="_Toc350438431"/>
      <w:bookmarkStart w:id="753" w:name="_Toc380590561"/>
      <w:bookmarkStart w:id="754" w:name="_Toc380590679"/>
      <w:bookmarkStart w:id="755" w:name="_Toc506090623"/>
      <w:bookmarkStart w:id="756" w:name="_Toc506090865"/>
      <w:bookmarkStart w:id="757" w:name="_Toc506103584"/>
      <w:bookmarkStart w:id="758" w:name="_Toc506178490"/>
      <w:bookmarkStart w:id="759" w:name="_Toc1284923"/>
      <w:bookmarkStart w:id="760" w:name="_Toc32382649"/>
      <w:bookmarkStart w:id="761" w:name="_Toc32656925"/>
      <w:bookmarkEnd w:id="627"/>
      <w:bookmarkEnd w:id="628"/>
      <w:bookmarkEnd w:id="629"/>
      <w:bookmarkEnd w:id="630"/>
      <w:bookmarkEnd w:id="631"/>
      <w:bookmarkEnd w:id="632"/>
      <w:bookmarkEnd w:id="633"/>
      <w:bookmarkEnd w:id="634"/>
      <w:bookmarkEnd w:id="635"/>
      <w:bookmarkEnd w:id="636"/>
      <w:bookmarkEnd w:id="637"/>
      <w:bookmarkEnd w:id="638"/>
      <w:bookmarkEnd w:id="639"/>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r w:rsidRPr="00D612A8">
        <w:t>RELATIVITIES OVER TIME</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rsidR="00037390" w:rsidRDefault="00037390" w:rsidP="00037390">
      <w:pPr>
        <w:pStyle w:val="CGCNumberedPara"/>
        <w:numPr>
          <w:ilvl w:val="1"/>
          <w:numId w:val="2"/>
        </w:numPr>
      </w:pPr>
      <w:bookmarkStart w:id="762" w:name="_Toc32382621"/>
      <w:r>
        <w:t>Because the relativities reflect measured differences in State fiscal capacities, they change over time, as State circumstances change, and as the Commission adapts its methods.</w:t>
      </w:r>
    </w:p>
    <w:bookmarkStart w:id="763" w:name="_Ref191191436"/>
    <w:bookmarkStart w:id="764" w:name="_Ref191290788"/>
    <w:bookmarkStart w:id="765" w:name="_Ref219767028"/>
    <w:bookmarkStart w:id="766" w:name="_Toc316728098"/>
    <w:bookmarkStart w:id="767" w:name="_Toc316735388"/>
    <w:bookmarkStart w:id="768" w:name="_Toc316735997"/>
    <w:bookmarkStart w:id="769" w:name="_Toc347833781"/>
    <w:bookmarkStart w:id="770" w:name="_Toc156814255"/>
    <w:bookmarkStart w:id="771" w:name="_Toc506090619"/>
    <w:bookmarkStart w:id="772" w:name="_Toc506090861"/>
    <w:bookmarkStart w:id="773" w:name="_Toc506103580"/>
    <w:bookmarkStart w:id="774" w:name="_Toc506178486"/>
    <w:bookmarkEnd w:id="762"/>
    <w:p w:rsidR="00037390" w:rsidRDefault="000362E0" w:rsidP="00037390">
      <w:pPr>
        <w:pStyle w:val="CGCNumberedPara"/>
        <w:numPr>
          <w:ilvl w:val="1"/>
          <w:numId w:val="2"/>
        </w:numPr>
      </w:pPr>
      <w:r>
        <w:fldChar w:fldCharType="begin"/>
      </w:r>
      <w:r>
        <w:instrText xml:space="preserve"> REF _Ref411931517 \h </w:instrText>
      </w:r>
      <w:r>
        <w:fldChar w:fldCharType="separate"/>
      </w:r>
      <w:r w:rsidR="003A5DEE" w:rsidRPr="002A60E6">
        <w:t xml:space="preserve">Figure </w:t>
      </w:r>
      <w:r w:rsidR="003A5DEE">
        <w:rPr>
          <w:noProof/>
        </w:rPr>
        <w:t>4</w:t>
      </w:r>
      <w:r>
        <w:fldChar w:fldCharType="end"/>
      </w:r>
      <w:r>
        <w:t xml:space="preserve"> and </w:t>
      </w:r>
      <w:fldSimple w:instr=" REF _Ref410822097 ">
        <w:r w:rsidR="003A5DEE">
          <w:t xml:space="preserve">Table </w:t>
        </w:r>
        <w:r w:rsidR="003A5DEE">
          <w:rPr>
            <w:noProof/>
          </w:rPr>
          <w:t>11</w:t>
        </w:r>
      </w:fldSimple>
      <w:r>
        <w:t xml:space="preserve"> </w:t>
      </w:r>
      <w:r w:rsidR="00037390">
        <w:t xml:space="preserve">show that, since the </w:t>
      </w:r>
      <w:r w:rsidR="00037390">
        <w:rPr>
          <w:noProof/>
        </w:rPr>
        <w:t>i</w:t>
      </w:r>
      <w:r w:rsidR="00037390">
        <w:t>ntroduction of the GST in 2000-01, the relative fiscal capacities of the States have changed. These measured capacities reflect changing State economic, demographic and geographic circumstances, changing average State and Commonwealth policies and the impact of method reviews in 2004, 2010 and 2015.</w:t>
      </w:r>
    </w:p>
    <w:p w:rsidR="00037390" w:rsidRDefault="00037390" w:rsidP="00037390">
      <w:pPr>
        <w:pStyle w:val="CGCNumberedPara"/>
        <w:numPr>
          <w:ilvl w:val="1"/>
          <w:numId w:val="2"/>
        </w:numPr>
      </w:pPr>
      <w:r>
        <w:t xml:space="preserve">Over that period, the Northern Territory’s assessed relative fiscal capacity deteriorated while that of Western Australia’s strengthened. In the case of the Northern Territory, this primarily </w:t>
      </w:r>
      <w:r w:rsidRPr="00FD3F87">
        <w:t>reflects the faster rate of growth of national State expenses than the GST pool. As a result, a greater proportion of the pool is required to fund the Northern Territory’s high expenditure needs. Western Australia’s strengthened fiscal capacity reflects the growth in revenue</w:t>
      </w:r>
      <w:r>
        <w:t xml:space="preserve"> capacity flowing from its mining industry.</w:t>
      </w:r>
    </w:p>
    <w:p w:rsidR="00037390" w:rsidRPr="00484D82" w:rsidRDefault="00037390" w:rsidP="00037390">
      <w:pPr>
        <w:pStyle w:val="CGCTableHeading"/>
      </w:pPr>
      <w:bookmarkStart w:id="775" w:name="_Ref410641234"/>
      <w:bookmarkStart w:id="776" w:name="_Ref411931517"/>
      <w:r w:rsidRPr="002A60E6">
        <w:lastRenderedPageBreak/>
        <w:t xml:space="preserve">Figure </w:t>
      </w:r>
      <w:bookmarkEnd w:id="763"/>
      <w:bookmarkEnd w:id="764"/>
      <w:bookmarkEnd w:id="765"/>
      <w:bookmarkEnd w:id="775"/>
      <w:r w:rsidR="00E76674">
        <w:fldChar w:fldCharType="begin"/>
      </w:r>
      <w:r w:rsidR="00E76674">
        <w:instrText xml:space="preserve"> SEQ Figure \* ARABIC </w:instrText>
      </w:r>
      <w:r w:rsidR="00E76674">
        <w:fldChar w:fldCharType="separate"/>
      </w:r>
      <w:r w:rsidR="003A5DEE">
        <w:rPr>
          <w:noProof/>
        </w:rPr>
        <w:t>4</w:t>
      </w:r>
      <w:r w:rsidR="00E76674">
        <w:fldChar w:fldCharType="end"/>
      </w:r>
      <w:bookmarkEnd w:id="776"/>
      <w:r w:rsidRPr="002A60E6">
        <w:tab/>
      </w:r>
      <w:r>
        <w:t>R</w:t>
      </w:r>
      <w:r w:rsidRPr="002A60E6">
        <w:t xml:space="preserve">elativities </w:t>
      </w:r>
      <w:r>
        <w:t xml:space="preserve">used </w:t>
      </w:r>
      <w:r w:rsidRPr="002A60E6">
        <w:t xml:space="preserve">for distributing the </w:t>
      </w:r>
      <w:r>
        <w:t>GST,</w:t>
      </w:r>
      <w:r w:rsidRPr="002A60E6">
        <w:t xml:space="preserve"> 2000</w:t>
      </w:r>
      <w:r w:rsidRPr="002A60E6">
        <w:noBreakHyphen/>
        <w:t xml:space="preserve">01 to </w:t>
      </w:r>
      <w:bookmarkEnd w:id="766"/>
      <w:bookmarkEnd w:id="767"/>
      <w:bookmarkEnd w:id="768"/>
      <w:bookmarkEnd w:id="769"/>
      <w:r>
        <w:t>2015</w:t>
      </w:r>
      <w:r>
        <w:noBreakHyphen/>
        <w:t>16</w:t>
      </w:r>
    </w:p>
    <w:p w:rsidR="00210430" w:rsidRDefault="00210430" w:rsidP="00210430">
      <w:pPr>
        <w:rPr>
          <w:noProof/>
          <w:lang w:eastAsia="en-AU"/>
        </w:rPr>
      </w:pPr>
      <w:r w:rsidRPr="009739EE">
        <w:rPr>
          <w:noProof/>
          <w:lang w:eastAsia="en-AU"/>
        </w:rPr>
        <w:drawing>
          <wp:inline distT="0" distB="0" distL="0" distR="0" wp14:anchorId="398B7D4D" wp14:editId="3752C47F">
            <wp:extent cx="5657850" cy="4953000"/>
            <wp:effectExtent l="0" t="0" r="0" b="0"/>
            <wp:docPr id="14" name="Picture 14" descr="This figure shows that since the introduction of the GST in 2000-01, the relative fiscal capacities of the States have chan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57850" cy="4953000"/>
                    </a:xfrm>
                    <a:prstGeom prst="rect">
                      <a:avLst/>
                    </a:prstGeom>
                    <a:noFill/>
                    <a:ln>
                      <a:noFill/>
                    </a:ln>
                  </pic:spPr>
                </pic:pic>
              </a:graphicData>
            </a:graphic>
          </wp:inline>
        </w:drawing>
      </w:r>
    </w:p>
    <w:p w:rsidR="00037390" w:rsidRPr="006D3868" w:rsidRDefault="00037390" w:rsidP="00210430">
      <w:pPr>
        <w:pStyle w:val="CGCTableFootnote"/>
        <w:rPr>
          <w:rStyle w:val="CGCTableFootnoteChar"/>
        </w:rPr>
      </w:pPr>
      <w:r w:rsidRPr="006D3868">
        <w:rPr>
          <w:rStyle w:val="CGCTableFootnoteChar"/>
        </w:rPr>
        <w:t>Note:</w:t>
      </w:r>
      <w:r w:rsidRPr="006D3868">
        <w:rPr>
          <w:rStyle w:val="CGCTableFootnoteChar"/>
        </w:rPr>
        <w:tab/>
        <w:t>The relativities are derived on the basis of a pool comprising GST revenue only.</w:t>
      </w:r>
    </w:p>
    <w:p w:rsidR="00037390" w:rsidRDefault="00037390" w:rsidP="00210430">
      <w:pPr>
        <w:pStyle w:val="CGCTableFootnote"/>
      </w:pPr>
      <w:r>
        <w:t>Source:</w:t>
      </w:r>
      <w:r>
        <w:tab/>
        <w:t>Commission calculation.</w:t>
      </w:r>
    </w:p>
    <w:p w:rsidR="00037390" w:rsidRDefault="00037390" w:rsidP="00037390">
      <w:pPr>
        <w:pStyle w:val="CGCTableHeading"/>
      </w:pPr>
      <w:bookmarkStart w:id="777" w:name="_Ref191191324"/>
      <w:bookmarkStart w:id="778" w:name="_Ref191290743"/>
      <w:bookmarkStart w:id="779" w:name="_Ref315859769"/>
      <w:bookmarkStart w:id="780" w:name="_Ref410822097"/>
      <w:bookmarkStart w:id="781" w:name="_Toc315960011"/>
      <w:bookmarkStart w:id="782" w:name="_Toc316728099"/>
      <w:bookmarkStart w:id="783" w:name="_Toc316735389"/>
      <w:bookmarkStart w:id="784" w:name="_Toc316735998"/>
      <w:bookmarkStart w:id="785" w:name="_Toc347833853"/>
      <w:bookmarkStart w:id="786" w:name="_Ref124743397"/>
      <w:r>
        <w:lastRenderedPageBreak/>
        <w:t xml:space="preserve">Table </w:t>
      </w:r>
      <w:bookmarkEnd w:id="777"/>
      <w:bookmarkEnd w:id="778"/>
      <w:bookmarkEnd w:id="779"/>
      <w:r>
        <w:fldChar w:fldCharType="begin"/>
      </w:r>
      <w:r>
        <w:instrText xml:space="preserve"> SEQ Table \* ARABIC </w:instrText>
      </w:r>
      <w:r>
        <w:fldChar w:fldCharType="separate"/>
      </w:r>
      <w:r w:rsidR="003A5DEE">
        <w:rPr>
          <w:noProof/>
        </w:rPr>
        <w:t>11</w:t>
      </w:r>
      <w:r>
        <w:fldChar w:fldCharType="end"/>
      </w:r>
      <w:bookmarkEnd w:id="780"/>
      <w:r>
        <w:tab/>
        <w:t xml:space="preserve">Relativities used for distributing the GST, </w:t>
      </w:r>
      <w:r w:rsidRPr="003B4D4C">
        <w:t>2000</w:t>
      </w:r>
      <w:r>
        <w:noBreakHyphen/>
        <w:t xml:space="preserve">01 to </w:t>
      </w:r>
      <w:bookmarkEnd w:id="781"/>
      <w:bookmarkEnd w:id="782"/>
      <w:bookmarkEnd w:id="783"/>
      <w:bookmarkEnd w:id="784"/>
      <w:bookmarkEnd w:id="785"/>
      <w:r>
        <w:t>2015</w:t>
      </w:r>
      <w:r>
        <w:noBreakHyphen/>
        <w:t>16</w:t>
      </w:r>
    </w:p>
    <w:tbl>
      <w:tblPr>
        <w:tblW w:w="8960" w:type="dxa"/>
        <w:tblInd w:w="93" w:type="dxa"/>
        <w:tblLook w:val="04A0" w:firstRow="1" w:lastRow="0" w:firstColumn="1" w:lastColumn="0" w:noHBand="0" w:noVBand="1"/>
      </w:tblPr>
      <w:tblGrid>
        <w:gridCol w:w="1320"/>
        <w:gridCol w:w="1060"/>
        <w:gridCol w:w="940"/>
        <w:gridCol w:w="980"/>
        <w:gridCol w:w="960"/>
        <w:gridCol w:w="880"/>
        <w:gridCol w:w="960"/>
        <w:gridCol w:w="980"/>
        <w:gridCol w:w="880"/>
      </w:tblGrid>
      <w:tr w:rsidR="006B46D2" w:rsidRPr="002D5942" w:rsidTr="00236E06">
        <w:trPr>
          <w:trHeight w:val="379"/>
        </w:trPr>
        <w:tc>
          <w:tcPr>
            <w:tcW w:w="132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bookmarkStart w:id="787" w:name="RANGE!A36:J50"/>
            <w:bookmarkStart w:id="788" w:name="RANGE!A38:J52"/>
            <w:bookmarkStart w:id="789" w:name="RANGE!A6:J20"/>
            <w:bookmarkStart w:id="790" w:name="RANGE!A6:J19"/>
            <w:bookmarkStart w:id="791" w:name="RANGE!A15:I31"/>
            <w:bookmarkEnd w:id="786"/>
            <w:bookmarkEnd w:id="787"/>
            <w:bookmarkEnd w:id="788"/>
            <w:bookmarkEnd w:id="789"/>
            <w:bookmarkEnd w:id="790"/>
            <w:r w:rsidRPr="002D5942">
              <w:rPr>
                <w:rFonts w:ascii="Calibri" w:eastAsia="Times New Roman" w:hAnsi="Calibri" w:cs="Times New Roman"/>
                <w:sz w:val="20"/>
                <w:szCs w:val="20"/>
                <w:lang w:eastAsia="en-AU"/>
              </w:rPr>
              <w:t> </w:t>
            </w:r>
            <w:bookmarkEnd w:id="791"/>
          </w:p>
        </w:tc>
        <w:tc>
          <w:tcPr>
            <w:tcW w:w="106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NSW</w:t>
            </w:r>
          </w:p>
        </w:tc>
        <w:tc>
          <w:tcPr>
            <w:tcW w:w="94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Vic</w:t>
            </w:r>
          </w:p>
        </w:tc>
        <w:tc>
          <w:tcPr>
            <w:tcW w:w="98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Qld</w:t>
            </w:r>
          </w:p>
        </w:tc>
        <w:tc>
          <w:tcPr>
            <w:tcW w:w="96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WA</w:t>
            </w:r>
          </w:p>
        </w:tc>
        <w:tc>
          <w:tcPr>
            <w:tcW w:w="88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SA</w:t>
            </w:r>
          </w:p>
        </w:tc>
        <w:tc>
          <w:tcPr>
            <w:tcW w:w="96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proofErr w:type="spellStart"/>
            <w:r w:rsidRPr="002D5942">
              <w:rPr>
                <w:rFonts w:ascii="Calibri" w:eastAsia="Times New Roman" w:hAnsi="Calibri" w:cs="Times New Roman"/>
                <w:sz w:val="20"/>
                <w:szCs w:val="20"/>
                <w:lang w:eastAsia="en-AU"/>
              </w:rPr>
              <w:t>Tas</w:t>
            </w:r>
            <w:proofErr w:type="spellEnd"/>
          </w:p>
        </w:tc>
        <w:tc>
          <w:tcPr>
            <w:tcW w:w="98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ACT</w:t>
            </w:r>
          </w:p>
        </w:tc>
        <w:tc>
          <w:tcPr>
            <w:tcW w:w="880" w:type="dxa"/>
            <w:tcBorders>
              <w:top w:val="single" w:sz="4" w:space="0" w:color="auto"/>
              <w:left w:val="nil"/>
              <w:bottom w:val="single" w:sz="4" w:space="0" w:color="auto"/>
              <w:right w:val="nil"/>
            </w:tcBorders>
            <w:shd w:val="clear" w:color="auto" w:fill="auto"/>
            <w:noWrap/>
            <w:vAlign w:val="center"/>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NT</w:t>
            </w:r>
          </w:p>
        </w:tc>
      </w:tr>
      <w:tr w:rsidR="006B46D2" w:rsidRPr="002D5942" w:rsidTr="00236E06">
        <w:trPr>
          <w:trHeight w:val="315"/>
        </w:trPr>
        <w:tc>
          <w:tcPr>
            <w:tcW w:w="13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2000-01</w:t>
            </w:r>
          </w:p>
        </w:tc>
        <w:tc>
          <w:tcPr>
            <w:tcW w:w="10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0.889</w:t>
            </w:r>
          </w:p>
        </w:tc>
        <w:tc>
          <w:tcPr>
            <w:tcW w:w="9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0.845</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1.025</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0.987</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1.204</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1.610</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1.171</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4.794</w:t>
            </w:r>
          </w:p>
        </w:tc>
      </w:tr>
      <w:tr w:rsidR="006B46D2" w:rsidRPr="002D5942" w:rsidTr="00236E06">
        <w:trPr>
          <w:trHeight w:val="315"/>
        </w:trPr>
        <w:tc>
          <w:tcPr>
            <w:tcW w:w="13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2001-02</w:t>
            </w:r>
          </w:p>
        </w:tc>
        <w:tc>
          <w:tcPr>
            <w:tcW w:w="10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0.902</w:t>
            </w:r>
          </w:p>
        </w:tc>
        <w:tc>
          <w:tcPr>
            <w:tcW w:w="9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0.852</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1.006</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0.976</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1.200</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1.605</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1.211</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4.615</w:t>
            </w:r>
          </w:p>
        </w:tc>
      </w:tr>
      <w:tr w:rsidR="006B46D2" w:rsidRPr="002D5942" w:rsidTr="00236E06">
        <w:trPr>
          <w:trHeight w:val="315"/>
        </w:trPr>
        <w:tc>
          <w:tcPr>
            <w:tcW w:w="13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2002-03</w:t>
            </w:r>
          </w:p>
        </w:tc>
        <w:tc>
          <w:tcPr>
            <w:tcW w:w="10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0.884</w:t>
            </w:r>
          </w:p>
        </w:tc>
        <w:tc>
          <w:tcPr>
            <w:tcW w:w="9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0.842</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1.017</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0.976</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1.217</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1.682</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1.226</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4.916</w:t>
            </w:r>
          </w:p>
        </w:tc>
      </w:tr>
      <w:tr w:rsidR="006B46D2" w:rsidRPr="002D5942" w:rsidTr="00236E06">
        <w:trPr>
          <w:trHeight w:val="315"/>
        </w:trPr>
        <w:tc>
          <w:tcPr>
            <w:tcW w:w="13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2003-04</w:t>
            </w:r>
          </w:p>
        </w:tc>
        <w:tc>
          <w:tcPr>
            <w:tcW w:w="10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0.865</w:t>
            </w:r>
          </w:p>
        </w:tc>
        <w:tc>
          <w:tcPr>
            <w:tcW w:w="9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0.842</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1.025</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0.965</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1.240</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1.753</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1.234</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5.135</w:t>
            </w:r>
          </w:p>
        </w:tc>
      </w:tr>
      <w:tr w:rsidR="006B46D2" w:rsidRPr="002D5942" w:rsidTr="00236E06">
        <w:trPr>
          <w:trHeight w:val="315"/>
        </w:trPr>
        <w:tc>
          <w:tcPr>
            <w:tcW w:w="13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2004-05</w:t>
            </w:r>
          </w:p>
        </w:tc>
        <w:tc>
          <w:tcPr>
            <w:tcW w:w="10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0.835</w:t>
            </w:r>
          </w:p>
        </w:tc>
        <w:tc>
          <w:tcPr>
            <w:tcW w:w="9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0.836</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1.070</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1.038</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1.230</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1.715</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1.214</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5.003</w:t>
            </w:r>
          </w:p>
        </w:tc>
      </w:tr>
      <w:tr w:rsidR="006B46D2" w:rsidRPr="002D5942" w:rsidTr="00236E06">
        <w:trPr>
          <w:trHeight w:val="315"/>
        </w:trPr>
        <w:tc>
          <w:tcPr>
            <w:tcW w:w="13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2005-06</w:t>
            </w:r>
          </w:p>
        </w:tc>
        <w:tc>
          <w:tcPr>
            <w:tcW w:w="10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0.836</w:t>
            </w:r>
          </w:p>
        </w:tc>
        <w:tc>
          <w:tcPr>
            <w:tcW w:w="9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0.849</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1.057</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1.033</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1.227</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1.704</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1.228</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5.005</w:t>
            </w:r>
          </w:p>
        </w:tc>
      </w:tr>
      <w:tr w:rsidR="006B46D2" w:rsidRPr="002D5942" w:rsidTr="00236E06">
        <w:trPr>
          <w:trHeight w:val="315"/>
        </w:trPr>
        <w:tc>
          <w:tcPr>
            <w:tcW w:w="13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2006-07</w:t>
            </w:r>
          </w:p>
        </w:tc>
        <w:tc>
          <w:tcPr>
            <w:tcW w:w="10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0.842</w:t>
            </w:r>
          </w:p>
        </w:tc>
        <w:tc>
          <w:tcPr>
            <w:tcW w:w="9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0.875</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1.033</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1.008</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1.208</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1.696</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1.229</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5.065</w:t>
            </w:r>
          </w:p>
        </w:tc>
      </w:tr>
      <w:tr w:rsidR="006B46D2" w:rsidRPr="002D5942" w:rsidTr="00236E06">
        <w:trPr>
          <w:trHeight w:val="315"/>
        </w:trPr>
        <w:tc>
          <w:tcPr>
            <w:tcW w:w="13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2007-08</w:t>
            </w:r>
          </w:p>
        </w:tc>
        <w:tc>
          <w:tcPr>
            <w:tcW w:w="10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0.864</w:t>
            </w:r>
          </w:p>
        </w:tc>
        <w:tc>
          <w:tcPr>
            <w:tcW w:w="9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0.882</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1.011</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0.936</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1.231</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1.687</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1.247</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5.096</w:t>
            </w:r>
          </w:p>
        </w:tc>
      </w:tr>
      <w:tr w:rsidR="006B46D2" w:rsidRPr="002D5942" w:rsidTr="00236E06">
        <w:trPr>
          <w:trHeight w:val="315"/>
        </w:trPr>
        <w:tc>
          <w:tcPr>
            <w:tcW w:w="13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2008-09</w:t>
            </w:r>
          </w:p>
        </w:tc>
        <w:tc>
          <w:tcPr>
            <w:tcW w:w="10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0.887</w:t>
            </w:r>
          </w:p>
        </w:tc>
        <w:tc>
          <w:tcPr>
            <w:tcW w:w="9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0.913</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0.962</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0.858</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1.232</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1.663</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1.256</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5.258</w:t>
            </w:r>
          </w:p>
        </w:tc>
      </w:tr>
      <w:tr w:rsidR="006B46D2" w:rsidRPr="002D5942" w:rsidTr="00236E06">
        <w:trPr>
          <w:trHeight w:val="315"/>
        </w:trPr>
        <w:tc>
          <w:tcPr>
            <w:tcW w:w="13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2009-10</w:t>
            </w:r>
          </w:p>
        </w:tc>
        <w:tc>
          <w:tcPr>
            <w:tcW w:w="10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0.932</w:t>
            </w:r>
          </w:p>
        </w:tc>
        <w:tc>
          <w:tcPr>
            <w:tcW w:w="9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0.919</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0.916</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0.785</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1.247</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1.620</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1.271</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5.251</w:t>
            </w:r>
          </w:p>
        </w:tc>
      </w:tr>
      <w:tr w:rsidR="006B46D2" w:rsidRPr="002D5942" w:rsidTr="00236E06">
        <w:trPr>
          <w:trHeight w:val="315"/>
        </w:trPr>
        <w:tc>
          <w:tcPr>
            <w:tcW w:w="13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2010-11</w:t>
            </w:r>
          </w:p>
        </w:tc>
        <w:tc>
          <w:tcPr>
            <w:tcW w:w="10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0.952</w:t>
            </w:r>
          </w:p>
        </w:tc>
        <w:tc>
          <w:tcPr>
            <w:tcW w:w="9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0.940</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0.913</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0.683</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1.285</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1.621</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1.153</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5.074</w:t>
            </w:r>
          </w:p>
        </w:tc>
      </w:tr>
      <w:tr w:rsidR="006B46D2" w:rsidRPr="002D5942" w:rsidTr="00236E06">
        <w:trPr>
          <w:trHeight w:val="315"/>
        </w:trPr>
        <w:tc>
          <w:tcPr>
            <w:tcW w:w="13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2011-12</w:t>
            </w:r>
          </w:p>
        </w:tc>
        <w:tc>
          <w:tcPr>
            <w:tcW w:w="10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0.958</w:t>
            </w:r>
          </w:p>
        </w:tc>
        <w:tc>
          <w:tcPr>
            <w:tcW w:w="9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0.905</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0.929</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0.717</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1.271</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1.599</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1.116</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5.357</w:t>
            </w:r>
          </w:p>
        </w:tc>
      </w:tr>
      <w:tr w:rsidR="006B46D2" w:rsidRPr="002D5942" w:rsidTr="00236E06">
        <w:trPr>
          <w:trHeight w:val="315"/>
        </w:trPr>
        <w:tc>
          <w:tcPr>
            <w:tcW w:w="13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2012-13</w:t>
            </w:r>
          </w:p>
        </w:tc>
        <w:tc>
          <w:tcPr>
            <w:tcW w:w="10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0.953</w:t>
            </w:r>
          </w:p>
        </w:tc>
        <w:tc>
          <w:tcPr>
            <w:tcW w:w="9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0.921</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0.985</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0.551</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1.285</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1.581</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1.198</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5.528</w:t>
            </w:r>
          </w:p>
        </w:tc>
      </w:tr>
      <w:tr w:rsidR="006B46D2" w:rsidRPr="002D5942" w:rsidTr="00236E06">
        <w:trPr>
          <w:trHeight w:val="315"/>
        </w:trPr>
        <w:tc>
          <w:tcPr>
            <w:tcW w:w="13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2013-14</w:t>
            </w:r>
          </w:p>
        </w:tc>
        <w:tc>
          <w:tcPr>
            <w:tcW w:w="10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0.966</w:t>
            </w:r>
          </w:p>
        </w:tc>
        <w:tc>
          <w:tcPr>
            <w:tcW w:w="9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0.904</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1.056</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0.446</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1.262</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1.615</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1.221</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5.314</w:t>
            </w:r>
          </w:p>
        </w:tc>
      </w:tr>
      <w:tr w:rsidR="006B46D2" w:rsidRPr="002D5942" w:rsidTr="00236E06">
        <w:trPr>
          <w:trHeight w:val="315"/>
        </w:trPr>
        <w:tc>
          <w:tcPr>
            <w:tcW w:w="132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2014-15</w:t>
            </w:r>
          </w:p>
        </w:tc>
        <w:tc>
          <w:tcPr>
            <w:tcW w:w="10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0.975</w:t>
            </w:r>
          </w:p>
        </w:tc>
        <w:tc>
          <w:tcPr>
            <w:tcW w:w="94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0.883</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1.079</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0.376</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1.288</w:t>
            </w:r>
          </w:p>
        </w:tc>
        <w:tc>
          <w:tcPr>
            <w:tcW w:w="96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1.635</w:t>
            </w:r>
          </w:p>
        </w:tc>
        <w:tc>
          <w:tcPr>
            <w:tcW w:w="9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1.236</w:t>
            </w:r>
          </w:p>
        </w:tc>
        <w:tc>
          <w:tcPr>
            <w:tcW w:w="880" w:type="dxa"/>
            <w:tcBorders>
              <w:top w:val="nil"/>
              <w:left w:val="nil"/>
              <w:bottom w:val="nil"/>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5.661</w:t>
            </w:r>
          </w:p>
        </w:tc>
      </w:tr>
      <w:tr w:rsidR="006B46D2" w:rsidRPr="002D5942" w:rsidTr="00236E06">
        <w:trPr>
          <w:trHeight w:val="315"/>
        </w:trPr>
        <w:tc>
          <w:tcPr>
            <w:tcW w:w="1320" w:type="dxa"/>
            <w:tcBorders>
              <w:top w:val="nil"/>
              <w:left w:val="nil"/>
              <w:bottom w:val="single" w:sz="4" w:space="0" w:color="auto"/>
              <w:right w:val="nil"/>
            </w:tcBorders>
            <w:shd w:val="clear" w:color="auto" w:fill="auto"/>
            <w:noWrap/>
            <w:vAlign w:val="bottom"/>
            <w:hideMark/>
          </w:tcPr>
          <w:p w:rsidR="006B46D2" w:rsidRPr="002D5942" w:rsidRDefault="006B46D2" w:rsidP="00236E06">
            <w:pPr>
              <w:keepNext/>
              <w:tabs>
                <w:tab w:val="clear" w:pos="567"/>
              </w:tabs>
              <w:spacing w:after="0" w:line="240" w:lineRule="auto"/>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2015-16</w:t>
            </w:r>
          </w:p>
        </w:tc>
        <w:tc>
          <w:tcPr>
            <w:tcW w:w="1060" w:type="dxa"/>
            <w:tcBorders>
              <w:top w:val="nil"/>
              <w:left w:val="nil"/>
              <w:bottom w:val="single" w:sz="4" w:space="0" w:color="auto"/>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0.947</w:t>
            </w:r>
          </w:p>
        </w:tc>
        <w:tc>
          <w:tcPr>
            <w:tcW w:w="940" w:type="dxa"/>
            <w:tcBorders>
              <w:top w:val="nil"/>
              <w:left w:val="nil"/>
              <w:bottom w:val="single" w:sz="4" w:space="0" w:color="auto"/>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0.893</w:t>
            </w:r>
          </w:p>
        </w:tc>
        <w:tc>
          <w:tcPr>
            <w:tcW w:w="980" w:type="dxa"/>
            <w:tcBorders>
              <w:top w:val="nil"/>
              <w:left w:val="nil"/>
              <w:bottom w:val="single" w:sz="4" w:space="0" w:color="auto"/>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1.128</w:t>
            </w:r>
          </w:p>
        </w:tc>
        <w:tc>
          <w:tcPr>
            <w:tcW w:w="960" w:type="dxa"/>
            <w:tcBorders>
              <w:top w:val="nil"/>
              <w:left w:val="nil"/>
              <w:bottom w:val="single" w:sz="4" w:space="0" w:color="auto"/>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0.300</w:t>
            </w:r>
          </w:p>
        </w:tc>
        <w:tc>
          <w:tcPr>
            <w:tcW w:w="880" w:type="dxa"/>
            <w:tcBorders>
              <w:top w:val="nil"/>
              <w:left w:val="nil"/>
              <w:bottom w:val="single" w:sz="4" w:space="0" w:color="auto"/>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1.359</w:t>
            </w:r>
          </w:p>
        </w:tc>
        <w:tc>
          <w:tcPr>
            <w:tcW w:w="960" w:type="dxa"/>
            <w:tcBorders>
              <w:top w:val="nil"/>
              <w:left w:val="nil"/>
              <w:bottom w:val="single" w:sz="4" w:space="0" w:color="auto"/>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1.819</w:t>
            </w:r>
          </w:p>
        </w:tc>
        <w:tc>
          <w:tcPr>
            <w:tcW w:w="980" w:type="dxa"/>
            <w:tcBorders>
              <w:top w:val="nil"/>
              <w:left w:val="nil"/>
              <w:bottom w:val="single" w:sz="4" w:space="0" w:color="auto"/>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1.100</w:t>
            </w:r>
          </w:p>
        </w:tc>
        <w:tc>
          <w:tcPr>
            <w:tcW w:w="880" w:type="dxa"/>
            <w:tcBorders>
              <w:top w:val="nil"/>
              <w:left w:val="nil"/>
              <w:bottom w:val="single" w:sz="4" w:space="0" w:color="auto"/>
              <w:right w:val="nil"/>
            </w:tcBorders>
            <w:shd w:val="clear" w:color="auto" w:fill="auto"/>
            <w:noWrap/>
            <w:vAlign w:val="bottom"/>
            <w:hideMark/>
          </w:tcPr>
          <w:p w:rsidR="006B46D2" w:rsidRPr="002D5942" w:rsidRDefault="006B46D2" w:rsidP="00236E06">
            <w:pPr>
              <w:keepNext/>
              <w:tabs>
                <w:tab w:val="clear" w:pos="567"/>
              </w:tabs>
              <w:spacing w:after="0" w:line="240" w:lineRule="auto"/>
              <w:jc w:val="right"/>
              <w:rPr>
                <w:rFonts w:ascii="Calibri" w:eastAsia="Times New Roman" w:hAnsi="Calibri" w:cs="Times New Roman"/>
                <w:sz w:val="20"/>
                <w:szCs w:val="20"/>
                <w:lang w:eastAsia="en-AU"/>
              </w:rPr>
            </w:pPr>
            <w:r w:rsidRPr="002D5942">
              <w:rPr>
                <w:rFonts w:ascii="Calibri" w:eastAsia="Times New Roman" w:hAnsi="Calibri" w:cs="Times New Roman"/>
                <w:sz w:val="20"/>
                <w:szCs w:val="20"/>
                <w:lang w:eastAsia="en-AU"/>
              </w:rPr>
              <w:t>5.571</w:t>
            </w:r>
          </w:p>
        </w:tc>
      </w:tr>
    </w:tbl>
    <w:p w:rsidR="00037390" w:rsidRDefault="00037390" w:rsidP="00037390">
      <w:pPr>
        <w:pStyle w:val="CGCTableFootnote"/>
      </w:pPr>
      <w:r>
        <w:t>Note:</w:t>
      </w:r>
      <w:r>
        <w:tab/>
        <w:t xml:space="preserve">The relativities prior to 2010-11 were calculated based on a </w:t>
      </w:r>
      <w:r w:rsidR="00FD2BEF">
        <w:t>five</w:t>
      </w:r>
      <w:r>
        <w:t xml:space="preserve"> year moving average of annual assessments. Since the 2010 Review, the Commission has calculated the relativities based on a </w:t>
      </w:r>
      <w:r w:rsidR="00FD2BEF">
        <w:t>three</w:t>
      </w:r>
      <w:r>
        <w:t> year moving average of annual assessments.</w:t>
      </w:r>
    </w:p>
    <w:p w:rsidR="00037390" w:rsidRPr="00A2200D" w:rsidRDefault="00037390" w:rsidP="00037390">
      <w:pPr>
        <w:pStyle w:val="CGCTableFootnote"/>
      </w:pPr>
      <w:r>
        <w:tab/>
        <w:t>Prior to 2009-10, the pool was a combined pool of GST revenue and health care grants. This table is derived on the basis of a pool comprising</w:t>
      </w:r>
      <w:r w:rsidRPr="00B636FE">
        <w:t xml:space="preserve"> </w:t>
      </w:r>
      <w:r>
        <w:t>GST</w:t>
      </w:r>
      <w:r w:rsidRPr="00B636FE">
        <w:t xml:space="preserve"> revenue only</w:t>
      </w:r>
      <w:r>
        <w:t>.</w:t>
      </w:r>
    </w:p>
    <w:p w:rsidR="00037390" w:rsidRDefault="00037390" w:rsidP="00037390">
      <w:pPr>
        <w:pStyle w:val="CGCTableFootnote"/>
      </w:pPr>
      <w:r>
        <w:t>Source:</w:t>
      </w:r>
      <w:r>
        <w:tab/>
        <w:t>Commission calculation.</w:t>
      </w:r>
    </w:p>
    <w:p w:rsidR="00037390" w:rsidRPr="00EA4711" w:rsidRDefault="00037390" w:rsidP="00037390">
      <w:pPr>
        <w:pStyle w:val="Heading4"/>
      </w:pPr>
      <w:bookmarkStart w:id="792" w:name="_Toc348088062"/>
      <w:bookmarkStart w:id="793" w:name="_Toc348088401"/>
      <w:bookmarkStart w:id="794" w:name="_Toc348945302"/>
      <w:bookmarkStart w:id="795" w:name="_Toc348945475"/>
      <w:bookmarkStart w:id="796" w:name="_Toc348945634"/>
      <w:bookmarkStart w:id="797" w:name="_Toc348946514"/>
      <w:bookmarkStart w:id="798" w:name="_Toc348951188"/>
      <w:bookmarkStart w:id="799" w:name="_Toc348951641"/>
      <w:bookmarkStart w:id="800" w:name="_Toc348951837"/>
      <w:bookmarkStart w:id="801" w:name="_Toc348951932"/>
      <w:bookmarkStart w:id="802" w:name="_Toc348957570"/>
      <w:bookmarkStart w:id="803" w:name="_Toc348957686"/>
      <w:bookmarkStart w:id="804" w:name="_Toc380590563"/>
      <w:bookmarkStart w:id="805" w:name="_Toc380590681"/>
      <w:bookmarkStart w:id="806" w:name="_Ref313632470"/>
      <w:bookmarkStart w:id="807" w:name="_Toc316728100"/>
      <w:bookmarkStart w:id="808" w:name="_Toc316735390"/>
      <w:bookmarkStart w:id="809" w:name="_Toc316735999"/>
      <w:bookmarkStart w:id="810" w:name="_Ref346803626"/>
      <w:bookmarkStart w:id="811" w:name="_Toc347833782"/>
      <w:bookmarkStart w:id="812" w:name="_Toc282615622"/>
      <w:bookmarkStart w:id="813" w:name="_Toc283734634"/>
      <w:bookmarkStart w:id="814" w:name="_Toc283984362"/>
      <w:bookmarkStart w:id="815" w:name="_Toc284593094"/>
      <w:bookmarkStart w:id="816" w:name="_Toc284950491"/>
      <w:bookmarkStart w:id="817" w:name="_Toc284950560"/>
      <w:bookmarkStart w:id="818" w:name="_Toc284950921"/>
      <w:bookmarkStart w:id="819" w:name="_Toc284951125"/>
      <w:bookmarkStart w:id="820" w:name="_Toc285635104"/>
      <w:bookmarkStart w:id="821" w:name="_Toc316722156"/>
      <w:bookmarkStart w:id="822" w:name="_Toc316727548"/>
      <w:bookmarkStart w:id="823" w:name="_Toc316727853"/>
      <w:bookmarkStart w:id="824" w:name="_Toc316728101"/>
      <w:bookmarkStart w:id="825" w:name="_Toc316736000"/>
      <w:bookmarkEnd w:id="770"/>
      <w:r w:rsidRPr="00EA4711">
        <w:t>Size of the equalisation task</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rsidR="00037390" w:rsidRDefault="00037390" w:rsidP="00037390">
      <w:pPr>
        <w:pStyle w:val="CGCNumberedPara"/>
        <w:numPr>
          <w:ilvl w:val="1"/>
          <w:numId w:val="2"/>
        </w:numPr>
      </w:pPr>
      <w:r>
        <w:t xml:space="preserve">The size of the equalisation task </w:t>
      </w:r>
      <w:r w:rsidR="000362E0">
        <w:t>—</w:t>
      </w:r>
      <w:r>
        <w:t xml:space="preserve"> bringing the States to equality </w:t>
      </w:r>
      <w:r w:rsidR="000362E0">
        <w:t>—</w:t>
      </w:r>
      <w:r>
        <w:t xml:space="preserve"> is determined by the variation in their initial fiscal capacities. As they diverge, more GST is required to achieve equality. </w:t>
      </w:r>
    </w:p>
    <w:p w:rsidR="00037390" w:rsidRDefault="00037390" w:rsidP="00037390">
      <w:pPr>
        <w:pStyle w:val="CGCNumberedPara"/>
        <w:numPr>
          <w:ilvl w:val="1"/>
          <w:numId w:val="2"/>
        </w:numPr>
      </w:pPr>
      <w:r>
        <w:t>The process of distributing GST revenue can be thought of in two ways:</w:t>
      </w:r>
    </w:p>
    <w:p w:rsidR="00037390" w:rsidRPr="00974ED6" w:rsidRDefault="00037390" w:rsidP="00037390">
      <w:pPr>
        <w:pStyle w:val="CGCBulletlist"/>
        <w:numPr>
          <w:ilvl w:val="0"/>
          <w:numId w:val="1"/>
        </w:numPr>
        <w:tabs>
          <w:tab w:val="clear" w:pos="927"/>
          <w:tab w:val="left" w:pos="1134"/>
        </w:tabs>
        <w:ind w:left="1134" w:hanging="567"/>
      </w:pPr>
      <w:r w:rsidRPr="00974ED6">
        <w:t xml:space="preserve">GST revenue is first distributed on a population basis, raising the fiscal capacity of all States equally. Then there is a redistribution to achieve equality </w:t>
      </w:r>
      <w:r>
        <w:t>—</w:t>
      </w:r>
      <w:r w:rsidRPr="00974ED6">
        <w:t xml:space="preserve"> from States with above average capacity to those with below average capacity. The size of this redistribution is a measure of the equalisation task</w:t>
      </w:r>
      <w:r>
        <w:t>. We measure it as</w:t>
      </w:r>
      <w:r w:rsidRPr="00974ED6">
        <w:t xml:space="preserve"> the proportion of GST redistributed.</w:t>
      </w:r>
    </w:p>
    <w:p w:rsidR="00037390" w:rsidRPr="00974ED6" w:rsidRDefault="00037390" w:rsidP="00037390">
      <w:pPr>
        <w:pStyle w:val="CGCBulletlist"/>
        <w:numPr>
          <w:ilvl w:val="0"/>
          <w:numId w:val="1"/>
        </w:numPr>
        <w:tabs>
          <w:tab w:val="clear" w:pos="927"/>
          <w:tab w:val="left" w:pos="1134"/>
        </w:tabs>
        <w:ind w:left="1134" w:hanging="567"/>
      </w:pPr>
      <w:r w:rsidRPr="00974ED6">
        <w:t xml:space="preserve">GST revenue is first distributed to bring the initial fiscal capacities of all States to that of the strongest. The remaining GST is then distributed equally among all States. The GST required to achieve the first step is a measure of the equalisation task; the proportion of GST required </w:t>
      </w:r>
      <w:proofErr w:type="gramStart"/>
      <w:r w:rsidRPr="00974ED6">
        <w:t>to achieve</w:t>
      </w:r>
      <w:proofErr w:type="gramEnd"/>
      <w:r w:rsidRPr="00974ED6">
        <w:t xml:space="preserve"> equalisation.</w:t>
      </w:r>
    </w:p>
    <w:p w:rsidR="00037390" w:rsidRDefault="00037390" w:rsidP="00037390">
      <w:pPr>
        <w:pStyle w:val="CGCNumberedPara"/>
        <w:numPr>
          <w:ilvl w:val="1"/>
          <w:numId w:val="2"/>
        </w:numPr>
      </w:pPr>
      <w:r>
        <w:t xml:space="preserve">These two measures highlight different aspects of the equalisation task. The first identifies the aggregate transfer from States with above average fiscal capacities. The </w:t>
      </w:r>
      <w:r>
        <w:lastRenderedPageBreak/>
        <w:t>second identifies the difference between the strongest State and the average of the others. Taken together they show how the equalisation task is evolving.</w:t>
      </w:r>
    </w:p>
    <w:p w:rsidR="00037390" w:rsidRDefault="00512C22" w:rsidP="00037390">
      <w:pPr>
        <w:pStyle w:val="CGCNumberedPara"/>
        <w:numPr>
          <w:ilvl w:val="1"/>
          <w:numId w:val="2"/>
        </w:numPr>
      </w:pPr>
      <w:r>
        <w:fldChar w:fldCharType="begin"/>
      </w:r>
      <w:r>
        <w:instrText xml:space="preserve"> REF _Ref411931734 \h </w:instrText>
      </w:r>
      <w:r>
        <w:fldChar w:fldCharType="separate"/>
      </w:r>
      <w:r w:rsidR="003A5DEE" w:rsidRPr="000E5B3C">
        <w:t xml:space="preserve">Figure </w:t>
      </w:r>
      <w:r w:rsidR="003A5DEE">
        <w:rPr>
          <w:noProof/>
        </w:rPr>
        <w:t>5</w:t>
      </w:r>
      <w:r>
        <w:fldChar w:fldCharType="end"/>
      </w:r>
      <w:r>
        <w:t xml:space="preserve"> </w:t>
      </w:r>
      <w:r w:rsidR="00037390">
        <w:t>show</w:t>
      </w:r>
      <w:r>
        <w:t>s</w:t>
      </w:r>
      <w:r w:rsidR="00037390">
        <w:t xml:space="preserve"> that the proportion of GST redistributed to the States with below average fiscal capacities has increased in recent updates, including in this review. </w:t>
      </w:r>
    </w:p>
    <w:p w:rsidR="00037390" w:rsidRDefault="00037390" w:rsidP="00037390">
      <w:pPr>
        <w:pStyle w:val="CGCNumberedPara"/>
        <w:numPr>
          <w:ilvl w:val="1"/>
          <w:numId w:val="2"/>
        </w:numPr>
      </w:pPr>
      <w:r>
        <w:t xml:space="preserve">The four less populous States have about 12% of Australia’s population and receive about </w:t>
      </w:r>
      <w:r w:rsidR="00EA07C6">
        <w:t>21</w:t>
      </w:r>
      <w:r>
        <w:t xml:space="preserve">% of the GST. This is the highest proportion of the GST pool going to these States since the introduction of the GST. Their fiscal capacities are becoming relatively weaker, </w:t>
      </w:r>
      <w:r w:rsidR="000362E0">
        <w:t xml:space="preserve">in part, </w:t>
      </w:r>
      <w:r>
        <w:t>the result of weaker revenue bases (as a group, their mining royalty capacity is low), smaller shares of Commonwealth revenue and, for the Northern Territory, higher cost of services.</w:t>
      </w:r>
    </w:p>
    <w:p w:rsidR="00037390" w:rsidRDefault="00037390" w:rsidP="00037390">
      <w:pPr>
        <w:pStyle w:val="CGCNumberedPara"/>
        <w:numPr>
          <w:ilvl w:val="1"/>
          <w:numId w:val="2"/>
        </w:numPr>
      </w:pPr>
      <w:r>
        <w:t xml:space="preserve">Adding Queensland’s fiscal requirement to those of the four </w:t>
      </w:r>
      <w:r w:rsidR="000362E0">
        <w:t xml:space="preserve">less populous </w:t>
      </w:r>
      <w:r>
        <w:t xml:space="preserve">States means that 12% of the GST pool is now required to achieve fiscal equalisation. </w:t>
      </w:r>
    </w:p>
    <w:p w:rsidR="00037390" w:rsidRPr="00205B48" w:rsidRDefault="00037390" w:rsidP="00037390">
      <w:pPr>
        <w:pStyle w:val="CGCTableHeading"/>
      </w:pPr>
      <w:bookmarkStart w:id="826" w:name="_Ref410633660"/>
      <w:bookmarkStart w:id="827" w:name="_Ref411931734"/>
      <w:bookmarkEnd w:id="806"/>
      <w:bookmarkEnd w:id="807"/>
      <w:bookmarkEnd w:id="808"/>
      <w:bookmarkEnd w:id="809"/>
      <w:bookmarkEnd w:id="810"/>
      <w:bookmarkEnd w:id="811"/>
      <w:r w:rsidRPr="000E5B3C">
        <w:t xml:space="preserve">Figure </w:t>
      </w:r>
      <w:bookmarkEnd w:id="826"/>
      <w:r w:rsidR="00E76674">
        <w:fldChar w:fldCharType="begin"/>
      </w:r>
      <w:r w:rsidR="00E76674">
        <w:instrText xml:space="preserve"> SEQ Figure \* ARABIC </w:instrText>
      </w:r>
      <w:r w:rsidR="00E76674">
        <w:fldChar w:fldCharType="separate"/>
      </w:r>
      <w:r w:rsidR="003A5DEE">
        <w:rPr>
          <w:noProof/>
        </w:rPr>
        <w:t>5</w:t>
      </w:r>
      <w:r w:rsidR="00E76674">
        <w:fldChar w:fldCharType="end"/>
      </w:r>
      <w:bookmarkEnd w:id="827"/>
      <w:r w:rsidRPr="000E5B3C">
        <w:tab/>
      </w:r>
      <w:r w:rsidRPr="00F43C53">
        <w:t xml:space="preserve">Proportion of </w:t>
      </w:r>
      <w:r>
        <w:t>the GST</w:t>
      </w:r>
      <w:r w:rsidRPr="00F43C53">
        <w:t xml:space="preserve"> redistributed</w:t>
      </w:r>
      <w:r>
        <w:t xml:space="preserve"> to States with below average fiscal capacities</w:t>
      </w:r>
      <w:r w:rsidRPr="00F43C53">
        <w:t xml:space="preserve">, </w:t>
      </w:r>
      <w:r>
        <w:t>2000</w:t>
      </w:r>
      <w:r>
        <w:noBreakHyphen/>
        <w:t>01 to 2015-16</w:t>
      </w:r>
    </w:p>
    <w:p w:rsidR="00037390" w:rsidRPr="00205B48" w:rsidRDefault="00210430" w:rsidP="00037390">
      <w:pPr>
        <w:pStyle w:val="NoSpacing"/>
      </w:pPr>
      <w:r w:rsidRPr="00A233B8">
        <w:rPr>
          <w:noProof/>
          <w:lang w:eastAsia="en-AU"/>
        </w:rPr>
        <w:drawing>
          <wp:inline distT="0" distB="0" distL="0" distR="0" wp14:anchorId="7D490796" wp14:editId="75B50252">
            <wp:extent cx="5648325" cy="3733800"/>
            <wp:effectExtent l="0" t="0" r="9525" b="0"/>
            <wp:docPr id="19" name="Picture 19" descr="This review shows that the proportion of GST redistributed to the States with below average fiscal capacities has increased in recent updates, including in thi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48325" cy="3733800"/>
                    </a:xfrm>
                    <a:prstGeom prst="rect">
                      <a:avLst/>
                    </a:prstGeom>
                    <a:noFill/>
                    <a:ln>
                      <a:noFill/>
                    </a:ln>
                  </pic:spPr>
                </pic:pic>
              </a:graphicData>
            </a:graphic>
          </wp:inline>
        </w:drawing>
      </w:r>
    </w:p>
    <w:bookmarkStart w:id="828" w:name="_Ref347846632"/>
    <w:p w:rsidR="00037390" w:rsidRDefault="00E76674" w:rsidP="00037390">
      <w:pPr>
        <w:pStyle w:val="CGCNumberedPara"/>
        <w:numPr>
          <w:ilvl w:val="1"/>
          <w:numId w:val="2"/>
        </w:numPr>
      </w:pPr>
      <w:r>
        <w:fldChar w:fldCharType="begin"/>
      </w:r>
      <w:r>
        <w:instrText xml:space="preserve"> REF _Ref411931835 \h </w:instrText>
      </w:r>
      <w:r>
        <w:fldChar w:fldCharType="separate"/>
      </w:r>
      <w:r w:rsidR="003A5DEE">
        <w:t xml:space="preserve">Figure </w:t>
      </w:r>
      <w:r w:rsidR="003A5DEE">
        <w:rPr>
          <w:noProof/>
        </w:rPr>
        <w:t>6</w:t>
      </w:r>
      <w:r>
        <w:fldChar w:fldCharType="end"/>
      </w:r>
      <w:r>
        <w:t xml:space="preserve"> </w:t>
      </w:r>
      <w:r w:rsidR="00037390">
        <w:t>s</w:t>
      </w:r>
      <w:r w:rsidR="00037390">
        <w:rPr>
          <w:noProof/>
          <w:lang w:eastAsia="en-AU"/>
        </w:rPr>
        <w:t xml:space="preserve">hows that an increasing proportion of the redistribution </w:t>
      </w:r>
      <w:r w:rsidR="009E7D8E">
        <w:rPr>
          <w:noProof/>
          <w:lang w:eastAsia="en-AU"/>
        </w:rPr>
        <w:t>originates</w:t>
      </w:r>
      <w:r w:rsidR="00037390">
        <w:rPr>
          <w:noProof/>
          <w:lang w:eastAsia="en-AU"/>
        </w:rPr>
        <w:t xml:space="preserve"> from </w:t>
      </w:r>
      <w:r w:rsidR="00FD2BEF">
        <w:rPr>
          <w:noProof/>
          <w:lang w:eastAsia="en-AU"/>
        </w:rPr>
        <w:t>Western Australia</w:t>
      </w:r>
      <w:r w:rsidR="00037390">
        <w:rPr>
          <w:noProof/>
          <w:lang w:eastAsia="en-AU"/>
        </w:rPr>
        <w:t>, reflecting the rapid strengthening of its relative fiscal capacity.</w:t>
      </w:r>
    </w:p>
    <w:p w:rsidR="00E76674" w:rsidRDefault="00E76674" w:rsidP="00E76674">
      <w:pPr>
        <w:pStyle w:val="Caption"/>
      </w:pPr>
      <w:bookmarkStart w:id="829" w:name="_Ref411931835"/>
      <w:bookmarkEnd w:id="828"/>
      <w:r>
        <w:lastRenderedPageBreak/>
        <w:t xml:space="preserve">Figure </w:t>
      </w:r>
      <w:fldSimple w:instr=" SEQ Figure \* ARABIC ">
        <w:r w:rsidR="003A5DEE">
          <w:rPr>
            <w:noProof/>
          </w:rPr>
          <w:t>6</w:t>
        </w:r>
      </w:fldSimple>
      <w:bookmarkEnd w:id="829"/>
      <w:r>
        <w:tab/>
      </w:r>
      <w:r w:rsidRPr="00F43C53">
        <w:t xml:space="preserve">Proportion of </w:t>
      </w:r>
      <w:r>
        <w:t>the GST</w:t>
      </w:r>
      <w:r w:rsidRPr="00F43C53">
        <w:t xml:space="preserve"> redistributed</w:t>
      </w:r>
      <w:r>
        <w:t xml:space="preserve"> from States with above average fiscal capacities</w:t>
      </w:r>
      <w:r w:rsidRPr="00F43C53">
        <w:t xml:space="preserve">, </w:t>
      </w:r>
      <w:r>
        <w:t>2000</w:t>
      </w:r>
      <w:r>
        <w:noBreakHyphen/>
        <w:t>01 to 2015-16</w:t>
      </w:r>
    </w:p>
    <w:p w:rsidR="00037390" w:rsidRPr="00387BC9" w:rsidRDefault="00210430" w:rsidP="00210430">
      <w:pPr>
        <w:rPr>
          <w:rStyle w:val="CGCTableFootnoteChar"/>
        </w:rPr>
      </w:pPr>
      <w:r w:rsidRPr="00A233B8">
        <w:rPr>
          <w:noProof/>
          <w:lang w:eastAsia="en-AU"/>
        </w:rPr>
        <w:drawing>
          <wp:inline distT="0" distB="0" distL="0" distR="0" wp14:anchorId="3C26F54E" wp14:editId="3D9D925E">
            <wp:extent cx="5648325" cy="3733800"/>
            <wp:effectExtent l="0" t="0" r="9525" b="0"/>
            <wp:docPr id="20" name="Picture 20" descr="This figure shows that an increasing proportion of the redistribution originates from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48325" cy="3733800"/>
                    </a:xfrm>
                    <a:prstGeom prst="rect">
                      <a:avLst/>
                    </a:prstGeom>
                    <a:noFill/>
                    <a:ln>
                      <a:noFill/>
                    </a:ln>
                  </pic:spPr>
                </pic:pic>
              </a:graphicData>
            </a:graphic>
          </wp:inline>
        </w:drawing>
      </w:r>
    </w:p>
    <w:p w:rsidR="00037390" w:rsidRPr="00A2200D" w:rsidRDefault="00037390" w:rsidP="00037390">
      <w:pPr>
        <w:pStyle w:val="CGCTableFootnote"/>
        <w:ind w:left="0" w:firstLine="0"/>
      </w:pPr>
      <w:r>
        <w:t>Note:</w:t>
      </w:r>
      <w:r>
        <w:tab/>
      </w:r>
      <w:r w:rsidRPr="00B636FE">
        <w:t>The re</w:t>
      </w:r>
      <w:r>
        <w:t>distribution is derived on the basis of a pool comprising</w:t>
      </w:r>
      <w:r w:rsidRPr="00B636FE">
        <w:t xml:space="preserve"> </w:t>
      </w:r>
      <w:r>
        <w:t>GST</w:t>
      </w:r>
      <w:r w:rsidRPr="00B636FE">
        <w:t xml:space="preserve"> revenue only</w:t>
      </w:r>
      <w:r>
        <w:t>.</w:t>
      </w:r>
    </w:p>
    <w:p w:rsidR="00037390" w:rsidRDefault="00037390" w:rsidP="00037390">
      <w:pPr>
        <w:pStyle w:val="CGCTableFootnote"/>
        <w:ind w:left="0" w:firstLine="0"/>
      </w:pPr>
      <w:r>
        <w:t>Source:</w:t>
      </w:r>
      <w:r>
        <w:tab/>
        <w:t>Commission calculation.</w:t>
      </w:r>
    </w:p>
    <w:p w:rsidR="00037390" w:rsidRDefault="00037390" w:rsidP="00037390">
      <w:pPr>
        <w:pStyle w:val="CGCNumberedPara"/>
        <w:numPr>
          <w:ilvl w:val="1"/>
          <w:numId w:val="2"/>
        </w:numPr>
      </w:pPr>
      <w:r w:rsidRPr="00437345">
        <w:t>Considering</w:t>
      </w:r>
      <w:r>
        <w:t xml:space="preserve"> the second measure reveals a different aspect of the equalisation task.</w:t>
      </w:r>
    </w:p>
    <w:p w:rsidR="00037390" w:rsidRDefault="00037390" w:rsidP="00037390">
      <w:pPr>
        <w:pStyle w:val="CGCNumberedPara"/>
        <w:numPr>
          <w:ilvl w:val="1"/>
          <w:numId w:val="2"/>
        </w:numPr>
      </w:pPr>
      <w:r>
        <w:t>From 2000</w:t>
      </w:r>
      <w:r>
        <w:noBreakHyphen/>
        <w:t>01 to 2007</w:t>
      </w:r>
      <w:r>
        <w:noBreakHyphen/>
        <w:t>08, around 14% to 17% of the pool was needed to lift States to the capacity of the strongest State (first Victoria and then New South Wales). In 2008</w:t>
      </w:r>
      <w:r>
        <w:noBreakHyphen/>
        <w:t>09, Western Australia became the fiscally strongest State. As it has become progressively stronger over the last five years, this measure of the size of the equalisation task has increased from 14% of the pool in 2008</w:t>
      </w:r>
      <w:r>
        <w:noBreakHyphen/>
        <w:t>09 to 70% in 2015</w:t>
      </w:r>
      <w:r>
        <w:noBreakHyphen/>
        <w:t xml:space="preserve">16. </w:t>
      </w:r>
      <w:r w:rsidR="009E7D8E">
        <w:t xml:space="preserve">This </w:t>
      </w:r>
      <w:r>
        <w:t>highlights how one State’s capacity far exceeds that of the others.</w:t>
      </w:r>
    </w:p>
    <w:p w:rsidR="00037390" w:rsidRDefault="00037390" w:rsidP="00037390">
      <w:pPr>
        <w:pStyle w:val="CGCNumberedPara"/>
        <w:numPr>
          <w:ilvl w:val="1"/>
          <w:numId w:val="2"/>
        </w:numPr>
      </w:pPr>
      <w:r>
        <w:t>Neither measure perfectly captures the totality of how the equalisation task has evolved over time. Taken together they show:</w:t>
      </w:r>
    </w:p>
    <w:p w:rsidR="00037390" w:rsidRPr="00974ED6" w:rsidRDefault="00037390" w:rsidP="00037390">
      <w:pPr>
        <w:pStyle w:val="CGCBulletlist"/>
        <w:numPr>
          <w:ilvl w:val="0"/>
          <w:numId w:val="1"/>
        </w:numPr>
        <w:tabs>
          <w:tab w:val="clear" w:pos="927"/>
          <w:tab w:val="left" w:pos="1134"/>
        </w:tabs>
        <w:ind w:left="1134" w:hanging="567"/>
      </w:pPr>
      <w:r w:rsidRPr="00974ED6">
        <w:t xml:space="preserve">the </w:t>
      </w:r>
      <w:r>
        <w:t>size of the equalisation task to address needs of</w:t>
      </w:r>
      <w:r w:rsidRPr="00974ED6">
        <w:t xml:space="preserve"> the </w:t>
      </w:r>
      <w:r>
        <w:t>less populous</w:t>
      </w:r>
      <w:r w:rsidRPr="00974ED6">
        <w:t xml:space="preserve"> States together has been increasing slowly over time</w:t>
      </w:r>
    </w:p>
    <w:p w:rsidR="00037390" w:rsidRPr="00974ED6" w:rsidRDefault="00037390" w:rsidP="00037390">
      <w:pPr>
        <w:pStyle w:val="CGCBulletlist"/>
        <w:numPr>
          <w:ilvl w:val="0"/>
          <w:numId w:val="1"/>
        </w:numPr>
        <w:tabs>
          <w:tab w:val="clear" w:pos="927"/>
          <w:tab w:val="left" w:pos="1134"/>
        </w:tabs>
        <w:ind w:left="1134" w:hanging="567"/>
      </w:pPr>
      <w:r w:rsidRPr="00974ED6">
        <w:t>because Queensland’s fiscal capacity fluctua</w:t>
      </w:r>
      <w:r>
        <w:t>tes around the average,</w:t>
      </w:r>
      <w:r w:rsidRPr="00974ED6">
        <w:t xml:space="preserve"> it sometimes adds to and sometimes moderates the equalisation task</w:t>
      </w:r>
    </w:p>
    <w:p w:rsidR="00037390" w:rsidRPr="00974ED6" w:rsidRDefault="00037390" w:rsidP="00037390">
      <w:pPr>
        <w:pStyle w:val="CGCBulletlist"/>
        <w:numPr>
          <w:ilvl w:val="0"/>
          <w:numId w:val="1"/>
        </w:numPr>
        <w:tabs>
          <w:tab w:val="clear" w:pos="927"/>
          <w:tab w:val="left" w:pos="1134"/>
        </w:tabs>
        <w:ind w:left="1134" w:hanging="567"/>
      </w:pPr>
      <w:proofErr w:type="gramStart"/>
      <w:r w:rsidRPr="00974ED6">
        <w:t>the</w:t>
      </w:r>
      <w:proofErr w:type="gramEnd"/>
      <w:r w:rsidRPr="00974ED6">
        <w:t xml:space="preserve"> task </w:t>
      </w:r>
      <w:r>
        <w:t>of equalising the other States to</w:t>
      </w:r>
      <w:r w:rsidRPr="00974ED6">
        <w:t xml:space="preserve"> ‘catch up’ with Western Australia</w:t>
      </w:r>
      <w:r>
        <w:t>, the strongest State, has grown significantly, and grew again in this review.</w:t>
      </w:r>
    </w:p>
    <w:bookmarkEnd w:id="755"/>
    <w:bookmarkEnd w:id="756"/>
    <w:bookmarkEnd w:id="757"/>
    <w:bookmarkEnd w:id="758"/>
    <w:bookmarkEnd w:id="759"/>
    <w:bookmarkEnd w:id="760"/>
    <w:bookmarkEnd w:id="761"/>
    <w:bookmarkEnd w:id="771"/>
    <w:bookmarkEnd w:id="772"/>
    <w:bookmarkEnd w:id="773"/>
    <w:bookmarkEnd w:id="774"/>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rsidR="00037390" w:rsidRPr="00C21EF9" w:rsidRDefault="00037390" w:rsidP="00037390"/>
    <w:p w:rsidR="00037390" w:rsidRDefault="00037390" w:rsidP="00A665A9">
      <w:pPr>
        <w:pStyle w:val="Heading1"/>
        <w:sectPr w:rsidR="00037390" w:rsidSect="00CE0C60">
          <w:footerReference w:type="default" r:id="rId84"/>
          <w:footerReference w:type="first" r:id="rId85"/>
          <w:footnotePr>
            <w:numRestart w:val="eachSect"/>
          </w:footnotePr>
          <w:pgSz w:w="11899" w:h="16838" w:code="9"/>
          <w:pgMar w:top="1701" w:right="1474" w:bottom="1701" w:left="1474" w:header="709" w:footer="709" w:gutter="0"/>
          <w:cols w:space="708"/>
          <w:titlePg/>
          <w:docGrid w:linePitch="299"/>
        </w:sectPr>
      </w:pPr>
    </w:p>
    <w:p w:rsidR="00A665A9" w:rsidRPr="00EC79CF" w:rsidRDefault="00A665A9" w:rsidP="00A665A9">
      <w:pPr>
        <w:pStyle w:val="Heading1"/>
      </w:pPr>
      <w:bookmarkStart w:id="830" w:name="_Toc411924619"/>
      <w:r w:rsidRPr="00EC79CF">
        <w:lastRenderedPageBreak/>
        <w:t>CHAPTER 5</w:t>
      </w:r>
      <w:bookmarkEnd w:id="830"/>
    </w:p>
    <w:p w:rsidR="00A665A9" w:rsidRPr="00EC79CF" w:rsidRDefault="00C4696B" w:rsidP="00A665A9">
      <w:pPr>
        <w:pStyle w:val="Heading2"/>
      </w:pPr>
      <w:bookmarkStart w:id="831" w:name="_Toc410741676"/>
      <w:bookmarkStart w:id="832" w:name="_Toc410744227"/>
      <w:bookmarkStart w:id="833" w:name="_Toc411924620"/>
      <w:r w:rsidRPr="00EC79CF">
        <w:rPr>
          <w:caps w:val="0"/>
        </w:rPr>
        <w:t>QUALITY ASSURANCE FOR THE 2015 REVIEW</w:t>
      </w:r>
      <w:bookmarkEnd w:id="831"/>
      <w:bookmarkEnd w:id="832"/>
      <w:bookmarkEnd w:id="833"/>
    </w:p>
    <w:p w:rsidR="00A665A9" w:rsidRPr="00EC79CF" w:rsidRDefault="00A665A9" w:rsidP="00C20E52">
      <w:pPr>
        <w:pStyle w:val="CGCNumberedPara"/>
        <w:numPr>
          <w:ilvl w:val="1"/>
          <w:numId w:val="15"/>
        </w:numPr>
      </w:pPr>
      <w:r w:rsidRPr="00EC79CF">
        <w:t xml:space="preserve">The terms of reference for the 2015 Review ask the Commission to ‘ensure robust quality assurance processes’ (clause 1c) are adopted in preparing assessments. This chapter sets out the quality assurance (QA) processes we applied in this review to comply with this requirement. </w:t>
      </w:r>
    </w:p>
    <w:p w:rsidR="00A665A9" w:rsidRPr="00EC79CF" w:rsidRDefault="00A665A9" w:rsidP="00C20E52">
      <w:pPr>
        <w:pStyle w:val="CGCNumberedPara"/>
        <w:numPr>
          <w:ilvl w:val="1"/>
          <w:numId w:val="4"/>
        </w:numPr>
      </w:pPr>
      <w:r w:rsidRPr="00EC79CF">
        <w:t>The QA processes applied in this review are based on those used in the 2010 Review. In the 2010 Review, the Commission’s terms of reference included a specific requirement to improve QA processes. This was the first time such a requirement was included in the Commission’s reference. The Commission responded to this requirement in 2010 by reviewing, improving and formalising many of the QA processes that it had used in the past as well as adopting some new measures such as external audits.</w:t>
      </w:r>
    </w:p>
    <w:p w:rsidR="00A665A9" w:rsidRPr="00EC79CF" w:rsidRDefault="00A665A9" w:rsidP="00C20E52">
      <w:pPr>
        <w:pStyle w:val="CGCNumberedPara"/>
        <w:numPr>
          <w:ilvl w:val="1"/>
          <w:numId w:val="4"/>
        </w:numPr>
      </w:pPr>
      <w:r w:rsidRPr="00EC79CF">
        <w:t>We re-examined and refined the 2010 QA processes, in consultation with States, before adopting them for the 2015 Review. Ultimately, our approach aims to ensure assessment methods are:</w:t>
      </w:r>
    </w:p>
    <w:p w:rsidR="00A665A9" w:rsidRPr="00EC79CF" w:rsidRDefault="00A665A9" w:rsidP="00C20E52">
      <w:pPr>
        <w:pStyle w:val="CGCBulletlist"/>
        <w:numPr>
          <w:ilvl w:val="0"/>
          <w:numId w:val="1"/>
        </w:numPr>
        <w:tabs>
          <w:tab w:val="clear" w:pos="927"/>
          <w:tab w:val="left" w:pos="1134"/>
        </w:tabs>
        <w:ind w:left="1134" w:hanging="567"/>
      </w:pPr>
      <w:r w:rsidRPr="00EC79CF">
        <w:t>conceptually sound</w:t>
      </w:r>
    </w:p>
    <w:p w:rsidR="00A665A9" w:rsidRPr="00EC79CF" w:rsidRDefault="00A665A9" w:rsidP="00C20E52">
      <w:pPr>
        <w:pStyle w:val="CGCBulletlist"/>
        <w:numPr>
          <w:ilvl w:val="0"/>
          <w:numId w:val="1"/>
        </w:numPr>
        <w:tabs>
          <w:tab w:val="clear" w:pos="927"/>
          <w:tab w:val="left" w:pos="1134"/>
        </w:tabs>
        <w:ind w:left="1134" w:hanging="567"/>
      </w:pPr>
      <w:r w:rsidRPr="00EC79CF">
        <w:t>based on robust and reliable data</w:t>
      </w:r>
    </w:p>
    <w:p w:rsidR="00A665A9" w:rsidRPr="00EC79CF" w:rsidRDefault="00A665A9" w:rsidP="00C20E52">
      <w:pPr>
        <w:pStyle w:val="CGCBulletlist"/>
        <w:numPr>
          <w:ilvl w:val="0"/>
          <w:numId w:val="1"/>
        </w:numPr>
        <w:tabs>
          <w:tab w:val="clear" w:pos="927"/>
          <w:tab w:val="left" w:pos="1134"/>
        </w:tabs>
        <w:ind w:left="1134" w:hanging="567"/>
      </w:pPr>
      <w:r w:rsidRPr="00EC79CF">
        <w:t>built using consistently applied principles</w:t>
      </w:r>
    </w:p>
    <w:p w:rsidR="00A665A9" w:rsidRPr="00EC79CF" w:rsidRDefault="00A665A9" w:rsidP="00C20E52">
      <w:pPr>
        <w:pStyle w:val="CGCBulletlist"/>
        <w:numPr>
          <w:ilvl w:val="0"/>
          <w:numId w:val="1"/>
        </w:numPr>
        <w:tabs>
          <w:tab w:val="clear" w:pos="927"/>
          <w:tab w:val="left" w:pos="1134"/>
        </w:tabs>
        <w:ind w:left="1134" w:hanging="567"/>
      </w:pPr>
      <w:proofErr w:type="gramStart"/>
      <w:r w:rsidRPr="00EC79CF">
        <w:t>implemented</w:t>
      </w:r>
      <w:proofErr w:type="gramEnd"/>
      <w:r w:rsidRPr="00EC79CF">
        <w:t xml:space="preserve"> without error.</w:t>
      </w:r>
    </w:p>
    <w:p w:rsidR="00A665A9" w:rsidRPr="00EC79CF" w:rsidRDefault="00A665A9" w:rsidP="00C20E52">
      <w:pPr>
        <w:pStyle w:val="CGCNumberedPara"/>
        <w:numPr>
          <w:ilvl w:val="1"/>
          <w:numId w:val="2"/>
        </w:numPr>
      </w:pPr>
      <w:r w:rsidRPr="00EC79CF">
        <w:t>We wanted to provide stakeholders with confi</w:t>
      </w:r>
      <w:r w:rsidR="000522B5">
        <w:t>dence in the results we produce</w:t>
      </w:r>
      <w:r w:rsidRPr="00EC79CF">
        <w:t>.</w:t>
      </w:r>
    </w:p>
    <w:p w:rsidR="00A665A9" w:rsidRPr="00EC79CF" w:rsidRDefault="00A665A9" w:rsidP="00D01233">
      <w:pPr>
        <w:pStyle w:val="CGCNumberedPara"/>
      </w:pPr>
      <w:r w:rsidRPr="00EC79CF">
        <w:t xml:space="preserve">The QA approach for the review was detailed in a QA Strategic Plan and </w:t>
      </w:r>
      <w:r w:rsidR="00184258">
        <w:t xml:space="preserve">a </w:t>
      </w:r>
      <w:r w:rsidRPr="00EC79CF">
        <w:t xml:space="preserve">QA Action Plan, which are available on </w:t>
      </w:r>
      <w:r w:rsidR="00D05F5E">
        <w:t xml:space="preserve">the </w:t>
      </w:r>
      <w:hyperlink r:id="rId86" w:history="1">
        <w:r w:rsidR="00D05F5E" w:rsidRPr="00D05F5E">
          <w:rPr>
            <w:rStyle w:val="Hyperlink"/>
          </w:rPr>
          <w:t>Commission’s website</w:t>
        </w:r>
      </w:hyperlink>
      <w:r w:rsidR="00D05F5E">
        <w:t xml:space="preserve"> (</w:t>
      </w:r>
      <w:r w:rsidR="00D05F5E" w:rsidRPr="00D05F5E">
        <w:t>https://www.cgc.gov.au/</w:t>
      </w:r>
      <w:r w:rsidR="00D05F5E">
        <w:t>)</w:t>
      </w:r>
      <w:r w:rsidRPr="00EC79CF">
        <w:t xml:space="preserve">. The main elements are shown in </w:t>
      </w:r>
      <w:r w:rsidR="00D01233" w:rsidRPr="00D01233">
        <w:t xml:space="preserve">Box </w:t>
      </w:r>
      <w:r w:rsidR="00D01233">
        <w:t>1</w:t>
      </w:r>
      <w:r w:rsidRPr="00EC79CF">
        <w:t>.</w:t>
      </w:r>
    </w:p>
    <w:p w:rsidR="00A665A9" w:rsidRPr="00EC79CF" w:rsidRDefault="00D01233" w:rsidP="00A665A9">
      <w:pPr>
        <w:pStyle w:val="Caption"/>
      </w:pPr>
      <w:r w:rsidRPr="00D01233">
        <w:lastRenderedPageBreak/>
        <w:t xml:space="preserve">Box </w:t>
      </w:r>
      <w:r>
        <w:t>1</w:t>
      </w:r>
    </w:p>
    <w:tbl>
      <w:tblPr>
        <w:tblStyle w:val="TableGrid"/>
        <w:tblW w:w="0" w:type="auto"/>
        <w:tblLook w:val="04A0" w:firstRow="1" w:lastRow="0" w:firstColumn="1" w:lastColumn="0" w:noHBand="0" w:noVBand="1"/>
        <w:tblDescription w:val=" "/>
      </w:tblPr>
      <w:tblGrid>
        <w:gridCol w:w="9167"/>
      </w:tblGrid>
      <w:tr w:rsidR="00A665A9" w:rsidRPr="00EC79CF" w:rsidTr="00612590">
        <w:trPr>
          <w:cantSplit/>
        </w:trPr>
        <w:tc>
          <w:tcPr>
            <w:tcW w:w="9167" w:type="dxa"/>
            <w:tcBorders>
              <w:top w:val="nil"/>
              <w:left w:val="nil"/>
              <w:bottom w:val="nil"/>
              <w:right w:val="nil"/>
            </w:tcBorders>
            <w:shd w:val="clear" w:color="auto" w:fill="D9F3E6"/>
          </w:tcPr>
          <w:p w:rsidR="00A665A9" w:rsidRPr="00EC79CF" w:rsidRDefault="00A665A9" w:rsidP="00612590">
            <w:pPr>
              <w:pStyle w:val="CGCNumberedPara"/>
              <w:numPr>
                <w:ilvl w:val="0"/>
                <w:numId w:val="0"/>
              </w:numPr>
            </w:pPr>
            <w:r w:rsidRPr="00EC79CF">
              <w:t>The main elements of the Commission’s QA approach for the 2015 Review are:</w:t>
            </w:r>
          </w:p>
          <w:p w:rsidR="00A665A9" w:rsidRPr="00EC79CF" w:rsidRDefault="00A665A9" w:rsidP="00103224">
            <w:pPr>
              <w:pStyle w:val="CGCBulletlist"/>
            </w:pPr>
            <w:r w:rsidRPr="00EC79CF">
              <w:t>establishing equalisation principles</w:t>
            </w:r>
          </w:p>
          <w:p w:rsidR="00A665A9" w:rsidRPr="00EC79CF" w:rsidRDefault="00A665A9" w:rsidP="00103224">
            <w:pPr>
              <w:pStyle w:val="CGCBulletlist"/>
            </w:pPr>
            <w:r w:rsidRPr="00EC79CF">
              <w:t>developing a work program for the review in consultation with States</w:t>
            </w:r>
          </w:p>
          <w:p w:rsidR="00A665A9" w:rsidRPr="00EC79CF" w:rsidRDefault="00A665A9" w:rsidP="00103224">
            <w:pPr>
              <w:pStyle w:val="CGCBulletlist"/>
            </w:pPr>
            <w:r w:rsidRPr="00EC79CF">
              <w:t xml:space="preserve">using formal assessment guidelines aimed, among other things, at developing ‘assessments which were simple and consistent with the quality and fitness </w:t>
            </w:r>
            <w:r w:rsidR="00184258">
              <w:t>for</w:t>
            </w:r>
            <w:r w:rsidRPr="00EC79CF">
              <w:t xml:space="preserve"> purpose of the available data’ (terms of reference clause 1(b)) to assist the Commission’s decision making</w:t>
            </w:r>
          </w:p>
          <w:p w:rsidR="00103224" w:rsidRPr="00EC79CF" w:rsidRDefault="00103224" w:rsidP="00103224">
            <w:pPr>
              <w:pStyle w:val="CGCBulletlist"/>
            </w:pPr>
            <w:r>
              <w:t>facilitating the best assessments possible by identifying, developing and using the best data available</w:t>
            </w:r>
          </w:p>
          <w:p w:rsidR="00A665A9" w:rsidRPr="00EC79CF" w:rsidRDefault="00A665A9" w:rsidP="00103224">
            <w:pPr>
              <w:pStyle w:val="CGCBulletlist"/>
            </w:pPr>
            <w:r w:rsidRPr="00EC79CF">
              <w:t>using external experts and consultants as appropriate to provide input into our assessment approaches and methods</w:t>
            </w:r>
          </w:p>
          <w:p w:rsidR="00A665A9" w:rsidRPr="00EC79CF" w:rsidRDefault="00A665A9" w:rsidP="00103224">
            <w:pPr>
              <w:pStyle w:val="CGCBulletlist"/>
            </w:pPr>
            <w:r w:rsidRPr="00EC79CF">
              <w:t>using a robust and auditable calculation system, with appropriate controls, in which to build our assessments and calculate State GST relativities</w:t>
            </w:r>
          </w:p>
          <w:p w:rsidR="00A665A9" w:rsidRPr="00EC79CF" w:rsidRDefault="00A665A9" w:rsidP="00103224">
            <w:pPr>
              <w:pStyle w:val="CGCBulletlist"/>
            </w:pPr>
            <w:r w:rsidRPr="00EC79CF">
              <w:t xml:space="preserve">performing internal and external audits and error checks of calculations to find and correct </w:t>
            </w:r>
            <w:r w:rsidR="000522B5">
              <w:t xml:space="preserve">any </w:t>
            </w:r>
            <w:r w:rsidRPr="00EC79CF">
              <w:t>errors</w:t>
            </w:r>
          </w:p>
          <w:p w:rsidR="00A665A9" w:rsidRPr="00EC79CF" w:rsidRDefault="00A665A9" w:rsidP="00103224">
            <w:pPr>
              <w:pStyle w:val="CGCBulletlist"/>
            </w:pPr>
            <w:r w:rsidRPr="00EC79CF">
              <w:t>reporting of decisions, methods and results in a transparent way so that stakeholders can understand clearly what we have done and why</w:t>
            </w:r>
          </w:p>
          <w:p w:rsidR="00A665A9" w:rsidRPr="00EC79CF" w:rsidRDefault="00A665A9" w:rsidP="00BB21D0">
            <w:pPr>
              <w:pStyle w:val="CGCSubbulletlist"/>
            </w:pPr>
            <w:proofErr w:type="gramStart"/>
            <w:r w:rsidRPr="00EC79CF">
              <w:t>including</w:t>
            </w:r>
            <w:proofErr w:type="gramEnd"/>
            <w:r w:rsidRPr="00EC79CF">
              <w:t xml:space="preserve"> provision to key stakeholders of the calculations behind our recommended relativities</w:t>
            </w:r>
            <w:r w:rsidR="00184258">
              <w:t>.</w:t>
            </w:r>
          </w:p>
          <w:p w:rsidR="00A665A9" w:rsidRPr="00EC79CF" w:rsidRDefault="00A665A9" w:rsidP="00612590">
            <w:pPr>
              <w:pStyle w:val="CGCNumberedPara"/>
              <w:numPr>
                <w:ilvl w:val="0"/>
                <w:numId w:val="0"/>
              </w:numPr>
            </w:pPr>
            <w:r w:rsidRPr="00EC79CF">
              <w:t xml:space="preserve">Important parts of the implementation </w:t>
            </w:r>
            <w:r w:rsidR="009272F8" w:rsidRPr="00EC79CF">
              <w:t>a</w:t>
            </w:r>
            <w:r w:rsidRPr="00EC79CF">
              <w:t>re:</w:t>
            </w:r>
          </w:p>
          <w:p w:rsidR="00A665A9" w:rsidRPr="00EC79CF" w:rsidRDefault="00A665A9" w:rsidP="00103224">
            <w:pPr>
              <w:pStyle w:val="CGCBulletlist"/>
            </w:pPr>
            <w:r w:rsidRPr="00EC79CF">
              <w:t xml:space="preserve">ensuring staff </w:t>
            </w:r>
            <w:r w:rsidR="009272F8" w:rsidRPr="00EC79CF">
              <w:t>a</w:t>
            </w:r>
            <w:r w:rsidRPr="00EC79CF">
              <w:t>re trained in QA requirements and processes</w:t>
            </w:r>
          </w:p>
          <w:p w:rsidR="00A665A9" w:rsidRPr="00EC79CF" w:rsidRDefault="00A665A9" w:rsidP="00103224">
            <w:pPr>
              <w:pStyle w:val="CGCBulletlist"/>
            </w:pPr>
            <w:r w:rsidRPr="00EC79CF">
              <w:t>consulting States throughout the review process to guide both the work undertaken and decisions made</w:t>
            </w:r>
            <w:r w:rsidR="00103224">
              <w:t>,</w:t>
            </w:r>
            <w:r w:rsidR="00103224" w:rsidRPr="00EC79CF">
              <w:t xml:space="preserve"> including</w:t>
            </w:r>
            <w:r w:rsidR="0004298C">
              <w:t>:</w:t>
            </w:r>
          </w:p>
          <w:p w:rsidR="00BB21D0" w:rsidRDefault="00A665A9" w:rsidP="00103224">
            <w:pPr>
              <w:pStyle w:val="CGCSubbulletlist"/>
            </w:pPr>
            <w:r w:rsidRPr="00EC79CF">
              <w:t>the provision of a comprehensive draft report</w:t>
            </w:r>
          </w:p>
          <w:p w:rsidR="00103224" w:rsidRPr="00EC79CF" w:rsidRDefault="00103224" w:rsidP="00103224">
            <w:pPr>
              <w:pStyle w:val="CGCSubbulletlist"/>
            </w:pPr>
            <w:r>
              <w:t>advice on significant changes following the draft report, consistent with the requirements of the terms of reference</w:t>
            </w:r>
          </w:p>
          <w:p w:rsidR="00A665A9" w:rsidRPr="00EC79CF" w:rsidRDefault="00A665A9" w:rsidP="00103224">
            <w:pPr>
              <w:pStyle w:val="CGCBulletlist"/>
            </w:pPr>
            <w:r w:rsidRPr="00EC79CF">
              <w:t>engaging external consultants/auditors:</w:t>
            </w:r>
          </w:p>
          <w:p w:rsidR="00A665A9" w:rsidRPr="00EC79CF" w:rsidRDefault="00A665A9" w:rsidP="00BB21D0">
            <w:pPr>
              <w:pStyle w:val="CGCSubbulletlist"/>
            </w:pPr>
            <w:r w:rsidRPr="00EC79CF">
              <w:t>to review the Commission’s decision making processes</w:t>
            </w:r>
          </w:p>
          <w:p w:rsidR="00A665A9" w:rsidRPr="00EC79CF" w:rsidRDefault="00A665A9" w:rsidP="00BB21D0">
            <w:pPr>
              <w:pStyle w:val="CGCSubbulletlist"/>
            </w:pPr>
            <w:r w:rsidRPr="00EC79CF">
              <w:t>to check calculations</w:t>
            </w:r>
          </w:p>
          <w:p w:rsidR="00A665A9" w:rsidRPr="00EC79CF" w:rsidRDefault="00A665A9" w:rsidP="00BB21D0">
            <w:pPr>
              <w:pStyle w:val="CGCSubbulletlist"/>
            </w:pPr>
            <w:proofErr w:type="gramStart"/>
            <w:r w:rsidRPr="00EC79CF">
              <w:t>to</w:t>
            </w:r>
            <w:proofErr w:type="gramEnd"/>
            <w:r w:rsidRPr="00EC79CF">
              <w:t xml:space="preserve"> check compliance with QA processes.</w:t>
            </w:r>
          </w:p>
        </w:tc>
      </w:tr>
    </w:tbl>
    <w:p w:rsidR="00A665A9" w:rsidRPr="00EC79CF" w:rsidRDefault="00A665A9" w:rsidP="00A665A9">
      <w:pPr>
        <w:pStyle w:val="Heading3"/>
      </w:pPr>
      <w:bookmarkStart w:id="834" w:name="_Toc410741677"/>
      <w:bookmarkStart w:id="835" w:name="_Toc410744228"/>
      <w:bookmarkStart w:id="836" w:name="_Toc411511678"/>
      <w:bookmarkStart w:id="837" w:name="_Toc411924621"/>
      <w:r w:rsidRPr="00EC79CF">
        <w:t>Implementation</w:t>
      </w:r>
      <w:bookmarkEnd w:id="834"/>
      <w:bookmarkEnd w:id="835"/>
      <w:bookmarkEnd w:id="836"/>
      <w:bookmarkEnd w:id="837"/>
    </w:p>
    <w:p w:rsidR="00A665A9" w:rsidRPr="00EC79CF" w:rsidRDefault="00A665A9" w:rsidP="00C20E52">
      <w:pPr>
        <w:pStyle w:val="CGCNumberedPara"/>
        <w:numPr>
          <w:ilvl w:val="1"/>
          <w:numId w:val="2"/>
        </w:numPr>
      </w:pPr>
      <w:r w:rsidRPr="00EC79CF">
        <w:t xml:space="preserve">The current review has been undertaken in a limited timeframe. Terms of reference were received in June 2013 </w:t>
      </w:r>
      <w:r w:rsidR="00103224">
        <w:t xml:space="preserve">and December 2014, </w:t>
      </w:r>
      <w:r w:rsidRPr="00EC79CF">
        <w:t xml:space="preserve">with a report due by February 2015. We prepared a draft QA plan and consulted States about it. The plan was finished in April 2014 although we had commenced implementing some aspects of it before then. For example, experience in past reviews had shown a clear work program and </w:t>
      </w:r>
      <w:r w:rsidRPr="00EC79CF">
        <w:lastRenderedPageBreak/>
        <w:t>the development of the principles and guidelines for the conduct of the review would be important. We therefore commenced early consultation with States on those matters.</w:t>
      </w:r>
    </w:p>
    <w:p w:rsidR="00A665A9" w:rsidRDefault="00A665A9" w:rsidP="00C20E52">
      <w:pPr>
        <w:pStyle w:val="CGCNumberedPara"/>
        <w:numPr>
          <w:ilvl w:val="1"/>
          <w:numId w:val="2"/>
        </w:numPr>
      </w:pPr>
      <w:r w:rsidRPr="00EC79CF">
        <w:fldChar w:fldCharType="begin"/>
      </w:r>
      <w:r w:rsidRPr="00EC79CF">
        <w:instrText xml:space="preserve"> REF _Ref410738292 \h </w:instrText>
      </w:r>
      <w:r w:rsidR="00EC79CF">
        <w:instrText xml:space="preserve"> \* MERGEFORMAT </w:instrText>
      </w:r>
      <w:r w:rsidRPr="00EC79CF">
        <w:fldChar w:fldCharType="separate"/>
      </w:r>
      <w:r w:rsidR="003A5DEE" w:rsidRPr="00EC79CF">
        <w:t xml:space="preserve">Table </w:t>
      </w:r>
      <w:r w:rsidR="003A5DEE">
        <w:rPr>
          <w:noProof/>
        </w:rPr>
        <w:t>1</w:t>
      </w:r>
      <w:r w:rsidRPr="00EC79CF">
        <w:fldChar w:fldCharType="end"/>
      </w:r>
      <w:r w:rsidRPr="00EC79CF">
        <w:t xml:space="preserve"> shows the timing of key QA events. It does not, however, provide details of all consultations undertaken even though those consultations were an important QA activity, also required by the terms of reference. Attachment </w:t>
      </w:r>
      <w:r w:rsidR="00971D8D">
        <w:t>7</w:t>
      </w:r>
      <w:r w:rsidRPr="00EC79CF">
        <w:t xml:space="preserve"> provides details of all discussion papers, position papers and reports issued by the Commission, submissions received from States and other consultation opportunities.</w:t>
      </w:r>
    </w:p>
    <w:p w:rsidR="000D143E" w:rsidRPr="000D143E" w:rsidRDefault="000D143E" w:rsidP="000D143E">
      <w:pPr>
        <w:pStyle w:val="CGCNumberedPara"/>
        <w:numPr>
          <w:ilvl w:val="1"/>
          <w:numId w:val="2"/>
        </w:numPr>
      </w:pPr>
      <w:r w:rsidRPr="000D143E">
        <w:t>We consider these QA activities comply with the requirements of the QA Strategic and Action Plans</w:t>
      </w:r>
      <w:r w:rsidR="0004298C">
        <w:t>. This includes compliance with</w:t>
      </w:r>
      <w:r w:rsidRPr="000D143E">
        <w:t xml:space="preserve"> the requirement in the </w:t>
      </w:r>
      <w:r w:rsidR="0004298C">
        <w:t>p</w:t>
      </w:r>
      <w:r w:rsidRPr="000D143E">
        <w:t>lans to ‘provide advice to States on any major method changes in assessments between the draft and the final report’ and the requirement in Clause 9 (a) of the terms of reference to consult with States on them.</w:t>
      </w:r>
    </w:p>
    <w:p w:rsidR="000D143E" w:rsidRPr="000D143E" w:rsidRDefault="000D143E" w:rsidP="000D143E">
      <w:pPr>
        <w:pStyle w:val="CGCNumberedPara"/>
        <w:numPr>
          <w:ilvl w:val="1"/>
          <w:numId w:val="2"/>
        </w:numPr>
      </w:pPr>
      <w:r w:rsidRPr="000D143E">
        <w:t>We note that in January and February 2015, two States raised the question of whether the Commission would provide further advice on other changes it proposed to make to methods following the November 2014 position paper on Significant changes since the draft report. However, we did not consider this possible because we were still considering State responses to that position paper to finalise our response to the terms of reference.</w:t>
      </w:r>
    </w:p>
    <w:p w:rsidR="000D143E" w:rsidRPr="000D143E" w:rsidRDefault="000D143E" w:rsidP="000D143E">
      <w:pPr>
        <w:pStyle w:val="CGCNumberedPara"/>
        <w:numPr>
          <w:ilvl w:val="1"/>
          <w:numId w:val="2"/>
        </w:numPr>
      </w:pPr>
      <w:r w:rsidRPr="000D143E">
        <w:t>States were advised of this position in a letter from the Chairman to the ACT Under</w:t>
      </w:r>
      <w:r>
        <w:noBreakHyphen/>
      </w:r>
      <w:r w:rsidRPr="000D143E">
        <w:t>Treasurer, dated 28 January 2015, copied to all States.</w:t>
      </w:r>
    </w:p>
    <w:p w:rsidR="000D143E" w:rsidRPr="000D143E" w:rsidRDefault="000D143E" w:rsidP="000D143E">
      <w:pPr>
        <w:pStyle w:val="CGCNumberedPara"/>
        <w:numPr>
          <w:ilvl w:val="1"/>
          <w:numId w:val="2"/>
        </w:numPr>
      </w:pPr>
      <w:r w:rsidRPr="000D143E">
        <w:t>The rest of this chapter provides information on the outcomes of the more important QA activities.</w:t>
      </w:r>
    </w:p>
    <w:p w:rsidR="00A665A9" w:rsidRPr="00EC79CF" w:rsidRDefault="00A665A9" w:rsidP="00A665A9">
      <w:pPr>
        <w:pStyle w:val="CGCTableHeading"/>
      </w:pPr>
      <w:bookmarkStart w:id="838" w:name="_Ref402266846"/>
      <w:bookmarkStart w:id="839" w:name="_Ref410738292"/>
      <w:r w:rsidRPr="00EC79CF">
        <w:lastRenderedPageBreak/>
        <w:t xml:space="preserve">Table </w:t>
      </w:r>
      <w:bookmarkEnd w:id="838"/>
      <w:r w:rsidRPr="00EC79CF">
        <w:fldChar w:fldCharType="begin"/>
      </w:r>
      <w:r w:rsidRPr="00EC79CF">
        <w:instrText xml:space="preserve"> SEQ Table \* ARABIC \r1 </w:instrText>
      </w:r>
      <w:r w:rsidRPr="00EC79CF">
        <w:fldChar w:fldCharType="separate"/>
      </w:r>
      <w:r w:rsidR="003A5DEE">
        <w:rPr>
          <w:noProof/>
        </w:rPr>
        <w:t>1</w:t>
      </w:r>
      <w:r w:rsidRPr="00EC79CF">
        <w:fldChar w:fldCharType="end"/>
      </w:r>
      <w:bookmarkEnd w:id="839"/>
      <w:r w:rsidRPr="00EC79CF">
        <w:tab/>
        <w:t>Timing of key QA activities during the 2015 Review</w:t>
      </w:r>
    </w:p>
    <w:tbl>
      <w:tblPr>
        <w:tblW w:w="5000" w:type="pct"/>
        <w:tblCellMar>
          <w:left w:w="85" w:type="dxa"/>
          <w:right w:w="85" w:type="dxa"/>
        </w:tblCellMar>
        <w:tblLook w:val="0000" w:firstRow="0" w:lastRow="0" w:firstColumn="0" w:lastColumn="0" w:noHBand="0" w:noVBand="0"/>
      </w:tblPr>
      <w:tblGrid>
        <w:gridCol w:w="1638"/>
        <w:gridCol w:w="7483"/>
      </w:tblGrid>
      <w:tr w:rsidR="00A665A9" w:rsidRPr="00EC79CF" w:rsidTr="00A665A9">
        <w:tc>
          <w:tcPr>
            <w:tcW w:w="898" w:type="pct"/>
            <w:tcBorders>
              <w:top w:val="single" w:sz="6" w:space="0" w:color="auto"/>
              <w:bottom w:val="single" w:sz="6" w:space="0" w:color="auto"/>
            </w:tcBorders>
            <w:vAlign w:val="bottom"/>
          </w:tcPr>
          <w:p w:rsidR="00A665A9" w:rsidRPr="00EC79CF" w:rsidRDefault="00A665A9" w:rsidP="00A665A9">
            <w:pPr>
              <w:pStyle w:val="TableColHeadings"/>
              <w:jc w:val="left"/>
              <w:rPr>
                <w:rFonts w:cstheme="minorHAnsi"/>
              </w:rPr>
            </w:pPr>
            <w:r w:rsidRPr="00EC79CF">
              <w:rPr>
                <w:rFonts w:cstheme="minorHAnsi"/>
              </w:rPr>
              <w:t>Date</w:t>
            </w:r>
          </w:p>
        </w:tc>
        <w:tc>
          <w:tcPr>
            <w:tcW w:w="4102" w:type="pct"/>
            <w:tcBorders>
              <w:top w:val="single" w:sz="6" w:space="0" w:color="auto"/>
              <w:bottom w:val="single" w:sz="6" w:space="0" w:color="auto"/>
            </w:tcBorders>
            <w:vAlign w:val="bottom"/>
          </w:tcPr>
          <w:p w:rsidR="00A665A9" w:rsidRPr="00EC79CF" w:rsidRDefault="00A665A9" w:rsidP="00A665A9">
            <w:pPr>
              <w:pStyle w:val="TableColHeadings"/>
              <w:jc w:val="left"/>
              <w:rPr>
                <w:rFonts w:cstheme="minorHAnsi"/>
              </w:rPr>
            </w:pPr>
            <w:r w:rsidRPr="00EC79CF">
              <w:rPr>
                <w:rFonts w:cstheme="minorHAnsi"/>
              </w:rPr>
              <w:t>Event</w:t>
            </w:r>
          </w:p>
        </w:tc>
      </w:tr>
      <w:tr w:rsidR="00103224" w:rsidRPr="00EC79CF" w:rsidTr="002B4BC8">
        <w:tc>
          <w:tcPr>
            <w:tcW w:w="898" w:type="pct"/>
          </w:tcPr>
          <w:p w:rsidR="00103224" w:rsidRPr="000D143E" w:rsidRDefault="00103224" w:rsidP="002B4BC8">
            <w:pPr>
              <w:pStyle w:val="CGCTableStub"/>
              <w:rPr>
                <w:rFonts w:cstheme="minorHAnsi"/>
              </w:rPr>
            </w:pPr>
            <w:r w:rsidRPr="000D143E">
              <w:rPr>
                <w:rFonts w:cstheme="minorHAnsi"/>
              </w:rPr>
              <w:t>2010 to June 2013</w:t>
            </w:r>
          </w:p>
        </w:tc>
        <w:tc>
          <w:tcPr>
            <w:tcW w:w="4102" w:type="pct"/>
            <w:vAlign w:val="bottom"/>
          </w:tcPr>
          <w:p w:rsidR="00103224" w:rsidRPr="00EC79CF" w:rsidRDefault="00103224" w:rsidP="002B4BC8">
            <w:pPr>
              <w:pStyle w:val="TableRowNormal"/>
              <w:jc w:val="left"/>
              <w:rPr>
                <w:rFonts w:cstheme="minorHAnsi"/>
              </w:rPr>
            </w:pPr>
            <w:r w:rsidRPr="000D143E">
              <w:rPr>
                <w:rFonts w:cstheme="minorHAnsi"/>
              </w:rPr>
              <w:t>Data working party activities to improve available data</w:t>
            </w:r>
          </w:p>
        </w:tc>
      </w:tr>
      <w:tr w:rsidR="00A665A9" w:rsidRPr="00EC79CF" w:rsidTr="00A665A9">
        <w:tc>
          <w:tcPr>
            <w:tcW w:w="898" w:type="pct"/>
          </w:tcPr>
          <w:p w:rsidR="00A665A9" w:rsidRPr="00EC79CF" w:rsidRDefault="00A665A9" w:rsidP="00A665A9">
            <w:pPr>
              <w:pStyle w:val="CGCTableStub"/>
              <w:rPr>
                <w:rFonts w:cstheme="minorHAnsi"/>
              </w:rPr>
            </w:pPr>
            <w:r w:rsidRPr="00EC79CF">
              <w:rPr>
                <w:rFonts w:cstheme="minorHAnsi"/>
              </w:rPr>
              <w:t>June 2013</w:t>
            </w:r>
          </w:p>
        </w:tc>
        <w:tc>
          <w:tcPr>
            <w:tcW w:w="4102" w:type="pct"/>
            <w:vAlign w:val="bottom"/>
          </w:tcPr>
          <w:p w:rsidR="00A665A9" w:rsidRPr="00EC79CF" w:rsidRDefault="00A665A9" w:rsidP="00A665A9">
            <w:pPr>
              <w:pStyle w:val="TableRowNormal"/>
              <w:jc w:val="left"/>
              <w:rPr>
                <w:rFonts w:cstheme="minorHAnsi"/>
              </w:rPr>
            </w:pPr>
            <w:r w:rsidRPr="00EC79CF">
              <w:rPr>
                <w:rFonts w:cstheme="minorHAnsi"/>
              </w:rPr>
              <w:t>Receipt of terms of reference for the review</w:t>
            </w:r>
          </w:p>
          <w:p w:rsidR="00A665A9" w:rsidRPr="00EC79CF" w:rsidRDefault="00A665A9" w:rsidP="00A665A9">
            <w:pPr>
              <w:pStyle w:val="TableRowNormal"/>
              <w:jc w:val="left"/>
              <w:rPr>
                <w:rFonts w:cstheme="minorHAnsi"/>
              </w:rPr>
            </w:pPr>
            <w:r w:rsidRPr="00EC79CF">
              <w:rPr>
                <w:rFonts w:cstheme="minorHAnsi"/>
              </w:rPr>
              <w:t>Work program agreed with States</w:t>
            </w:r>
          </w:p>
        </w:tc>
      </w:tr>
      <w:tr w:rsidR="00A665A9" w:rsidRPr="00EC79CF" w:rsidTr="00A665A9">
        <w:tc>
          <w:tcPr>
            <w:tcW w:w="898" w:type="pct"/>
          </w:tcPr>
          <w:p w:rsidR="00A665A9" w:rsidRPr="00EC79CF" w:rsidRDefault="00A665A9" w:rsidP="00A665A9">
            <w:pPr>
              <w:pStyle w:val="CGCTableStub"/>
              <w:rPr>
                <w:rFonts w:cstheme="minorHAnsi"/>
              </w:rPr>
            </w:pPr>
            <w:r w:rsidRPr="00EC79CF">
              <w:rPr>
                <w:rFonts w:cstheme="minorHAnsi"/>
              </w:rPr>
              <w:t>October 2013</w:t>
            </w:r>
          </w:p>
        </w:tc>
        <w:tc>
          <w:tcPr>
            <w:tcW w:w="4102" w:type="pct"/>
            <w:vAlign w:val="bottom"/>
          </w:tcPr>
          <w:p w:rsidR="00A665A9" w:rsidRPr="00EC79CF" w:rsidRDefault="00A665A9" w:rsidP="00A665A9">
            <w:pPr>
              <w:pStyle w:val="TableRowNormal"/>
              <w:jc w:val="left"/>
              <w:rPr>
                <w:rFonts w:cstheme="minorHAnsi"/>
              </w:rPr>
            </w:pPr>
            <w:r w:rsidRPr="00EC79CF">
              <w:rPr>
                <w:rFonts w:cstheme="minorHAnsi"/>
              </w:rPr>
              <w:t xml:space="preserve">Commission defined equalisation objectives and principles </w:t>
            </w:r>
          </w:p>
          <w:p w:rsidR="00A665A9" w:rsidRPr="00EC79CF" w:rsidRDefault="00A665A9" w:rsidP="00A665A9">
            <w:pPr>
              <w:pStyle w:val="TableRowNormal"/>
              <w:jc w:val="left"/>
              <w:rPr>
                <w:rFonts w:cstheme="minorHAnsi"/>
              </w:rPr>
            </w:pPr>
            <w:r w:rsidRPr="00EC79CF">
              <w:rPr>
                <w:rFonts w:cstheme="minorHAnsi"/>
              </w:rPr>
              <w:t>Draft QA Strategic Plan and Action Plan sent to States for comment</w:t>
            </w:r>
          </w:p>
          <w:p w:rsidR="00A665A9" w:rsidRPr="00EC79CF" w:rsidRDefault="00A665A9" w:rsidP="00A665A9">
            <w:pPr>
              <w:pStyle w:val="TableRowNormal"/>
              <w:jc w:val="left"/>
              <w:rPr>
                <w:rFonts w:cstheme="minorHAnsi"/>
              </w:rPr>
            </w:pPr>
            <w:r w:rsidRPr="00EC79CF">
              <w:rPr>
                <w:rFonts w:cstheme="minorHAnsi"/>
              </w:rPr>
              <w:t>Proposed assessment guidelines sent to States for comment</w:t>
            </w:r>
          </w:p>
        </w:tc>
      </w:tr>
      <w:tr w:rsidR="00A665A9" w:rsidRPr="00EC79CF" w:rsidTr="00A665A9">
        <w:tc>
          <w:tcPr>
            <w:tcW w:w="898" w:type="pct"/>
          </w:tcPr>
          <w:p w:rsidR="00A665A9" w:rsidRPr="00EC79CF" w:rsidRDefault="00A665A9" w:rsidP="00A665A9">
            <w:pPr>
              <w:pStyle w:val="CGCTableStub"/>
              <w:rPr>
                <w:rFonts w:cstheme="minorHAnsi"/>
              </w:rPr>
            </w:pPr>
            <w:r w:rsidRPr="00EC79CF">
              <w:rPr>
                <w:rFonts w:cstheme="minorHAnsi"/>
              </w:rPr>
              <w:t>January 2014</w:t>
            </w:r>
          </w:p>
        </w:tc>
        <w:tc>
          <w:tcPr>
            <w:tcW w:w="4102" w:type="pct"/>
            <w:vAlign w:val="bottom"/>
          </w:tcPr>
          <w:p w:rsidR="00A665A9" w:rsidRPr="00EC79CF" w:rsidRDefault="00A665A9" w:rsidP="00A665A9">
            <w:pPr>
              <w:pStyle w:val="TableRowNormal"/>
              <w:jc w:val="left"/>
              <w:rPr>
                <w:rFonts w:cstheme="minorHAnsi"/>
              </w:rPr>
            </w:pPr>
            <w:r w:rsidRPr="00EC79CF">
              <w:rPr>
                <w:rFonts w:cstheme="minorHAnsi"/>
              </w:rPr>
              <w:t>State submissions on Draft QA Strategic Plan, Action Plan and proposed assessment guidelines received</w:t>
            </w:r>
          </w:p>
        </w:tc>
      </w:tr>
      <w:tr w:rsidR="00A665A9" w:rsidRPr="00EC79CF" w:rsidTr="00A665A9">
        <w:tc>
          <w:tcPr>
            <w:tcW w:w="898" w:type="pct"/>
          </w:tcPr>
          <w:p w:rsidR="00A665A9" w:rsidRPr="00EC79CF" w:rsidRDefault="00A665A9" w:rsidP="00A665A9">
            <w:pPr>
              <w:pStyle w:val="CGCTableStub"/>
              <w:rPr>
                <w:rFonts w:cstheme="minorHAnsi"/>
              </w:rPr>
            </w:pPr>
            <w:r w:rsidRPr="00EC79CF">
              <w:rPr>
                <w:rFonts w:cstheme="minorHAnsi"/>
              </w:rPr>
              <w:t>April 2014</w:t>
            </w:r>
          </w:p>
        </w:tc>
        <w:tc>
          <w:tcPr>
            <w:tcW w:w="4102" w:type="pct"/>
            <w:vAlign w:val="bottom"/>
          </w:tcPr>
          <w:p w:rsidR="00A665A9" w:rsidRPr="00EC79CF" w:rsidRDefault="00A665A9" w:rsidP="00A665A9">
            <w:pPr>
              <w:pStyle w:val="TableRowNormal"/>
              <w:jc w:val="left"/>
              <w:rPr>
                <w:rFonts w:cstheme="minorHAnsi"/>
              </w:rPr>
            </w:pPr>
            <w:r w:rsidRPr="00EC79CF">
              <w:rPr>
                <w:rFonts w:cstheme="minorHAnsi"/>
              </w:rPr>
              <w:t xml:space="preserve">QA Strategic Plan and Action Plan finalised and published on </w:t>
            </w:r>
            <w:r w:rsidR="00D05F5E">
              <w:rPr>
                <w:rFonts w:cstheme="minorHAnsi"/>
              </w:rPr>
              <w:t xml:space="preserve">the </w:t>
            </w:r>
            <w:r w:rsidRPr="00EC79CF">
              <w:rPr>
                <w:rFonts w:cstheme="minorHAnsi"/>
              </w:rPr>
              <w:t>Commission</w:t>
            </w:r>
            <w:r w:rsidR="00D05F5E">
              <w:rPr>
                <w:rFonts w:cstheme="minorHAnsi"/>
              </w:rPr>
              <w:t>’s</w:t>
            </w:r>
            <w:r w:rsidRPr="00EC79CF">
              <w:rPr>
                <w:rFonts w:cstheme="minorHAnsi"/>
              </w:rPr>
              <w:t xml:space="preserve"> website</w:t>
            </w:r>
          </w:p>
        </w:tc>
      </w:tr>
      <w:tr w:rsidR="00A665A9" w:rsidRPr="00EC79CF" w:rsidTr="00A665A9">
        <w:tc>
          <w:tcPr>
            <w:tcW w:w="898" w:type="pct"/>
          </w:tcPr>
          <w:p w:rsidR="00A665A9" w:rsidRPr="00EC79CF" w:rsidRDefault="00A665A9" w:rsidP="00A665A9">
            <w:pPr>
              <w:pStyle w:val="CGCTableStub"/>
              <w:rPr>
                <w:rFonts w:cstheme="minorHAnsi"/>
              </w:rPr>
            </w:pPr>
            <w:r w:rsidRPr="00EC79CF">
              <w:rPr>
                <w:rFonts w:cstheme="minorHAnsi"/>
              </w:rPr>
              <w:t>June 2014</w:t>
            </w:r>
          </w:p>
        </w:tc>
        <w:tc>
          <w:tcPr>
            <w:tcW w:w="4102" w:type="pct"/>
            <w:vAlign w:val="bottom"/>
          </w:tcPr>
          <w:p w:rsidR="00A665A9" w:rsidRPr="00EC79CF" w:rsidRDefault="00A665A9" w:rsidP="00A665A9">
            <w:pPr>
              <w:pStyle w:val="TableRowNormal"/>
              <w:jc w:val="left"/>
              <w:rPr>
                <w:rFonts w:cstheme="minorHAnsi"/>
              </w:rPr>
            </w:pPr>
            <w:r w:rsidRPr="00EC79CF">
              <w:rPr>
                <w:rFonts w:cstheme="minorHAnsi"/>
              </w:rPr>
              <w:t xml:space="preserve">Commission’s draft report for the review (including its assessment guidelines) provided to States </w:t>
            </w:r>
          </w:p>
        </w:tc>
      </w:tr>
      <w:tr w:rsidR="00A665A9" w:rsidRPr="00EC79CF" w:rsidTr="00A665A9">
        <w:tc>
          <w:tcPr>
            <w:tcW w:w="898" w:type="pct"/>
          </w:tcPr>
          <w:p w:rsidR="00A665A9" w:rsidRPr="00EC79CF" w:rsidRDefault="00A665A9" w:rsidP="00A665A9">
            <w:pPr>
              <w:pStyle w:val="CGCTableStub"/>
              <w:rPr>
                <w:rFonts w:cstheme="minorHAnsi"/>
              </w:rPr>
            </w:pPr>
            <w:r w:rsidRPr="00EC79CF">
              <w:rPr>
                <w:rFonts w:cstheme="minorHAnsi"/>
              </w:rPr>
              <w:t>August 2014</w:t>
            </w:r>
          </w:p>
        </w:tc>
        <w:tc>
          <w:tcPr>
            <w:tcW w:w="4102" w:type="pct"/>
            <w:vAlign w:val="bottom"/>
          </w:tcPr>
          <w:p w:rsidR="00A665A9" w:rsidRPr="00EC79CF" w:rsidRDefault="00A665A9" w:rsidP="00A665A9">
            <w:pPr>
              <w:pStyle w:val="TableRowNormal"/>
              <w:jc w:val="left"/>
              <w:rPr>
                <w:rFonts w:cstheme="minorHAnsi"/>
              </w:rPr>
            </w:pPr>
            <w:r w:rsidRPr="00EC79CF">
              <w:rPr>
                <w:rFonts w:cstheme="minorHAnsi"/>
              </w:rPr>
              <w:t>External consultant reported on econometric modelling used in Wage costs, Schools and Transport assessments</w:t>
            </w:r>
          </w:p>
        </w:tc>
      </w:tr>
      <w:tr w:rsidR="00A665A9" w:rsidRPr="00EC79CF" w:rsidTr="00A665A9">
        <w:tc>
          <w:tcPr>
            <w:tcW w:w="898" w:type="pct"/>
          </w:tcPr>
          <w:p w:rsidR="00A665A9" w:rsidRPr="00EC79CF" w:rsidRDefault="00A665A9" w:rsidP="00A665A9">
            <w:pPr>
              <w:pStyle w:val="CGCTableStub"/>
              <w:rPr>
                <w:rFonts w:cstheme="minorHAnsi"/>
              </w:rPr>
            </w:pPr>
            <w:r w:rsidRPr="00EC79CF">
              <w:rPr>
                <w:rFonts w:cstheme="minorHAnsi"/>
              </w:rPr>
              <w:t>November 2014</w:t>
            </w:r>
          </w:p>
        </w:tc>
        <w:tc>
          <w:tcPr>
            <w:tcW w:w="4102" w:type="pct"/>
            <w:vAlign w:val="bottom"/>
          </w:tcPr>
          <w:p w:rsidR="00A665A9" w:rsidRPr="00EC79CF" w:rsidRDefault="006A689C" w:rsidP="00A665A9">
            <w:pPr>
              <w:pStyle w:val="TableRowNormal"/>
              <w:jc w:val="left"/>
              <w:rPr>
                <w:rFonts w:cstheme="minorHAnsi"/>
              </w:rPr>
            </w:pPr>
            <w:r>
              <w:rPr>
                <w:rFonts w:cstheme="minorHAnsi"/>
              </w:rPr>
              <w:t>Position</w:t>
            </w:r>
            <w:r w:rsidR="00A665A9" w:rsidRPr="00EC79CF">
              <w:rPr>
                <w:rFonts w:cstheme="minorHAnsi"/>
              </w:rPr>
              <w:t xml:space="preserve"> paper on significant changes since the draft report issued</w:t>
            </w:r>
          </w:p>
          <w:p w:rsidR="00A665A9" w:rsidRPr="00EC79CF" w:rsidRDefault="00A665A9" w:rsidP="00A665A9">
            <w:pPr>
              <w:pStyle w:val="TableRowNormal"/>
              <w:jc w:val="left"/>
              <w:rPr>
                <w:rFonts w:cstheme="minorHAnsi"/>
              </w:rPr>
            </w:pPr>
            <w:r w:rsidRPr="00EC79CF">
              <w:rPr>
                <w:rFonts w:cstheme="minorHAnsi"/>
              </w:rPr>
              <w:t>External consultants reported on aspects of the Health assessment</w:t>
            </w:r>
          </w:p>
        </w:tc>
      </w:tr>
      <w:tr w:rsidR="00A665A9" w:rsidRPr="00EC79CF" w:rsidTr="00A665A9">
        <w:tc>
          <w:tcPr>
            <w:tcW w:w="898" w:type="pct"/>
          </w:tcPr>
          <w:p w:rsidR="00A665A9" w:rsidRPr="00EC79CF" w:rsidRDefault="00A665A9" w:rsidP="00A665A9">
            <w:pPr>
              <w:pStyle w:val="CGCTableStub"/>
              <w:rPr>
                <w:rFonts w:cstheme="minorHAnsi"/>
              </w:rPr>
            </w:pPr>
            <w:r w:rsidRPr="00EC79CF">
              <w:rPr>
                <w:rFonts w:cstheme="minorHAnsi"/>
              </w:rPr>
              <w:t>December 2014</w:t>
            </w:r>
          </w:p>
        </w:tc>
        <w:tc>
          <w:tcPr>
            <w:tcW w:w="4102" w:type="pct"/>
            <w:vAlign w:val="bottom"/>
          </w:tcPr>
          <w:p w:rsidR="00BB21D0" w:rsidRDefault="00BB21D0" w:rsidP="00BB21D0">
            <w:pPr>
              <w:pStyle w:val="TableRowNormal"/>
              <w:jc w:val="left"/>
              <w:rPr>
                <w:rFonts w:cstheme="minorHAnsi"/>
              </w:rPr>
            </w:pPr>
            <w:r>
              <w:rPr>
                <w:rFonts w:cstheme="minorHAnsi"/>
              </w:rPr>
              <w:t>Receipt of supplementary terms of reference</w:t>
            </w:r>
          </w:p>
          <w:p w:rsidR="00BB21D0" w:rsidRDefault="00BB21D0" w:rsidP="00BB21D0">
            <w:pPr>
              <w:pStyle w:val="TableRowNormal"/>
              <w:jc w:val="left"/>
              <w:rPr>
                <w:rFonts w:cstheme="minorHAnsi"/>
              </w:rPr>
            </w:pPr>
            <w:r>
              <w:rPr>
                <w:rFonts w:cstheme="minorHAnsi"/>
              </w:rPr>
              <w:t xml:space="preserve">Further consultation on those and the contemporaneity issue raised by </w:t>
            </w:r>
            <w:r w:rsidRPr="003C58B4">
              <w:rPr>
                <w:rFonts w:cstheme="minorHAnsi"/>
              </w:rPr>
              <w:t>Western Australia</w:t>
            </w:r>
          </w:p>
          <w:p w:rsidR="00A665A9" w:rsidRPr="00EC79CF" w:rsidRDefault="00A665A9" w:rsidP="00A665A9">
            <w:pPr>
              <w:pStyle w:val="TableRowNormal"/>
              <w:jc w:val="left"/>
              <w:rPr>
                <w:rFonts w:cstheme="minorHAnsi"/>
              </w:rPr>
            </w:pPr>
            <w:r w:rsidRPr="00EC79CF">
              <w:rPr>
                <w:rFonts w:cstheme="minorHAnsi"/>
              </w:rPr>
              <w:t>Internal checking of calculations</w:t>
            </w:r>
          </w:p>
        </w:tc>
      </w:tr>
      <w:tr w:rsidR="00A665A9" w:rsidRPr="00EC79CF" w:rsidTr="00A665A9">
        <w:tc>
          <w:tcPr>
            <w:tcW w:w="898" w:type="pct"/>
          </w:tcPr>
          <w:p w:rsidR="00A665A9" w:rsidRPr="00EC79CF" w:rsidRDefault="00A665A9" w:rsidP="00A665A9">
            <w:pPr>
              <w:pStyle w:val="CGCTableStub"/>
              <w:rPr>
                <w:rFonts w:cstheme="minorHAnsi"/>
              </w:rPr>
            </w:pPr>
            <w:r w:rsidRPr="00EC79CF">
              <w:rPr>
                <w:rFonts w:cstheme="minorHAnsi"/>
              </w:rPr>
              <w:t>January 2015</w:t>
            </w:r>
          </w:p>
        </w:tc>
        <w:tc>
          <w:tcPr>
            <w:tcW w:w="4102" w:type="pct"/>
            <w:vAlign w:val="bottom"/>
          </w:tcPr>
          <w:p w:rsidR="00A665A9" w:rsidRPr="00EC79CF" w:rsidRDefault="00A665A9" w:rsidP="00A665A9">
            <w:pPr>
              <w:pStyle w:val="TableRowNormal"/>
              <w:jc w:val="left"/>
              <w:rPr>
                <w:rFonts w:cstheme="minorHAnsi"/>
              </w:rPr>
            </w:pPr>
            <w:r w:rsidRPr="00EC79CF">
              <w:rPr>
                <w:rFonts w:cstheme="minorHAnsi"/>
              </w:rPr>
              <w:t xml:space="preserve">Review by Commission of consistency of assessments and their ability to capture differences in State fiscal capacities </w:t>
            </w:r>
          </w:p>
          <w:p w:rsidR="00A665A9" w:rsidRPr="00EC79CF" w:rsidRDefault="00A665A9" w:rsidP="00A665A9">
            <w:pPr>
              <w:pStyle w:val="TableRowNormal"/>
              <w:jc w:val="left"/>
              <w:rPr>
                <w:rFonts w:cstheme="minorHAnsi"/>
              </w:rPr>
            </w:pPr>
            <w:r w:rsidRPr="00EC79CF">
              <w:rPr>
                <w:rFonts w:cstheme="minorHAnsi"/>
              </w:rPr>
              <w:t>External checking of calculations</w:t>
            </w:r>
          </w:p>
          <w:p w:rsidR="00A665A9" w:rsidRPr="00EC79CF" w:rsidRDefault="00A665A9" w:rsidP="00A665A9">
            <w:pPr>
              <w:pStyle w:val="TableRowNormal"/>
              <w:jc w:val="left"/>
              <w:rPr>
                <w:rFonts w:cstheme="minorHAnsi"/>
              </w:rPr>
            </w:pPr>
            <w:r w:rsidRPr="00EC79CF">
              <w:rPr>
                <w:rFonts w:cstheme="minorHAnsi"/>
              </w:rPr>
              <w:t>External consultant reported on a review of the Commission’s decision making processes</w:t>
            </w:r>
          </w:p>
          <w:p w:rsidR="00A665A9" w:rsidRPr="00EC79CF" w:rsidRDefault="00A665A9" w:rsidP="00A665A9">
            <w:pPr>
              <w:pStyle w:val="TableRowNormal"/>
              <w:jc w:val="left"/>
              <w:rPr>
                <w:rFonts w:cstheme="minorHAnsi"/>
              </w:rPr>
            </w:pPr>
            <w:r w:rsidRPr="00EC79CF">
              <w:rPr>
                <w:rFonts w:cstheme="minorHAnsi"/>
              </w:rPr>
              <w:t>External auditor of compliance with QA processes reported</w:t>
            </w:r>
          </w:p>
        </w:tc>
      </w:tr>
      <w:tr w:rsidR="00A665A9" w:rsidRPr="00EC79CF" w:rsidTr="00A665A9">
        <w:tc>
          <w:tcPr>
            <w:tcW w:w="898" w:type="pct"/>
          </w:tcPr>
          <w:p w:rsidR="00A665A9" w:rsidRPr="00EC79CF" w:rsidRDefault="00A665A9" w:rsidP="00A665A9">
            <w:pPr>
              <w:pStyle w:val="CGCTableStub"/>
              <w:rPr>
                <w:rFonts w:cstheme="minorHAnsi"/>
              </w:rPr>
            </w:pPr>
            <w:r w:rsidRPr="00EC79CF">
              <w:rPr>
                <w:rFonts w:cstheme="minorHAnsi"/>
              </w:rPr>
              <w:t>February 2015</w:t>
            </w:r>
          </w:p>
        </w:tc>
        <w:tc>
          <w:tcPr>
            <w:tcW w:w="4102" w:type="pct"/>
            <w:vAlign w:val="bottom"/>
          </w:tcPr>
          <w:p w:rsidR="00BB21D0" w:rsidRDefault="00BB21D0" w:rsidP="00BB21D0">
            <w:pPr>
              <w:pStyle w:val="TableRowNormal"/>
              <w:jc w:val="left"/>
              <w:rPr>
                <w:rFonts w:cstheme="minorHAnsi"/>
              </w:rPr>
            </w:pPr>
            <w:r>
              <w:rPr>
                <w:rFonts w:cstheme="minorHAnsi"/>
              </w:rPr>
              <w:t>Final decisions made by Commission</w:t>
            </w:r>
          </w:p>
          <w:p w:rsidR="00A665A9" w:rsidRPr="00EC79CF" w:rsidRDefault="00A665A9" w:rsidP="00A665A9">
            <w:pPr>
              <w:pStyle w:val="TableRowNormal"/>
              <w:jc w:val="left"/>
              <w:rPr>
                <w:rFonts w:cstheme="minorHAnsi"/>
              </w:rPr>
            </w:pPr>
            <w:r w:rsidRPr="00EC79CF">
              <w:rPr>
                <w:rFonts w:cstheme="minorHAnsi"/>
              </w:rPr>
              <w:t>Final report provided to Treasurer after extensive editing, proof reading and number checking</w:t>
            </w:r>
          </w:p>
        </w:tc>
      </w:tr>
      <w:tr w:rsidR="00A665A9" w:rsidRPr="00EC79CF" w:rsidTr="00A665A9">
        <w:tc>
          <w:tcPr>
            <w:tcW w:w="898" w:type="pct"/>
            <w:tcBorders>
              <w:bottom w:val="single" w:sz="6" w:space="0" w:color="auto"/>
            </w:tcBorders>
          </w:tcPr>
          <w:p w:rsidR="00A665A9" w:rsidRPr="00EC79CF" w:rsidRDefault="00A665A9" w:rsidP="00A665A9">
            <w:pPr>
              <w:pStyle w:val="CGCTableStub"/>
              <w:rPr>
                <w:rFonts w:cstheme="minorHAnsi"/>
              </w:rPr>
            </w:pPr>
            <w:r w:rsidRPr="00EC79CF">
              <w:rPr>
                <w:rFonts w:cstheme="minorHAnsi"/>
              </w:rPr>
              <w:t>After release of report to States by Treasurer</w:t>
            </w:r>
          </w:p>
        </w:tc>
        <w:tc>
          <w:tcPr>
            <w:tcW w:w="4102" w:type="pct"/>
            <w:tcBorders>
              <w:bottom w:val="single" w:sz="6" w:space="0" w:color="auto"/>
            </w:tcBorders>
            <w:vAlign w:val="bottom"/>
          </w:tcPr>
          <w:p w:rsidR="00A665A9" w:rsidRPr="00EC79CF" w:rsidRDefault="00A665A9" w:rsidP="00A665A9">
            <w:pPr>
              <w:pStyle w:val="TableRowNormal"/>
              <w:jc w:val="left"/>
              <w:rPr>
                <w:rFonts w:cstheme="minorHAnsi"/>
              </w:rPr>
            </w:pPr>
            <w:r w:rsidRPr="00EC79CF">
              <w:rPr>
                <w:rFonts w:cstheme="minorHAnsi"/>
              </w:rPr>
              <w:t>Assessment system and additional information to be made available to States on-line</w:t>
            </w:r>
          </w:p>
        </w:tc>
      </w:tr>
    </w:tbl>
    <w:p w:rsidR="00A665A9" w:rsidRPr="00EC79CF" w:rsidRDefault="00A665A9" w:rsidP="00A665A9">
      <w:pPr>
        <w:pStyle w:val="Heading4"/>
      </w:pPr>
      <w:r w:rsidRPr="00EC79CF">
        <w:t>Data quality improvements</w:t>
      </w:r>
    </w:p>
    <w:p w:rsidR="00A665A9" w:rsidRPr="00EC79CF" w:rsidRDefault="00A665A9" w:rsidP="00C20E52">
      <w:pPr>
        <w:pStyle w:val="CGCNumberedPara"/>
        <w:numPr>
          <w:ilvl w:val="1"/>
          <w:numId w:val="2"/>
        </w:numPr>
      </w:pPr>
      <w:r w:rsidRPr="00EC79CF">
        <w:t>To facilitate better assessments, consistent with the quality and fitness for purpose of the available data, we initiated a program to identify and develop suitable datasets. All States supported this program.</w:t>
      </w:r>
    </w:p>
    <w:p w:rsidR="00A665A9" w:rsidRPr="00EC79CF" w:rsidRDefault="00A665A9" w:rsidP="00C20E52">
      <w:pPr>
        <w:pStyle w:val="CGCNumberedPara"/>
        <w:numPr>
          <w:ilvl w:val="1"/>
          <w:numId w:val="2"/>
        </w:numPr>
      </w:pPr>
      <w:r w:rsidRPr="00EC79CF">
        <w:t xml:space="preserve">A Data Working Party was established soon after the 2010 Review to guide the work. This group, which consisted of State and Commission staff members, dealt with data issues for updates as well as possible data issues for a future review. It identified assessments where new or improved data might become available and existing </w:t>
      </w:r>
      <w:r w:rsidRPr="00EC79CF">
        <w:lastRenderedPageBreak/>
        <w:t xml:space="preserve">datasets that could be improved. Several sub-groups were set up to examine individual datasets. For example, one was established to look at data on drivers of water and electricity subsidies. </w:t>
      </w:r>
    </w:p>
    <w:p w:rsidR="00A665A9" w:rsidRPr="00EC79CF" w:rsidRDefault="00A665A9" w:rsidP="00C20E52">
      <w:pPr>
        <w:pStyle w:val="CGCNumberedPara"/>
        <w:numPr>
          <w:ilvl w:val="1"/>
          <w:numId w:val="2"/>
        </w:numPr>
      </w:pPr>
      <w:r w:rsidRPr="00EC79CF">
        <w:t>The Data Working Party met in August 2010, July 2011 and August 2012.</w:t>
      </w:r>
      <w:r w:rsidRPr="00EC79CF">
        <w:rPr>
          <w:rStyle w:val="FootnoteReference"/>
        </w:rPr>
        <w:footnoteReference w:id="15"/>
      </w:r>
      <w:r w:rsidRPr="00EC79CF">
        <w:t xml:space="preserve"> Once the review was established, it was more efficient and less demanding on States for data issues to be dealt with as part of the normal Commission engagement with States on assessments. The short timeframe for the review also meant it was more efficient, and acceptable to the States, to follow a process which began from the 2010 Review methods rather than adopt the top-down, ‘clean slate’ approach of past reviews. In this way, we were able to build on the extensive work from</w:t>
      </w:r>
      <w:r w:rsidR="000522B5">
        <w:t xml:space="preserve"> the</w:t>
      </w:r>
      <w:r w:rsidRPr="00EC79CF">
        <w:t xml:space="preserve"> 2010 </w:t>
      </w:r>
      <w:r w:rsidR="000522B5">
        <w:t xml:space="preserve">Review </w:t>
      </w:r>
      <w:r w:rsidRPr="00EC79CF">
        <w:t xml:space="preserve">on data quality and fitness and maximise the time available to deal with new and previously unresolved data issues in this review. </w:t>
      </w:r>
    </w:p>
    <w:p w:rsidR="00A665A9" w:rsidRPr="00EC79CF" w:rsidRDefault="00A665A9" w:rsidP="00C20E52">
      <w:pPr>
        <w:pStyle w:val="CGCNumberedPara"/>
        <w:numPr>
          <w:ilvl w:val="1"/>
          <w:numId w:val="2"/>
        </w:numPr>
      </w:pPr>
      <w:r w:rsidRPr="00EC79CF">
        <w:t xml:space="preserve">We identified improved data in three main areas for this review. </w:t>
      </w:r>
    </w:p>
    <w:p w:rsidR="00A665A9" w:rsidRPr="00EC79CF" w:rsidRDefault="00A665A9" w:rsidP="00C20E52">
      <w:pPr>
        <w:pStyle w:val="CGCBulletlist"/>
        <w:numPr>
          <w:ilvl w:val="0"/>
          <w:numId w:val="1"/>
        </w:numPr>
        <w:tabs>
          <w:tab w:val="clear" w:pos="927"/>
          <w:tab w:val="left" w:pos="1134"/>
        </w:tabs>
        <w:ind w:left="1134" w:hanging="567"/>
      </w:pPr>
      <w:r w:rsidRPr="00EC79CF">
        <w:t xml:space="preserve">The first was Schools where we have used a rich and robust dataset from the Australian Curriculum and Reporting </w:t>
      </w:r>
      <w:r w:rsidR="000522B5">
        <w:t>Authority (ACARA) which include</w:t>
      </w:r>
      <w:r w:rsidRPr="00EC79CF">
        <w:t xml:space="preserve"> information on the cost of providing school services to different population groups. </w:t>
      </w:r>
    </w:p>
    <w:p w:rsidR="00A665A9" w:rsidRPr="00EC79CF" w:rsidRDefault="00A665A9" w:rsidP="00C20E52">
      <w:pPr>
        <w:pStyle w:val="CGCBulletlist"/>
        <w:numPr>
          <w:ilvl w:val="0"/>
          <w:numId w:val="1"/>
        </w:numPr>
        <w:tabs>
          <w:tab w:val="clear" w:pos="927"/>
          <w:tab w:val="left" w:pos="1134"/>
        </w:tabs>
        <w:ind w:left="1134" w:hanging="567"/>
      </w:pPr>
      <w:r w:rsidRPr="00EC79CF">
        <w:t xml:space="preserve">The second was Health where we now use data from the Independent Hospital Pricing Authority (IHPA) instead of the Australian Institute of Health and Welfare (AIHW) to determine the cost of providing services to different population groups. This has improved the robustness of our assessments, particularly for emergency </w:t>
      </w:r>
      <w:r w:rsidR="006A689C">
        <w:t xml:space="preserve">department and other non-admitted patient </w:t>
      </w:r>
      <w:r w:rsidRPr="00EC79CF">
        <w:t xml:space="preserve">services. </w:t>
      </w:r>
    </w:p>
    <w:p w:rsidR="00A665A9" w:rsidRPr="00EC79CF" w:rsidRDefault="00A665A9" w:rsidP="00C20E52">
      <w:pPr>
        <w:pStyle w:val="CGCBulletlist"/>
        <w:numPr>
          <w:ilvl w:val="0"/>
          <w:numId w:val="1"/>
        </w:numPr>
        <w:tabs>
          <w:tab w:val="clear" w:pos="927"/>
          <w:tab w:val="left" w:pos="1134"/>
        </w:tabs>
        <w:ind w:left="1134" w:hanging="567"/>
      </w:pPr>
      <w:r w:rsidRPr="00EC79CF">
        <w:t>The third data improvement has been to adopt a new way of measuring disadvantage in the Indigenous population by using an Indigenous specific index of socio-economic status (the Indigenous Relative Socio-Economic Outcomes (IRSEO) Index). We use this together with an equivalent measure for the non</w:t>
      </w:r>
      <w:r w:rsidR="00F7119F">
        <w:noBreakHyphen/>
      </w:r>
      <w:r w:rsidRPr="00EC79CF">
        <w:t>Indigenous population (the Non-Indigenous Socio-</w:t>
      </w:r>
      <w:r w:rsidR="0045507C">
        <w:t>E</w:t>
      </w:r>
      <w:r w:rsidRPr="00EC79CF">
        <w:t xml:space="preserve">conomic Index for Areas (NISEIFA)) which the ABS produced for us. We consider these indices better capture the heterogeneity of Indigenous and non-Indigenous populations in each State. </w:t>
      </w:r>
    </w:p>
    <w:p w:rsidR="008E495D" w:rsidRDefault="00A665A9" w:rsidP="00C20E52">
      <w:pPr>
        <w:pStyle w:val="CGCNumberedPara"/>
        <w:numPr>
          <w:ilvl w:val="1"/>
          <w:numId w:val="2"/>
        </w:numPr>
      </w:pPr>
      <w:r w:rsidRPr="00EC79CF">
        <w:t>Schools, Health and Indigenous services are major areas of expenditure for States so improvements to the relevant data will markedly improve the equalisation outcome.</w:t>
      </w:r>
    </w:p>
    <w:p w:rsidR="008E495D" w:rsidRDefault="008E495D">
      <w:pPr>
        <w:tabs>
          <w:tab w:val="clear" w:pos="567"/>
        </w:tabs>
        <w:rPr>
          <w:szCs w:val="24"/>
        </w:rPr>
      </w:pPr>
      <w:r>
        <w:br w:type="page"/>
      </w:r>
    </w:p>
    <w:p w:rsidR="00A665A9" w:rsidRPr="00EC79CF" w:rsidRDefault="00A665A9" w:rsidP="00C20E52">
      <w:pPr>
        <w:pStyle w:val="CGCNumberedPara"/>
        <w:numPr>
          <w:ilvl w:val="1"/>
          <w:numId w:val="2"/>
        </w:numPr>
      </w:pPr>
      <w:r w:rsidRPr="00EC79CF">
        <w:lastRenderedPageBreak/>
        <w:t>Data improvements were also made in the following areas.</w:t>
      </w:r>
    </w:p>
    <w:p w:rsidR="00A665A9" w:rsidRPr="00EC79CF" w:rsidRDefault="00A665A9" w:rsidP="00C20E52">
      <w:pPr>
        <w:pStyle w:val="CGCBulletlist"/>
        <w:numPr>
          <w:ilvl w:val="0"/>
          <w:numId w:val="1"/>
        </w:numPr>
        <w:tabs>
          <w:tab w:val="clear" w:pos="927"/>
          <w:tab w:val="left" w:pos="1134"/>
        </w:tabs>
        <w:ind w:left="1134" w:hanging="567"/>
      </w:pPr>
      <w:r w:rsidRPr="00EC79CF">
        <w:t>The Welfare assessment now uses child protection data</w:t>
      </w:r>
      <w:r w:rsidR="000522B5">
        <w:t xml:space="preserve"> drawn from a new AIHW unit record collection</w:t>
      </w:r>
      <w:r w:rsidRPr="00EC79CF">
        <w:t>, new data on disability services recipients and more appropriate data (the ABS’s Socio-</w:t>
      </w:r>
      <w:r w:rsidR="0045507C">
        <w:t>E</w:t>
      </w:r>
      <w:r w:rsidRPr="00EC79CF">
        <w:t>conomic Index for Individuals) to measure factors affecting State expenses.</w:t>
      </w:r>
    </w:p>
    <w:p w:rsidR="00A665A9" w:rsidRPr="00EC79CF" w:rsidRDefault="00A665A9" w:rsidP="00C20E52">
      <w:pPr>
        <w:pStyle w:val="CGCBulletlist"/>
        <w:numPr>
          <w:ilvl w:val="0"/>
          <w:numId w:val="1"/>
        </w:numPr>
        <w:tabs>
          <w:tab w:val="clear" w:pos="927"/>
          <w:tab w:val="left" w:pos="1134"/>
        </w:tabs>
        <w:ind w:left="1134" w:hanging="567"/>
      </w:pPr>
      <w:r w:rsidRPr="00EC79CF">
        <w:t>The Housing assessment now uses a more direct measure of public housing users and costs obtained from ABS Census data.</w:t>
      </w:r>
    </w:p>
    <w:p w:rsidR="00A665A9" w:rsidRPr="00EC79CF" w:rsidRDefault="00A665A9" w:rsidP="00C20E52">
      <w:pPr>
        <w:pStyle w:val="CGCBulletlist"/>
        <w:numPr>
          <w:ilvl w:val="0"/>
          <w:numId w:val="1"/>
        </w:numPr>
        <w:tabs>
          <w:tab w:val="clear" w:pos="927"/>
          <w:tab w:val="left" w:pos="1134"/>
        </w:tabs>
        <w:ind w:left="1134" w:hanging="567"/>
      </w:pPr>
      <w:r w:rsidRPr="00EC79CF">
        <w:t>The main drivers of water and electricity subsidies are better understood, although more questions and further data requirements have subsequent</w:t>
      </w:r>
      <w:r w:rsidR="009272F8" w:rsidRPr="00EC79CF">
        <w:t>ly</w:t>
      </w:r>
      <w:r w:rsidRPr="00EC79CF">
        <w:t xml:space="preserve"> arisen.</w:t>
      </w:r>
    </w:p>
    <w:p w:rsidR="00A665A9" w:rsidRPr="00EC79CF" w:rsidRDefault="00A665A9" w:rsidP="00C20E52">
      <w:pPr>
        <w:pStyle w:val="CGCBulletlist"/>
        <w:numPr>
          <w:ilvl w:val="0"/>
          <w:numId w:val="1"/>
        </w:numPr>
        <w:tabs>
          <w:tab w:val="clear" w:pos="927"/>
          <w:tab w:val="left" w:pos="1134"/>
        </w:tabs>
        <w:ind w:left="1134" w:hanging="567"/>
      </w:pPr>
      <w:r w:rsidRPr="00EC79CF">
        <w:t xml:space="preserve">The way we identify small communities has been refined and a new measure for remote Indigenous communities has been adopted in the Services to </w:t>
      </w:r>
      <w:proofErr w:type="gramStart"/>
      <w:r w:rsidRPr="00EC79CF">
        <w:t>communities</w:t>
      </w:r>
      <w:proofErr w:type="gramEnd"/>
      <w:r w:rsidRPr="00EC79CF">
        <w:t xml:space="preserve"> assessment.</w:t>
      </w:r>
    </w:p>
    <w:p w:rsidR="00A665A9" w:rsidRPr="00EC79CF" w:rsidRDefault="00A665A9" w:rsidP="00C20E52">
      <w:pPr>
        <w:pStyle w:val="CGCBulletlist"/>
        <w:numPr>
          <w:ilvl w:val="0"/>
          <w:numId w:val="1"/>
        </w:numPr>
        <w:tabs>
          <w:tab w:val="clear" w:pos="927"/>
          <w:tab w:val="left" w:pos="1134"/>
        </w:tabs>
        <w:ind w:left="1134" w:hanging="567"/>
      </w:pPr>
      <w:r w:rsidRPr="00EC79CF">
        <w:t>The definition of urban areas used in the Roads and Roads investment assessments has been improved.</w:t>
      </w:r>
    </w:p>
    <w:p w:rsidR="00A665A9" w:rsidRPr="00EC79CF" w:rsidRDefault="00A665A9" w:rsidP="00C20E52">
      <w:pPr>
        <w:pStyle w:val="CGCBulletlist"/>
        <w:numPr>
          <w:ilvl w:val="0"/>
          <w:numId w:val="1"/>
        </w:numPr>
        <w:tabs>
          <w:tab w:val="clear" w:pos="927"/>
          <w:tab w:val="left" w:pos="1134"/>
        </w:tabs>
        <w:ind w:left="1134" w:hanging="567"/>
      </w:pPr>
      <w:r w:rsidRPr="00EC79CF">
        <w:t>The Transport assessment now uses updated data and an improved regression model on how urban size is related to costs.</w:t>
      </w:r>
    </w:p>
    <w:p w:rsidR="00A665A9" w:rsidRPr="00EC79CF" w:rsidRDefault="00A665A9" w:rsidP="00C20E52">
      <w:pPr>
        <w:pStyle w:val="CGCBulletlist"/>
        <w:numPr>
          <w:ilvl w:val="0"/>
          <w:numId w:val="1"/>
        </w:numPr>
        <w:tabs>
          <w:tab w:val="clear" w:pos="927"/>
          <w:tab w:val="left" w:pos="1134"/>
        </w:tabs>
        <w:ind w:left="1134" w:hanging="567"/>
      </w:pPr>
      <w:r w:rsidRPr="00EC79CF">
        <w:t>The improved data on Schools ha</w:t>
      </w:r>
      <w:r w:rsidR="00184258">
        <w:t>ve</w:t>
      </w:r>
      <w:r w:rsidRPr="00EC79CF">
        <w:t xml:space="preserve"> flowed through to improve our measure of regional cost differences and service delivery scale for some other services.</w:t>
      </w:r>
    </w:p>
    <w:p w:rsidR="00A665A9" w:rsidRPr="00EC79CF" w:rsidRDefault="00A665A9" w:rsidP="00C20E52">
      <w:pPr>
        <w:pStyle w:val="CGCBulletlist"/>
        <w:numPr>
          <w:ilvl w:val="0"/>
          <w:numId w:val="1"/>
        </w:numPr>
        <w:tabs>
          <w:tab w:val="clear" w:pos="927"/>
          <w:tab w:val="left" w:pos="1134"/>
        </w:tabs>
        <w:ind w:left="1134" w:hanging="567"/>
      </w:pPr>
      <w:r w:rsidRPr="00EC79CF">
        <w:t>We have adopted the ABS remoteness areas (ARIA) classification to measure how costs vary with increasing remoteness, replacing a custom measure previously developed for the Commission (SARIA). This will improve our ability to measure costs in capital cities of less populous States, notably Tasmania and the Northern Territory. It also enables greater access to ABS data since ARIA is ABS’s standard remoteness geography.</w:t>
      </w:r>
    </w:p>
    <w:p w:rsidR="00A665A9" w:rsidRPr="00EC79CF" w:rsidRDefault="00A665A9" w:rsidP="00A665A9">
      <w:pPr>
        <w:pStyle w:val="Heading4"/>
      </w:pPr>
      <w:r w:rsidRPr="00EC79CF">
        <w:t>External advice and checking</w:t>
      </w:r>
    </w:p>
    <w:p w:rsidR="00A665A9" w:rsidRPr="00EC79CF" w:rsidRDefault="00A665A9" w:rsidP="00C20E52">
      <w:pPr>
        <w:pStyle w:val="CGCNumberedPara"/>
        <w:numPr>
          <w:ilvl w:val="1"/>
          <w:numId w:val="2"/>
        </w:numPr>
      </w:pPr>
      <w:r w:rsidRPr="00EC79CF">
        <w:t xml:space="preserve">Consultants were engaged to </w:t>
      </w:r>
      <w:proofErr w:type="gramStart"/>
      <w:r w:rsidRPr="00EC79CF">
        <w:t>advise</w:t>
      </w:r>
      <w:proofErr w:type="gramEnd"/>
      <w:r w:rsidRPr="00EC79CF">
        <w:t xml:space="preserve"> on methodological issues for some assessments.</w:t>
      </w:r>
    </w:p>
    <w:p w:rsidR="00A665A9" w:rsidRPr="00EC79CF" w:rsidRDefault="00A665A9" w:rsidP="00C20E52">
      <w:pPr>
        <w:pStyle w:val="CGCNumberedPara"/>
        <w:numPr>
          <w:ilvl w:val="1"/>
          <w:numId w:val="2"/>
        </w:numPr>
      </w:pPr>
      <w:r w:rsidRPr="00EC79CF">
        <w:t>An expert econometrician was engaged to examine the regression models we co</w:t>
      </w:r>
      <w:r w:rsidR="008B31B2">
        <w:t>nstructed for the Schools, Wage</w:t>
      </w:r>
      <w:r w:rsidRPr="00EC79CF">
        <w:t xml:space="preserve"> costs and Transport assessments. The consultant found the approaches we took were sound, although limitations were recognised for the transport analysis due to the small dataset size. The consultant’s work resulted in substantial improvements to the Schools data regression.</w:t>
      </w:r>
    </w:p>
    <w:p w:rsidR="00A665A9" w:rsidRPr="00EC79CF" w:rsidRDefault="00A665A9" w:rsidP="00C20E52">
      <w:pPr>
        <w:pStyle w:val="CGCNumberedPara"/>
        <w:numPr>
          <w:ilvl w:val="1"/>
          <w:numId w:val="2"/>
        </w:numPr>
      </w:pPr>
      <w:r w:rsidRPr="00EC79CF">
        <w:t xml:space="preserve">Two external consultants were engaged to advise on the impact health services provided by the non-State sector have on the demand for State government health services (referred to as substitutability). We considered their findings in our determination of the levels of substitutability within each health component. </w:t>
      </w:r>
    </w:p>
    <w:p w:rsidR="00A665A9" w:rsidRPr="00EC79CF" w:rsidRDefault="00A665A9" w:rsidP="00C20E52">
      <w:pPr>
        <w:pStyle w:val="CGCNumberedPara"/>
        <w:numPr>
          <w:ilvl w:val="1"/>
          <w:numId w:val="2"/>
        </w:numPr>
      </w:pPr>
      <w:r w:rsidRPr="00EC79CF">
        <w:t xml:space="preserve">The reports of the econometrician and health consultants were provided to the States for comment and to help them prepare submissions on the relevant </w:t>
      </w:r>
      <w:r w:rsidRPr="00EC79CF">
        <w:lastRenderedPageBreak/>
        <w:t xml:space="preserve">assessments. The reports are also available on </w:t>
      </w:r>
      <w:r w:rsidR="00D05F5E">
        <w:t xml:space="preserve">the </w:t>
      </w:r>
      <w:hyperlink r:id="rId87" w:history="1">
        <w:r w:rsidR="00D05F5E" w:rsidRPr="00D05F5E">
          <w:rPr>
            <w:rStyle w:val="Hyperlink"/>
          </w:rPr>
          <w:t>Commission’s website</w:t>
        </w:r>
      </w:hyperlink>
      <w:r w:rsidR="00D05F5E">
        <w:t xml:space="preserve"> (</w:t>
      </w:r>
      <w:r w:rsidR="00D05F5E" w:rsidRPr="00D05F5E">
        <w:t>https://www.cgc.gov.au/</w:t>
      </w:r>
      <w:r w:rsidR="00D05F5E">
        <w:t>)</w:t>
      </w:r>
      <w:r w:rsidRPr="00EC79CF">
        <w:t xml:space="preserve">. </w:t>
      </w:r>
    </w:p>
    <w:p w:rsidR="00A665A9" w:rsidRPr="00EC79CF" w:rsidRDefault="00A665A9" w:rsidP="00C20E52">
      <w:pPr>
        <w:pStyle w:val="CGCNumberedPara"/>
        <w:numPr>
          <w:ilvl w:val="1"/>
          <w:numId w:val="2"/>
        </w:numPr>
      </w:pPr>
      <w:r w:rsidRPr="00EC79CF">
        <w:t xml:space="preserve">As in recent updates, external consultants were engaged in the late stages of the review, shortly before we finalised the relativities, to check the calculations used to generate our recommended relativities. Before the external checkers undertook their </w:t>
      </w:r>
      <w:r w:rsidR="004D3AB3">
        <w:t>work</w:t>
      </w:r>
      <w:r w:rsidRPr="00EC79CF">
        <w:t xml:space="preserve">, an extensive series of internal checks and sign-offs were </w:t>
      </w:r>
      <w:r w:rsidR="004D3AB3">
        <w:t>completed</w:t>
      </w:r>
      <w:r w:rsidRPr="00EC79CF">
        <w:t xml:space="preserve">. Our checking processes cover the entire chain of the calculations leading to the relativities, starting by checking the raw data back to </w:t>
      </w:r>
      <w:r w:rsidR="00184258">
        <w:t>their</w:t>
      </w:r>
      <w:r w:rsidRPr="00EC79CF">
        <w:t xml:space="preserve"> sources.</w:t>
      </w:r>
    </w:p>
    <w:p w:rsidR="00A665A9" w:rsidRPr="00EC79CF" w:rsidRDefault="00A665A9" w:rsidP="00A665A9">
      <w:pPr>
        <w:pStyle w:val="Heading4"/>
      </w:pPr>
      <w:r w:rsidRPr="00EC79CF">
        <w:t>External audit of the Commission’s decision making processes</w:t>
      </w:r>
    </w:p>
    <w:p w:rsidR="00A665A9" w:rsidRPr="00EC79CF" w:rsidRDefault="00A665A9" w:rsidP="00C20E52">
      <w:pPr>
        <w:pStyle w:val="CGCNumberedPara"/>
        <w:numPr>
          <w:ilvl w:val="1"/>
          <w:numId w:val="2"/>
        </w:numPr>
      </w:pPr>
      <w:r w:rsidRPr="00EC79CF">
        <w:t xml:space="preserve">As another part of the quality assurance process, we engaged an independent external consultant, who was previously a State Auditor-General, to consider whether we had followed due process in reaching our decisions in this review.  </w:t>
      </w:r>
    </w:p>
    <w:p w:rsidR="00A665A9" w:rsidRPr="00EC79CF" w:rsidRDefault="00A665A9" w:rsidP="00C20E52">
      <w:pPr>
        <w:pStyle w:val="CGCNumberedPara"/>
        <w:numPr>
          <w:ilvl w:val="1"/>
          <w:numId w:val="2"/>
        </w:numPr>
      </w:pPr>
      <w:r w:rsidRPr="00EC79CF">
        <w:t>He examined the decision making processes, but not the appropriateness of the decisions themselves, in the following priority issues for the review:</w:t>
      </w:r>
    </w:p>
    <w:p w:rsidR="00A665A9" w:rsidRPr="00EC79CF" w:rsidRDefault="00A665A9" w:rsidP="00C20E52">
      <w:pPr>
        <w:pStyle w:val="CGCBulletlist"/>
        <w:numPr>
          <w:ilvl w:val="0"/>
          <w:numId w:val="1"/>
        </w:numPr>
        <w:tabs>
          <w:tab w:val="clear" w:pos="927"/>
        </w:tabs>
        <w:ind w:left="1134" w:hanging="567"/>
      </w:pPr>
      <w:r w:rsidRPr="00EC79CF">
        <w:t>mining revenue</w:t>
      </w:r>
    </w:p>
    <w:p w:rsidR="00A665A9" w:rsidRPr="00EC79CF" w:rsidRDefault="00A665A9" w:rsidP="00C20E52">
      <w:pPr>
        <w:pStyle w:val="CGCBulletlist"/>
        <w:numPr>
          <w:ilvl w:val="0"/>
          <w:numId w:val="1"/>
        </w:numPr>
        <w:tabs>
          <w:tab w:val="clear" w:pos="927"/>
        </w:tabs>
        <w:ind w:left="1134" w:hanging="567"/>
      </w:pPr>
      <w:r w:rsidRPr="00EC79CF">
        <w:t>treatment of NDIS arrangements</w:t>
      </w:r>
    </w:p>
    <w:p w:rsidR="00A665A9" w:rsidRPr="00EC79CF" w:rsidRDefault="00A665A9" w:rsidP="00C20E52">
      <w:pPr>
        <w:pStyle w:val="CGCBulletlist"/>
        <w:numPr>
          <w:ilvl w:val="0"/>
          <w:numId w:val="1"/>
        </w:numPr>
        <w:tabs>
          <w:tab w:val="clear" w:pos="927"/>
        </w:tabs>
        <w:ind w:left="1134" w:hanging="567"/>
      </w:pPr>
      <w:r w:rsidRPr="00EC79CF">
        <w:t>urban transport infrastructure assessments</w:t>
      </w:r>
    </w:p>
    <w:p w:rsidR="00A665A9" w:rsidRPr="00EC79CF" w:rsidRDefault="00A665A9" w:rsidP="00C20E52">
      <w:pPr>
        <w:pStyle w:val="CGCBulletlist"/>
        <w:numPr>
          <w:ilvl w:val="0"/>
          <w:numId w:val="1"/>
        </w:numPr>
        <w:tabs>
          <w:tab w:val="clear" w:pos="927"/>
        </w:tabs>
        <w:ind w:left="1134" w:hanging="567"/>
      </w:pPr>
      <w:proofErr w:type="gramStart"/>
      <w:r w:rsidRPr="00EC79CF">
        <w:t>treatment</w:t>
      </w:r>
      <w:proofErr w:type="gramEnd"/>
      <w:r w:rsidRPr="00EC79CF">
        <w:t xml:space="preserve"> of </w:t>
      </w:r>
      <w:r w:rsidR="008B31B2" w:rsidRPr="00EC79CF">
        <w:t>Indigenous status</w:t>
      </w:r>
      <w:r w:rsidRPr="00EC79CF">
        <w:t>.</w:t>
      </w:r>
    </w:p>
    <w:p w:rsidR="00A665A9" w:rsidRPr="00EC79CF" w:rsidRDefault="00A665A9" w:rsidP="00C20E52">
      <w:pPr>
        <w:pStyle w:val="CGCNumberedPara"/>
        <w:numPr>
          <w:ilvl w:val="1"/>
          <w:numId w:val="2"/>
        </w:numPr>
      </w:pPr>
      <w:r w:rsidRPr="00EC79CF">
        <w:t>He also reviewed decision making processes for the health assessment and whether discounting has been done consistently.</w:t>
      </w:r>
    </w:p>
    <w:p w:rsidR="00A665A9" w:rsidRPr="00EC79CF" w:rsidRDefault="00A665A9" w:rsidP="00C20E52">
      <w:pPr>
        <w:pStyle w:val="CGCNumberedPara"/>
        <w:numPr>
          <w:ilvl w:val="1"/>
          <w:numId w:val="2"/>
        </w:numPr>
      </w:pPr>
      <w:r w:rsidRPr="00EC79CF">
        <w:t xml:space="preserve">His review covered the processes used in reaching decisions for the draft report, the processes following the draft report (including those leading to the Commission’s </w:t>
      </w:r>
      <w:r w:rsidR="00184258">
        <w:t>Position</w:t>
      </w:r>
      <w:r w:rsidR="008B69AE" w:rsidRPr="00EC79CF">
        <w:t xml:space="preserve"> Paper 2014-04 – </w:t>
      </w:r>
      <w:r w:rsidR="008B69AE" w:rsidRPr="00EC79CF">
        <w:rPr>
          <w:i/>
        </w:rPr>
        <w:t xml:space="preserve">Significant Changes since the Draft Report </w:t>
      </w:r>
      <w:r w:rsidRPr="00EC79CF">
        <w:t>circulated to States in November 2014) and the processes to be follo</w:t>
      </w:r>
      <w:r w:rsidR="009272F8" w:rsidRPr="00EC79CF">
        <w:t>wed in finalising the report.</w:t>
      </w:r>
    </w:p>
    <w:p w:rsidR="00A665A9" w:rsidRPr="00EC79CF" w:rsidRDefault="00A665A9" w:rsidP="00C20E52">
      <w:pPr>
        <w:pStyle w:val="CGCNumberedPara"/>
        <w:numPr>
          <w:ilvl w:val="1"/>
          <w:numId w:val="2"/>
        </w:numPr>
      </w:pPr>
      <w:r w:rsidRPr="00EC79CF">
        <w:t>He reached the following overall conclusion.</w:t>
      </w:r>
    </w:p>
    <w:p w:rsidR="00A665A9" w:rsidRPr="00EC79CF" w:rsidRDefault="00A665A9" w:rsidP="009272F8">
      <w:pPr>
        <w:pStyle w:val="CGCQuotation"/>
      </w:pPr>
      <w:r w:rsidRPr="00EC79CF">
        <w:t>Based on the review activity undertaken as outlined in this report, I conclude that the Commission followed due process in relation to decisions an</w:t>
      </w:r>
      <w:r w:rsidR="009272F8" w:rsidRPr="00EC79CF">
        <w:t xml:space="preserve">d assessments I have examined. </w:t>
      </w:r>
      <w:r w:rsidRPr="00EC79CF">
        <w:t>I also conclude:</w:t>
      </w:r>
    </w:p>
    <w:p w:rsidR="00A665A9" w:rsidRPr="00EC79CF" w:rsidRDefault="00A665A9" w:rsidP="006315BC">
      <w:pPr>
        <w:pStyle w:val="CGCQuotation"/>
        <w:numPr>
          <w:ilvl w:val="1"/>
          <w:numId w:val="21"/>
        </w:numPr>
        <w:ind w:left="1418" w:hanging="284"/>
      </w:pPr>
      <w:r w:rsidRPr="00EC79CF">
        <w:t xml:space="preserve">The documents prepared by Commission staff and the documentation of Commission decisions that I reviewed were of a good standard and provided a structured and logical view of the processes followed by the Commission in making the assessments included in the Draft Report of the 2015 Review distributed in August 2014 and in the Commission </w:t>
      </w:r>
      <w:r w:rsidR="00F02C9C" w:rsidRPr="00EC79CF">
        <w:t>position</w:t>
      </w:r>
      <w:r w:rsidRPr="00EC79CF">
        <w:t xml:space="preserve"> paper on Significant Changes since the Draft Report which was circulated to States in November 2014.</w:t>
      </w:r>
    </w:p>
    <w:p w:rsidR="00A665A9" w:rsidRPr="00EC79CF" w:rsidRDefault="00A665A9" w:rsidP="009272F8">
      <w:pPr>
        <w:pStyle w:val="CGCQuotation"/>
        <w:numPr>
          <w:ilvl w:val="1"/>
          <w:numId w:val="21"/>
        </w:numPr>
      </w:pPr>
      <w:r w:rsidRPr="00EC79CF">
        <w:t xml:space="preserve">The Commission provided opportunities for input to be provided by the States at appropriate stages of the </w:t>
      </w:r>
      <w:r w:rsidR="007D562D">
        <w:t>r</w:t>
      </w:r>
      <w:r w:rsidRPr="00EC79CF">
        <w:t>eview process.</w:t>
      </w:r>
    </w:p>
    <w:p w:rsidR="00A665A9" w:rsidRPr="00EC79CF" w:rsidRDefault="00A665A9" w:rsidP="009272F8">
      <w:pPr>
        <w:pStyle w:val="CGCQuotation"/>
        <w:numPr>
          <w:ilvl w:val="1"/>
          <w:numId w:val="21"/>
        </w:numPr>
      </w:pPr>
      <w:r w:rsidRPr="00EC79CF">
        <w:lastRenderedPageBreak/>
        <w:t>The submissions and materials provided by the States were available for consideration by the Commission and the Commission meeting agenda papers prepared by Commission staff appropriately represented the content of those State submissions.</w:t>
      </w:r>
    </w:p>
    <w:p w:rsidR="00A665A9" w:rsidRPr="00EC79CF" w:rsidRDefault="00A665A9" w:rsidP="009272F8">
      <w:pPr>
        <w:pStyle w:val="CGCQuotation"/>
        <w:rPr>
          <w:szCs w:val="20"/>
        </w:rPr>
      </w:pPr>
      <w:r w:rsidRPr="00EC79CF">
        <w:rPr>
          <w:szCs w:val="20"/>
        </w:rPr>
        <w:t xml:space="preserve">The audit conclusion is unqualified in its assessment of all decision areas and issues examined. </w:t>
      </w:r>
    </w:p>
    <w:p w:rsidR="00A665A9" w:rsidRPr="00EC79CF" w:rsidRDefault="00A665A9" w:rsidP="00C20E52">
      <w:pPr>
        <w:pStyle w:val="CGCNumberedPara"/>
        <w:numPr>
          <w:ilvl w:val="1"/>
          <w:numId w:val="2"/>
        </w:numPr>
      </w:pPr>
      <w:r w:rsidRPr="00EC79CF">
        <w:t>In commenting on the use of discounting, he concluded a materially consistent approach was applied across assessment areas. He also suggested additional disclosure of the reasons for discounts in Commission reports may assist in assuring States discounting has been done consistently. We have aimed to provide such additional reasoning in this report.</w:t>
      </w:r>
    </w:p>
    <w:p w:rsidR="00A665A9" w:rsidRPr="00EC79CF" w:rsidRDefault="00A665A9" w:rsidP="00C20E52">
      <w:pPr>
        <w:pStyle w:val="CGCNumberedPara"/>
        <w:numPr>
          <w:ilvl w:val="1"/>
          <w:numId w:val="2"/>
        </w:numPr>
      </w:pPr>
      <w:r w:rsidRPr="00EC79CF">
        <w:t xml:space="preserve">The consultant’s report is available on </w:t>
      </w:r>
      <w:r w:rsidR="00D05F5E">
        <w:t xml:space="preserve">the </w:t>
      </w:r>
      <w:hyperlink r:id="rId88" w:history="1">
        <w:r w:rsidR="00D05F5E" w:rsidRPr="00D05F5E">
          <w:rPr>
            <w:rStyle w:val="Hyperlink"/>
          </w:rPr>
          <w:t>Commission’s website</w:t>
        </w:r>
      </w:hyperlink>
      <w:r w:rsidR="00D05F5E">
        <w:t xml:space="preserve"> (</w:t>
      </w:r>
      <w:r w:rsidR="00D05F5E" w:rsidRPr="00D05F5E">
        <w:t>https://www.cgc.gov.au/</w:t>
      </w:r>
      <w:r w:rsidR="00D05F5E">
        <w:t>)</w:t>
      </w:r>
      <w:r w:rsidRPr="00EC79CF">
        <w:t>.</w:t>
      </w:r>
    </w:p>
    <w:p w:rsidR="00A665A9" w:rsidRPr="00EC79CF" w:rsidRDefault="00A665A9" w:rsidP="00A665A9">
      <w:pPr>
        <w:pStyle w:val="Heading4"/>
      </w:pPr>
      <w:r w:rsidRPr="00EC79CF">
        <w:t>Review of all assessments</w:t>
      </w:r>
    </w:p>
    <w:p w:rsidR="00A665A9" w:rsidRPr="00EC79CF" w:rsidRDefault="00A665A9" w:rsidP="00A665A9">
      <w:pPr>
        <w:pStyle w:val="Heading5"/>
      </w:pPr>
      <w:r w:rsidRPr="00EC79CF">
        <w:t>Individual category and factor assessments</w:t>
      </w:r>
    </w:p>
    <w:p w:rsidR="00A665A9" w:rsidRPr="00EC79CF" w:rsidRDefault="00A665A9" w:rsidP="00C20E52">
      <w:pPr>
        <w:pStyle w:val="CGCNumberedPara"/>
        <w:numPr>
          <w:ilvl w:val="1"/>
          <w:numId w:val="2"/>
        </w:numPr>
      </w:pPr>
      <w:r w:rsidRPr="00EC79CF">
        <w:t>In January 2015, we undertook a final check of assessments to ensure they reliably captured material differences in State fiscal capacities within the limits of available data. We also considered whether assessments had been undertaken in a consistent way across categories.</w:t>
      </w:r>
    </w:p>
    <w:p w:rsidR="00A665A9" w:rsidRPr="00EC79CF" w:rsidRDefault="00A665A9" w:rsidP="00C20E52">
      <w:pPr>
        <w:pStyle w:val="CGCNumberedPara"/>
        <w:numPr>
          <w:ilvl w:val="1"/>
          <w:numId w:val="2"/>
        </w:numPr>
      </w:pPr>
      <w:r w:rsidRPr="00EC79CF">
        <w:t>As a result of this process, we made a number of judgment based adjustments to assessments to improve horizontal fiscal equalisation (HFE) outcomes, including the following.</w:t>
      </w:r>
    </w:p>
    <w:p w:rsidR="00A665A9" w:rsidRPr="00EC79CF" w:rsidRDefault="00A665A9" w:rsidP="00C20E52">
      <w:pPr>
        <w:pStyle w:val="CGCBulletlist"/>
        <w:numPr>
          <w:ilvl w:val="0"/>
          <w:numId w:val="1"/>
        </w:numPr>
        <w:tabs>
          <w:tab w:val="clear" w:pos="927"/>
          <w:tab w:val="left" w:pos="1134"/>
        </w:tabs>
        <w:ind w:left="1134" w:hanging="567"/>
      </w:pPr>
      <w:r w:rsidRPr="00EC79CF">
        <w:t>Adjustments were made to the regional costs assessments to ensure all cost</w:t>
      </w:r>
      <w:r w:rsidR="004D3AB3">
        <w:t>s</w:t>
      </w:r>
      <w:r w:rsidRPr="00EC79CF">
        <w:t xml:space="preserve"> were appropriately recognised, given the change from the SARIA to ARIA remoteness classification and the removal of the non-wage costs assessment. The Commission considered this adjustment was necessary to recognise that the ARIA classification, just like its predecessor, was not perfect and did not fully recognise the cost differences faced by different State capitals.</w:t>
      </w:r>
    </w:p>
    <w:p w:rsidR="00A665A9" w:rsidRPr="00EC79CF" w:rsidRDefault="00A665A9" w:rsidP="00C20E52">
      <w:pPr>
        <w:pStyle w:val="CGCBulletlist"/>
        <w:numPr>
          <w:ilvl w:val="0"/>
          <w:numId w:val="1"/>
        </w:numPr>
        <w:tabs>
          <w:tab w:val="clear" w:pos="927"/>
          <w:tab w:val="left" w:pos="1134"/>
        </w:tabs>
        <w:ind w:left="1134" w:hanging="567"/>
      </w:pPr>
      <w:r w:rsidRPr="00EC79CF">
        <w:t>To split roads capital spending into its urban and rural components, a two thirds/one third blend of data provided by the States and the National Transport Commission was adopted. We</w:t>
      </w:r>
      <w:r w:rsidRPr="00EC79CF">
        <w:rPr>
          <w:bCs/>
        </w:rPr>
        <w:t xml:space="preserve"> had concerns about both datasets, given the large differences between them. However, we had more confidence in the State provided data because </w:t>
      </w:r>
      <w:r w:rsidR="00184258">
        <w:rPr>
          <w:bCs/>
        </w:rPr>
        <w:t>they were</w:t>
      </w:r>
      <w:r w:rsidRPr="00EC79CF">
        <w:rPr>
          <w:bCs/>
        </w:rPr>
        <w:t xml:space="preserve"> based on an urban/rural definition which more closely complied with the definitions used in the roads assessments. For this reason we gave more weight to those data. Further work needs to be done to ensure the same definition is used by States in providing these data and to ensure the data are collected on a consistent basis across States.</w:t>
      </w:r>
    </w:p>
    <w:p w:rsidR="00A665A9" w:rsidRPr="00EC79CF" w:rsidRDefault="00A665A9" w:rsidP="00C20E52">
      <w:pPr>
        <w:pStyle w:val="CGCNumberedPara"/>
        <w:numPr>
          <w:ilvl w:val="1"/>
          <w:numId w:val="2"/>
        </w:numPr>
      </w:pPr>
      <w:r w:rsidRPr="00EC79CF">
        <w:lastRenderedPageBreak/>
        <w:t>Among other checks, we confirmed that the remoteness classification had been used consistently across categories to achieve the best and most reliable estimate of HFE possible with the data available and that appropriate estimates of substitutability had been adopted in the Health assessment.</w:t>
      </w:r>
    </w:p>
    <w:p w:rsidR="00A665A9" w:rsidRPr="00EC79CF" w:rsidRDefault="00A665A9" w:rsidP="00A665A9">
      <w:pPr>
        <w:pStyle w:val="Heading5"/>
      </w:pPr>
      <w:r w:rsidRPr="00EC79CF">
        <w:t>The use of discounting in assessments</w:t>
      </w:r>
    </w:p>
    <w:p w:rsidR="00A665A9" w:rsidRPr="00EC79CF" w:rsidRDefault="00A665A9" w:rsidP="00C20E52">
      <w:pPr>
        <w:pStyle w:val="CGCNumberedPara"/>
        <w:numPr>
          <w:ilvl w:val="1"/>
          <w:numId w:val="2"/>
        </w:numPr>
      </w:pPr>
      <w:r w:rsidRPr="00EC79CF">
        <w:t xml:space="preserve">In determining its assessment methods, the Commission may adopt discounting or other case specific adjustment processes to deal with instances where there is a conceptual case for including an influence which differentially affects State fiscal capacities, but where the measure of that influence is affected by imperfect data or methods. In such instances, the Commission must choose between letting the data influence the GST distribution in proportion to its quality </w:t>
      </w:r>
      <w:proofErr w:type="gramStart"/>
      <w:r w:rsidRPr="00EC79CF">
        <w:t>or</w:t>
      </w:r>
      <w:proofErr w:type="gramEnd"/>
      <w:r w:rsidRPr="00EC79CF">
        <w:t xml:space="preserve"> ignoring the data completely. It considered a better HFE outcome is achieved by partially recognising the disability, consistent with the confidence it has in its measurement. This is consistent with its assessment guidelines. Decisions on whether an assessment will include a discount or other adjustment are made on a case by case basis as each assessment is considered.  </w:t>
      </w:r>
    </w:p>
    <w:p w:rsidR="00A665A9" w:rsidRPr="00EC79CF" w:rsidRDefault="00A665A9" w:rsidP="00C20E52">
      <w:pPr>
        <w:pStyle w:val="CGCNumberedPara"/>
        <w:numPr>
          <w:ilvl w:val="1"/>
          <w:numId w:val="2"/>
        </w:numPr>
      </w:pPr>
      <w:r w:rsidRPr="00EC79CF">
        <w:t>However, to ensure a consistent approach to when discounts and other adjustments are made and their size has been adopted, the Commission reconsidered all of them towards the end of the review. That reconsideration covered the discounts and adjustments it had previously decided to make</w:t>
      </w:r>
      <w:r w:rsidR="000522B5">
        <w:t>;</w:t>
      </w:r>
      <w:r w:rsidRPr="00EC79CF">
        <w:t xml:space="preserve"> those States sought but it had previously decided not to make</w:t>
      </w:r>
      <w:r w:rsidR="000522B5">
        <w:t>;</w:t>
      </w:r>
      <w:r w:rsidRPr="00EC79CF">
        <w:t xml:space="preserve"> and assessments where it had previously decided discounts or adjustments were not required. This process led to revisions to some discounts and adjustments. We now consider a materially consistent approach has been applied to discounting and other adjustments in our a</w:t>
      </w:r>
      <w:r w:rsidR="000522B5">
        <w:t>ssessments.</w:t>
      </w:r>
    </w:p>
    <w:p w:rsidR="00A665A9" w:rsidRPr="00EC79CF" w:rsidRDefault="00A665A9" w:rsidP="00A665A9">
      <w:pPr>
        <w:pStyle w:val="Heading4"/>
      </w:pPr>
      <w:r w:rsidRPr="00EC79CF">
        <w:t>External audit of staff compliance with quality assurance processes</w:t>
      </w:r>
    </w:p>
    <w:p w:rsidR="00A665A9" w:rsidRPr="00EC79CF" w:rsidRDefault="00A665A9" w:rsidP="00C20E52">
      <w:pPr>
        <w:pStyle w:val="CGCNumberedPara"/>
        <w:numPr>
          <w:ilvl w:val="1"/>
          <w:numId w:val="2"/>
        </w:numPr>
      </w:pPr>
      <w:r w:rsidRPr="00EC79CF">
        <w:t xml:space="preserve">We also engaged another external consultant to check whether Commission staff followed the quality assurance processes in this review. That consultant reviewed the Commission’s quality assurance documents, surveyed staff to determine their knowledge of the quality assurance processes and requirements and their compliance with them and reviewed all quality assurance documentation, including the data return matrix, selected staff summaries of States submissions (with details of how issues raised were to be dealt with), calculation checking logs and Commission meeting minutes. </w:t>
      </w:r>
    </w:p>
    <w:p w:rsidR="00A665A9" w:rsidRPr="00EC79CF" w:rsidRDefault="00A665A9" w:rsidP="00C20E52">
      <w:pPr>
        <w:pStyle w:val="CGCNumberedPara"/>
        <w:numPr>
          <w:ilvl w:val="1"/>
          <w:numId w:val="2"/>
        </w:numPr>
      </w:pPr>
      <w:r w:rsidRPr="00EC79CF">
        <w:t xml:space="preserve">The consultant found that, in all material aspects, Commission staff had been compliant with quality assurance processes for conducting the 2015 Review set out in Commission documentation and that the 2015 Review has been conducted in accordance with the Commission’s internal quality assurance processes. She noted that, while there had been some minor instances of non-compliance at the time of </w:t>
      </w:r>
      <w:r w:rsidRPr="00EC79CF">
        <w:lastRenderedPageBreak/>
        <w:t>her audit, compliance was particularly strong in the areas of considering States’ views, applying assessment guidelines and handling data requests and returns.</w:t>
      </w:r>
    </w:p>
    <w:p w:rsidR="00A665A9" w:rsidRPr="00EC79CF" w:rsidRDefault="00A665A9" w:rsidP="00C20E52">
      <w:pPr>
        <w:pStyle w:val="CGCNumberedPara"/>
        <w:numPr>
          <w:ilvl w:val="1"/>
          <w:numId w:val="2"/>
        </w:numPr>
      </w:pPr>
      <w:r w:rsidRPr="00EC79CF">
        <w:t xml:space="preserve">The consultant’s report is available on </w:t>
      </w:r>
      <w:r w:rsidR="00D05F5E">
        <w:t xml:space="preserve">the </w:t>
      </w:r>
      <w:hyperlink r:id="rId89" w:history="1">
        <w:r w:rsidR="00D05F5E" w:rsidRPr="00D05F5E">
          <w:rPr>
            <w:rStyle w:val="Hyperlink"/>
          </w:rPr>
          <w:t>Commission’s website</w:t>
        </w:r>
      </w:hyperlink>
      <w:r w:rsidR="00D05F5E">
        <w:t xml:space="preserve"> (</w:t>
      </w:r>
      <w:r w:rsidR="00D05F5E" w:rsidRPr="00D05F5E">
        <w:t>https://www.cgc.gov.au/</w:t>
      </w:r>
      <w:r w:rsidR="00D05F5E">
        <w:t>)</w:t>
      </w:r>
      <w:r w:rsidRPr="00EC79CF">
        <w:t>.</w:t>
      </w:r>
    </w:p>
    <w:p w:rsidR="00A665A9" w:rsidRPr="00EC79CF" w:rsidRDefault="00A665A9" w:rsidP="00A665A9">
      <w:pPr>
        <w:pStyle w:val="Heading4"/>
      </w:pPr>
      <w:r w:rsidRPr="00EC79CF">
        <w:t>Conclusion</w:t>
      </w:r>
    </w:p>
    <w:p w:rsidR="00C53495" w:rsidRPr="00EC79CF" w:rsidRDefault="00A665A9" w:rsidP="00C20E52">
      <w:pPr>
        <w:pStyle w:val="CGCNumberedPara"/>
        <w:numPr>
          <w:ilvl w:val="1"/>
          <w:numId w:val="2"/>
        </w:numPr>
      </w:pPr>
      <w:r w:rsidRPr="00EC79CF">
        <w:t>We conclude that, in preparing assessments, we have used robust quality assurance processes as required by the terms of reference (clause 1c). However, no quality assurance process can guarantee 100% accuracy in outcomes. Despite the diligent use of the procedures and processes set out in the QA Strategic and Action Plans, there may still be undetected errors in calculations or omissions in transparently explaining Commission decisions.</w:t>
      </w:r>
      <w:bookmarkStart w:id="840" w:name="Content"/>
      <w:bookmarkEnd w:id="840"/>
    </w:p>
    <w:sectPr w:rsidR="00C53495" w:rsidRPr="00EC79CF" w:rsidSect="00CE0C60">
      <w:footerReference w:type="default" r:id="rId90"/>
      <w:footnotePr>
        <w:numRestart w:val="eachSect"/>
      </w:footnotePr>
      <w:pgSz w:w="11899" w:h="16838" w:code="9"/>
      <w:pgMar w:top="1701" w:right="1474" w:bottom="1701" w:left="1474" w:header="709" w:footer="709"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CB2" w:rsidRDefault="00532CB2" w:rsidP="00410163">
      <w:pPr>
        <w:spacing w:after="0" w:line="240" w:lineRule="auto"/>
      </w:pPr>
      <w:r>
        <w:separator/>
      </w:r>
    </w:p>
  </w:endnote>
  <w:endnote w:type="continuationSeparator" w:id="0">
    <w:p w:rsidR="00532CB2" w:rsidRDefault="00532CB2" w:rsidP="00410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596602504"/>
      <w:docPartObj>
        <w:docPartGallery w:val="Page Numbers (Bottom of Page)"/>
        <w:docPartUnique/>
      </w:docPartObj>
    </w:sdtPr>
    <w:sdtEndPr>
      <w:rPr>
        <w:b w:val="0"/>
      </w:rPr>
    </w:sdtEndPr>
    <w:sdtContent>
      <w:p w:rsidR="00532CB2" w:rsidRPr="00264625" w:rsidRDefault="00532CB2" w:rsidP="00A665A9">
        <w:pPr>
          <w:pStyle w:val="Footer"/>
          <w:jc w:val="right"/>
        </w:pPr>
        <w:r w:rsidRPr="00264625">
          <w:fldChar w:fldCharType="begin"/>
        </w:r>
        <w:r w:rsidRPr="00264625">
          <w:instrText xml:space="preserve"> PAGE  \* roman  \* MERGEFORMAT </w:instrText>
        </w:r>
        <w:r w:rsidRPr="00264625">
          <w:fldChar w:fldCharType="separate"/>
        </w:r>
        <w:r>
          <w:rPr>
            <w:noProof/>
          </w:rPr>
          <w:t>x</w:t>
        </w:r>
        <w:r w:rsidRPr="00264625">
          <w:fldChar w:fldCharType="end"/>
        </w:r>
      </w:p>
    </w:sdtContent>
  </w:sdt>
  <w:p w:rsidR="00532CB2" w:rsidRPr="0011178C" w:rsidRDefault="00532CB2" w:rsidP="00A665A9">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11178C" w:rsidRDefault="00532CB2" w:rsidP="00C71EF0">
    <w:pPr>
      <w:pStyle w:val="Footer"/>
      <w:jc w:val="right"/>
    </w:pPr>
    <w:r>
      <w:fldChar w:fldCharType="begin"/>
    </w:r>
    <w:r>
      <w:instrText xml:space="preserve"> PAGE  \* Arabic  \* MERGEFORMAT </w:instrText>
    </w:r>
    <w:r>
      <w:fldChar w:fldCharType="separate"/>
    </w:r>
    <w:r w:rsidR="001A3E87">
      <w:rPr>
        <w:noProof/>
      </w:rPr>
      <w:t>14</w:t>
    </w:r>
    <w:r>
      <w:rPr>
        <w:noProof/>
      </w:rPr>
      <w:fldChar w:fldCharType="end"/>
    </w:r>
  </w:p>
  <w:p w:rsidR="00532CB2" w:rsidRPr="0086793C" w:rsidRDefault="00532CB2">
    <w:pPr>
      <w:rPr>
        <w:i/>
      </w:rPr>
    </w:pPr>
    <w:r w:rsidRPr="0086793C">
      <w:rPr>
        <w:i/>
      </w:rPr>
      <w:t>Main findings</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7E487F" w:rsidRDefault="00532CB2" w:rsidP="00C71EF0">
    <w:pPr>
      <w:pStyle w:val="Footer"/>
      <w:tabs>
        <w:tab w:val="right" w:pos="8931"/>
      </w:tabs>
      <w:rPr>
        <w:sz w:val="20"/>
        <w:szCs w:val="20"/>
      </w:rPr>
    </w:pPr>
    <w:r>
      <w:rPr>
        <w:sz w:val="20"/>
        <w:szCs w:val="20"/>
      </w:rPr>
      <w:tab/>
    </w:r>
    <w:r>
      <w:rPr>
        <w:sz w:val="20"/>
        <w:szCs w:val="20"/>
      </w:rPr>
      <w:tab/>
    </w:r>
    <w:r>
      <w:fldChar w:fldCharType="begin"/>
    </w:r>
    <w:r>
      <w:instrText xml:space="preserve"> PAGE   \* MERGEFORMAT </w:instrText>
    </w:r>
    <w:r>
      <w:fldChar w:fldCharType="separate"/>
    </w:r>
    <w:r w:rsidR="001A3E87">
      <w:rPr>
        <w:noProof/>
      </w:rPr>
      <w:t>1</w:t>
    </w:r>
    <w:r>
      <w:rPr>
        <w:noProof/>
      </w:rPr>
      <w:fldChar w:fldCharType="end"/>
    </w:r>
  </w:p>
  <w:p w:rsidR="00532CB2" w:rsidRDefault="00532CB2"/>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Default="00532CB2" w:rsidP="00C71EF0">
    <w:pPr>
      <w:pStyle w:val="Footer"/>
      <w:jc w:val="center"/>
    </w:pPr>
    <w:r>
      <w:fldChar w:fldCharType="begin"/>
    </w:r>
    <w:r>
      <w:instrText xml:space="preserve"> PAGE  \* Arabic  \* MERGEFORMAT </w:instrText>
    </w:r>
    <w:r>
      <w:fldChar w:fldCharType="separate"/>
    </w:r>
    <w:r>
      <w:rPr>
        <w:noProof/>
      </w:rPr>
      <w:t>16</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4B1C4B" w:rsidRDefault="00532CB2" w:rsidP="00C71EF0">
    <w:pPr>
      <w:pStyle w:val="Footer"/>
      <w:jc w:val="right"/>
    </w:pPr>
    <w:r w:rsidRPr="004B1C4B">
      <w:fldChar w:fldCharType="begin"/>
    </w:r>
    <w:r w:rsidRPr="004B1C4B">
      <w:instrText xml:space="preserve"> PAGE   \* MERGEFORMAT </w:instrText>
    </w:r>
    <w:r w:rsidRPr="004B1C4B">
      <w:fldChar w:fldCharType="separate"/>
    </w:r>
    <w:r w:rsidR="001A3E87" w:rsidRPr="001A3E87">
      <w:rPr>
        <w:noProof/>
        <w:szCs w:val="24"/>
      </w:rPr>
      <w:t>15</w:t>
    </w:r>
    <w:r w:rsidRPr="004B1C4B">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Default="00532CB2" w:rsidP="00C71EF0">
    <w:pPr>
      <w:pStyle w:val="Footer"/>
      <w:jc w:val="center"/>
    </w:pPr>
    <w:r>
      <w:fldChar w:fldCharType="begin"/>
    </w:r>
    <w:r>
      <w:instrText xml:space="preserve"> PAGE  \* Arabic  \* MERGEFORMAT </w:instrText>
    </w:r>
    <w:r>
      <w:fldChar w:fldCharType="separate"/>
    </w:r>
    <w:r>
      <w:rPr>
        <w:noProof/>
      </w:rPr>
      <w:t>17</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4B1C4B" w:rsidRDefault="00532CB2" w:rsidP="00C71EF0">
    <w:pPr>
      <w:pStyle w:val="Footer"/>
      <w:jc w:val="right"/>
    </w:pPr>
    <w:r w:rsidRPr="004B1C4B">
      <w:fldChar w:fldCharType="begin"/>
    </w:r>
    <w:r w:rsidRPr="004B1C4B">
      <w:instrText xml:space="preserve"> PAGE   \* MERGEFORMAT </w:instrText>
    </w:r>
    <w:r w:rsidRPr="004B1C4B">
      <w:fldChar w:fldCharType="separate"/>
    </w:r>
    <w:r w:rsidR="001A3E87" w:rsidRPr="001A3E87">
      <w:rPr>
        <w:noProof/>
        <w:szCs w:val="24"/>
      </w:rPr>
      <w:t>16</w:t>
    </w:r>
    <w:r w:rsidRPr="004B1C4B">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Default="00532CB2" w:rsidP="00C71EF0">
    <w:pPr>
      <w:pStyle w:val="Footer"/>
      <w:jc w:val="center"/>
    </w:pPr>
    <w:r>
      <w:fldChar w:fldCharType="begin"/>
    </w:r>
    <w:r>
      <w:instrText xml:space="preserve"> PAGE  \* Arabic  \* MERGEFORMAT </w:instrText>
    </w:r>
    <w:r>
      <w:fldChar w:fldCharType="separate"/>
    </w:r>
    <w:r>
      <w:rPr>
        <w:noProof/>
      </w:rPr>
      <w:t>18</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4B1C4B" w:rsidRDefault="00532CB2" w:rsidP="00C71EF0">
    <w:pPr>
      <w:pStyle w:val="Footer"/>
      <w:jc w:val="right"/>
    </w:pPr>
    <w:r w:rsidRPr="004B1C4B">
      <w:fldChar w:fldCharType="begin"/>
    </w:r>
    <w:r w:rsidRPr="004B1C4B">
      <w:instrText xml:space="preserve"> PAGE   \* MERGEFORMAT </w:instrText>
    </w:r>
    <w:r w:rsidRPr="004B1C4B">
      <w:fldChar w:fldCharType="separate"/>
    </w:r>
    <w:r w:rsidR="001A3E87" w:rsidRPr="001A3E87">
      <w:rPr>
        <w:noProof/>
        <w:szCs w:val="24"/>
      </w:rPr>
      <w:t>17</w:t>
    </w:r>
    <w:r w:rsidRPr="004B1C4B">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Default="00532CB2" w:rsidP="00C71EF0">
    <w:pPr>
      <w:pStyle w:val="Footer"/>
      <w:jc w:val="center"/>
    </w:pPr>
    <w:r>
      <w:fldChar w:fldCharType="begin"/>
    </w:r>
    <w:r>
      <w:instrText xml:space="preserve"> PAGE  \* Arabic  \* MERGEFORMAT </w:instrText>
    </w:r>
    <w:r>
      <w:fldChar w:fldCharType="separate"/>
    </w:r>
    <w:r>
      <w:rPr>
        <w:noProof/>
      </w:rPr>
      <w:t>19</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4B1C4B" w:rsidRDefault="00532CB2" w:rsidP="00C71EF0">
    <w:pPr>
      <w:pStyle w:val="Footer"/>
      <w:jc w:val="right"/>
    </w:pPr>
    <w:r w:rsidRPr="004B1C4B">
      <w:fldChar w:fldCharType="begin"/>
    </w:r>
    <w:r w:rsidRPr="004B1C4B">
      <w:instrText xml:space="preserve"> PAGE   \* MERGEFORMAT </w:instrText>
    </w:r>
    <w:r w:rsidRPr="004B1C4B">
      <w:fldChar w:fldCharType="separate"/>
    </w:r>
    <w:r w:rsidR="001A3E87" w:rsidRPr="001A3E87">
      <w:rPr>
        <w:noProof/>
        <w:szCs w:val="24"/>
      </w:rPr>
      <w:t>18</w:t>
    </w:r>
    <w:r w:rsidRPr="004B1C4B">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7E487F" w:rsidRDefault="00532CB2" w:rsidP="00A665A9">
    <w:pPr>
      <w:pStyle w:val="Footer"/>
      <w:tabs>
        <w:tab w:val="right" w:pos="8931"/>
      </w:tabs>
      <w:rPr>
        <w:sz w:val="20"/>
        <w:szCs w:val="20"/>
      </w:rPr>
    </w:pPr>
    <w:r>
      <w:rPr>
        <w:sz w:val="20"/>
        <w:szCs w:val="20"/>
      </w:rPr>
      <w:tab/>
    </w:r>
    <w:r>
      <w:rPr>
        <w:sz w:val="20"/>
        <w:szCs w:val="20"/>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Default="00532CB2" w:rsidP="00C71EF0">
    <w:pPr>
      <w:pStyle w:val="Footer"/>
      <w:jc w:val="center"/>
    </w:pPr>
    <w:r>
      <w:fldChar w:fldCharType="begin"/>
    </w:r>
    <w:r>
      <w:instrText xml:space="preserve"> PAGE  \* Arabic  \* MERGEFORMAT </w:instrText>
    </w:r>
    <w:r>
      <w:fldChar w:fldCharType="separate"/>
    </w:r>
    <w:r>
      <w:rPr>
        <w:noProof/>
      </w:rPr>
      <w:t>20</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4B1C4B" w:rsidRDefault="00532CB2" w:rsidP="00C71EF0">
    <w:pPr>
      <w:pStyle w:val="Footer"/>
      <w:jc w:val="right"/>
    </w:pPr>
    <w:r w:rsidRPr="004B1C4B">
      <w:fldChar w:fldCharType="begin"/>
    </w:r>
    <w:r w:rsidRPr="004B1C4B">
      <w:instrText xml:space="preserve"> PAGE   \* MERGEFORMAT </w:instrText>
    </w:r>
    <w:r w:rsidRPr="004B1C4B">
      <w:fldChar w:fldCharType="separate"/>
    </w:r>
    <w:r w:rsidR="001A3E87" w:rsidRPr="001A3E87">
      <w:rPr>
        <w:noProof/>
        <w:szCs w:val="24"/>
      </w:rPr>
      <w:t>19</w:t>
    </w:r>
    <w:r w:rsidRPr="004B1C4B">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Default="00532CB2" w:rsidP="00C71EF0">
    <w:pPr>
      <w:pStyle w:val="Footer"/>
      <w:jc w:val="center"/>
    </w:pPr>
    <w:r>
      <w:fldChar w:fldCharType="begin"/>
    </w:r>
    <w:r>
      <w:instrText xml:space="preserve"> PAGE  \* Arabic  \* MERGEFORMAT </w:instrText>
    </w:r>
    <w:r>
      <w:fldChar w:fldCharType="separate"/>
    </w:r>
    <w:r>
      <w:rPr>
        <w:noProof/>
      </w:rPr>
      <w:t>21</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4B1C4B" w:rsidRDefault="00532CB2" w:rsidP="00C71EF0">
    <w:pPr>
      <w:pStyle w:val="Footer"/>
      <w:jc w:val="right"/>
    </w:pPr>
    <w:r w:rsidRPr="004B1C4B">
      <w:fldChar w:fldCharType="begin"/>
    </w:r>
    <w:r w:rsidRPr="004B1C4B">
      <w:instrText xml:space="preserve"> PAGE   \* MERGEFORMAT </w:instrText>
    </w:r>
    <w:r w:rsidRPr="004B1C4B">
      <w:fldChar w:fldCharType="separate"/>
    </w:r>
    <w:r w:rsidR="001A3E87" w:rsidRPr="001A3E87">
      <w:rPr>
        <w:noProof/>
        <w:szCs w:val="24"/>
      </w:rPr>
      <w:t>20</w:t>
    </w:r>
    <w:r w:rsidRPr="004B1C4B">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Default="00532CB2" w:rsidP="00C71EF0">
    <w:pPr>
      <w:pStyle w:val="Footer"/>
      <w:jc w:val="center"/>
    </w:pPr>
    <w:r>
      <w:fldChar w:fldCharType="begin"/>
    </w:r>
    <w:r>
      <w:instrText xml:space="preserve"> PAGE  \* Arabic  \* MERGEFORMAT </w:instrText>
    </w:r>
    <w:r>
      <w:fldChar w:fldCharType="separate"/>
    </w:r>
    <w:r>
      <w:rPr>
        <w:noProof/>
      </w:rPr>
      <w:t>22</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4B1C4B" w:rsidRDefault="00532CB2" w:rsidP="00C71EF0">
    <w:pPr>
      <w:pStyle w:val="Footer"/>
      <w:jc w:val="right"/>
    </w:pPr>
    <w:r w:rsidRPr="004B1C4B">
      <w:fldChar w:fldCharType="begin"/>
    </w:r>
    <w:r w:rsidRPr="004B1C4B">
      <w:instrText xml:space="preserve"> PAGE   \* MERGEFORMAT </w:instrText>
    </w:r>
    <w:r w:rsidRPr="004B1C4B">
      <w:fldChar w:fldCharType="separate"/>
    </w:r>
    <w:r w:rsidR="001A3E87" w:rsidRPr="001A3E87">
      <w:rPr>
        <w:noProof/>
        <w:szCs w:val="24"/>
      </w:rPr>
      <w:t>21</w:t>
    </w:r>
    <w:r w:rsidRPr="004B1C4B">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Default="00532CB2" w:rsidP="00C71EF0">
    <w:pPr>
      <w:pStyle w:val="Footer"/>
      <w:jc w:val="center"/>
    </w:pPr>
    <w:r>
      <w:fldChar w:fldCharType="begin"/>
    </w:r>
    <w:r>
      <w:instrText xml:space="preserve"> PAGE  \* Arabic  \* MERGEFORMAT </w:instrText>
    </w:r>
    <w:r>
      <w:fldChar w:fldCharType="separate"/>
    </w:r>
    <w:r>
      <w:rPr>
        <w:noProof/>
      </w:rPr>
      <w:t>23</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4B1C4B" w:rsidRDefault="00532CB2" w:rsidP="00C71EF0">
    <w:pPr>
      <w:pStyle w:val="Footer"/>
      <w:jc w:val="right"/>
    </w:pPr>
    <w:r w:rsidRPr="004B1C4B">
      <w:fldChar w:fldCharType="begin"/>
    </w:r>
    <w:r w:rsidRPr="004B1C4B">
      <w:instrText xml:space="preserve"> PAGE   \* MERGEFORMAT </w:instrText>
    </w:r>
    <w:r w:rsidRPr="004B1C4B">
      <w:fldChar w:fldCharType="separate"/>
    </w:r>
    <w:r w:rsidR="001A3E87" w:rsidRPr="001A3E87">
      <w:rPr>
        <w:noProof/>
        <w:szCs w:val="24"/>
      </w:rPr>
      <w:t>23</w:t>
    </w:r>
    <w:r w:rsidRPr="004B1C4B">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Default="00532CB2" w:rsidP="00A004DA">
    <w:pPr>
      <w:pStyle w:val="Footer"/>
      <w:tabs>
        <w:tab w:val="right" w:pos="8958"/>
      </w:tabs>
    </w:pPr>
    <w:r w:rsidRPr="00A004DA">
      <w:rPr>
        <w:i/>
      </w:rPr>
      <w:t>Chapter 1 Achieving horizontal fiscal equalisation</w:t>
    </w:r>
    <w:r>
      <w:tab/>
    </w:r>
    <w:r>
      <w:tab/>
    </w:r>
    <w:r>
      <w:fldChar w:fldCharType="begin"/>
    </w:r>
    <w:r>
      <w:instrText xml:space="preserve"> PAGE  \* Arabic  \* MERGEFORMAT </w:instrText>
    </w:r>
    <w:r>
      <w:fldChar w:fldCharType="separate"/>
    </w:r>
    <w:r w:rsidR="001A3E87">
      <w:rPr>
        <w:noProof/>
      </w:rPr>
      <w:t>35</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11178C" w:rsidRDefault="00532CB2" w:rsidP="00A665A9">
    <w:pPr>
      <w:pStyle w:val="Footer"/>
      <w:tabs>
        <w:tab w:val="left" w:pos="569"/>
        <w:tab w:val="right" w:pos="8951"/>
      </w:tabs>
    </w:pPr>
    <w:r>
      <w:rPr>
        <w:i/>
      </w:rPr>
      <w:t>Chapter 2</w:t>
    </w:r>
    <w:r w:rsidRPr="001B2BC0">
      <w:rPr>
        <w:i/>
      </w:rPr>
      <w:t xml:space="preserve"> </w:t>
    </w:r>
    <w:r>
      <w:rPr>
        <w:i/>
      </w:rPr>
      <w:t>Main issues</w:t>
    </w:r>
    <w:r>
      <w:tab/>
    </w:r>
    <w:r>
      <w:tab/>
    </w:r>
    <w:r>
      <w:tab/>
    </w:r>
    <w:r>
      <w:fldChar w:fldCharType="begin"/>
    </w:r>
    <w:r>
      <w:instrText xml:space="preserve"> PAGE  \* Arabic  \* MERGEFORMAT </w:instrText>
    </w:r>
    <w:r>
      <w:fldChar w:fldCharType="separate"/>
    </w:r>
    <w:r w:rsidR="005E3508">
      <w:rPr>
        <w:noProof/>
      </w:rPr>
      <w:t>63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7E487F" w:rsidRDefault="00532CB2" w:rsidP="00A665A9">
    <w:pPr>
      <w:pStyle w:val="Footer"/>
      <w:tabs>
        <w:tab w:val="right" w:pos="8931"/>
      </w:tabs>
      <w:rPr>
        <w:sz w:val="20"/>
        <w:szCs w:val="20"/>
      </w:rPr>
    </w:pPr>
    <w:r>
      <w:rPr>
        <w:sz w:val="20"/>
        <w:szCs w:val="20"/>
      </w:rPr>
      <w:tab/>
    </w:r>
    <w:r>
      <w:rPr>
        <w:sz w:val="20"/>
        <w:szCs w:val="20"/>
      </w:rPr>
      <w:tab/>
    </w:r>
    <w:r w:rsidRPr="00D55230">
      <w:rPr>
        <w:sz w:val="20"/>
        <w:szCs w:val="20"/>
      </w:rPr>
      <w:fldChar w:fldCharType="begin"/>
    </w:r>
    <w:r w:rsidRPr="00D55230">
      <w:rPr>
        <w:sz w:val="20"/>
        <w:szCs w:val="20"/>
      </w:rPr>
      <w:instrText xml:space="preserve"> PAGE   \* MERGEFORMAT </w:instrText>
    </w:r>
    <w:r w:rsidRPr="00D55230">
      <w:rPr>
        <w:sz w:val="20"/>
        <w:szCs w:val="20"/>
      </w:rPr>
      <w:fldChar w:fldCharType="separate"/>
    </w:r>
    <w:r w:rsidR="001A3E87">
      <w:rPr>
        <w:noProof/>
        <w:sz w:val="20"/>
        <w:szCs w:val="20"/>
      </w:rPr>
      <w:t>ii</w:t>
    </w:r>
    <w:r w:rsidRPr="00D55230">
      <w:rPr>
        <w:sz w:val="20"/>
        <w:szCs w:val="20"/>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7E487F" w:rsidRDefault="00532CB2" w:rsidP="00A665A9">
    <w:pPr>
      <w:pStyle w:val="Footer"/>
      <w:tabs>
        <w:tab w:val="right" w:pos="8931"/>
      </w:tabs>
      <w:rPr>
        <w:sz w:val="20"/>
        <w:szCs w:val="20"/>
      </w:rPr>
    </w:pPr>
    <w:r>
      <w:rPr>
        <w:sz w:val="20"/>
        <w:szCs w:val="20"/>
      </w:rPr>
      <w:tab/>
    </w:r>
    <w:r>
      <w:rPr>
        <w:sz w:val="20"/>
        <w:szCs w:val="20"/>
      </w:rPr>
      <w:tab/>
    </w:r>
    <w:r>
      <w:fldChar w:fldCharType="begin"/>
    </w:r>
    <w:r>
      <w:instrText xml:space="preserve"> PAGE   \* MERGEFORMAT </w:instrText>
    </w:r>
    <w:r>
      <w:fldChar w:fldCharType="separate"/>
    </w:r>
    <w:r w:rsidR="001A3E87">
      <w:rPr>
        <w:noProof/>
      </w:rPr>
      <w:t>76</w:t>
    </w:r>
    <w:r>
      <w:rPr>
        <w:noProo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11178C" w:rsidRDefault="00532CB2" w:rsidP="00A665A9">
    <w:pPr>
      <w:pStyle w:val="Footer"/>
      <w:tabs>
        <w:tab w:val="left" w:pos="569"/>
        <w:tab w:val="right" w:pos="8951"/>
      </w:tabs>
    </w:pPr>
    <w:r>
      <w:rPr>
        <w:i/>
      </w:rPr>
      <w:t>Chapter 3 Why State fiscal capacities differ</w:t>
    </w:r>
    <w:r>
      <w:tab/>
    </w:r>
    <w:r>
      <w:tab/>
    </w:r>
    <w:r>
      <w:tab/>
    </w:r>
    <w:r>
      <w:fldChar w:fldCharType="begin"/>
    </w:r>
    <w:r>
      <w:instrText xml:space="preserve"> PAGE  \* Arabic  \* MERGEFORMAT </w:instrText>
    </w:r>
    <w:r>
      <w:fldChar w:fldCharType="separate"/>
    </w:r>
    <w:r w:rsidR="001A3E87">
      <w:rPr>
        <w:noProof/>
      </w:rPr>
      <w:t>81</w:t>
    </w:r>
    <w:r>
      <w:rPr>
        <w:noProof/>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410163" w:rsidRDefault="00532CB2" w:rsidP="00410163">
    <w:pPr>
      <w:pStyle w:val="Footer"/>
      <w:tabs>
        <w:tab w:val="clear" w:pos="4513"/>
        <w:tab w:val="right" w:pos="8931"/>
      </w:tabs>
      <w:rPr>
        <w:rFonts w:cstheme="minorHAnsi"/>
      </w:rPr>
    </w:pPr>
    <w:r w:rsidRPr="00C20E52">
      <w:rPr>
        <w:rFonts w:cstheme="minorHAnsi"/>
        <w:i/>
      </w:rPr>
      <w:t xml:space="preserve">Chapter </w:t>
    </w:r>
    <w:r>
      <w:rPr>
        <w:rFonts w:cstheme="minorHAnsi"/>
        <w:i/>
      </w:rPr>
      <w:t>4 Changes in the GST distribution</w:t>
    </w:r>
    <w:r w:rsidRPr="00410163">
      <w:rPr>
        <w:rFonts w:cstheme="minorHAnsi"/>
      </w:rPr>
      <w:ptab w:relativeTo="margin" w:alignment="center" w:leader="none"/>
    </w:r>
    <w:r w:rsidRPr="00410163">
      <w:rPr>
        <w:rFonts w:cstheme="minorHAnsi"/>
      </w:rPr>
      <w:ptab w:relativeTo="margin" w:alignment="right" w:leader="none"/>
    </w:r>
    <w:r>
      <w:rPr>
        <w:rFonts w:cstheme="minorHAnsi"/>
      </w:rPr>
      <w:fldChar w:fldCharType="begin"/>
    </w:r>
    <w:r>
      <w:rPr>
        <w:rFonts w:cstheme="minorHAnsi"/>
      </w:rPr>
      <w:instrText xml:space="preserve"> PAGE \* MERGEFORMAT </w:instrText>
    </w:r>
    <w:r>
      <w:rPr>
        <w:rFonts w:cstheme="minorHAnsi"/>
      </w:rPr>
      <w:fldChar w:fldCharType="separate"/>
    </w:r>
    <w:r w:rsidR="001A3E87">
      <w:rPr>
        <w:rFonts w:cstheme="minorHAnsi"/>
        <w:noProof/>
      </w:rPr>
      <w:t>116</w:t>
    </w:r>
    <w:r>
      <w:rPr>
        <w:rFonts w:cstheme="minorHAnsi"/>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Default="00532CB2" w:rsidP="00410163">
    <w:pPr>
      <w:pStyle w:val="Footer"/>
      <w:tabs>
        <w:tab w:val="clear" w:pos="4513"/>
      </w:tabs>
    </w:pPr>
    <w:r>
      <w:tab/>
    </w:r>
    <w:r>
      <w:fldChar w:fldCharType="begin"/>
    </w:r>
    <w:r>
      <w:instrText xml:space="preserve"> PAGE \* MERGEFORMAT </w:instrText>
    </w:r>
    <w:r>
      <w:fldChar w:fldCharType="separate"/>
    </w:r>
    <w:r w:rsidR="001A3E87">
      <w:rPr>
        <w:noProof/>
      </w:rPr>
      <w:t>125</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410163" w:rsidRDefault="00532CB2" w:rsidP="00410163">
    <w:pPr>
      <w:pStyle w:val="Footer"/>
      <w:tabs>
        <w:tab w:val="clear" w:pos="4513"/>
        <w:tab w:val="right" w:pos="8931"/>
      </w:tabs>
      <w:rPr>
        <w:rFonts w:cstheme="minorHAnsi"/>
      </w:rPr>
    </w:pPr>
    <w:r w:rsidRPr="00C20E52">
      <w:rPr>
        <w:rFonts w:cstheme="minorHAnsi"/>
        <w:i/>
      </w:rPr>
      <w:t>Chapter 5 Quality assurance</w:t>
    </w:r>
    <w:r w:rsidRPr="00410163">
      <w:rPr>
        <w:rFonts w:cstheme="minorHAnsi"/>
      </w:rPr>
      <w:ptab w:relativeTo="margin" w:alignment="center" w:leader="none"/>
    </w:r>
    <w:r w:rsidRPr="00410163">
      <w:rPr>
        <w:rFonts w:cstheme="minorHAnsi"/>
      </w:rPr>
      <w:ptab w:relativeTo="margin" w:alignment="right" w:leader="none"/>
    </w:r>
    <w:r>
      <w:rPr>
        <w:rFonts w:cstheme="minorHAnsi"/>
      </w:rPr>
      <w:fldChar w:fldCharType="begin"/>
    </w:r>
    <w:r>
      <w:rPr>
        <w:rFonts w:cstheme="minorHAnsi"/>
      </w:rPr>
      <w:instrText xml:space="preserve"> PAGE \* MERGEFORMAT </w:instrText>
    </w:r>
    <w:r>
      <w:rPr>
        <w:rFonts w:cstheme="minorHAnsi"/>
      </w:rPr>
      <w:fldChar w:fldCharType="separate"/>
    </w:r>
    <w:r w:rsidR="001A3E87">
      <w:rPr>
        <w:rFonts w:cstheme="minorHAnsi"/>
        <w:noProof/>
      </w:rPr>
      <w:t>134</w:t>
    </w:r>
    <w:r>
      <w:rPr>
        <w:rFonts w:cstheme="minorHAns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Default="00532CB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83569"/>
      <w:docPartObj>
        <w:docPartGallery w:val="Page Numbers (Bottom of Page)"/>
        <w:docPartUnique/>
      </w:docPartObj>
    </w:sdtPr>
    <w:sdtEndPr>
      <w:rPr>
        <w:noProof/>
      </w:rPr>
    </w:sdtEndPr>
    <w:sdtContent>
      <w:p w:rsidR="00532CB2" w:rsidRDefault="00532CB2">
        <w:pPr>
          <w:pStyle w:val="Footer"/>
          <w:jc w:val="right"/>
        </w:pPr>
        <w:r>
          <w:fldChar w:fldCharType="begin"/>
        </w:r>
        <w:r>
          <w:instrText xml:space="preserve"> PAGE   \* MERGEFORMAT </w:instrText>
        </w:r>
        <w:r>
          <w:fldChar w:fldCharType="separate"/>
        </w:r>
        <w:r w:rsidR="001A3E87">
          <w:rPr>
            <w:noProof/>
          </w:rPr>
          <w:t>x</w:t>
        </w:r>
        <w:r>
          <w:rPr>
            <w:noProof/>
          </w:rPr>
          <w:fldChar w:fldCharType="end"/>
        </w:r>
      </w:p>
    </w:sdtContent>
  </w:sdt>
  <w:p w:rsidR="00532CB2" w:rsidRDefault="00532CB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76067A" w:rsidRDefault="00532CB2" w:rsidP="00A665A9">
    <w:pPr>
      <w:pStyle w:val="Footer"/>
      <w:tabs>
        <w:tab w:val="left" w:pos="0"/>
        <w:tab w:val="right" w:pos="8931"/>
      </w:tabs>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7E487F" w:rsidRDefault="00532CB2" w:rsidP="00A665A9">
    <w:pPr>
      <w:pStyle w:val="Footer"/>
      <w:tabs>
        <w:tab w:val="right" w:pos="8931"/>
      </w:tabs>
      <w:rPr>
        <w:sz w:val="20"/>
        <w:szCs w:val="20"/>
      </w:rPr>
    </w:pPr>
    <w:r>
      <w:rPr>
        <w:sz w:val="20"/>
        <w:szCs w:val="20"/>
      </w:rPr>
      <w:tab/>
    </w:r>
    <w:r>
      <w:rPr>
        <w:sz w:val="20"/>
        <w:szCs w:val="20"/>
      </w:rPr>
      <w:tab/>
    </w:r>
    <w:r w:rsidRPr="00D55230">
      <w:rPr>
        <w:sz w:val="20"/>
        <w:szCs w:val="20"/>
      </w:rPr>
      <w:fldChar w:fldCharType="begin"/>
    </w:r>
    <w:r w:rsidRPr="00D55230">
      <w:rPr>
        <w:sz w:val="20"/>
        <w:szCs w:val="20"/>
      </w:rPr>
      <w:instrText xml:space="preserve"> PAGE   \* MERGEFORMAT </w:instrText>
    </w:r>
    <w:r w:rsidRPr="00D55230">
      <w:rPr>
        <w:sz w:val="20"/>
        <w:szCs w:val="20"/>
      </w:rPr>
      <w:fldChar w:fldCharType="separate"/>
    </w:r>
    <w:r w:rsidR="001A3E87">
      <w:rPr>
        <w:noProof/>
        <w:sz w:val="20"/>
        <w:szCs w:val="20"/>
      </w:rPr>
      <w:t>v</w:t>
    </w:r>
    <w:r w:rsidRPr="00D55230">
      <w:rPr>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11178C" w:rsidRDefault="00532CB2" w:rsidP="00A665A9">
    <w:pPr>
      <w:pStyle w:val="Footer"/>
      <w:jc w:val="right"/>
    </w:pPr>
    <w:r>
      <w:tab/>
    </w:r>
    <w:r>
      <w:tab/>
    </w:r>
    <w:proofErr w:type="gramStart"/>
    <w:r>
      <w:t>xii</w:t>
    </w:r>
    <w:proofErr w:type="gramEnd"/>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Pr="007E487F" w:rsidRDefault="00532CB2" w:rsidP="00A665A9">
    <w:pPr>
      <w:pStyle w:val="Footer"/>
      <w:tabs>
        <w:tab w:val="right" w:pos="8931"/>
      </w:tabs>
      <w:jc w:val="right"/>
      <w:rPr>
        <w:sz w:val="20"/>
        <w:szCs w:val="20"/>
      </w:rPr>
    </w:pPr>
    <w:r>
      <w:rPr>
        <w:sz w:val="20"/>
        <w:szCs w:val="20"/>
      </w:rPr>
      <w:tab/>
    </w:r>
    <w:r>
      <w:fldChar w:fldCharType="begin"/>
    </w:r>
    <w:r>
      <w:instrText xml:space="preserve"> PAGE   \* MERGEFORMAT </w:instrText>
    </w:r>
    <w:r>
      <w:fldChar w:fldCharType="separate"/>
    </w:r>
    <w:r w:rsidR="001A3E87">
      <w:rPr>
        <w:noProof/>
      </w:rPr>
      <w:t>xi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CB2" w:rsidRDefault="00532CB2" w:rsidP="00410163">
      <w:pPr>
        <w:spacing w:after="0" w:line="240" w:lineRule="auto"/>
      </w:pPr>
      <w:r>
        <w:separator/>
      </w:r>
    </w:p>
  </w:footnote>
  <w:footnote w:type="continuationSeparator" w:id="0">
    <w:p w:rsidR="00532CB2" w:rsidRDefault="00532CB2" w:rsidP="00410163">
      <w:pPr>
        <w:spacing w:after="0" w:line="240" w:lineRule="auto"/>
      </w:pPr>
      <w:r>
        <w:continuationSeparator/>
      </w:r>
    </w:p>
  </w:footnote>
  <w:footnote w:id="1">
    <w:p w:rsidR="00532CB2" w:rsidRDefault="00532CB2" w:rsidP="00A004DA">
      <w:pPr>
        <w:pStyle w:val="FootnoteText"/>
      </w:pPr>
      <w:r>
        <w:rPr>
          <w:rStyle w:val="FootnoteReference"/>
        </w:rPr>
        <w:footnoteRef/>
      </w:r>
      <w:r>
        <w:t xml:space="preserve"> </w:t>
      </w:r>
      <w:r>
        <w:tab/>
        <w:t xml:space="preserve">The Australian Government, </w:t>
      </w:r>
      <w:r w:rsidRPr="001C7FD9">
        <w:rPr>
          <w:i/>
        </w:rPr>
        <w:t>GST Distribution Review, Final Report</w:t>
      </w:r>
      <w:r>
        <w:t>, October 2012.</w:t>
      </w:r>
    </w:p>
  </w:footnote>
  <w:footnote w:id="2">
    <w:p w:rsidR="00532CB2" w:rsidRDefault="00532CB2" w:rsidP="00A004DA">
      <w:pPr>
        <w:pStyle w:val="FootnoteText"/>
      </w:pPr>
      <w:r>
        <w:rPr>
          <w:rStyle w:val="FootnoteReference"/>
        </w:rPr>
        <w:footnoteRef/>
      </w:r>
      <w:r>
        <w:t xml:space="preserve"> </w:t>
      </w:r>
      <w:r>
        <w:tab/>
        <w:t>Further changes will also occur when the National Disability Insurance Scheme enters its transition phase, probably in the 2016 Update, as discussed in Chapter 2 – Main issues.</w:t>
      </w:r>
    </w:p>
  </w:footnote>
  <w:footnote w:id="3">
    <w:p w:rsidR="00532CB2" w:rsidRDefault="00532CB2">
      <w:pPr>
        <w:pStyle w:val="FootnoteText"/>
      </w:pPr>
      <w:r>
        <w:rPr>
          <w:rStyle w:val="FootnoteReference"/>
        </w:rPr>
        <w:footnoteRef/>
      </w:r>
      <w:r>
        <w:t xml:space="preserve"> </w:t>
      </w:r>
      <w:r>
        <w:tab/>
        <w:t>For more information on materiality thresholds see Volume 2, Chapter 1 – Implementing equalisation.</w:t>
      </w:r>
    </w:p>
  </w:footnote>
  <w:footnote w:id="4">
    <w:p w:rsidR="00532CB2" w:rsidRDefault="00532CB2" w:rsidP="00A665A9">
      <w:pPr>
        <w:pStyle w:val="FootnoteText"/>
      </w:pPr>
      <w:r>
        <w:rPr>
          <w:rStyle w:val="FootnoteReference"/>
        </w:rPr>
        <w:footnoteRef/>
      </w:r>
      <w:r>
        <w:t xml:space="preserve"> </w:t>
      </w:r>
      <w:r>
        <w:tab/>
        <w:t>From January 2014, National Education Reform funding is referred to as Students First funding. We continue to refer to the payments as NERA funding since this is the terminology used in the terms of reference.</w:t>
      </w:r>
    </w:p>
  </w:footnote>
  <w:footnote w:id="5">
    <w:p w:rsidR="00532CB2" w:rsidRDefault="00532CB2" w:rsidP="00A665A9">
      <w:pPr>
        <w:pStyle w:val="FootnoteText"/>
      </w:pPr>
      <w:r>
        <w:rPr>
          <w:rStyle w:val="FootnoteReference"/>
        </w:rPr>
        <w:footnoteRef/>
      </w:r>
      <w:r>
        <w:t xml:space="preserve"> </w:t>
      </w:r>
      <w:r>
        <w:tab/>
        <w:t>The question of whether this should be the assessment year or the year in which the relativities will apply (</w:t>
      </w:r>
      <w:proofErr w:type="spellStart"/>
      <w:r>
        <w:t>backcasting</w:t>
      </w:r>
      <w:proofErr w:type="spellEnd"/>
      <w:r>
        <w:t>) is discussed below.</w:t>
      </w:r>
    </w:p>
  </w:footnote>
  <w:footnote w:id="6">
    <w:p w:rsidR="00532CB2" w:rsidRDefault="00532CB2" w:rsidP="00E56F29">
      <w:pPr>
        <w:pStyle w:val="FootnoteText"/>
      </w:pPr>
      <w:r>
        <w:rPr>
          <w:rStyle w:val="FootnoteReference"/>
        </w:rPr>
        <w:footnoteRef/>
      </w:r>
      <w:r>
        <w:t xml:space="preserve"> </w:t>
      </w:r>
      <w:r>
        <w:tab/>
        <w:t>Most of the national rail network is owned or leased by the Australian Rail Track Corporation, which is a Commonwealth-owned company, but there are exceptions, such as the Sydney-Newcastle track and some track in Western Australia and Tasmania.</w:t>
      </w:r>
    </w:p>
  </w:footnote>
  <w:footnote w:id="7">
    <w:p w:rsidR="00532CB2" w:rsidRDefault="00532CB2" w:rsidP="00A665A9">
      <w:pPr>
        <w:pStyle w:val="FootnoteText"/>
      </w:pPr>
      <w:r>
        <w:rPr>
          <w:rStyle w:val="FootnoteReference"/>
        </w:rPr>
        <w:footnoteRef/>
      </w:r>
      <w:r>
        <w:t xml:space="preserve"> </w:t>
      </w:r>
      <w:r>
        <w:tab/>
        <w:t xml:space="preserve">IRSEO was developed by the Centre for Aboriginal Economic and Population Research (CAEPR). It is based on the same technique as SEIFA, but uses a reduced suite of variables and is calculated for Indigenous areas, rather than the much finer geography available for SEIFA. </w:t>
      </w:r>
    </w:p>
  </w:footnote>
  <w:footnote w:id="8">
    <w:p w:rsidR="00532CB2" w:rsidRDefault="00532CB2" w:rsidP="00A665A9">
      <w:pPr>
        <w:pStyle w:val="FootnoteText"/>
      </w:pPr>
      <w:r>
        <w:rPr>
          <w:rStyle w:val="FootnoteReference"/>
        </w:rPr>
        <w:footnoteRef/>
      </w:r>
      <w:r>
        <w:t xml:space="preserve"> </w:t>
      </w:r>
      <w:r>
        <w:tab/>
        <w:t>To complement IRSEO, we commissioned the ABS to produce a version of SEIFA using only the non</w:t>
      </w:r>
      <w:r>
        <w:noBreakHyphen/>
        <w:t>Indigenous population. NISEIFA uses the same variables as the SEIFA Index of Relative Socio</w:t>
      </w:r>
      <w:r>
        <w:noBreakHyphen/>
        <w:t>Economic Disadvantage, but is recalculated for the non-Indigenous population.</w:t>
      </w:r>
    </w:p>
  </w:footnote>
  <w:footnote w:id="9">
    <w:p w:rsidR="00532CB2" w:rsidRDefault="00532CB2" w:rsidP="00AD6F27">
      <w:pPr>
        <w:pStyle w:val="FootnoteText"/>
      </w:pPr>
      <w:r>
        <w:rPr>
          <w:rStyle w:val="FootnoteReference"/>
        </w:rPr>
        <w:footnoteRef/>
      </w:r>
      <w:r>
        <w:t xml:space="preserve"> </w:t>
      </w:r>
      <w:r>
        <w:tab/>
        <w:t xml:space="preserve">Australian iron ore exports are forecast to increase from 678Mt in 2013-14 to 847Mt in 2015-16. Bureau of Resources and Energy Economics, </w:t>
      </w:r>
      <w:r w:rsidRPr="004F0754">
        <w:rPr>
          <w:i/>
        </w:rPr>
        <w:t>Resources and Energy Quarterly</w:t>
      </w:r>
      <w:r>
        <w:t xml:space="preserve">, </w:t>
      </w:r>
      <w:r w:rsidRPr="001B53BF">
        <w:t>September 2014.</w:t>
      </w:r>
    </w:p>
  </w:footnote>
  <w:footnote w:id="10">
    <w:p w:rsidR="00532CB2" w:rsidRDefault="00532CB2">
      <w:pPr>
        <w:pStyle w:val="FootnoteText"/>
      </w:pPr>
      <w:r>
        <w:rPr>
          <w:rStyle w:val="FootnoteReference"/>
        </w:rPr>
        <w:footnoteRef/>
      </w:r>
      <w:r>
        <w:t xml:space="preserve"> </w:t>
      </w:r>
      <w:r>
        <w:tab/>
      </w:r>
      <w:proofErr w:type="gramStart"/>
      <w:r>
        <w:t>Based on the Commission’s mineral by mineral assessment of mining royalties.</w:t>
      </w:r>
      <w:proofErr w:type="gramEnd"/>
    </w:p>
  </w:footnote>
  <w:footnote w:id="11">
    <w:p w:rsidR="00532CB2" w:rsidRDefault="00532CB2" w:rsidP="00A665A9">
      <w:pPr>
        <w:pStyle w:val="FootnoteText"/>
      </w:pPr>
      <w:r>
        <w:rPr>
          <w:rStyle w:val="FootnoteReference"/>
        </w:rPr>
        <w:footnoteRef/>
      </w:r>
      <w:r>
        <w:t xml:space="preserve"> </w:t>
      </w:r>
      <w:r>
        <w:tab/>
        <w:t xml:space="preserve">Western Australia, </w:t>
      </w:r>
      <w:r w:rsidRPr="008674DF">
        <w:rPr>
          <w:i/>
        </w:rPr>
        <w:t>Mid-Year Financial Projections Statement</w:t>
      </w:r>
      <w:r>
        <w:t>, December 2014.</w:t>
      </w:r>
    </w:p>
  </w:footnote>
  <w:footnote w:id="12">
    <w:p w:rsidR="00532CB2" w:rsidRDefault="00532CB2" w:rsidP="00037390">
      <w:pPr>
        <w:pStyle w:val="FootnoteText"/>
      </w:pPr>
      <w:r w:rsidRPr="00B90EFD">
        <w:rPr>
          <w:rStyle w:val="FootnoteReference"/>
          <w:sz w:val="24"/>
          <w:szCs w:val="24"/>
        </w:rPr>
        <w:footnoteRef/>
      </w:r>
      <w:r>
        <w:t xml:space="preserve"> </w:t>
      </w:r>
      <w:r>
        <w:tab/>
        <w:t>References to changes over time generally reflect the change over the assessment years, from 2010</w:t>
      </w:r>
      <w:r>
        <w:noBreakHyphen/>
        <w:t>11 to 2013</w:t>
      </w:r>
      <w:r>
        <w:noBreakHyphen/>
        <w:t>14. They are not intended to imply current or prospective movements.</w:t>
      </w:r>
    </w:p>
  </w:footnote>
  <w:footnote w:id="13">
    <w:p w:rsidR="00532CB2" w:rsidRDefault="00532CB2" w:rsidP="00037390">
      <w:pPr>
        <w:pStyle w:val="FootnoteText"/>
      </w:pPr>
      <w:r>
        <w:rPr>
          <w:rStyle w:val="FootnoteReference"/>
        </w:rPr>
        <w:footnoteRef/>
      </w:r>
      <w:r>
        <w:t xml:space="preserve"> </w:t>
      </w:r>
      <w:r>
        <w:tab/>
        <w:t xml:space="preserve">The Commission usually does not make changes in methods between reviews. Minor changes since the 2010 Review have been discussed in past update reports and are not addressed here. </w:t>
      </w:r>
    </w:p>
  </w:footnote>
  <w:footnote w:id="14">
    <w:p w:rsidR="00532CB2" w:rsidRDefault="00532CB2" w:rsidP="00037390">
      <w:pPr>
        <w:pStyle w:val="FootnoteText"/>
      </w:pPr>
      <w:r>
        <w:rPr>
          <w:rStyle w:val="FootnoteReference"/>
        </w:rPr>
        <w:footnoteRef/>
      </w:r>
      <w:r>
        <w:t xml:space="preserve"> </w:t>
      </w:r>
      <w:r>
        <w:tab/>
        <w:t>Further changes will also occur when the National Disability Insurance Scheme enters its transition phase, probably in the 2016 Update.</w:t>
      </w:r>
    </w:p>
  </w:footnote>
  <w:footnote w:id="15">
    <w:p w:rsidR="00532CB2" w:rsidRDefault="00532CB2" w:rsidP="00A665A9">
      <w:pPr>
        <w:pStyle w:val="FootnoteText"/>
      </w:pPr>
      <w:r>
        <w:rPr>
          <w:rStyle w:val="FootnoteReference"/>
        </w:rPr>
        <w:footnoteRef/>
      </w:r>
      <w:r>
        <w:t xml:space="preserve"> </w:t>
      </w:r>
      <w:r>
        <w:tab/>
        <w:t>Some sub-groups, especially the administrative scale sub-group, continued their work and consultation until an assessment approach for the relevant area became more settled.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Default="00532C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Default="00532C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Default="00532C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Default="00532CB2" w:rsidP="00A665A9">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B2" w:rsidRDefault="00532C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679"/>
    <w:multiLevelType w:val="multilevel"/>
    <w:tmpl w:val="87ECD5DE"/>
    <w:lvl w:ilvl="0">
      <w:start w:val="1"/>
      <w:numFmt w:val="lowerRoman"/>
      <w:lvlText w:val="(%1)"/>
      <w:lvlJc w:val="right"/>
      <w:pPr>
        <w:tabs>
          <w:tab w:val="num" w:pos="1701"/>
        </w:tabs>
        <w:ind w:left="1701" w:hanging="45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53D7BB4"/>
    <w:multiLevelType w:val="multilevel"/>
    <w:tmpl w:val="410E2C24"/>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16C95DEC"/>
    <w:multiLevelType w:val="multilevel"/>
    <w:tmpl w:val="09E854DC"/>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9661824"/>
    <w:multiLevelType w:val="hybridMultilevel"/>
    <w:tmpl w:val="ED6AA8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1C66C66"/>
    <w:multiLevelType w:val="multilevel"/>
    <w:tmpl w:val="5B74CF8C"/>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6">
    <w:nsid w:val="2D665DFA"/>
    <w:multiLevelType w:val="singleLevel"/>
    <w:tmpl w:val="EFA66126"/>
    <w:lvl w:ilvl="0">
      <w:start w:val="1"/>
      <w:numFmt w:val="lowerLetter"/>
      <w:lvlRestart w:val="0"/>
      <w:pStyle w:val="AlphaParagraph"/>
      <w:lvlText w:val="(%1)"/>
      <w:lvlJc w:val="left"/>
      <w:pPr>
        <w:tabs>
          <w:tab w:val="num" w:pos="1134"/>
        </w:tabs>
        <w:ind w:left="1134" w:hanging="567"/>
      </w:pPr>
      <w:rPr>
        <w:rFonts w:ascii="Corbel" w:hAnsi="Corbel" w:cs="Times New Roman" w:hint="default"/>
        <w:b w:val="0"/>
        <w:i w:val="0"/>
        <w:sz w:val="21"/>
      </w:rPr>
    </w:lvl>
  </w:abstractNum>
  <w:abstractNum w:abstractNumId="7">
    <w:nsid w:val="317A6023"/>
    <w:multiLevelType w:val="hybridMultilevel"/>
    <w:tmpl w:val="1262912E"/>
    <w:lvl w:ilvl="0" w:tplc="9B9083DC">
      <w:start w:val="1"/>
      <w:numFmt w:val="lowerRoman"/>
      <w:pStyle w:val="CGCNumeralList"/>
      <w:lvlText w:val="%1"/>
      <w:lvlJc w:val="left"/>
      <w:pPr>
        <w:ind w:left="206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9CB5609"/>
    <w:multiLevelType w:val="hybridMultilevel"/>
    <w:tmpl w:val="24484DBE"/>
    <w:lvl w:ilvl="0" w:tplc="A1CEF810">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A62027F"/>
    <w:multiLevelType w:val="multilevel"/>
    <w:tmpl w:val="F89E4650"/>
    <w:lvl w:ilvl="0">
      <w:start w:val="4"/>
      <w:numFmt w:val="upperLetter"/>
      <w:pStyle w:val="ScheduleNumberedPara"/>
      <w:lvlText w:val="%1"/>
      <w:lvlJc w:val="left"/>
      <w:pPr>
        <w:tabs>
          <w:tab w:val="num" w:pos="0"/>
        </w:tabs>
        <w:ind w:hanging="567"/>
      </w:pPr>
      <w:rPr>
        <w:rFonts w:cs="Times New Roman" w:hint="default"/>
      </w:rPr>
    </w:lvl>
    <w:lvl w:ilvl="1">
      <w:start w:val="1"/>
      <w:numFmt w:val="decimal"/>
      <w:pStyle w:val="ScheduleNumberedPara"/>
      <w:lvlText w:val="%1%2"/>
      <w:lvlJc w:val="left"/>
      <w:pPr>
        <w:tabs>
          <w:tab w:val="num" w:pos="567"/>
        </w:tabs>
        <w:ind w:left="567" w:hanging="567"/>
      </w:pPr>
      <w:rPr>
        <w:rFonts w:cs="Times New Roman" w:hint="default"/>
        <w:i w:val="0"/>
      </w:rPr>
    </w:lvl>
    <w:lvl w:ilvl="2">
      <w:start w:val="1"/>
      <w:numFmt w:val="lowerRoman"/>
      <w:lvlText w:val="%3."/>
      <w:lvlJc w:val="right"/>
      <w:pPr>
        <w:tabs>
          <w:tab w:val="num" w:pos="1593"/>
        </w:tabs>
        <w:ind w:left="1593" w:hanging="180"/>
      </w:pPr>
      <w:rPr>
        <w:rFonts w:cs="Times New Roman" w:hint="default"/>
      </w:rPr>
    </w:lvl>
    <w:lvl w:ilvl="3">
      <w:start w:val="1"/>
      <w:numFmt w:val="decimal"/>
      <w:lvlText w:val="%4."/>
      <w:lvlJc w:val="left"/>
      <w:pPr>
        <w:tabs>
          <w:tab w:val="num" w:pos="2313"/>
        </w:tabs>
        <w:ind w:left="2313" w:hanging="360"/>
      </w:pPr>
      <w:rPr>
        <w:rFonts w:cs="Times New Roman"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10">
    <w:nsid w:val="3B031AC9"/>
    <w:multiLevelType w:val="hybridMultilevel"/>
    <w:tmpl w:val="85F0C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D0A6680"/>
    <w:multiLevelType w:val="multilevel"/>
    <w:tmpl w:val="646E338E"/>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FE32354"/>
    <w:multiLevelType w:val="hybridMultilevel"/>
    <w:tmpl w:val="7D6053A6"/>
    <w:lvl w:ilvl="0" w:tplc="5FE44A6C">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CDF4199"/>
    <w:multiLevelType w:val="hybridMultilevel"/>
    <w:tmpl w:val="99062688"/>
    <w:lvl w:ilvl="0" w:tplc="F3F48994">
      <w:start w:val="1"/>
      <w:numFmt w:val="bullet"/>
      <w:pStyle w:val="CGCQuotationBullet"/>
      <w:lvlText w:val=""/>
      <w:lvlJc w:val="left"/>
      <w:pPr>
        <w:tabs>
          <w:tab w:val="num" w:pos="1701"/>
        </w:tabs>
        <w:ind w:left="170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509D5F3B"/>
    <w:multiLevelType w:val="hybridMultilevel"/>
    <w:tmpl w:val="F148DDF6"/>
    <w:lvl w:ilvl="0" w:tplc="02C4937E">
      <w:start w:val="1"/>
      <w:numFmt w:val="lowerLetter"/>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5">
    <w:nsid w:val="5D124923"/>
    <w:multiLevelType w:val="multilevel"/>
    <w:tmpl w:val="DA6AC07E"/>
    <w:lvl w:ilvl="0">
      <w:start w:val="1"/>
      <w:numFmt w:val="bullet"/>
      <w:lvlText w:val=""/>
      <w:lvlJc w:val="left"/>
      <w:pPr>
        <w:tabs>
          <w:tab w:val="num" w:pos="1627"/>
        </w:tabs>
        <w:ind w:left="1627"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5E4F4A26"/>
    <w:multiLevelType w:val="hybridMultilevel"/>
    <w:tmpl w:val="B258567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F120A6F"/>
    <w:multiLevelType w:val="multilevel"/>
    <w:tmpl w:val="EC6A24FE"/>
    <w:lvl w:ilvl="0">
      <w:start w:val="1"/>
      <w:numFmt w:val="bullet"/>
      <w:lvlText w:val=""/>
      <w:lvlJc w:val="left"/>
      <w:pPr>
        <w:tabs>
          <w:tab w:val="num" w:pos="927"/>
        </w:tabs>
        <w:ind w:left="113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0FE42A7"/>
    <w:multiLevelType w:val="hybridMultilevel"/>
    <w:tmpl w:val="E4B8FB9A"/>
    <w:lvl w:ilvl="0" w:tplc="18EA3C6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9552687"/>
    <w:multiLevelType w:val="multilevel"/>
    <w:tmpl w:val="76E0CFF8"/>
    <w:lvl w:ilvl="0">
      <w:start w:val="1"/>
      <w:numFmt w:val="bullet"/>
      <w:lvlText w:val=""/>
      <w:lvlJc w:val="left"/>
      <w:pPr>
        <w:tabs>
          <w:tab w:val="num" w:pos="1503"/>
        </w:tabs>
        <w:ind w:left="171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6D517EA6"/>
    <w:multiLevelType w:val="multilevel"/>
    <w:tmpl w:val="B71C65A6"/>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21">
    <w:nsid w:val="70490156"/>
    <w:multiLevelType w:val="hybridMultilevel"/>
    <w:tmpl w:val="03BC8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7D62F87"/>
    <w:multiLevelType w:val="hybridMultilevel"/>
    <w:tmpl w:val="D25CA2F6"/>
    <w:lvl w:ilvl="0" w:tplc="5F501E4E">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7C871628"/>
    <w:multiLevelType w:val="hybridMultilevel"/>
    <w:tmpl w:val="707EF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2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
  </w:num>
  <w:num w:numId="7">
    <w:abstractNumId w:val="7"/>
  </w:num>
  <w:num w:numId="8">
    <w:abstractNumId w:val="22"/>
  </w:num>
  <w:num w:numId="9">
    <w:abstractNumId w:val="13"/>
  </w:num>
  <w:num w:numId="10">
    <w:abstractNumId w:val="5"/>
  </w:num>
  <w:num w:numId="11">
    <w:abstractNumId w:val="3"/>
  </w:num>
  <w:num w:numId="12">
    <w:abstractNumId w:val="21"/>
  </w:num>
  <w:num w:numId="13">
    <w:abstractNumId w:val="10"/>
  </w:num>
  <w:num w:numId="14">
    <w:abstractNumId w:val="23"/>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6"/>
    <w:lvlOverride w:ilvl="0">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
    <w:lvlOverride w:ilvl="0">
      <w:startOverride w:val="1"/>
    </w:lvlOverride>
    <w:lvlOverride w:ilvl="1">
      <w:startOverride w:val="8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5"/>
  </w:num>
  <w:num w:numId="25">
    <w:abstractNumId w:val="2"/>
  </w:num>
  <w:num w:numId="26">
    <w:abstractNumId w:val="11"/>
  </w:num>
  <w:num w:numId="27">
    <w:abstractNumId w:val="19"/>
  </w:num>
  <w:num w:numId="28">
    <w:abstractNumId w:val="4"/>
  </w:num>
  <w:num w:numId="29">
    <w:abstractNumId w:val="17"/>
  </w:num>
  <w:num w:numId="30">
    <w:abstractNumId w:val="12"/>
  </w:num>
  <w:num w:numId="31">
    <w:abstractNumId w:val="18"/>
  </w:num>
  <w:num w:numId="32">
    <w:abstractNumId w:val="8"/>
  </w:num>
  <w:num w:numId="33">
    <w:abstractNumId w:val="7"/>
    <w:lvlOverride w:ilvl="0">
      <w:startOverride w:val="1"/>
    </w:lvlOverride>
  </w:num>
  <w:num w:numId="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characterSpacingControl w:val="doNotCompress"/>
  <w:hdrShapeDefaults>
    <o:shapedefaults v:ext="edit" spidmax="161793"/>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0C7"/>
    <w:rsid w:val="00001731"/>
    <w:rsid w:val="00006A5C"/>
    <w:rsid w:val="00007FF0"/>
    <w:rsid w:val="0001060B"/>
    <w:rsid w:val="00012331"/>
    <w:rsid w:val="00032E3E"/>
    <w:rsid w:val="000336A3"/>
    <w:rsid w:val="000362E0"/>
    <w:rsid w:val="00037390"/>
    <w:rsid w:val="000377E0"/>
    <w:rsid w:val="000409D6"/>
    <w:rsid w:val="0004298C"/>
    <w:rsid w:val="0004485D"/>
    <w:rsid w:val="000468B3"/>
    <w:rsid w:val="000522B5"/>
    <w:rsid w:val="00056A51"/>
    <w:rsid w:val="0006306B"/>
    <w:rsid w:val="00065F4A"/>
    <w:rsid w:val="00066C61"/>
    <w:rsid w:val="000A67E5"/>
    <w:rsid w:val="000C3A64"/>
    <w:rsid w:val="000D143E"/>
    <w:rsid w:val="000F6176"/>
    <w:rsid w:val="000F7939"/>
    <w:rsid w:val="00103224"/>
    <w:rsid w:val="00104DF9"/>
    <w:rsid w:val="00105245"/>
    <w:rsid w:val="00114E28"/>
    <w:rsid w:val="001164DA"/>
    <w:rsid w:val="00117151"/>
    <w:rsid w:val="00123D07"/>
    <w:rsid w:val="00140DC7"/>
    <w:rsid w:val="00141C57"/>
    <w:rsid w:val="0014434E"/>
    <w:rsid w:val="00144676"/>
    <w:rsid w:val="00181DF3"/>
    <w:rsid w:val="00181E16"/>
    <w:rsid w:val="00183001"/>
    <w:rsid w:val="00184258"/>
    <w:rsid w:val="001862DC"/>
    <w:rsid w:val="00186756"/>
    <w:rsid w:val="00195B81"/>
    <w:rsid w:val="001A0DA7"/>
    <w:rsid w:val="001A3E87"/>
    <w:rsid w:val="001B324F"/>
    <w:rsid w:val="001B53BF"/>
    <w:rsid w:val="001E023E"/>
    <w:rsid w:val="001E4199"/>
    <w:rsid w:val="001E778C"/>
    <w:rsid w:val="001E7B72"/>
    <w:rsid w:val="00210430"/>
    <w:rsid w:val="0022016F"/>
    <w:rsid w:val="002243E1"/>
    <w:rsid w:val="002351F8"/>
    <w:rsid w:val="00236E06"/>
    <w:rsid w:val="00243D07"/>
    <w:rsid w:val="0026210E"/>
    <w:rsid w:val="00266164"/>
    <w:rsid w:val="00267A1A"/>
    <w:rsid w:val="00270C98"/>
    <w:rsid w:val="002714E2"/>
    <w:rsid w:val="00274E04"/>
    <w:rsid w:val="00297D6E"/>
    <w:rsid w:val="002A3388"/>
    <w:rsid w:val="002B182D"/>
    <w:rsid w:val="002B4BC8"/>
    <w:rsid w:val="002B764E"/>
    <w:rsid w:val="002C0D6C"/>
    <w:rsid w:val="002C4E50"/>
    <w:rsid w:val="002E105B"/>
    <w:rsid w:val="002F4D40"/>
    <w:rsid w:val="002F7724"/>
    <w:rsid w:val="0030018C"/>
    <w:rsid w:val="00301C32"/>
    <w:rsid w:val="0030325C"/>
    <w:rsid w:val="00311385"/>
    <w:rsid w:val="00333D58"/>
    <w:rsid w:val="003426A9"/>
    <w:rsid w:val="003639B9"/>
    <w:rsid w:val="00367E33"/>
    <w:rsid w:val="00376E11"/>
    <w:rsid w:val="00376F63"/>
    <w:rsid w:val="00386CA7"/>
    <w:rsid w:val="00394A50"/>
    <w:rsid w:val="00395419"/>
    <w:rsid w:val="00397F91"/>
    <w:rsid w:val="003A0FB9"/>
    <w:rsid w:val="003A5DEE"/>
    <w:rsid w:val="003B5EE5"/>
    <w:rsid w:val="003C0A59"/>
    <w:rsid w:val="003C35F5"/>
    <w:rsid w:val="003C5D2D"/>
    <w:rsid w:val="003C7660"/>
    <w:rsid w:val="003D4B37"/>
    <w:rsid w:val="003E088B"/>
    <w:rsid w:val="003E0C86"/>
    <w:rsid w:val="003E760D"/>
    <w:rsid w:val="003F3FED"/>
    <w:rsid w:val="003F5C8C"/>
    <w:rsid w:val="003F6FF5"/>
    <w:rsid w:val="00401FF0"/>
    <w:rsid w:val="0040491E"/>
    <w:rsid w:val="0040562E"/>
    <w:rsid w:val="00410163"/>
    <w:rsid w:val="00416805"/>
    <w:rsid w:val="00422982"/>
    <w:rsid w:val="004322AC"/>
    <w:rsid w:val="00434502"/>
    <w:rsid w:val="00437B53"/>
    <w:rsid w:val="00443F6C"/>
    <w:rsid w:val="00444BCA"/>
    <w:rsid w:val="00445172"/>
    <w:rsid w:val="004538F1"/>
    <w:rsid w:val="0045507C"/>
    <w:rsid w:val="0045613A"/>
    <w:rsid w:val="00464E43"/>
    <w:rsid w:val="004656E8"/>
    <w:rsid w:val="0046787D"/>
    <w:rsid w:val="004733A5"/>
    <w:rsid w:val="00484FBC"/>
    <w:rsid w:val="00490ECA"/>
    <w:rsid w:val="004A42F3"/>
    <w:rsid w:val="004A661E"/>
    <w:rsid w:val="004B6F2B"/>
    <w:rsid w:val="004C254D"/>
    <w:rsid w:val="004D0B41"/>
    <w:rsid w:val="004D2A14"/>
    <w:rsid w:val="004D3AB3"/>
    <w:rsid w:val="004E13C2"/>
    <w:rsid w:val="004F6F21"/>
    <w:rsid w:val="0050191D"/>
    <w:rsid w:val="00512424"/>
    <w:rsid w:val="00512C22"/>
    <w:rsid w:val="005206FE"/>
    <w:rsid w:val="00525780"/>
    <w:rsid w:val="00526FCD"/>
    <w:rsid w:val="005310C4"/>
    <w:rsid w:val="00532472"/>
    <w:rsid w:val="00532CB2"/>
    <w:rsid w:val="005558EE"/>
    <w:rsid w:val="00566B6E"/>
    <w:rsid w:val="0057649C"/>
    <w:rsid w:val="005865ED"/>
    <w:rsid w:val="00592B19"/>
    <w:rsid w:val="00597C19"/>
    <w:rsid w:val="005A14E2"/>
    <w:rsid w:val="005A5DDF"/>
    <w:rsid w:val="005A721F"/>
    <w:rsid w:val="005B4DC0"/>
    <w:rsid w:val="005C3BA1"/>
    <w:rsid w:val="005C6E64"/>
    <w:rsid w:val="005D0922"/>
    <w:rsid w:val="005E1335"/>
    <w:rsid w:val="005E3508"/>
    <w:rsid w:val="00602CD6"/>
    <w:rsid w:val="006123ED"/>
    <w:rsid w:val="00612590"/>
    <w:rsid w:val="00624685"/>
    <w:rsid w:val="006315BC"/>
    <w:rsid w:val="00632BC8"/>
    <w:rsid w:val="0063759A"/>
    <w:rsid w:val="00641B04"/>
    <w:rsid w:val="0064206A"/>
    <w:rsid w:val="006420C7"/>
    <w:rsid w:val="00645E79"/>
    <w:rsid w:val="00646D3F"/>
    <w:rsid w:val="0066009F"/>
    <w:rsid w:val="0068327F"/>
    <w:rsid w:val="006836D8"/>
    <w:rsid w:val="006A689C"/>
    <w:rsid w:val="006B0E1F"/>
    <w:rsid w:val="006B46D2"/>
    <w:rsid w:val="006C1F79"/>
    <w:rsid w:val="006C483A"/>
    <w:rsid w:val="006C65C2"/>
    <w:rsid w:val="006E155D"/>
    <w:rsid w:val="006E2535"/>
    <w:rsid w:val="006F2FE8"/>
    <w:rsid w:val="006F5B84"/>
    <w:rsid w:val="007070D5"/>
    <w:rsid w:val="00710A71"/>
    <w:rsid w:val="00716C5E"/>
    <w:rsid w:val="0071774A"/>
    <w:rsid w:val="0072395F"/>
    <w:rsid w:val="00724311"/>
    <w:rsid w:val="007250C2"/>
    <w:rsid w:val="0072685E"/>
    <w:rsid w:val="007302F0"/>
    <w:rsid w:val="007342C2"/>
    <w:rsid w:val="007348D1"/>
    <w:rsid w:val="00756823"/>
    <w:rsid w:val="007571FC"/>
    <w:rsid w:val="00760E36"/>
    <w:rsid w:val="00763F51"/>
    <w:rsid w:val="007710CD"/>
    <w:rsid w:val="00772623"/>
    <w:rsid w:val="00781175"/>
    <w:rsid w:val="007816B6"/>
    <w:rsid w:val="00783217"/>
    <w:rsid w:val="0078489C"/>
    <w:rsid w:val="007917EA"/>
    <w:rsid w:val="007A1957"/>
    <w:rsid w:val="007A30DC"/>
    <w:rsid w:val="007C0043"/>
    <w:rsid w:val="007C0B92"/>
    <w:rsid w:val="007C19B8"/>
    <w:rsid w:val="007C3093"/>
    <w:rsid w:val="007C640F"/>
    <w:rsid w:val="007D562D"/>
    <w:rsid w:val="007D5DA3"/>
    <w:rsid w:val="007E18BF"/>
    <w:rsid w:val="007F701B"/>
    <w:rsid w:val="00800B11"/>
    <w:rsid w:val="008030E8"/>
    <w:rsid w:val="00807CAA"/>
    <w:rsid w:val="00810D6F"/>
    <w:rsid w:val="00815584"/>
    <w:rsid w:val="0081714D"/>
    <w:rsid w:val="008178AD"/>
    <w:rsid w:val="0082460F"/>
    <w:rsid w:val="008246D0"/>
    <w:rsid w:val="008256D5"/>
    <w:rsid w:val="008329D8"/>
    <w:rsid w:val="00832E48"/>
    <w:rsid w:val="008338F0"/>
    <w:rsid w:val="00844C2D"/>
    <w:rsid w:val="008662DE"/>
    <w:rsid w:val="00870C0E"/>
    <w:rsid w:val="00872071"/>
    <w:rsid w:val="00872FF0"/>
    <w:rsid w:val="00880D3E"/>
    <w:rsid w:val="008815AD"/>
    <w:rsid w:val="00891E6C"/>
    <w:rsid w:val="008A04BC"/>
    <w:rsid w:val="008B31B2"/>
    <w:rsid w:val="008B5FE3"/>
    <w:rsid w:val="008B69AE"/>
    <w:rsid w:val="008B7CD6"/>
    <w:rsid w:val="008C01A9"/>
    <w:rsid w:val="008C5AA6"/>
    <w:rsid w:val="008C67F5"/>
    <w:rsid w:val="008D1877"/>
    <w:rsid w:val="008D793B"/>
    <w:rsid w:val="008E10E8"/>
    <w:rsid w:val="008E495D"/>
    <w:rsid w:val="008F30EF"/>
    <w:rsid w:val="00921F5E"/>
    <w:rsid w:val="00922480"/>
    <w:rsid w:val="009272F8"/>
    <w:rsid w:val="00930672"/>
    <w:rsid w:val="00944784"/>
    <w:rsid w:val="009568F4"/>
    <w:rsid w:val="00962852"/>
    <w:rsid w:val="00962DB3"/>
    <w:rsid w:val="009664A9"/>
    <w:rsid w:val="00971D8D"/>
    <w:rsid w:val="00973891"/>
    <w:rsid w:val="00977E0F"/>
    <w:rsid w:val="009844EA"/>
    <w:rsid w:val="00986A06"/>
    <w:rsid w:val="00987084"/>
    <w:rsid w:val="00992DD4"/>
    <w:rsid w:val="009B303B"/>
    <w:rsid w:val="009B5054"/>
    <w:rsid w:val="009C1DC3"/>
    <w:rsid w:val="009D1836"/>
    <w:rsid w:val="009D4C7F"/>
    <w:rsid w:val="009E026C"/>
    <w:rsid w:val="009E6214"/>
    <w:rsid w:val="009E7D8E"/>
    <w:rsid w:val="009F3FA7"/>
    <w:rsid w:val="00A004DA"/>
    <w:rsid w:val="00A06FC3"/>
    <w:rsid w:val="00A12E48"/>
    <w:rsid w:val="00A15A2F"/>
    <w:rsid w:val="00A170A3"/>
    <w:rsid w:val="00A17631"/>
    <w:rsid w:val="00A25FA6"/>
    <w:rsid w:val="00A315B4"/>
    <w:rsid w:val="00A32D40"/>
    <w:rsid w:val="00A40D84"/>
    <w:rsid w:val="00A4352C"/>
    <w:rsid w:val="00A543D8"/>
    <w:rsid w:val="00A645E6"/>
    <w:rsid w:val="00A665A9"/>
    <w:rsid w:val="00A730F0"/>
    <w:rsid w:val="00A8191D"/>
    <w:rsid w:val="00A87A12"/>
    <w:rsid w:val="00A9212F"/>
    <w:rsid w:val="00A949A1"/>
    <w:rsid w:val="00A97D21"/>
    <w:rsid w:val="00AB19C7"/>
    <w:rsid w:val="00AD1999"/>
    <w:rsid w:val="00AD50FC"/>
    <w:rsid w:val="00AD6F27"/>
    <w:rsid w:val="00AF6B89"/>
    <w:rsid w:val="00B0143D"/>
    <w:rsid w:val="00B167FA"/>
    <w:rsid w:val="00B17F89"/>
    <w:rsid w:val="00B22908"/>
    <w:rsid w:val="00B331D2"/>
    <w:rsid w:val="00B40487"/>
    <w:rsid w:val="00B428A3"/>
    <w:rsid w:val="00B454EE"/>
    <w:rsid w:val="00B5214A"/>
    <w:rsid w:val="00B54009"/>
    <w:rsid w:val="00B61C9C"/>
    <w:rsid w:val="00B7171D"/>
    <w:rsid w:val="00B777F1"/>
    <w:rsid w:val="00B84981"/>
    <w:rsid w:val="00B861CC"/>
    <w:rsid w:val="00B94B7A"/>
    <w:rsid w:val="00B95E12"/>
    <w:rsid w:val="00B972E5"/>
    <w:rsid w:val="00B97434"/>
    <w:rsid w:val="00BB21D0"/>
    <w:rsid w:val="00BB417B"/>
    <w:rsid w:val="00BB6541"/>
    <w:rsid w:val="00BB6BAE"/>
    <w:rsid w:val="00BB79E3"/>
    <w:rsid w:val="00BC1396"/>
    <w:rsid w:val="00BC6419"/>
    <w:rsid w:val="00BD0684"/>
    <w:rsid w:val="00BD1799"/>
    <w:rsid w:val="00BD7A03"/>
    <w:rsid w:val="00BF14B4"/>
    <w:rsid w:val="00BF609B"/>
    <w:rsid w:val="00C1598D"/>
    <w:rsid w:val="00C17E33"/>
    <w:rsid w:val="00C20897"/>
    <w:rsid w:val="00C20E52"/>
    <w:rsid w:val="00C32C64"/>
    <w:rsid w:val="00C378D8"/>
    <w:rsid w:val="00C4033D"/>
    <w:rsid w:val="00C4552E"/>
    <w:rsid w:val="00C4696B"/>
    <w:rsid w:val="00C5141D"/>
    <w:rsid w:val="00C53495"/>
    <w:rsid w:val="00C629A0"/>
    <w:rsid w:val="00C64449"/>
    <w:rsid w:val="00C6669A"/>
    <w:rsid w:val="00C71EF0"/>
    <w:rsid w:val="00C72921"/>
    <w:rsid w:val="00C7591C"/>
    <w:rsid w:val="00C766D0"/>
    <w:rsid w:val="00C82029"/>
    <w:rsid w:val="00C84F41"/>
    <w:rsid w:val="00C922A1"/>
    <w:rsid w:val="00C93A21"/>
    <w:rsid w:val="00C95819"/>
    <w:rsid w:val="00CA1402"/>
    <w:rsid w:val="00CB56C2"/>
    <w:rsid w:val="00CC04D4"/>
    <w:rsid w:val="00CD1096"/>
    <w:rsid w:val="00CD4BA8"/>
    <w:rsid w:val="00CE05AE"/>
    <w:rsid w:val="00CE0C60"/>
    <w:rsid w:val="00CE75E5"/>
    <w:rsid w:val="00CF5D11"/>
    <w:rsid w:val="00D01233"/>
    <w:rsid w:val="00D05F5E"/>
    <w:rsid w:val="00D06073"/>
    <w:rsid w:val="00D12EA3"/>
    <w:rsid w:val="00D2189A"/>
    <w:rsid w:val="00D32358"/>
    <w:rsid w:val="00D47107"/>
    <w:rsid w:val="00D505F9"/>
    <w:rsid w:val="00D57AC4"/>
    <w:rsid w:val="00D6420E"/>
    <w:rsid w:val="00D74175"/>
    <w:rsid w:val="00D749E2"/>
    <w:rsid w:val="00D77195"/>
    <w:rsid w:val="00D85E28"/>
    <w:rsid w:val="00D91B47"/>
    <w:rsid w:val="00D97786"/>
    <w:rsid w:val="00DA62EC"/>
    <w:rsid w:val="00DA6731"/>
    <w:rsid w:val="00DB0588"/>
    <w:rsid w:val="00DB0C03"/>
    <w:rsid w:val="00DC452F"/>
    <w:rsid w:val="00DD414F"/>
    <w:rsid w:val="00DD5521"/>
    <w:rsid w:val="00DF13B2"/>
    <w:rsid w:val="00DF3FAD"/>
    <w:rsid w:val="00E0349B"/>
    <w:rsid w:val="00E0466F"/>
    <w:rsid w:val="00E07184"/>
    <w:rsid w:val="00E1112C"/>
    <w:rsid w:val="00E11EF7"/>
    <w:rsid w:val="00E14C7F"/>
    <w:rsid w:val="00E426A1"/>
    <w:rsid w:val="00E42B89"/>
    <w:rsid w:val="00E55939"/>
    <w:rsid w:val="00E56F29"/>
    <w:rsid w:val="00E62156"/>
    <w:rsid w:val="00E62DCB"/>
    <w:rsid w:val="00E64A3C"/>
    <w:rsid w:val="00E70AD9"/>
    <w:rsid w:val="00E71257"/>
    <w:rsid w:val="00E71D62"/>
    <w:rsid w:val="00E7423D"/>
    <w:rsid w:val="00E74D71"/>
    <w:rsid w:val="00E76674"/>
    <w:rsid w:val="00E913C4"/>
    <w:rsid w:val="00E92226"/>
    <w:rsid w:val="00E92CBE"/>
    <w:rsid w:val="00EA009D"/>
    <w:rsid w:val="00EA07C6"/>
    <w:rsid w:val="00EA4C84"/>
    <w:rsid w:val="00EB09C8"/>
    <w:rsid w:val="00EB4770"/>
    <w:rsid w:val="00EB6444"/>
    <w:rsid w:val="00EC79CF"/>
    <w:rsid w:val="00ED59A1"/>
    <w:rsid w:val="00EF0029"/>
    <w:rsid w:val="00EF1908"/>
    <w:rsid w:val="00EF526E"/>
    <w:rsid w:val="00F02C9C"/>
    <w:rsid w:val="00F02ECB"/>
    <w:rsid w:val="00F077B6"/>
    <w:rsid w:val="00F166FE"/>
    <w:rsid w:val="00F31ED7"/>
    <w:rsid w:val="00F3747C"/>
    <w:rsid w:val="00F400E4"/>
    <w:rsid w:val="00F567B9"/>
    <w:rsid w:val="00F61653"/>
    <w:rsid w:val="00F63173"/>
    <w:rsid w:val="00F70ED3"/>
    <w:rsid w:val="00F7119F"/>
    <w:rsid w:val="00FA3ECB"/>
    <w:rsid w:val="00FB60EE"/>
    <w:rsid w:val="00FC43E7"/>
    <w:rsid w:val="00FC7CAF"/>
    <w:rsid w:val="00FD2BEF"/>
    <w:rsid w:val="00FF62C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80" w:line="3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unhideWhenUsed="0"/>
    <w:lsdException w:name="heading 8" w:uiPriority="0" w:unhideWhenUsed="0"/>
    <w:lsdException w:name="heading 9" w:uiPriority="0" w:unhideWhenUsed="0"/>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lsdException w:name="table of figures" w:uiPriority="0"/>
    <w:lsdException w:name="footnote reference" w:uiPriority="0" w:qFormat="1"/>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Title" w:uiPriority="10" w:unhideWhenUsed="0" w:qFormat="1"/>
    <w:lsdException w:name="Closing" w:uiPriority="0"/>
    <w:lsdException w:name="Default Paragraph Font" w:uiPriority="1"/>
    <w:lsdException w:name="Subtitle" w:uiPriority="11" w:unhideWhenUsed="0" w:qFormat="1"/>
    <w:lsdException w:name="Salutation" w:uiPriority="0"/>
    <w:lsdException w:name="Body Text 2" w:uiPriority="0"/>
    <w:lsdException w:name="Strong" w:uiPriority="22" w:unhideWhenUsed="0" w:qFormat="1"/>
    <w:lsdException w:name="Emphasis"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latentStyles>
  <w:style w:type="paragraph" w:default="1" w:styleId="Normal">
    <w:name w:val="Normal"/>
    <w:qFormat/>
    <w:rsid w:val="00526FCD"/>
    <w:pPr>
      <w:tabs>
        <w:tab w:val="left" w:pos="567"/>
      </w:tabs>
    </w:pPr>
    <w:rPr>
      <w:sz w:val="24"/>
    </w:rPr>
  </w:style>
  <w:style w:type="paragraph" w:styleId="Heading1">
    <w:name w:val="heading 1"/>
    <w:basedOn w:val="Normal"/>
    <w:next w:val="Heading2"/>
    <w:link w:val="Heading1Char"/>
    <w:uiPriority w:val="9"/>
    <w:qFormat/>
    <w:rsid w:val="00526FCD"/>
    <w:pPr>
      <w:keepNext/>
      <w:widowControl w:val="0"/>
      <w:pBdr>
        <w:bottom w:val="single" w:sz="4" w:space="1" w:color="auto"/>
      </w:pBdr>
      <w:spacing w:before="800" w:after="0" w:line="240" w:lineRule="auto"/>
      <w:outlineLvl w:val="0"/>
    </w:pPr>
    <w:rPr>
      <w:rFonts w:eastAsiaTheme="majorEastAsia" w:cstheme="majorBidi"/>
      <w:b/>
      <w:bCs/>
      <w:caps/>
      <w:color w:val="2C8558"/>
      <w:sz w:val="40"/>
      <w:szCs w:val="28"/>
    </w:rPr>
  </w:style>
  <w:style w:type="paragraph" w:styleId="Heading2">
    <w:name w:val="heading 2"/>
    <w:basedOn w:val="Normal"/>
    <w:next w:val="Heading3"/>
    <w:link w:val="Heading2Char"/>
    <w:uiPriority w:val="9"/>
    <w:qFormat/>
    <w:rsid w:val="00526FCD"/>
    <w:pPr>
      <w:keepNext/>
      <w:widowControl w:val="0"/>
      <w:spacing w:before="100" w:after="720" w:line="240" w:lineRule="auto"/>
      <w:outlineLvl w:val="1"/>
    </w:pPr>
    <w:rPr>
      <w:rFonts w:eastAsiaTheme="majorEastAsia" w:cstheme="majorBidi"/>
      <w:b/>
      <w:bCs/>
      <w:caps/>
      <w:color w:val="2C8558"/>
      <w:sz w:val="40"/>
      <w:szCs w:val="26"/>
    </w:rPr>
  </w:style>
  <w:style w:type="paragraph" w:styleId="Heading3">
    <w:name w:val="heading 3"/>
    <w:basedOn w:val="Normal"/>
    <w:next w:val="Heading4"/>
    <w:link w:val="Heading3Char"/>
    <w:uiPriority w:val="9"/>
    <w:qFormat/>
    <w:rsid w:val="00526FCD"/>
    <w:pPr>
      <w:keepNext/>
      <w:widowControl w:val="0"/>
      <w:spacing w:before="600" w:after="200" w:line="240" w:lineRule="auto"/>
      <w:outlineLvl w:val="2"/>
    </w:pPr>
    <w:rPr>
      <w:rFonts w:eastAsiaTheme="majorEastAsia" w:cstheme="majorBidi"/>
      <w:b/>
      <w:bCs/>
      <w:caps/>
      <w:color w:val="2C8558"/>
      <w:sz w:val="32"/>
    </w:rPr>
  </w:style>
  <w:style w:type="paragraph" w:styleId="Heading4">
    <w:name w:val="heading 4"/>
    <w:basedOn w:val="Normal"/>
    <w:next w:val="Heading5"/>
    <w:link w:val="Heading4Char"/>
    <w:uiPriority w:val="9"/>
    <w:qFormat/>
    <w:rsid w:val="00526FCD"/>
    <w:pPr>
      <w:keepNext/>
      <w:widowControl w:val="0"/>
      <w:spacing w:before="300" w:after="40" w:line="240" w:lineRule="auto"/>
      <w:outlineLvl w:val="3"/>
    </w:pPr>
    <w:rPr>
      <w:rFonts w:eastAsiaTheme="majorEastAsia" w:cstheme="majorBidi"/>
      <w:b/>
      <w:bCs/>
      <w:iCs/>
      <w:color w:val="2C8558"/>
      <w:sz w:val="32"/>
    </w:rPr>
  </w:style>
  <w:style w:type="paragraph" w:styleId="Heading5">
    <w:name w:val="heading 5"/>
    <w:basedOn w:val="Normal"/>
    <w:next w:val="Heading6"/>
    <w:link w:val="Heading5Char"/>
    <w:uiPriority w:val="9"/>
    <w:qFormat/>
    <w:rsid w:val="00526FCD"/>
    <w:pPr>
      <w:keepNext/>
      <w:tabs>
        <w:tab w:val="clear" w:pos="567"/>
      </w:tabs>
      <w:spacing w:before="300" w:after="40" w:line="240" w:lineRule="auto"/>
      <w:outlineLvl w:val="4"/>
    </w:pPr>
    <w:rPr>
      <w:rFonts w:eastAsiaTheme="majorEastAsia" w:cstheme="majorBidi"/>
      <w:b/>
      <w:i/>
      <w:color w:val="2C8558"/>
      <w:sz w:val="28"/>
    </w:rPr>
  </w:style>
  <w:style w:type="paragraph" w:styleId="Heading6">
    <w:name w:val="heading 6"/>
    <w:aliases w:val="(Not In Use), Section heading,Section heading"/>
    <w:basedOn w:val="Normal"/>
    <w:next w:val="Normal"/>
    <w:link w:val="Heading6Char"/>
    <w:qFormat/>
    <w:rsid w:val="00526FCD"/>
    <w:pPr>
      <w:keepNext/>
      <w:keepLines/>
      <w:spacing w:before="120"/>
      <w:outlineLvl w:val="5"/>
    </w:pPr>
    <w:rPr>
      <w:rFonts w:eastAsiaTheme="majorEastAsia" w:cstheme="majorBidi"/>
      <w:b/>
      <w:i/>
      <w:iCs/>
      <w:color w:val="2C8558"/>
      <w:sz w:val="28"/>
    </w:rPr>
  </w:style>
  <w:style w:type="paragraph" w:styleId="Heading7">
    <w:name w:val="heading 7"/>
    <w:aliases w:val="(Do Not Use),top section heading,(TopSection)"/>
    <w:basedOn w:val="Normal"/>
    <w:next w:val="Normal"/>
    <w:link w:val="Heading7Char"/>
    <w:rsid w:val="00526FC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link w:val="Heading8Char"/>
    <w:rsid w:val="00A665A9"/>
    <w:pPr>
      <w:numPr>
        <w:ilvl w:val="7"/>
        <w:numId w:val="10"/>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link w:val="Heading9Char"/>
    <w:rsid w:val="00A665A9"/>
    <w:pPr>
      <w:numPr>
        <w:ilvl w:val="8"/>
        <w:numId w:val="10"/>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aliases w:val="(Not In Use) Char, Section heading Char,Section heading Char"/>
    <w:basedOn w:val="DefaultParagraphFont"/>
    <w:link w:val="Heading6"/>
    <w:uiPriority w:val="9"/>
    <w:rsid w:val="00526FCD"/>
    <w:rPr>
      <w:rFonts w:eastAsiaTheme="majorEastAsia" w:cstheme="majorBidi"/>
      <w:b/>
      <w:i/>
      <w:iCs/>
      <w:color w:val="2C8558"/>
      <w:sz w:val="28"/>
    </w:rPr>
  </w:style>
  <w:style w:type="character" w:customStyle="1" w:styleId="Heading1Char">
    <w:name w:val="Heading 1 Char"/>
    <w:basedOn w:val="DefaultParagraphFont"/>
    <w:link w:val="Heading1"/>
    <w:uiPriority w:val="9"/>
    <w:rsid w:val="00526FCD"/>
    <w:rPr>
      <w:rFonts w:eastAsiaTheme="majorEastAsia" w:cstheme="majorBidi"/>
      <w:b/>
      <w:bCs/>
      <w:caps/>
      <w:color w:val="2C8558"/>
      <w:sz w:val="40"/>
      <w:szCs w:val="28"/>
    </w:rPr>
  </w:style>
  <w:style w:type="character" w:customStyle="1" w:styleId="Heading7Char">
    <w:name w:val="Heading 7 Char"/>
    <w:aliases w:val="(Do Not Use) Char,top section heading Char,(TopSection) Char"/>
    <w:basedOn w:val="DefaultParagraphFont"/>
    <w:link w:val="Heading7"/>
    <w:rsid w:val="00526FCD"/>
    <w:rPr>
      <w:rFonts w:asciiTheme="majorHAnsi" w:eastAsiaTheme="majorEastAsia" w:hAnsiTheme="majorHAnsi" w:cstheme="majorBidi"/>
      <w:i/>
      <w:iCs/>
      <w:color w:val="404040" w:themeColor="text1" w:themeTint="BF"/>
      <w:sz w:val="24"/>
    </w:rPr>
  </w:style>
  <w:style w:type="character" w:customStyle="1" w:styleId="Heading2Char">
    <w:name w:val="Heading 2 Char"/>
    <w:basedOn w:val="DefaultParagraphFont"/>
    <w:link w:val="Heading2"/>
    <w:uiPriority w:val="9"/>
    <w:rsid w:val="00526FCD"/>
    <w:rPr>
      <w:rFonts w:eastAsiaTheme="majorEastAsia" w:cstheme="majorBidi"/>
      <w:b/>
      <w:bCs/>
      <w:caps/>
      <w:color w:val="2C8558"/>
      <w:sz w:val="40"/>
      <w:szCs w:val="26"/>
    </w:rPr>
  </w:style>
  <w:style w:type="character" w:customStyle="1" w:styleId="Heading3Char">
    <w:name w:val="Heading 3 Char"/>
    <w:basedOn w:val="DefaultParagraphFont"/>
    <w:link w:val="Heading3"/>
    <w:uiPriority w:val="9"/>
    <w:rsid w:val="00526FCD"/>
    <w:rPr>
      <w:rFonts w:eastAsiaTheme="majorEastAsia" w:cstheme="majorBidi"/>
      <w:b/>
      <w:bCs/>
      <w:caps/>
      <w:color w:val="2C8558"/>
      <w:sz w:val="32"/>
    </w:rPr>
  </w:style>
  <w:style w:type="character" w:customStyle="1" w:styleId="Heading4Char">
    <w:name w:val="Heading 4 Char"/>
    <w:basedOn w:val="DefaultParagraphFont"/>
    <w:link w:val="Heading4"/>
    <w:rsid w:val="00526FCD"/>
    <w:rPr>
      <w:rFonts w:eastAsiaTheme="majorEastAsia" w:cstheme="majorBidi"/>
      <w:b/>
      <w:bCs/>
      <w:iCs/>
      <w:color w:val="2C8558"/>
      <w:sz w:val="32"/>
    </w:rPr>
  </w:style>
  <w:style w:type="character" w:customStyle="1" w:styleId="Heading5Char">
    <w:name w:val="Heading 5 Char"/>
    <w:basedOn w:val="DefaultParagraphFont"/>
    <w:link w:val="Heading5"/>
    <w:uiPriority w:val="9"/>
    <w:rsid w:val="00526FCD"/>
    <w:rPr>
      <w:rFonts w:eastAsiaTheme="majorEastAsia" w:cstheme="majorBidi"/>
      <w:b/>
      <w:i/>
      <w:color w:val="2C8558"/>
      <w:sz w:val="28"/>
    </w:rPr>
  </w:style>
  <w:style w:type="paragraph" w:customStyle="1" w:styleId="CGCBulletlist">
    <w:name w:val="CGC Bullet list"/>
    <w:aliases w:val="CGC List 1"/>
    <w:basedOn w:val="Normal"/>
    <w:link w:val="CGCBulletlistCharChar"/>
    <w:qFormat/>
    <w:rsid w:val="001E7B72"/>
    <w:pPr>
      <w:numPr>
        <w:numId w:val="5"/>
      </w:numPr>
      <w:tabs>
        <w:tab w:val="clear" w:pos="567"/>
        <w:tab w:val="clear" w:pos="927"/>
      </w:tabs>
      <w:spacing w:before="80" w:line="300" w:lineRule="atLeast"/>
      <w:ind w:left="1134" w:hanging="567"/>
    </w:pPr>
    <w:rPr>
      <w:szCs w:val="20"/>
    </w:rPr>
  </w:style>
  <w:style w:type="paragraph" w:customStyle="1" w:styleId="CGCNumberedPara">
    <w:name w:val="CGC Numbered Para"/>
    <w:aliases w:val="CGC Para No"/>
    <w:basedOn w:val="Normal"/>
    <w:link w:val="CGCParaNoChar"/>
    <w:qFormat/>
    <w:rsid w:val="00526FCD"/>
    <w:pPr>
      <w:numPr>
        <w:ilvl w:val="1"/>
        <w:numId w:val="6"/>
      </w:numPr>
      <w:spacing w:before="120"/>
    </w:pPr>
    <w:rPr>
      <w:szCs w:val="24"/>
    </w:rPr>
  </w:style>
  <w:style w:type="paragraph" w:customStyle="1" w:styleId="CGCTableFootnote">
    <w:name w:val="CGC Table Footnote"/>
    <w:basedOn w:val="CGCNumberedPara"/>
    <w:next w:val="NoSpacing"/>
    <w:link w:val="CGCTableFootnoteChar"/>
    <w:qFormat/>
    <w:rsid w:val="00526FCD"/>
    <w:pPr>
      <w:numPr>
        <w:ilvl w:val="0"/>
        <w:numId w:val="0"/>
      </w:numPr>
      <w:tabs>
        <w:tab w:val="left" w:pos="851"/>
      </w:tabs>
      <w:spacing w:before="0" w:after="0" w:line="240" w:lineRule="auto"/>
      <w:ind w:left="851" w:hanging="851"/>
    </w:pPr>
    <w:rPr>
      <w:sz w:val="20"/>
    </w:rPr>
  </w:style>
  <w:style w:type="paragraph" w:styleId="NoSpacing">
    <w:name w:val="No Spacing"/>
    <w:link w:val="NoSpacingChar"/>
    <w:uiPriority w:val="1"/>
    <w:rsid w:val="00526FCD"/>
    <w:pPr>
      <w:tabs>
        <w:tab w:val="left" w:pos="567"/>
      </w:tabs>
      <w:spacing w:after="0" w:line="240" w:lineRule="auto"/>
    </w:pPr>
    <w:rPr>
      <w:sz w:val="24"/>
    </w:rPr>
  </w:style>
  <w:style w:type="paragraph" w:customStyle="1" w:styleId="CGCDataCaption">
    <w:name w:val="CGC Data Caption"/>
    <w:basedOn w:val="CGCTableFootnote"/>
    <w:next w:val="NoSpacing"/>
    <w:link w:val="DataCaptionChar"/>
    <w:rsid w:val="00526FCD"/>
  </w:style>
  <w:style w:type="character" w:customStyle="1" w:styleId="DataCaptionChar">
    <w:name w:val="Data Caption Char"/>
    <w:basedOn w:val="DefaultParagraphFont"/>
    <w:link w:val="CGCDataCaption"/>
    <w:rsid w:val="00526FCD"/>
    <w:rPr>
      <w:sz w:val="20"/>
      <w:szCs w:val="24"/>
    </w:rPr>
  </w:style>
  <w:style w:type="paragraph" w:customStyle="1" w:styleId="CGCNumeralList">
    <w:name w:val="CGC Numeral List"/>
    <w:aliases w:val="CGC List 3"/>
    <w:basedOn w:val="Normal"/>
    <w:qFormat/>
    <w:rsid w:val="00526FCD"/>
    <w:pPr>
      <w:numPr>
        <w:numId w:val="7"/>
      </w:numPr>
      <w:tabs>
        <w:tab w:val="clear" w:pos="567"/>
      </w:tabs>
      <w:spacing w:line="300" w:lineRule="atLeast"/>
    </w:pPr>
    <w:rPr>
      <w:szCs w:val="20"/>
    </w:rPr>
  </w:style>
  <w:style w:type="paragraph" w:customStyle="1" w:styleId="CGCQuotation">
    <w:name w:val="CGC Quotation"/>
    <w:basedOn w:val="Normal"/>
    <w:next w:val="CGCNumberedPara"/>
    <w:qFormat/>
    <w:rsid w:val="00526FCD"/>
    <w:pPr>
      <w:tabs>
        <w:tab w:val="clear" w:pos="567"/>
      </w:tabs>
      <w:spacing w:before="120" w:after="120" w:line="240" w:lineRule="auto"/>
      <w:ind w:left="1134" w:right="1134"/>
    </w:pPr>
    <w:rPr>
      <w:sz w:val="22"/>
      <w:szCs w:val="24"/>
    </w:rPr>
  </w:style>
  <w:style w:type="paragraph" w:customStyle="1" w:styleId="CGCSubbulletlist">
    <w:name w:val="CGC Sub bullet list"/>
    <w:aliases w:val="CGC List 2"/>
    <w:basedOn w:val="Normal"/>
    <w:link w:val="CGCSubbulletlistChar"/>
    <w:qFormat/>
    <w:rsid w:val="001E7B72"/>
    <w:pPr>
      <w:numPr>
        <w:numId w:val="8"/>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526FCD"/>
    <w:pPr>
      <w:numPr>
        <w:numId w:val="9"/>
      </w:numPr>
      <w:ind w:right="1134"/>
    </w:pPr>
    <w:rPr>
      <w:sz w:val="22"/>
    </w:rPr>
  </w:style>
  <w:style w:type="paragraph" w:customStyle="1" w:styleId="CGCTableHeading">
    <w:name w:val="CGC Table Heading"/>
    <w:basedOn w:val="Normal"/>
    <w:next w:val="Normal"/>
    <w:link w:val="CGCTableHeadingChar"/>
    <w:qFormat/>
    <w:rsid w:val="00526FCD"/>
    <w:pPr>
      <w:keepNext/>
      <w:keepLines/>
      <w:tabs>
        <w:tab w:val="clear" w:pos="567"/>
        <w:tab w:val="left" w:pos="1420"/>
      </w:tabs>
      <w:spacing w:before="240" w:after="120" w:line="240" w:lineRule="auto"/>
      <w:ind w:left="1418" w:hanging="1418"/>
    </w:pPr>
    <w:rPr>
      <w:b/>
      <w:szCs w:val="20"/>
    </w:rPr>
  </w:style>
  <w:style w:type="paragraph" w:customStyle="1" w:styleId="CGCTableStub">
    <w:name w:val="CGC Table Stub"/>
    <w:basedOn w:val="Normal"/>
    <w:link w:val="CGCTableStubChar"/>
    <w:rsid w:val="00526FCD"/>
    <w:pPr>
      <w:keepNext/>
      <w:keepLines/>
      <w:tabs>
        <w:tab w:val="left" w:pos="284"/>
      </w:tabs>
      <w:spacing w:before="60" w:after="60" w:line="200" w:lineRule="atLeast"/>
    </w:pPr>
    <w:rPr>
      <w:sz w:val="20"/>
      <w:szCs w:val="20"/>
    </w:rPr>
  </w:style>
  <w:style w:type="paragraph" w:styleId="Header">
    <w:name w:val="header"/>
    <w:basedOn w:val="Normal"/>
    <w:link w:val="HeaderChar"/>
    <w:uiPriority w:val="99"/>
    <w:unhideWhenUsed/>
    <w:rsid w:val="00526FCD"/>
    <w:pPr>
      <w:tabs>
        <w:tab w:val="clear" w:pos="567"/>
        <w:tab w:val="center" w:pos="4513"/>
        <w:tab w:val="right" w:pos="9026"/>
      </w:tabs>
      <w:spacing w:after="0" w:line="240" w:lineRule="auto"/>
    </w:pPr>
  </w:style>
  <w:style w:type="character" w:customStyle="1" w:styleId="HeaderChar">
    <w:name w:val="Header Char"/>
    <w:basedOn w:val="DefaultParagraphFont"/>
    <w:link w:val="Header"/>
    <w:uiPriority w:val="99"/>
    <w:rsid w:val="00526FCD"/>
    <w:rPr>
      <w:sz w:val="24"/>
    </w:rPr>
  </w:style>
  <w:style w:type="paragraph" w:styleId="Footer">
    <w:name w:val="footer"/>
    <w:basedOn w:val="Normal"/>
    <w:link w:val="FooterChar"/>
    <w:uiPriority w:val="99"/>
    <w:unhideWhenUsed/>
    <w:rsid w:val="00526FCD"/>
    <w:pPr>
      <w:tabs>
        <w:tab w:val="clear" w:pos="567"/>
        <w:tab w:val="center" w:pos="4513"/>
        <w:tab w:val="right" w:pos="9026"/>
      </w:tabs>
      <w:spacing w:after="0" w:line="240" w:lineRule="auto"/>
    </w:pPr>
  </w:style>
  <w:style w:type="character" w:customStyle="1" w:styleId="FooterChar">
    <w:name w:val="Footer Char"/>
    <w:basedOn w:val="DefaultParagraphFont"/>
    <w:link w:val="Footer"/>
    <w:uiPriority w:val="99"/>
    <w:rsid w:val="00526FCD"/>
    <w:rPr>
      <w:sz w:val="24"/>
    </w:rPr>
  </w:style>
  <w:style w:type="paragraph" w:styleId="BalloonText">
    <w:name w:val="Balloon Text"/>
    <w:basedOn w:val="Normal"/>
    <w:link w:val="BalloonTextChar"/>
    <w:unhideWhenUsed/>
    <w:rsid w:val="00526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26FCD"/>
    <w:rPr>
      <w:rFonts w:ascii="Tahoma" w:hAnsi="Tahoma" w:cs="Tahoma"/>
      <w:sz w:val="16"/>
      <w:szCs w:val="16"/>
    </w:rPr>
  </w:style>
  <w:style w:type="paragraph" w:styleId="ListParagraph">
    <w:name w:val="List Paragraph"/>
    <w:basedOn w:val="Normal"/>
    <w:uiPriority w:val="34"/>
    <w:rsid w:val="00526FCD"/>
    <w:pPr>
      <w:tabs>
        <w:tab w:val="clear" w:pos="567"/>
      </w:tabs>
      <w:spacing w:line="300" w:lineRule="atLeast"/>
      <w:ind w:left="1134"/>
    </w:pPr>
    <w:rPr>
      <w:szCs w:val="24"/>
    </w:rPr>
  </w:style>
  <w:style w:type="character" w:styleId="Hyperlink">
    <w:name w:val="Hyperlink"/>
    <w:basedOn w:val="DefaultParagraphFont"/>
    <w:uiPriority w:val="99"/>
    <w:rsid w:val="007710CD"/>
    <w:rPr>
      <w:color w:val="0000FF"/>
      <w:u w:val="single"/>
    </w:rPr>
  </w:style>
  <w:style w:type="paragraph" w:styleId="Caption">
    <w:name w:val="caption"/>
    <w:basedOn w:val="Normal"/>
    <w:next w:val="Normal"/>
    <w:link w:val="CaptionChar"/>
    <w:rsid w:val="00526FCD"/>
    <w:pPr>
      <w:keepNext/>
      <w:keepLines/>
      <w:tabs>
        <w:tab w:val="clear" w:pos="567"/>
        <w:tab w:val="left" w:pos="1418"/>
      </w:tabs>
      <w:spacing w:before="240" w:after="120" w:line="240" w:lineRule="auto"/>
      <w:ind w:left="1418" w:hanging="1418"/>
    </w:pPr>
    <w:rPr>
      <w:b/>
      <w:bCs/>
      <w:szCs w:val="20"/>
    </w:rPr>
  </w:style>
  <w:style w:type="character" w:customStyle="1" w:styleId="CaptionChar">
    <w:name w:val="Caption Char"/>
    <w:basedOn w:val="DefaultParagraphFont"/>
    <w:link w:val="Caption"/>
    <w:rsid w:val="00526FCD"/>
    <w:rPr>
      <w:b/>
      <w:bCs/>
      <w:sz w:val="24"/>
      <w:szCs w:val="20"/>
    </w:rPr>
  </w:style>
  <w:style w:type="paragraph" w:styleId="FootnoteText">
    <w:name w:val="footnote text"/>
    <w:basedOn w:val="Normal"/>
    <w:link w:val="FootnoteTextChar"/>
    <w:rsid w:val="00526FCD"/>
    <w:pPr>
      <w:spacing w:after="0" w:line="240" w:lineRule="auto"/>
      <w:ind w:left="567" w:hanging="567"/>
    </w:pPr>
    <w:rPr>
      <w:sz w:val="20"/>
      <w:szCs w:val="20"/>
    </w:rPr>
  </w:style>
  <w:style w:type="character" w:customStyle="1" w:styleId="FootnoteTextChar">
    <w:name w:val="Footnote Text Char"/>
    <w:basedOn w:val="DefaultParagraphFont"/>
    <w:link w:val="FootnoteText"/>
    <w:rsid w:val="00526FCD"/>
    <w:rPr>
      <w:sz w:val="20"/>
      <w:szCs w:val="20"/>
    </w:rPr>
  </w:style>
  <w:style w:type="table" w:styleId="TableGrid">
    <w:name w:val="Table Grid"/>
    <w:basedOn w:val="TableNormal"/>
    <w:uiPriority w:val="59"/>
    <w:rsid w:val="00526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81714D"/>
    <w:rPr>
      <w:color w:val="800080" w:themeColor="followedHyperlink"/>
      <w:u w:val="single"/>
    </w:rPr>
  </w:style>
  <w:style w:type="paragraph" w:styleId="TOC1">
    <w:name w:val="toc 1"/>
    <w:basedOn w:val="Normal"/>
    <w:next w:val="Normal"/>
    <w:autoRedefine/>
    <w:uiPriority w:val="39"/>
    <w:unhideWhenUsed/>
    <w:rsid w:val="00B94B7A"/>
    <w:pPr>
      <w:tabs>
        <w:tab w:val="clear" w:pos="567"/>
        <w:tab w:val="left" w:pos="8364"/>
        <w:tab w:val="right" w:pos="8941"/>
      </w:tabs>
      <w:spacing w:before="120" w:after="120"/>
    </w:pPr>
  </w:style>
  <w:style w:type="paragraph" w:styleId="TOC2">
    <w:name w:val="toc 2"/>
    <w:basedOn w:val="Normal"/>
    <w:next w:val="Normal"/>
    <w:autoRedefine/>
    <w:uiPriority w:val="39"/>
    <w:unhideWhenUsed/>
    <w:rsid w:val="00962852"/>
    <w:pPr>
      <w:tabs>
        <w:tab w:val="clear" w:pos="567"/>
      </w:tabs>
      <w:spacing w:after="100"/>
      <w:ind w:left="240"/>
    </w:pPr>
  </w:style>
  <w:style w:type="paragraph" w:styleId="TOC3">
    <w:name w:val="toc 3"/>
    <w:basedOn w:val="Normal"/>
    <w:next w:val="Normal"/>
    <w:autoRedefine/>
    <w:uiPriority w:val="39"/>
    <w:unhideWhenUsed/>
    <w:rsid w:val="00962852"/>
    <w:pPr>
      <w:tabs>
        <w:tab w:val="clear" w:pos="567"/>
      </w:tabs>
      <w:spacing w:after="100"/>
      <w:ind w:left="480"/>
    </w:pPr>
  </w:style>
  <w:style w:type="character" w:customStyle="1" w:styleId="Heading8Char">
    <w:name w:val="Heading 8 Char"/>
    <w:aliases w:val="(Do not use) Char,(Sub-section Nos) Char"/>
    <w:basedOn w:val="DefaultParagraphFont"/>
    <w:link w:val="Heading8"/>
    <w:rsid w:val="00A665A9"/>
    <w:rPr>
      <w:rFonts w:ascii="Arial" w:hAnsi="Arial"/>
      <w:i/>
      <w:sz w:val="20"/>
      <w:szCs w:val="20"/>
    </w:rPr>
  </w:style>
  <w:style w:type="character" w:customStyle="1" w:styleId="Heading9Char">
    <w:name w:val="Heading 9 Char"/>
    <w:aliases w:val="Heading 9 (Do not use) Char,(Subsubsection Nos) Char"/>
    <w:basedOn w:val="DefaultParagraphFont"/>
    <w:link w:val="Heading9"/>
    <w:rsid w:val="00A665A9"/>
    <w:rPr>
      <w:rFonts w:ascii="Arial" w:hAnsi="Arial"/>
      <w:b/>
      <w:i/>
      <w:sz w:val="18"/>
      <w:szCs w:val="20"/>
    </w:rPr>
  </w:style>
  <w:style w:type="paragraph" w:customStyle="1" w:styleId="TableRowNormal">
    <w:name w:val="TableRowNormal"/>
    <w:basedOn w:val="Normal"/>
    <w:link w:val="TableRowNormalChar"/>
    <w:rsid w:val="00A665A9"/>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character" w:styleId="CommentReference">
    <w:name w:val="annotation reference"/>
    <w:basedOn w:val="DefaultParagraphFont"/>
    <w:rsid w:val="00A665A9"/>
    <w:rPr>
      <w:sz w:val="16"/>
      <w:szCs w:val="16"/>
    </w:rPr>
  </w:style>
  <w:style w:type="paragraph" w:styleId="CommentText">
    <w:name w:val="annotation text"/>
    <w:basedOn w:val="Normal"/>
    <w:link w:val="CommentTextChar"/>
    <w:rsid w:val="00A665A9"/>
    <w:rPr>
      <w:sz w:val="20"/>
      <w:szCs w:val="20"/>
    </w:rPr>
  </w:style>
  <w:style w:type="character" w:customStyle="1" w:styleId="CommentTextChar">
    <w:name w:val="Comment Text Char"/>
    <w:basedOn w:val="DefaultParagraphFont"/>
    <w:link w:val="CommentText"/>
    <w:rsid w:val="00A665A9"/>
    <w:rPr>
      <w:sz w:val="20"/>
      <w:szCs w:val="20"/>
    </w:rPr>
  </w:style>
  <w:style w:type="paragraph" w:styleId="CommentSubject">
    <w:name w:val="annotation subject"/>
    <w:basedOn w:val="CommentText"/>
    <w:next w:val="CommentText"/>
    <w:link w:val="CommentSubjectChar"/>
    <w:rsid w:val="00A665A9"/>
    <w:rPr>
      <w:b/>
      <w:bCs/>
    </w:rPr>
  </w:style>
  <w:style w:type="character" w:customStyle="1" w:styleId="CommentSubjectChar">
    <w:name w:val="Comment Subject Char"/>
    <w:basedOn w:val="CommentTextChar"/>
    <w:link w:val="CommentSubject"/>
    <w:rsid w:val="00A665A9"/>
    <w:rPr>
      <w:b/>
      <w:bCs/>
      <w:sz w:val="20"/>
      <w:szCs w:val="20"/>
    </w:rPr>
  </w:style>
  <w:style w:type="paragraph" w:styleId="DocumentMap">
    <w:name w:val="Document Map"/>
    <w:basedOn w:val="Normal"/>
    <w:link w:val="DocumentMapChar"/>
    <w:rsid w:val="00A665A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A665A9"/>
    <w:rPr>
      <w:rFonts w:ascii="Tahoma" w:hAnsi="Tahoma" w:cs="Tahoma"/>
      <w:sz w:val="20"/>
      <w:szCs w:val="20"/>
      <w:shd w:val="clear" w:color="auto" w:fill="000080"/>
    </w:rPr>
  </w:style>
  <w:style w:type="character" w:styleId="EndnoteReference">
    <w:name w:val="endnote reference"/>
    <w:basedOn w:val="DefaultParagraphFont"/>
    <w:rsid w:val="00A665A9"/>
    <w:rPr>
      <w:vertAlign w:val="superscript"/>
    </w:rPr>
  </w:style>
  <w:style w:type="paragraph" w:styleId="EndnoteText">
    <w:name w:val="endnote text"/>
    <w:basedOn w:val="Normal"/>
    <w:link w:val="EndnoteTextChar"/>
    <w:rsid w:val="00A665A9"/>
    <w:rPr>
      <w:sz w:val="20"/>
      <w:szCs w:val="20"/>
    </w:rPr>
  </w:style>
  <w:style w:type="character" w:customStyle="1" w:styleId="EndnoteTextChar">
    <w:name w:val="Endnote Text Char"/>
    <w:basedOn w:val="DefaultParagraphFont"/>
    <w:link w:val="EndnoteText"/>
    <w:rsid w:val="00A665A9"/>
    <w:rPr>
      <w:sz w:val="20"/>
      <w:szCs w:val="20"/>
    </w:rPr>
  </w:style>
  <w:style w:type="character" w:styleId="FootnoteReference">
    <w:name w:val="footnote reference"/>
    <w:basedOn w:val="DefaultParagraphFont"/>
    <w:qFormat/>
    <w:rsid w:val="00A665A9"/>
    <w:rPr>
      <w:vertAlign w:val="superscript"/>
    </w:rPr>
  </w:style>
  <w:style w:type="paragraph" w:styleId="Index1">
    <w:name w:val="index 1"/>
    <w:basedOn w:val="Normal"/>
    <w:rsid w:val="00A665A9"/>
  </w:style>
  <w:style w:type="paragraph" w:styleId="Index2">
    <w:name w:val="index 2"/>
    <w:basedOn w:val="Normal"/>
    <w:next w:val="Index1"/>
    <w:rsid w:val="00A665A9"/>
    <w:pPr>
      <w:ind w:left="284"/>
    </w:pPr>
  </w:style>
  <w:style w:type="paragraph" w:styleId="Index3">
    <w:name w:val="index 3"/>
    <w:basedOn w:val="Normal"/>
    <w:next w:val="Index1"/>
    <w:rsid w:val="00A665A9"/>
    <w:pPr>
      <w:ind w:left="567"/>
    </w:pPr>
  </w:style>
  <w:style w:type="paragraph" w:styleId="Index4">
    <w:name w:val="index 4"/>
    <w:basedOn w:val="Normal"/>
    <w:next w:val="Normal"/>
    <w:rsid w:val="00A665A9"/>
    <w:pPr>
      <w:ind w:left="880" w:hanging="220"/>
    </w:pPr>
  </w:style>
  <w:style w:type="paragraph" w:styleId="Index5">
    <w:name w:val="index 5"/>
    <w:basedOn w:val="Normal"/>
    <w:next w:val="Normal"/>
    <w:rsid w:val="00A665A9"/>
    <w:pPr>
      <w:ind w:left="1100" w:hanging="220"/>
    </w:pPr>
  </w:style>
  <w:style w:type="paragraph" w:styleId="Index6">
    <w:name w:val="index 6"/>
    <w:basedOn w:val="Normal"/>
    <w:next w:val="Normal"/>
    <w:rsid w:val="00A665A9"/>
    <w:pPr>
      <w:ind w:left="1320" w:hanging="220"/>
    </w:pPr>
  </w:style>
  <w:style w:type="paragraph" w:styleId="Index7">
    <w:name w:val="index 7"/>
    <w:basedOn w:val="Normal"/>
    <w:next w:val="Normal"/>
    <w:rsid w:val="00A665A9"/>
    <w:pPr>
      <w:ind w:left="1540" w:hanging="220"/>
    </w:pPr>
  </w:style>
  <w:style w:type="paragraph" w:styleId="Index8">
    <w:name w:val="index 8"/>
    <w:basedOn w:val="Normal"/>
    <w:next w:val="Normal"/>
    <w:rsid w:val="00A665A9"/>
    <w:pPr>
      <w:ind w:left="1760" w:hanging="220"/>
    </w:pPr>
  </w:style>
  <w:style w:type="paragraph" w:styleId="Index9">
    <w:name w:val="index 9"/>
    <w:basedOn w:val="Normal"/>
    <w:next w:val="Normal"/>
    <w:rsid w:val="00A665A9"/>
    <w:pPr>
      <w:ind w:left="1980" w:hanging="220"/>
    </w:pPr>
  </w:style>
  <w:style w:type="paragraph" w:styleId="IndexHeading">
    <w:name w:val="index heading"/>
    <w:basedOn w:val="Normal"/>
    <w:next w:val="Index1"/>
    <w:rsid w:val="00A665A9"/>
  </w:style>
  <w:style w:type="paragraph" w:styleId="List">
    <w:name w:val="List"/>
    <w:basedOn w:val="Normal"/>
    <w:rsid w:val="00A665A9"/>
    <w:pPr>
      <w:spacing w:line="300" w:lineRule="atLeast"/>
    </w:pPr>
  </w:style>
  <w:style w:type="paragraph" w:styleId="MacroText">
    <w:name w:val="macro"/>
    <w:link w:val="MacroTextChar"/>
    <w:rsid w:val="00A665A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A665A9"/>
    <w:rPr>
      <w:rFonts w:ascii="Courier New" w:hAnsi="Courier New" w:cs="Courier New"/>
    </w:rPr>
  </w:style>
  <w:style w:type="character" w:styleId="PageNumber">
    <w:name w:val="page number"/>
    <w:basedOn w:val="DefaultParagraphFont"/>
    <w:rsid w:val="00A665A9"/>
  </w:style>
  <w:style w:type="paragraph" w:customStyle="1" w:styleId="Single">
    <w:name w:val="Single"/>
    <w:basedOn w:val="Normal"/>
    <w:next w:val="CGCNumberedPara"/>
    <w:link w:val="SingleChar"/>
    <w:rsid w:val="00A665A9"/>
    <w:pPr>
      <w:spacing w:after="0" w:line="240" w:lineRule="auto"/>
    </w:pPr>
  </w:style>
  <w:style w:type="paragraph" w:styleId="TableofAuthorities">
    <w:name w:val="table of authorities"/>
    <w:basedOn w:val="Normal"/>
    <w:next w:val="Normal"/>
    <w:rsid w:val="00A665A9"/>
    <w:pPr>
      <w:tabs>
        <w:tab w:val="clear" w:pos="567"/>
      </w:tabs>
      <w:ind w:left="220" w:hanging="220"/>
    </w:pPr>
  </w:style>
  <w:style w:type="paragraph" w:styleId="TableofFigures">
    <w:name w:val="table of figures"/>
    <w:basedOn w:val="Normal"/>
    <w:next w:val="Normal"/>
    <w:rsid w:val="00A665A9"/>
    <w:pPr>
      <w:tabs>
        <w:tab w:val="clear" w:pos="567"/>
      </w:tabs>
    </w:pPr>
  </w:style>
  <w:style w:type="paragraph" w:customStyle="1" w:styleId="TableColHeadings">
    <w:name w:val="TableColHeadings"/>
    <w:basedOn w:val="Normal"/>
    <w:rsid w:val="00A665A9"/>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A665A9"/>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A665A9"/>
    <w:pPr>
      <w:spacing w:before="120"/>
    </w:pPr>
    <w:rPr>
      <w:rFonts w:cs="Arial"/>
      <w:b/>
      <w:bCs/>
    </w:rPr>
  </w:style>
  <w:style w:type="paragraph" w:styleId="TOC4">
    <w:name w:val="toc 4"/>
    <w:basedOn w:val="Normal"/>
    <w:next w:val="Normal"/>
    <w:rsid w:val="00A665A9"/>
    <w:pPr>
      <w:tabs>
        <w:tab w:val="clear" w:pos="567"/>
        <w:tab w:val="right" w:pos="8942"/>
      </w:tabs>
      <w:spacing w:after="0"/>
      <w:ind w:left="1134"/>
    </w:pPr>
  </w:style>
  <w:style w:type="paragraph" w:styleId="TOC5">
    <w:name w:val="toc 5"/>
    <w:basedOn w:val="Normal"/>
    <w:next w:val="Normal"/>
    <w:rsid w:val="00A665A9"/>
    <w:pPr>
      <w:tabs>
        <w:tab w:val="clear" w:pos="567"/>
      </w:tabs>
      <w:spacing w:after="0"/>
      <w:ind w:left="1701"/>
    </w:pPr>
    <w:rPr>
      <w:sz w:val="18"/>
      <w:szCs w:val="18"/>
    </w:rPr>
  </w:style>
  <w:style w:type="paragraph" w:styleId="TOC6">
    <w:name w:val="toc 6"/>
    <w:basedOn w:val="Normal"/>
    <w:next w:val="Normal"/>
    <w:rsid w:val="00A665A9"/>
    <w:pPr>
      <w:tabs>
        <w:tab w:val="clear" w:pos="567"/>
      </w:tabs>
      <w:spacing w:after="0"/>
      <w:ind w:left="1100"/>
    </w:pPr>
    <w:rPr>
      <w:sz w:val="18"/>
      <w:szCs w:val="18"/>
    </w:rPr>
  </w:style>
  <w:style w:type="paragraph" w:styleId="TOC7">
    <w:name w:val="toc 7"/>
    <w:basedOn w:val="Normal"/>
    <w:next w:val="Normal"/>
    <w:rsid w:val="00A665A9"/>
    <w:pPr>
      <w:tabs>
        <w:tab w:val="clear" w:pos="567"/>
      </w:tabs>
      <w:spacing w:after="0"/>
      <w:ind w:left="1320"/>
    </w:pPr>
    <w:rPr>
      <w:sz w:val="18"/>
      <w:szCs w:val="18"/>
    </w:rPr>
  </w:style>
  <w:style w:type="paragraph" w:styleId="TOC8">
    <w:name w:val="toc 8"/>
    <w:basedOn w:val="Normal"/>
    <w:next w:val="Normal"/>
    <w:rsid w:val="00A665A9"/>
    <w:pPr>
      <w:tabs>
        <w:tab w:val="clear" w:pos="567"/>
      </w:tabs>
      <w:spacing w:after="0"/>
      <w:ind w:left="1540"/>
    </w:pPr>
    <w:rPr>
      <w:sz w:val="18"/>
      <w:szCs w:val="18"/>
    </w:rPr>
  </w:style>
  <w:style w:type="paragraph" w:styleId="TOC9">
    <w:name w:val="toc 9"/>
    <w:basedOn w:val="Normal"/>
    <w:next w:val="Normal"/>
    <w:rsid w:val="00A665A9"/>
    <w:pPr>
      <w:tabs>
        <w:tab w:val="clear" w:pos="567"/>
      </w:tabs>
      <w:spacing w:after="0"/>
      <w:ind w:left="1760"/>
    </w:pPr>
    <w:rPr>
      <w:sz w:val="18"/>
      <w:szCs w:val="18"/>
    </w:rPr>
  </w:style>
  <w:style w:type="character" w:customStyle="1" w:styleId="NoSpacingChar">
    <w:name w:val="No Spacing Char"/>
    <w:basedOn w:val="DefaultParagraphFont"/>
    <w:link w:val="NoSpacing"/>
    <w:uiPriority w:val="1"/>
    <w:rsid w:val="00A665A9"/>
    <w:rPr>
      <w:sz w:val="24"/>
    </w:rPr>
  </w:style>
  <w:style w:type="paragraph" w:styleId="TOCHeading">
    <w:name w:val="TOC Heading"/>
    <w:basedOn w:val="Heading1"/>
    <w:next w:val="Normal"/>
    <w:uiPriority w:val="39"/>
    <w:unhideWhenUsed/>
    <w:rsid w:val="00A665A9"/>
    <w:pPr>
      <w:keepLines/>
      <w:pBdr>
        <w:bottom w:val="none" w:sz="0" w:space="0" w:color="auto"/>
      </w:pBdr>
      <w:spacing w:before="480" w:line="320" w:lineRule="atLeast"/>
      <w:outlineLvl w:val="9"/>
    </w:pPr>
    <w:rPr>
      <w:rFonts w:asciiTheme="majorHAnsi" w:hAnsiTheme="majorHAnsi"/>
      <w:caps w:val="0"/>
      <w:color w:val="365F91" w:themeColor="accent1" w:themeShade="BF"/>
      <w:sz w:val="28"/>
    </w:rPr>
  </w:style>
  <w:style w:type="character" w:customStyle="1" w:styleId="CGCBulletlistCharChar">
    <w:name w:val="CGC Bullet list Char Char"/>
    <w:basedOn w:val="DefaultParagraphFont"/>
    <w:link w:val="CGCBulletlist"/>
    <w:rsid w:val="00A665A9"/>
    <w:rPr>
      <w:sz w:val="24"/>
      <w:szCs w:val="20"/>
    </w:rPr>
  </w:style>
  <w:style w:type="character" w:customStyle="1" w:styleId="CGCParaNoChar">
    <w:name w:val="CGC Para No Char"/>
    <w:aliases w:val="CGC Numbered Para Char"/>
    <w:basedOn w:val="DefaultParagraphFont"/>
    <w:link w:val="CGCNumberedPara"/>
    <w:rsid w:val="00A665A9"/>
    <w:rPr>
      <w:sz w:val="24"/>
      <w:szCs w:val="24"/>
    </w:rPr>
  </w:style>
  <w:style w:type="character" w:customStyle="1" w:styleId="CGCTableFootnoteChar">
    <w:name w:val="CGC Table Footnote Char"/>
    <w:basedOn w:val="DefaultParagraphFont"/>
    <w:link w:val="CGCTableFootnote"/>
    <w:rsid w:val="00A665A9"/>
    <w:rPr>
      <w:sz w:val="20"/>
      <w:szCs w:val="24"/>
    </w:rPr>
  </w:style>
  <w:style w:type="character" w:customStyle="1" w:styleId="CGCTableHeadingChar">
    <w:name w:val="CGC Table Heading Char"/>
    <w:basedOn w:val="DefaultParagraphFont"/>
    <w:link w:val="CGCTableHeading"/>
    <w:rsid w:val="00A665A9"/>
    <w:rPr>
      <w:b/>
      <w:sz w:val="24"/>
      <w:szCs w:val="20"/>
    </w:rPr>
  </w:style>
  <w:style w:type="character" w:customStyle="1" w:styleId="CGCTableStubChar">
    <w:name w:val="CGC Table Stub Char"/>
    <w:basedOn w:val="DefaultParagraphFont"/>
    <w:link w:val="CGCTableStub"/>
    <w:rsid w:val="00A665A9"/>
    <w:rPr>
      <w:sz w:val="20"/>
      <w:szCs w:val="20"/>
    </w:rPr>
  </w:style>
  <w:style w:type="character" w:customStyle="1" w:styleId="TableRowNormalChar">
    <w:name w:val="TableRowNormal Char"/>
    <w:basedOn w:val="DefaultParagraphFont"/>
    <w:link w:val="TableRowNormal"/>
    <w:locked/>
    <w:rsid w:val="00A665A9"/>
    <w:rPr>
      <w:sz w:val="20"/>
      <w:szCs w:val="20"/>
    </w:rPr>
  </w:style>
  <w:style w:type="character" w:customStyle="1" w:styleId="CGCBulletlistChar">
    <w:name w:val="CGC Bullet list Char"/>
    <w:aliases w:val="CGC List 1 Char,CGC Bullet list Char1"/>
    <w:basedOn w:val="DefaultParagraphFont"/>
    <w:locked/>
    <w:rsid w:val="00A665A9"/>
    <w:rPr>
      <w:sz w:val="24"/>
      <w:szCs w:val="20"/>
    </w:rPr>
  </w:style>
  <w:style w:type="character" w:customStyle="1" w:styleId="CGCSubbulletlistChar">
    <w:name w:val="CGC Sub bullet list Char"/>
    <w:aliases w:val="CGC List 2 Char"/>
    <w:basedOn w:val="DefaultParagraphFont"/>
    <w:link w:val="CGCSubbulletlist"/>
    <w:locked/>
    <w:rsid w:val="00A665A9"/>
    <w:rPr>
      <w:sz w:val="24"/>
      <w:szCs w:val="20"/>
    </w:rPr>
  </w:style>
  <w:style w:type="paragraph" w:customStyle="1" w:styleId="h1num">
    <w:name w:val="h1num"/>
    <w:basedOn w:val="Normal"/>
    <w:rsid w:val="00A665A9"/>
    <w:pPr>
      <w:keepNext/>
      <w:pBdr>
        <w:bottom w:val="single" w:sz="6" w:space="1" w:color="auto"/>
      </w:pBdr>
      <w:tabs>
        <w:tab w:val="clear" w:pos="567"/>
      </w:tabs>
      <w:spacing w:before="2400" w:after="200" w:line="240" w:lineRule="auto"/>
      <w:outlineLvl w:val="0"/>
    </w:pPr>
    <w:rPr>
      <w:rFonts w:eastAsia="Times New Roman" w:cs="Arial"/>
      <w:b/>
      <w:bCs/>
      <w:caps/>
      <w:color w:val="329664"/>
      <w:sz w:val="40"/>
      <w:szCs w:val="32"/>
    </w:rPr>
  </w:style>
  <w:style w:type="character" w:customStyle="1" w:styleId="SingleChar">
    <w:name w:val="Single Char"/>
    <w:basedOn w:val="DefaultParagraphFont"/>
    <w:link w:val="Single"/>
    <w:locked/>
    <w:rsid w:val="00A665A9"/>
    <w:rPr>
      <w:sz w:val="24"/>
    </w:rPr>
  </w:style>
  <w:style w:type="paragraph" w:customStyle="1" w:styleId="StyleBodyText2Body">
    <w:name w:val="Style Body Text 2 + +Body"/>
    <w:basedOn w:val="BodyText2"/>
    <w:rsid w:val="00A665A9"/>
    <w:pPr>
      <w:keepNext/>
      <w:keepLines/>
      <w:tabs>
        <w:tab w:val="clear" w:pos="567"/>
        <w:tab w:val="left" w:pos="1440"/>
        <w:tab w:val="left" w:pos="2160"/>
        <w:tab w:val="left" w:pos="2880"/>
      </w:tabs>
      <w:spacing w:before="60" w:after="60" w:line="240" w:lineRule="auto"/>
    </w:pPr>
    <w:rPr>
      <w:rFonts w:eastAsia="Times New Roman" w:cs="Times New Roman"/>
      <w:sz w:val="20"/>
      <w:szCs w:val="24"/>
    </w:rPr>
  </w:style>
  <w:style w:type="paragraph" w:styleId="BodyText2">
    <w:name w:val="Body Text 2"/>
    <w:basedOn w:val="Normal"/>
    <w:link w:val="BodyText2Char"/>
    <w:rsid w:val="00A665A9"/>
    <w:pPr>
      <w:spacing w:after="120" w:line="480" w:lineRule="auto"/>
    </w:pPr>
  </w:style>
  <w:style w:type="character" w:customStyle="1" w:styleId="BodyText2Char">
    <w:name w:val="Body Text 2 Char"/>
    <w:basedOn w:val="DefaultParagraphFont"/>
    <w:link w:val="BodyText2"/>
    <w:rsid w:val="00A665A9"/>
    <w:rPr>
      <w:sz w:val="24"/>
    </w:rPr>
  </w:style>
  <w:style w:type="paragraph" w:customStyle="1" w:styleId="Default">
    <w:name w:val="Default"/>
    <w:rsid w:val="00A665A9"/>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link w:val="TitleChar"/>
    <w:uiPriority w:val="10"/>
    <w:rsid w:val="00A665A9"/>
    <w:pPr>
      <w:spacing w:before="120" w:after="360" w:line="240" w:lineRule="auto"/>
      <w:jc w:val="right"/>
    </w:pPr>
    <w:rPr>
      <w:rFonts w:ascii="Tahoma" w:eastAsia="Batang" w:hAnsi="Tahoma" w:cs="Times New Roman"/>
      <w:sz w:val="48"/>
      <w:szCs w:val="24"/>
      <w:lang w:eastAsia="ko-KR"/>
    </w:rPr>
  </w:style>
  <w:style w:type="character" w:customStyle="1" w:styleId="TitleChar">
    <w:name w:val="Title Char"/>
    <w:basedOn w:val="DefaultParagraphFont"/>
    <w:link w:val="Title"/>
    <w:uiPriority w:val="10"/>
    <w:rsid w:val="00A665A9"/>
    <w:rPr>
      <w:rFonts w:ascii="Tahoma" w:eastAsia="Batang" w:hAnsi="Tahoma" w:cs="Times New Roman"/>
      <w:sz w:val="48"/>
      <w:szCs w:val="24"/>
      <w:lang w:eastAsia="ko-KR"/>
    </w:rPr>
  </w:style>
  <w:style w:type="paragraph" w:styleId="Revision">
    <w:name w:val="Revision"/>
    <w:hidden/>
    <w:uiPriority w:val="99"/>
    <w:semiHidden/>
    <w:rsid w:val="00A665A9"/>
    <w:pPr>
      <w:spacing w:after="0" w:line="240" w:lineRule="auto"/>
    </w:pPr>
    <w:rPr>
      <w:sz w:val="24"/>
      <w:szCs w:val="24"/>
    </w:rPr>
  </w:style>
  <w:style w:type="character" w:styleId="Strong">
    <w:name w:val="Strong"/>
    <w:basedOn w:val="DefaultParagraphFont"/>
    <w:uiPriority w:val="22"/>
    <w:rsid w:val="00A665A9"/>
    <w:rPr>
      <w:b/>
      <w:bCs/>
    </w:rPr>
  </w:style>
  <w:style w:type="character" w:customStyle="1" w:styleId="apple-converted-space">
    <w:name w:val="apple-converted-space"/>
    <w:basedOn w:val="DefaultParagraphFont"/>
    <w:rsid w:val="00A665A9"/>
  </w:style>
  <w:style w:type="paragraph" w:customStyle="1" w:styleId="Style1">
    <w:name w:val="Style1"/>
    <w:basedOn w:val="CGCBulletlist"/>
    <w:link w:val="Style1Char"/>
    <w:rsid w:val="00A665A9"/>
    <w:pPr>
      <w:numPr>
        <w:numId w:val="0"/>
      </w:numPr>
      <w:tabs>
        <w:tab w:val="left" w:pos="1134"/>
      </w:tabs>
      <w:ind w:left="1134" w:hanging="567"/>
    </w:pPr>
  </w:style>
  <w:style w:type="character" w:customStyle="1" w:styleId="Style1Char">
    <w:name w:val="Style1 Char"/>
    <w:basedOn w:val="CGCBulletlistCharChar"/>
    <w:link w:val="Style1"/>
    <w:rsid w:val="00A665A9"/>
    <w:rPr>
      <w:sz w:val="24"/>
      <w:szCs w:val="20"/>
    </w:rPr>
  </w:style>
  <w:style w:type="character" w:customStyle="1" w:styleId="CGCNumberedParaOldHeading2Char">
    <w:name w:val="CGC Numbered Para (Old Heading 2) Char"/>
    <w:basedOn w:val="DefaultParagraphFont"/>
    <w:link w:val="CGCNumberedParaOldHeading2"/>
    <w:locked/>
    <w:rsid w:val="00C20E52"/>
    <w:rPr>
      <w:rFonts w:ascii="Times New Roman" w:hAnsi="Times New Roman" w:cs="Times New Roman"/>
      <w:sz w:val="24"/>
      <w:szCs w:val="24"/>
    </w:rPr>
  </w:style>
  <w:style w:type="paragraph" w:customStyle="1" w:styleId="CGCNumberedParaOldHeading2">
    <w:name w:val="CGC Numbered Para (Old Heading 2)"/>
    <w:basedOn w:val="Normal"/>
    <w:link w:val="CGCNumberedParaOldHeading2Char"/>
    <w:rsid w:val="00C20E52"/>
    <w:pPr>
      <w:tabs>
        <w:tab w:val="num" w:pos="567"/>
      </w:tabs>
      <w:ind w:left="567" w:hanging="567"/>
    </w:pPr>
    <w:rPr>
      <w:rFonts w:ascii="Times New Roman" w:hAnsi="Times New Roman" w:cs="Times New Roman"/>
      <w:szCs w:val="24"/>
    </w:rPr>
  </w:style>
  <w:style w:type="paragraph" w:customStyle="1" w:styleId="TableColumnHeadingLeft">
    <w:name w:val="Table Column Heading Left"/>
    <w:basedOn w:val="Normal"/>
    <w:uiPriority w:val="99"/>
    <w:rsid w:val="00C20E52"/>
    <w:pPr>
      <w:tabs>
        <w:tab w:val="clear" w:pos="567"/>
      </w:tabs>
      <w:spacing w:before="40" w:after="40" w:line="240" w:lineRule="auto"/>
      <w:jc w:val="both"/>
    </w:pPr>
    <w:rPr>
      <w:rFonts w:ascii="Consolas" w:eastAsia="Times New Roman" w:hAnsi="Consolas" w:cs="Times New Roman"/>
      <w:b/>
      <w:color w:val="3D4B67"/>
      <w:sz w:val="22"/>
      <w:szCs w:val="20"/>
      <w:lang w:eastAsia="en-AU"/>
    </w:rPr>
  </w:style>
  <w:style w:type="paragraph" w:customStyle="1" w:styleId="TableTextLeft">
    <w:name w:val="Table Text Left"/>
    <w:basedOn w:val="Normal"/>
    <w:uiPriority w:val="99"/>
    <w:rsid w:val="00C20E52"/>
    <w:pPr>
      <w:tabs>
        <w:tab w:val="clear" w:pos="567"/>
      </w:tabs>
      <w:spacing w:before="40" w:after="40" w:line="240" w:lineRule="auto"/>
      <w:jc w:val="both"/>
    </w:pPr>
    <w:rPr>
      <w:rFonts w:ascii="Corbel" w:eastAsia="Times New Roman" w:hAnsi="Corbel" w:cs="Times New Roman"/>
      <w:color w:val="000000"/>
      <w:sz w:val="21"/>
      <w:szCs w:val="20"/>
      <w:lang w:eastAsia="en-AU"/>
    </w:rPr>
  </w:style>
  <w:style w:type="paragraph" w:customStyle="1" w:styleId="ScheduleNumberedPara">
    <w:name w:val="ScheduleNumberedPara"/>
    <w:basedOn w:val="Normal"/>
    <w:uiPriority w:val="99"/>
    <w:rsid w:val="00C20E52"/>
    <w:pPr>
      <w:numPr>
        <w:ilvl w:val="1"/>
        <w:numId w:val="17"/>
      </w:numPr>
      <w:spacing w:after="240" w:line="260" w:lineRule="exact"/>
      <w:jc w:val="both"/>
    </w:pPr>
    <w:rPr>
      <w:rFonts w:ascii="Corbel" w:eastAsia="Times New Roman" w:hAnsi="Corbel" w:cs="Times New Roman"/>
      <w:color w:val="000000"/>
      <w:sz w:val="23"/>
      <w:szCs w:val="20"/>
      <w:lang w:eastAsia="en-AU"/>
    </w:rPr>
  </w:style>
  <w:style w:type="paragraph" w:customStyle="1" w:styleId="CharCharCharCharCharChar">
    <w:name w:val="Char Char Char Char Char Char"/>
    <w:basedOn w:val="Normal"/>
    <w:uiPriority w:val="99"/>
    <w:rsid w:val="00C20E52"/>
    <w:pPr>
      <w:tabs>
        <w:tab w:val="clear" w:pos="567"/>
      </w:tabs>
      <w:spacing w:after="160" w:line="240" w:lineRule="exact"/>
    </w:pPr>
    <w:rPr>
      <w:rFonts w:ascii="Verdana" w:eastAsia="Times New Roman" w:hAnsi="Verdana" w:cs="Times New Roman"/>
      <w:sz w:val="20"/>
      <w:szCs w:val="24"/>
      <w:lang w:val="en-US"/>
    </w:rPr>
  </w:style>
  <w:style w:type="paragraph" w:customStyle="1" w:styleId="AlphaParagraph">
    <w:name w:val="Alpha Paragraph"/>
    <w:basedOn w:val="Normal"/>
    <w:rsid w:val="00C20E52"/>
    <w:pPr>
      <w:numPr>
        <w:numId w:val="18"/>
      </w:numPr>
      <w:tabs>
        <w:tab w:val="clear" w:pos="567"/>
      </w:tabs>
      <w:spacing w:after="240" w:line="260" w:lineRule="exact"/>
      <w:jc w:val="both"/>
    </w:pPr>
    <w:rPr>
      <w:rFonts w:ascii="Corbel" w:eastAsia="Times New Roman" w:hAnsi="Corbel" w:cs="Times New Roman"/>
      <w:color w:val="000000"/>
      <w:sz w:val="23"/>
      <w:szCs w:val="20"/>
      <w:lang w:eastAsia="en-AU"/>
    </w:rPr>
  </w:style>
  <w:style w:type="paragraph" w:customStyle="1" w:styleId="SingleParagraph">
    <w:name w:val="Single Paragraph"/>
    <w:basedOn w:val="Normal"/>
    <w:rsid w:val="00C20E52"/>
    <w:pPr>
      <w:tabs>
        <w:tab w:val="clear" w:pos="567"/>
      </w:tabs>
      <w:spacing w:after="0" w:line="240" w:lineRule="auto"/>
    </w:pPr>
    <w:rPr>
      <w:rFonts w:ascii="Palatino" w:eastAsia="Times New Roman" w:hAnsi="Palatino" w:cs="Times New Roman"/>
      <w:szCs w:val="20"/>
      <w:lang w:eastAsia="en-AU"/>
    </w:rPr>
  </w:style>
  <w:style w:type="paragraph" w:customStyle="1" w:styleId="Addressee">
    <w:name w:val="Addressee"/>
    <w:basedOn w:val="Normal"/>
    <w:rsid w:val="00C20E52"/>
    <w:pPr>
      <w:tabs>
        <w:tab w:val="clear" w:pos="567"/>
      </w:tabs>
      <w:spacing w:after="0" w:line="240" w:lineRule="auto"/>
    </w:pPr>
    <w:rPr>
      <w:rFonts w:ascii="Times New Roman" w:eastAsia="Times New Roman" w:hAnsi="Times New Roman" w:cs="Times New Roman"/>
      <w:szCs w:val="24"/>
      <w:lang w:eastAsia="en-AU"/>
    </w:rPr>
  </w:style>
  <w:style w:type="paragraph" w:styleId="Salutation">
    <w:name w:val="Salutation"/>
    <w:basedOn w:val="Normal"/>
    <w:next w:val="Normal"/>
    <w:link w:val="SalutationChar"/>
    <w:rsid w:val="00C20E52"/>
    <w:pPr>
      <w:tabs>
        <w:tab w:val="clear" w:pos="567"/>
      </w:tabs>
      <w:spacing w:before="480" w:after="240" w:line="240" w:lineRule="auto"/>
    </w:pPr>
    <w:rPr>
      <w:rFonts w:ascii="Times New Roman" w:eastAsia="Times New Roman" w:hAnsi="Times New Roman" w:cs="Times New Roman"/>
      <w:szCs w:val="24"/>
      <w:lang w:eastAsia="en-AU"/>
    </w:rPr>
  </w:style>
  <w:style w:type="character" w:customStyle="1" w:styleId="SalutationChar">
    <w:name w:val="Salutation Char"/>
    <w:basedOn w:val="DefaultParagraphFont"/>
    <w:link w:val="Salutation"/>
    <w:rsid w:val="00C20E52"/>
    <w:rPr>
      <w:rFonts w:ascii="Times New Roman" w:eastAsia="Times New Roman" w:hAnsi="Times New Roman" w:cs="Times New Roman"/>
      <w:sz w:val="24"/>
      <w:szCs w:val="24"/>
      <w:lang w:eastAsia="en-AU"/>
    </w:rPr>
  </w:style>
  <w:style w:type="paragraph" w:customStyle="1" w:styleId="Signaturename">
    <w:name w:val="Signature name"/>
    <w:basedOn w:val="Normal"/>
    <w:rsid w:val="00C20E52"/>
    <w:pPr>
      <w:tabs>
        <w:tab w:val="clear" w:pos="567"/>
      </w:tabs>
      <w:spacing w:after="0" w:line="240" w:lineRule="auto"/>
    </w:pPr>
    <w:rPr>
      <w:rFonts w:ascii="Times New Roman" w:eastAsia="Times New Roman" w:hAnsi="Times New Roman" w:cs="Times New Roman"/>
      <w:caps/>
      <w:szCs w:val="24"/>
      <w:lang w:eastAsia="en-AU"/>
    </w:rPr>
  </w:style>
  <w:style w:type="paragraph" w:styleId="Closing">
    <w:name w:val="Closing"/>
    <w:basedOn w:val="Normal"/>
    <w:link w:val="ClosingChar"/>
    <w:rsid w:val="00C20E52"/>
    <w:pPr>
      <w:tabs>
        <w:tab w:val="clear" w:pos="567"/>
      </w:tabs>
      <w:spacing w:before="240" w:after="1200" w:line="240" w:lineRule="auto"/>
    </w:pPr>
    <w:rPr>
      <w:rFonts w:ascii="Times New Roman" w:eastAsia="Times New Roman" w:hAnsi="Times New Roman" w:cs="Times New Roman"/>
      <w:szCs w:val="24"/>
      <w:lang w:eastAsia="en-AU"/>
    </w:rPr>
  </w:style>
  <w:style w:type="character" w:customStyle="1" w:styleId="ClosingChar">
    <w:name w:val="Closing Char"/>
    <w:basedOn w:val="DefaultParagraphFont"/>
    <w:link w:val="Closing"/>
    <w:rsid w:val="00C20E52"/>
    <w:rPr>
      <w:rFonts w:ascii="Times New Roman" w:eastAsia="Times New Roman" w:hAnsi="Times New Roman" w:cs="Times New Roman"/>
      <w:sz w:val="24"/>
      <w:szCs w:val="24"/>
      <w:lang w:eastAsia="en-AU"/>
    </w:rPr>
  </w:style>
  <w:style w:type="paragraph" w:customStyle="1" w:styleId="Crest">
    <w:name w:val="Crest"/>
    <w:basedOn w:val="Normal"/>
    <w:rsid w:val="00C20E52"/>
    <w:pPr>
      <w:tabs>
        <w:tab w:val="clear" w:pos="567"/>
      </w:tabs>
      <w:spacing w:before="480" w:after="120" w:line="240" w:lineRule="auto"/>
      <w:jc w:val="center"/>
    </w:pPr>
    <w:rPr>
      <w:rFonts w:ascii="Times New Roman" w:eastAsia="Times New Roman" w:hAnsi="Times New Roman" w:cs="Times New Roman"/>
      <w:szCs w:val="24"/>
      <w:lang w:eastAsia="en-AU"/>
    </w:rPr>
  </w:style>
  <w:style w:type="paragraph" w:customStyle="1" w:styleId="Area">
    <w:name w:val="Area"/>
    <w:basedOn w:val="Normal"/>
    <w:rsid w:val="00C20E52"/>
    <w:pPr>
      <w:tabs>
        <w:tab w:val="clear" w:pos="567"/>
      </w:tabs>
      <w:spacing w:after="0" w:line="240" w:lineRule="auto"/>
      <w:jc w:val="right"/>
    </w:pPr>
    <w:rPr>
      <w:rFonts w:ascii="Times New Roman" w:eastAsia="Times New Roman" w:hAnsi="Times New Roman" w:cs="Times New Roman"/>
      <w:b/>
      <w:caps/>
      <w:sz w:val="28"/>
      <w:szCs w:val="28"/>
      <w:lang w:eastAsia="en-AU"/>
    </w:rPr>
  </w:style>
  <w:style w:type="paragraph" w:customStyle="1" w:styleId="Contact">
    <w:name w:val="Contact"/>
    <w:basedOn w:val="Normal"/>
    <w:rsid w:val="00C20E52"/>
    <w:pPr>
      <w:tabs>
        <w:tab w:val="clear" w:pos="567"/>
      </w:tabs>
      <w:spacing w:after="120" w:line="240" w:lineRule="auto"/>
      <w:contextualSpacing/>
      <w:jc w:val="right"/>
    </w:pPr>
    <w:rPr>
      <w:rFonts w:ascii="Times" w:eastAsia="Times New Roman" w:hAnsi="Times" w:cs="Times New Roman"/>
      <w:b/>
      <w:sz w:val="16"/>
      <w:szCs w:val="16"/>
      <w:lang w:eastAsia="en-AU"/>
    </w:rPr>
  </w:style>
  <w:style w:type="paragraph" w:customStyle="1" w:styleId="ParliamentHouse">
    <w:name w:val="Parliament House"/>
    <w:basedOn w:val="Normal"/>
    <w:rsid w:val="00C20E52"/>
    <w:pPr>
      <w:tabs>
        <w:tab w:val="clear" w:pos="567"/>
      </w:tabs>
      <w:spacing w:before="240" w:after="120" w:line="240" w:lineRule="auto"/>
      <w:contextualSpacing/>
      <w:jc w:val="right"/>
    </w:pPr>
    <w:rPr>
      <w:rFonts w:ascii="Times New Roman" w:eastAsia="Times New Roman" w:hAnsi="Times New Roman" w:cs="Times New Roman"/>
      <w:b/>
      <w:caps/>
      <w:sz w:val="16"/>
      <w:szCs w:val="16"/>
      <w:lang w:eastAsia="en-AU"/>
    </w:rPr>
  </w:style>
  <w:style w:type="paragraph" w:customStyle="1" w:styleId="URL">
    <w:name w:val="URL"/>
    <w:basedOn w:val="Normal"/>
    <w:rsid w:val="00C20E52"/>
    <w:pPr>
      <w:tabs>
        <w:tab w:val="clear" w:pos="567"/>
      </w:tabs>
      <w:spacing w:after="120" w:line="240" w:lineRule="auto"/>
      <w:jc w:val="right"/>
    </w:pPr>
    <w:rPr>
      <w:rFonts w:ascii="Times New Roman" w:eastAsia="Times New Roman" w:hAnsi="Times New Roman" w:cs="Times New Roman"/>
      <w:b/>
      <w:sz w:val="16"/>
      <w:szCs w:val="16"/>
      <w:lang w:eastAsia="en-AU"/>
    </w:rPr>
  </w:style>
  <w:style w:type="table" w:customStyle="1" w:styleId="TableGrid1">
    <w:name w:val="Table Grid1"/>
    <w:basedOn w:val="TableNormal"/>
    <w:next w:val="TableGrid"/>
    <w:uiPriority w:val="99"/>
    <w:rsid w:val="00C20E52"/>
    <w:pPr>
      <w:tabs>
        <w:tab w:val="left" w:pos="1418"/>
        <w:tab w:val="left" w:pos="2268"/>
        <w:tab w:val="left" w:pos="2835"/>
      </w:tabs>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rsid w:val="00C20E52"/>
    <w:rPr>
      <w:rFonts w:cs="Times New Roman"/>
    </w:rPr>
  </w:style>
  <w:style w:type="table" w:customStyle="1" w:styleId="TableGrid2">
    <w:name w:val="Table Grid2"/>
    <w:basedOn w:val="TableNormal"/>
    <w:next w:val="TableGrid"/>
    <w:rsid w:val="00C20E52"/>
    <w:pPr>
      <w:tabs>
        <w:tab w:val="left" w:pos="1418"/>
        <w:tab w:val="left" w:pos="2268"/>
        <w:tab w:val="left" w:pos="2835"/>
      </w:tabs>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20E52"/>
    <w:pPr>
      <w:tabs>
        <w:tab w:val="left" w:pos="1418"/>
        <w:tab w:val="left" w:pos="2268"/>
        <w:tab w:val="left" w:pos="2835"/>
      </w:tabs>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C20E52"/>
    <w:pPr>
      <w:tabs>
        <w:tab w:val="left" w:pos="1418"/>
        <w:tab w:val="left" w:pos="2268"/>
        <w:tab w:val="left" w:pos="2835"/>
      </w:tabs>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1">
    <w:name w:val="Heading 7 Char1"/>
    <w:aliases w:val="(Do Not Use) Char1,top section heading Char1,(TopSection) Char1"/>
    <w:basedOn w:val="DefaultParagraphFont"/>
    <w:semiHidden/>
    <w:rsid w:val="00C20E52"/>
    <w:rPr>
      <w:rFonts w:asciiTheme="majorHAnsi" w:eastAsiaTheme="majorEastAsia" w:hAnsiTheme="majorHAnsi" w:cstheme="majorBidi"/>
      <w:i/>
      <w:iCs/>
      <w:color w:val="404040" w:themeColor="text1" w:themeTint="BF"/>
      <w:sz w:val="24"/>
      <w:szCs w:val="22"/>
    </w:rPr>
  </w:style>
  <w:style w:type="character" w:customStyle="1" w:styleId="Heading8Char1">
    <w:name w:val="Heading 8 Char1"/>
    <w:aliases w:val="(Do not use) Char1,(Sub-section Nos) Char1"/>
    <w:basedOn w:val="DefaultParagraphFont"/>
    <w:semiHidden/>
    <w:rsid w:val="00C20E52"/>
    <w:rPr>
      <w:rFonts w:asciiTheme="majorHAnsi" w:eastAsiaTheme="majorEastAsia" w:hAnsiTheme="majorHAnsi" w:cstheme="majorBidi"/>
      <w:color w:val="404040" w:themeColor="text1" w:themeTint="BF"/>
    </w:rPr>
  </w:style>
  <w:style w:type="character" w:customStyle="1" w:styleId="Heading9Char1">
    <w:name w:val="Heading 9 Char1"/>
    <w:aliases w:val="Heading 9 (Do not use) Char1,(Subsubsection Nos) Char1"/>
    <w:basedOn w:val="DefaultParagraphFont"/>
    <w:semiHidden/>
    <w:rsid w:val="00C20E52"/>
    <w:rPr>
      <w:rFonts w:asciiTheme="majorHAnsi" w:eastAsiaTheme="majorEastAsia" w:hAnsiTheme="majorHAnsi" w:cstheme="majorBidi"/>
      <w:i/>
      <w:iCs/>
      <w:color w:val="404040" w:themeColor="text1" w:themeTint="BF"/>
    </w:rPr>
  </w:style>
  <w:style w:type="paragraph" w:customStyle="1" w:styleId="Heading2Alt">
    <w:name w:val="Heading 2 Alt"/>
    <w:basedOn w:val="Heading2"/>
    <w:link w:val="Heading2AltChar"/>
    <w:rsid w:val="00C20E52"/>
    <w:pPr>
      <w:widowControl/>
      <w:tabs>
        <w:tab w:val="clear" w:pos="567"/>
      </w:tabs>
      <w:spacing w:before="0"/>
    </w:pPr>
    <w:rPr>
      <w:rFonts w:eastAsia="Times New Roman" w:cs="Times New Roman"/>
      <w:bCs w:val="0"/>
      <w:color w:val="329664"/>
      <w:szCs w:val="40"/>
    </w:rPr>
  </w:style>
  <w:style w:type="paragraph" w:customStyle="1" w:styleId="Heading3Alt">
    <w:name w:val="Heading 3 Alt"/>
    <w:basedOn w:val="Heading3"/>
    <w:link w:val="Heading3AltChar"/>
    <w:rsid w:val="00C20E52"/>
    <w:pPr>
      <w:widowControl/>
      <w:tabs>
        <w:tab w:val="clear" w:pos="567"/>
      </w:tabs>
    </w:pPr>
    <w:rPr>
      <w:rFonts w:eastAsia="Times New Roman" w:cs="Times New Roman"/>
      <w:bCs w:val="0"/>
      <w:color w:val="329664"/>
      <w:sz w:val="24"/>
      <w:szCs w:val="20"/>
    </w:rPr>
  </w:style>
  <w:style w:type="character" w:customStyle="1" w:styleId="Heading2AltChar">
    <w:name w:val="Heading 2 Alt Char"/>
    <w:basedOn w:val="Heading2Char"/>
    <w:link w:val="Heading2Alt"/>
    <w:rsid w:val="00C20E52"/>
    <w:rPr>
      <w:rFonts w:eastAsia="Times New Roman" w:cs="Times New Roman"/>
      <w:b/>
      <w:bCs w:val="0"/>
      <w:caps/>
      <w:color w:val="329664"/>
      <w:sz w:val="40"/>
      <w:szCs w:val="40"/>
    </w:rPr>
  </w:style>
  <w:style w:type="character" w:customStyle="1" w:styleId="Heading3AltChar">
    <w:name w:val="Heading 3 Alt Char"/>
    <w:basedOn w:val="Heading3Char"/>
    <w:link w:val="Heading3Alt"/>
    <w:rsid w:val="00C20E52"/>
    <w:rPr>
      <w:rFonts w:eastAsia="Times New Roman" w:cs="Times New Roman"/>
      <w:b/>
      <w:bCs w:val="0"/>
      <w:caps/>
      <w:color w:val="329664"/>
      <w:sz w:val="24"/>
      <w:szCs w:val="20"/>
    </w:rPr>
  </w:style>
  <w:style w:type="paragraph" w:customStyle="1" w:styleId="StyleLatinCalibri10ptAfter0ptLinespacingsingle">
    <w:name w:val="Style (Latin) Calibri 10 pt After:  0 pt Line spacing:  single"/>
    <w:basedOn w:val="Normal"/>
    <w:rsid w:val="00C20E52"/>
    <w:pPr>
      <w:keepNext/>
      <w:spacing w:after="0" w:line="240" w:lineRule="auto"/>
    </w:pPr>
    <w:rPr>
      <w:rFonts w:ascii="Calibri" w:eastAsia="Times New Roman"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80" w:line="3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unhideWhenUsed="0"/>
    <w:lsdException w:name="heading 8" w:uiPriority="0" w:unhideWhenUsed="0"/>
    <w:lsdException w:name="heading 9" w:uiPriority="0" w:unhideWhenUsed="0"/>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lsdException w:name="table of figures" w:uiPriority="0"/>
    <w:lsdException w:name="footnote reference" w:uiPriority="0" w:qFormat="1"/>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Title" w:uiPriority="10" w:unhideWhenUsed="0" w:qFormat="1"/>
    <w:lsdException w:name="Closing" w:uiPriority="0"/>
    <w:lsdException w:name="Default Paragraph Font" w:uiPriority="1"/>
    <w:lsdException w:name="Subtitle" w:uiPriority="11" w:unhideWhenUsed="0" w:qFormat="1"/>
    <w:lsdException w:name="Salutation" w:uiPriority="0"/>
    <w:lsdException w:name="Body Text 2" w:uiPriority="0"/>
    <w:lsdException w:name="Strong" w:uiPriority="22" w:unhideWhenUsed="0" w:qFormat="1"/>
    <w:lsdException w:name="Emphasis"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latentStyles>
  <w:style w:type="paragraph" w:default="1" w:styleId="Normal">
    <w:name w:val="Normal"/>
    <w:qFormat/>
    <w:rsid w:val="00526FCD"/>
    <w:pPr>
      <w:tabs>
        <w:tab w:val="left" w:pos="567"/>
      </w:tabs>
    </w:pPr>
    <w:rPr>
      <w:sz w:val="24"/>
    </w:rPr>
  </w:style>
  <w:style w:type="paragraph" w:styleId="Heading1">
    <w:name w:val="heading 1"/>
    <w:basedOn w:val="Normal"/>
    <w:next w:val="Heading2"/>
    <w:link w:val="Heading1Char"/>
    <w:uiPriority w:val="9"/>
    <w:qFormat/>
    <w:rsid w:val="00526FCD"/>
    <w:pPr>
      <w:keepNext/>
      <w:widowControl w:val="0"/>
      <w:pBdr>
        <w:bottom w:val="single" w:sz="4" w:space="1" w:color="auto"/>
      </w:pBdr>
      <w:spacing w:before="800" w:after="0" w:line="240" w:lineRule="auto"/>
      <w:outlineLvl w:val="0"/>
    </w:pPr>
    <w:rPr>
      <w:rFonts w:eastAsiaTheme="majorEastAsia" w:cstheme="majorBidi"/>
      <w:b/>
      <w:bCs/>
      <w:caps/>
      <w:color w:val="2C8558"/>
      <w:sz w:val="40"/>
      <w:szCs w:val="28"/>
    </w:rPr>
  </w:style>
  <w:style w:type="paragraph" w:styleId="Heading2">
    <w:name w:val="heading 2"/>
    <w:basedOn w:val="Normal"/>
    <w:next w:val="Heading3"/>
    <w:link w:val="Heading2Char"/>
    <w:uiPriority w:val="9"/>
    <w:qFormat/>
    <w:rsid w:val="00526FCD"/>
    <w:pPr>
      <w:keepNext/>
      <w:widowControl w:val="0"/>
      <w:spacing w:before="100" w:after="720" w:line="240" w:lineRule="auto"/>
      <w:outlineLvl w:val="1"/>
    </w:pPr>
    <w:rPr>
      <w:rFonts w:eastAsiaTheme="majorEastAsia" w:cstheme="majorBidi"/>
      <w:b/>
      <w:bCs/>
      <w:caps/>
      <w:color w:val="2C8558"/>
      <w:sz w:val="40"/>
      <w:szCs w:val="26"/>
    </w:rPr>
  </w:style>
  <w:style w:type="paragraph" w:styleId="Heading3">
    <w:name w:val="heading 3"/>
    <w:basedOn w:val="Normal"/>
    <w:next w:val="Heading4"/>
    <w:link w:val="Heading3Char"/>
    <w:uiPriority w:val="9"/>
    <w:qFormat/>
    <w:rsid w:val="00526FCD"/>
    <w:pPr>
      <w:keepNext/>
      <w:widowControl w:val="0"/>
      <w:spacing w:before="600" w:after="200" w:line="240" w:lineRule="auto"/>
      <w:outlineLvl w:val="2"/>
    </w:pPr>
    <w:rPr>
      <w:rFonts w:eastAsiaTheme="majorEastAsia" w:cstheme="majorBidi"/>
      <w:b/>
      <w:bCs/>
      <w:caps/>
      <w:color w:val="2C8558"/>
      <w:sz w:val="32"/>
    </w:rPr>
  </w:style>
  <w:style w:type="paragraph" w:styleId="Heading4">
    <w:name w:val="heading 4"/>
    <w:basedOn w:val="Normal"/>
    <w:next w:val="Heading5"/>
    <w:link w:val="Heading4Char"/>
    <w:uiPriority w:val="9"/>
    <w:qFormat/>
    <w:rsid w:val="00526FCD"/>
    <w:pPr>
      <w:keepNext/>
      <w:widowControl w:val="0"/>
      <w:spacing w:before="300" w:after="40" w:line="240" w:lineRule="auto"/>
      <w:outlineLvl w:val="3"/>
    </w:pPr>
    <w:rPr>
      <w:rFonts w:eastAsiaTheme="majorEastAsia" w:cstheme="majorBidi"/>
      <w:b/>
      <w:bCs/>
      <w:iCs/>
      <w:color w:val="2C8558"/>
      <w:sz w:val="32"/>
    </w:rPr>
  </w:style>
  <w:style w:type="paragraph" w:styleId="Heading5">
    <w:name w:val="heading 5"/>
    <w:basedOn w:val="Normal"/>
    <w:next w:val="Heading6"/>
    <w:link w:val="Heading5Char"/>
    <w:uiPriority w:val="9"/>
    <w:qFormat/>
    <w:rsid w:val="00526FCD"/>
    <w:pPr>
      <w:keepNext/>
      <w:tabs>
        <w:tab w:val="clear" w:pos="567"/>
      </w:tabs>
      <w:spacing w:before="300" w:after="40" w:line="240" w:lineRule="auto"/>
      <w:outlineLvl w:val="4"/>
    </w:pPr>
    <w:rPr>
      <w:rFonts w:eastAsiaTheme="majorEastAsia" w:cstheme="majorBidi"/>
      <w:b/>
      <w:i/>
      <w:color w:val="2C8558"/>
      <w:sz w:val="28"/>
    </w:rPr>
  </w:style>
  <w:style w:type="paragraph" w:styleId="Heading6">
    <w:name w:val="heading 6"/>
    <w:aliases w:val="(Not In Use), Section heading,Section heading"/>
    <w:basedOn w:val="Normal"/>
    <w:next w:val="Normal"/>
    <w:link w:val="Heading6Char"/>
    <w:qFormat/>
    <w:rsid w:val="00526FCD"/>
    <w:pPr>
      <w:keepNext/>
      <w:keepLines/>
      <w:spacing w:before="120"/>
      <w:outlineLvl w:val="5"/>
    </w:pPr>
    <w:rPr>
      <w:rFonts w:eastAsiaTheme="majorEastAsia" w:cstheme="majorBidi"/>
      <w:b/>
      <w:i/>
      <w:iCs/>
      <w:color w:val="2C8558"/>
      <w:sz w:val="28"/>
    </w:rPr>
  </w:style>
  <w:style w:type="paragraph" w:styleId="Heading7">
    <w:name w:val="heading 7"/>
    <w:aliases w:val="(Do Not Use),top section heading,(TopSection)"/>
    <w:basedOn w:val="Normal"/>
    <w:next w:val="Normal"/>
    <w:link w:val="Heading7Char"/>
    <w:rsid w:val="00526FC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link w:val="Heading8Char"/>
    <w:rsid w:val="00A665A9"/>
    <w:pPr>
      <w:numPr>
        <w:ilvl w:val="7"/>
        <w:numId w:val="10"/>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link w:val="Heading9Char"/>
    <w:rsid w:val="00A665A9"/>
    <w:pPr>
      <w:numPr>
        <w:ilvl w:val="8"/>
        <w:numId w:val="10"/>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aliases w:val="(Not In Use) Char, Section heading Char,Section heading Char"/>
    <w:basedOn w:val="DefaultParagraphFont"/>
    <w:link w:val="Heading6"/>
    <w:uiPriority w:val="9"/>
    <w:rsid w:val="00526FCD"/>
    <w:rPr>
      <w:rFonts w:eastAsiaTheme="majorEastAsia" w:cstheme="majorBidi"/>
      <w:b/>
      <w:i/>
      <w:iCs/>
      <w:color w:val="2C8558"/>
      <w:sz w:val="28"/>
    </w:rPr>
  </w:style>
  <w:style w:type="character" w:customStyle="1" w:styleId="Heading1Char">
    <w:name w:val="Heading 1 Char"/>
    <w:basedOn w:val="DefaultParagraphFont"/>
    <w:link w:val="Heading1"/>
    <w:uiPriority w:val="9"/>
    <w:rsid w:val="00526FCD"/>
    <w:rPr>
      <w:rFonts w:eastAsiaTheme="majorEastAsia" w:cstheme="majorBidi"/>
      <w:b/>
      <w:bCs/>
      <w:caps/>
      <w:color w:val="2C8558"/>
      <w:sz w:val="40"/>
      <w:szCs w:val="28"/>
    </w:rPr>
  </w:style>
  <w:style w:type="character" w:customStyle="1" w:styleId="Heading7Char">
    <w:name w:val="Heading 7 Char"/>
    <w:aliases w:val="(Do Not Use) Char,top section heading Char,(TopSection) Char"/>
    <w:basedOn w:val="DefaultParagraphFont"/>
    <w:link w:val="Heading7"/>
    <w:rsid w:val="00526FCD"/>
    <w:rPr>
      <w:rFonts w:asciiTheme="majorHAnsi" w:eastAsiaTheme="majorEastAsia" w:hAnsiTheme="majorHAnsi" w:cstheme="majorBidi"/>
      <w:i/>
      <w:iCs/>
      <w:color w:val="404040" w:themeColor="text1" w:themeTint="BF"/>
      <w:sz w:val="24"/>
    </w:rPr>
  </w:style>
  <w:style w:type="character" w:customStyle="1" w:styleId="Heading2Char">
    <w:name w:val="Heading 2 Char"/>
    <w:basedOn w:val="DefaultParagraphFont"/>
    <w:link w:val="Heading2"/>
    <w:uiPriority w:val="9"/>
    <w:rsid w:val="00526FCD"/>
    <w:rPr>
      <w:rFonts w:eastAsiaTheme="majorEastAsia" w:cstheme="majorBidi"/>
      <w:b/>
      <w:bCs/>
      <w:caps/>
      <w:color w:val="2C8558"/>
      <w:sz w:val="40"/>
      <w:szCs w:val="26"/>
    </w:rPr>
  </w:style>
  <w:style w:type="character" w:customStyle="1" w:styleId="Heading3Char">
    <w:name w:val="Heading 3 Char"/>
    <w:basedOn w:val="DefaultParagraphFont"/>
    <w:link w:val="Heading3"/>
    <w:uiPriority w:val="9"/>
    <w:rsid w:val="00526FCD"/>
    <w:rPr>
      <w:rFonts w:eastAsiaTheme="majorEastAsia" w:cstheme="majorBidi"/>
      <w:b/>
      <w:bCs/>
      <w:caps/>
      <w:color w:val="2C8558"/>
      <w:sz w:val="32"/>
    </w:rPr>
  </w:style>
  <w:style w:type="character" w:customStyle="1" w:styleId="Heading4Char">
    <w:name w:val="Heading 4 Char"/>
    <w:basedOn w:val="DefaultParagraphFont"/>
    <w:link w:val="Heading4"/>
    <w:rsid w:val="00526FCD"/>
    <w:rPr>
      <w:rFonts w:eastAsiaTheme="majorEastAsia" w:cstheme="majorBidi"/>
      <w:b/>
      <w:bCs/>
      <w:iCs/>
      <w:color w:val="2C8558"/>
      <w:sz w:val="32"/>
    </w:rPr>
  </w:style>
  <w:style w:type="character" w:customStyle="1" w:styleId="Heading5Char">
    <w:name w:val="Heading 5 Char"/>
    <w:basedOn w:val="DefaultParagraphFont"/>
    <w:link w:val="Heading5"/>
    <w:uiPriority w:val="9"/>
    <w:rsid w:val="00526FCD"/>
    <w:rPr>
      <w:rFonts w:eastAsiaTheme="majorEastAsia" w:cstheme="majorBidi"/>
      <w:b/>
      <w:i/>
      <w:color w:val="2C8558"/>
      <w:sz w:val="28"/>
    </w:rPr>
  </w:style>
  <w:style w:type="paragraph" w:customStyle="1" w:styleId="CGCBulletlist">
    <w:name w:val="CGC Bullet list"/>
    <w:aliases w:val="CGC List 1"/>
    <w:basedOn w:val="Normal"/>
    <w:link w:val="CGCBulletlistCharChar"/>
    <w:qFormat/>
    <w:rsid w:val="001E7B72"/>
    <w:pPr>
      <w:numPr>
        <w:numId w:val="5"/>
      </w:numPr>
      <w:tabs>
        <w:tab w:val="clear" w:pos="567"/>
        <w:tab w:val="clear" w:pos="927"/>
      </w:tabs>
      <w:spacing w:before="80" w:line="300" w:lineRule="atLeast"/>
      <w:ind w:left="1134" w:hanging="567"/>
    </w:pPr>
    <w:rPr>
      <w:szCs w:val="20"/>
    </w:rPr>
  </w:style>
  <w:style w:type="paragraph" w:customStyle="1" w:styleId="CGCNumberedPara">
    <w:name w:val="CGC Numbered Para"/>
    <w:aliases w:val="CGC Para No"/>
    <w:basedOn w:val="Normal"/>
    <w:link w:val="CGCParaNoChar"/>
    <w:qFormat/>
    <w:rsid w:val="00526FCD"/>
    <w:pPr>
      <w:numPr>
        <w:ilvl w:val="1"/>
        <w:numId w:val="6"/>
      </w:numPr>
      <w:spacing w:before="120"/>
    </w:pPr>
    <w:rPr>
      <w:szCs w:val="24"/>
    </w:rPr>
  </w:style>
  <w:style w:type="paragraph" w:customStyle="1" w:styleId="CGCTableFootnote">
    <w:name w:val="CGC Table Footnote"/>
    <w:basedOn w:val="CGCNumberedPara"/>
    <w:next w:val="NoSpacing"/>
    <w:link w:val="CGCTableFootnoteChar"/>
    <w:qFormat/>
    <w:rsid w:val="00526FCD"/>
    <w:pPr>
      <w:numPr>
        <w:ilvl w:val="0"/>
        <w:numId w:val="0"/>
      </w:numPr>
      <w:tabs>
        <w:tab w:val="left" w:pos="851"/>
      </w:tabs>
      <w:spacing w:before="0" w:after="0" w:line="240" w:lineRule="auto"/>
      <w:ind w:left="851" w:hanging="851"/>
    </w:pPr>
    <w:rPr>
      <w:sz w:val="20"/>
    </w:rPr>
  </w:style>
  <w:style w:type="paragraph" w:styleId="NoSpacing">
    <w:name w:val="No Spacing"/>
    <w:link w:val="NoSpacingChar"/>
    <w:uiPriority w:val="1"/>
    <w:rsid w:val="00526FCD"/>
    <w:pPr>
      <w:tabs>
        <w:tab w:val="left" w:pos="567"/>
      </w:tabs>
      <w:spacing w:after="0" w:line="240" w:lineRule="auto"/>
    </w:pPr>
    <w:rPr>
      <w:sz w:val="24"/>
    </w:rPr>
  </w:style>
  <w:style w:type="paragraph" w:customStyle="1" w:styleId="CGCDataCaption">
    <w:name w:val="CGC Data Caption"/>
    <w:basedOn w:val="CGCTableFootnote"/>
    <w:next w:val="NoSpacing"/>
    <w:link w:val="DataCaptionChar"/>
    <w:rsid w:val="00526FCD"/>
  </w:style>
  <w:style w:type="character" w:customStyle="1" w:styleId="DataCaptionChar">
    <w:name w:val="Data Caption Char"/>
    <w:basedOn w:val="DefaultParagraphFont"/>
    <w:link w:val="CGCDataCaption"/>
    <w:rsid w:val="00526FCD"/>
    <w:rPr>
      <w:sz w:val="20"/>
      <w:szCs w:val="24"/>
    </w:rPr>
  </w:style>
  <w:style w:type="paragraph" w:customStyle="1" w:styleId="CGCNumeralList">
    <w:name w:val="CGC Numeral List"/>
    <w:aliases w:val="CGC List 3"/>
    <w:basedOn w:val="Normal"/>
    <w:qFormat/>
    <w:rsid w:val="00526FCD"/>
    <w:pPr>
      <w:numPr>
        <w:numId w:val="7"/>
      </w:numPr>
      <w:tabs>
        <w:tab w:val="clear" w:pos="567"/>
      </w:tabs>
      <w:spacing w:line="300" w:lineRule="atLeast"/>
    </w:pPr>
    <w:rPr>
      <w:szCs w:val="20"/>
    </w:rPr>
  </w:style>
  <w:style w:type="paragraph" w:customStyle="1" w:styleId="CGCQuotation">
    <w:name w:val="CGC Quotation"/>
    <w:basedOn w:val="Normal"/>
    <w:next w:val="CGCNumberedPara"/>
    <w:qFormat/>
    <w:rsid w:val="00526FCD"/>
    <w:pPr>
      <w:tabs>
        <w:tab w:val="clear" w:pos="567"/>
      </w:tabs>
      <w:spacing w:before="120" w:after="120" w:line="240" w:lineRule="auto"/>
      <w:ind w:left="1134" w:right="1134"/>
    </w:pPr>
    <w:rPr>
      <w:sz w:val="22"/>
      <w:szCs w:val="24"/>
    </w:rPr>
  </w:style>
  <w:style w:type="paragraph" w:customStyle="1" w:styleId="CGCSubbulletlist">
    <w:name w:val="CGC Sub bullet list"/>
    <w:aliases w:val="CGC List 2"/>
    <w:basedOn w:val="Normal"/>
    <w:link w:val="CGCSubbulletlistChar"/>
    <w:qFormat/>
    <w:rsid w:val="001E7B72"/>
    <w:pPr>
      <w:numPr>
        <w:numId w:val="8"/>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526FCD"/>
    <w:pPr>
      <w:numPr>
        <w:numId w:val="9"/>
      </w:numPr>
      <w:ind w:right="1134"/>
    </w:pPr>
    <w:rPr>
      <w:sz w:val="22"/>
    </w:rPr>
  </w:style>
  <w:style w:type="paragraph" w:customStyle="1" w:styleId="CGCTableHeading">
    <w:name w:val="CGC Table Heading"/>
    <w:basedOn w:val="Normal"/>
    <w:next w:val="Normal"/>
    <w:link w:val="CGCTableHeadingChar"/>
    <w:qFormat/>
    <w:rsid w:val="00526FCD"/>
    <w:pPr>
      <w:keepNext/>
      <w:keepLines/>
      <w:tabs>
        <w:tab w:val="clear" w:pos="567"/>
        <w:tab w:val="left" w:pos="1420"/>
      </w:tabs>
      <w:spacing w:before="240" w:after="120" w:line="240" w:lineRule="auto"/>
      <w:ind w:left="1418" w:hanging="1418"/>
    </w:pPr>
    <w:rPr>
      <w:b/>
      <w:szCs w:val="20"/>
    </w:rPr>
  </w:style>
  <w:style w:type="paragraph" w:customStyle="1" w:styleId="CGCTableStub">
    <w:name w:val="CGC Table Stub"/>
    <w:basedOn w:val="Normal"/>
    <w:link w:val="CGCTableStubChar"/>
    <w:rsid w:val="00526FCD"/>
    <w:pPr>
      <w:keepNext/>
      <w:keepLines/>
      <w:tabs>
        <w:tab w:val="left" w:pos="284"/>
      </w:tabs>
      <w:spacing w:before="60" w:after="60" w:line="200" w:lineRule="atLeast"/>
    </w:pPr>
    <w:rPr>
      <w:sz w:val="20"/>
      <w:szCs w:val="20"/>
    </w:rPr>
  </w:style>
  <w:style w:type="paragraph" w:styleId="Header">
    <w:name w:val="header"/>
    <w:basedOn w:val="Normal"/>
    <w:link w:val="HeaderChar"/>
    <w:uiPriority w:val="99"/>
    <w:unhideWhenUsed/>
    <w:rsid w:val="00526FCD"/>
    <w:pPr>
      <w:tabs>
        <w:tab w:val="clear" w:pos="567"/>
        <w:tab w:val="center" w:pos="4513"/>
        <w:tab w:val="right" w:pos="9026"/>
      </w:tabs>
      <w:spacing w:after="0" w:line="240" w:lineRule="auto"/>
    </w:pPr>
  </w:style>
  <w:style w:type="character" w:customStyle="1" w:styleId="HeaderChar">
    <w:name w:val="Header Char"/>
    <w:basedOn w:val="DefaultParagraphFont"/>
    <w:link w:val="Header"/>
    <w:uiPriority w:val="99"/>
    <w:rsid w:val="00526FCD"/>
    <w:rPr>
      <w:sz w:val="24"/>
    </w:rPr>
  </w:style>
  <w:style w:type="paragraph" w:styleId="Footer">
    <w:name w:val="footer"/>
    <w:basedOn w:val="Normal"/>
    <w:link w:val="FooterChar"/>
    <w:uiPriority w:val="99"/>
    <w:unhideWhenUsed/>
    <w:rsid w:val="00526FCD"/>
    <w:pPr>
      <w:tabs>
        <w:tab w:val="clear" w:pos="567"/>
        <w:tab w:val="center" w:pos="4513"/>
        <w:tab w:val="right" w:pos="9026"/>
      </w:tabs>
      <w:spacing w:after="0" w:line="240" w:lineRule="auto"/>
    </w:pPr>
  </w:style>
  <w:style w:type="character" w:customStyle="1" w:styleId="FooterChar">
    <w:name w:val="Footer Char"/>
    <w:basedOn w:val="DefaultParagraphFont"/>
    <w:link w:val="Footer"/>
    <w:uiPriority w:val="99"/>
    <w:rsid w:val="00526FCD"/>
    <w:rPr>
      <w:sz w:val="24"/>
    </w:rPr>
  </w:style>
  <w:style w:type="paragraph" w:styleId="BalloonText">
    <w:name w:val="Balloon Text"/>
    <w:basedOn w:val="Normal"/>
    <w:link w:val="BalloonTextChar"/>
    <w:unhideWhenUsed/>
    <w:rsid w:val="00526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26FCD"/>
    <w:rPr>
      <w:rFonts w:ascii="Tahoma" w:hAnsi="Tahoma" w:cs="Tahoma"/>
      <w:sz w:val="16"/>
      <w:szCs w:val="16"/>
    </w:rPr>
  </w:style>
  <w:style w:type="paragraph" w:styleId="ListParagraph">
    <w:name w:val="List Paragraph"/>
    <w:basedOn w:val="Normal"/>
    <w:uiPriority w:val="34"/>
    <w:rsid w:val="00526FCD"/>
    <w:pPr>
      <w:tabs>
        <w:tab w:val="clear" w:pos="567"/>
      </w:tabs>
      <w:spacing w:line="300" w:lineRule="atLeast"/>
      <w:ind w:left="1134"/>
    </w:pPr>
    <w:rPr>
      <w:szCs w:val="24"/>
    </w:rPr>
  </w:style>
  <w:style w:type="character" w:styleId="Hyperlink">
    <w:name w:val="Hyperlink"/>
    <w:basedOn w:val="DefaultParagraphFont"/>
    <w:uiPriority w:val="99"/>
    <w:rsid w:val="007710CD"/>
    <w:rPr>
      <w:color w:val="0000FF"/>
      <w:u w:val="single"/>
    </w:rPr>
  </w:style>
  <w:style w:type="paragraph" w:styleId="Caption">
    <w:name w:val="caption"/>
    <w:basedOn w:val="Normal"/>
    <w:next w:val="Normal"/>
    <w:link w:val="CaptionChar"/>
    <w:rsid w:val="00526FCD"/>
    <w:pPr>
      <w:keepNext/>
      <w:keepLines/>
      <w:tabs>
        <w:tab w:val="clear" w:pos="567"/>
        <w:tab w:val="left" w:pos="1418"/>
      </w:tabs>
      <w:spacing w:before="240" w:after="120" w:line="240" w:lineRule="auto"/>
      <w:ind w:left="1418" w:hanging="1418"/>
    </w:pPr>
    <w:rPr>
      <w:b/>
      <w:bCs/>
      <w:szCs w:val="20"/>
    </w:rPr>
  </w:style>
  <w:style w:type="character" w:customStyle="1" w:styleId="CaptionChar">
    <w:name w:val="Caption Char"/>
    <w:basedOn w:val="DefaultParagraphFont"/>
    <w:link w:val="Caption"/>
    <w:rsid w:val="00526FCD"/>
    <w:rPr>
      <w:b/>
      <w:bCs/>
      <w:sz w:val="24"/>
      <w:szCs w:val="20"/>
    </w:rPr>
  </w:style>
  <w:style w:type="paragraph" w:styleId="FootnoteText">
    <w:name w:val="footnote text"/>
    <w:basedOn w:val="Normal"/>
    <w:link w:val="FootnoteTextChar"/>
    <w:rsid w:val="00526FCD"/>
    <w:pPr>
      <w:spacing w:after="0" w:line="240" w:lineRule="auto"/>
      <w:ind w:left="567" w:hanging="567"/>
    </w:pPr>
    <w:rPr>
      <w:sz w:val="20"/>
      <w:szCs w:val="20"/>
    </w:rPr>
  </w:style>
  <w:style w:type="character" w:customStyle="1" w:styleId="FootnoteTextChar">
    <w:name w:val="Footnote Text Char"/>
    <w:basedOn w:val="DefaultParagraphFont"/>
    <w:link w:val="FootnoteText"/>
    <w:rsid w:val="00526FCD"/>
    <w:rPr>
      <w:sz w:val="20"/>
      <w:szCs w:val="20"/>
    </w:rPr>
  </w:style>
  <w:style w:type="table" w:styleId="TableGrid">
    <w:name w:val="Table Grid"/>
    <w:basedOn w:val="TableNormal"/>
    <w:uiPriority w:val="59"/>
    <w:rsid w:val="00526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81714D"/>
    <w:rPr>
      <w:color w:val="800080" w:themeColor="followedHyperlink"/>
      <w:u w:val="single"/>
    </w:rPr>
  </w:style>
  <w:style w:type="paragraph" w:styleId="TOC1">
    <w:name w:val="toc 1"/>
    <w:basedOn w:val="Normal"/>
    <w:next w:val="Normal"/>
    <w:autoRedefine/>
    <w:uiPriority w:val="39"/>
    <w:unhideWhenUsed/>
    <w:rsid w:val="00B94B7A"/>
    <w:pPr>
      <w:tabs>
        <w:tab w:val="clear" w:pos="567"/>
        <w:tab w:val="left" w:pos="8364"/>
        <w:tab w:val="right" w:pos="8941"/>
      </w:tabs>
      <w:spacing w:before="120" w:after="120"/>
    </w:pPr>
  </w:style>
  <w:style w:type="paragraph" w:styleId="TOC2">
    <w:name w:val="toc 2"/>
    <w:basedOn w:val="Normal"/>
    <w:next w:val="Normal"/>
    <w:autoRedefine/>
    <w:uiPriority w:val="39"/>
    <w:unhideWhenUsed/>
    <w:rsid w:val="00962852"/>
    <w:pPr>
      <w:tabs>
        <w:tab w:val="clear" w:pos="567"/>
      </w:tabs>
      <w:spacing w:after="100"/>
      <w:ind w:left="240"/>
    </w:pPr>
  </w:style>
  <w:style w:type="paragraph" w:styleId="TOC3">
    <w:name w:val="toc 3"/>
    <w:basedOn w:val="Normal"/>
    <w:next w:val="Normal"/>
    <w:autoRedefine/>
    <w:uiPriority w:val="39"/>
    <w:unhideWhenUsed/>
    <w:rsid w:val="00962852"/>
    <w:pPr>
      <w:tabs>
        <w:tab w:val="clear" w:pos="567"/>
      </w:tabs>
      <w:spacing w:after="100"/>
      <w:ind w:left="480"/>
    </w:pPr>
  </w:style>
  <w:style w:type="character" w:customStyle="1" w:styleId="Heading8Char">
    <w:name w:val="Heading 8 Char"/>
    <w:aliases w:val="(Do not use) Char,(Sub-section Nos) Char"/>
    <w:basedOn w:val="DefaultParagraphFont"/>
    <w:link w:val="Heading8"/>
    <w:rsid w:val="00A665A9"/>
    <w:rPr>
      <w:rFonts w:ascii="Arial" w:hAnsi="Arial"/>
      <w:i/>
      <w:sz w:val="20"/>
      <w:szCs w:val="20"/>
    </w:rPr>
  </w:style>
  <w:style w:type="character" w:customStyle="1" w:styleId="Heading9Char">
    <w:name w:val="Heading 9 Char"/>
    <w:aliases w:val="Heading 9 (Do not use) Char,(Subsubsection Nos) Char"/>
    <w:basedOn w:val="DefaultParagraphFont"/>
    <w:link w:val="Heading9"/>
    <w:rsid w:val="00A665A9"/>
    <w:rPr>
      <w:rFonts w:ascii="Arial" w:hAnsi="Arial"/>
      <w:b/>
      <w:i/>
      <w:sz w:val="18"/>
      <w:szCs w:val="20"/>
    </w:rPr>
  </w:style>
  <w:style w:type="paragraph" w:customStyle="1" w:styleId="TableRowNormal">
    <w:name w:val="TableRowNormal"/>
    <w:basedOn w:val="Normal"/>
    <w:link w:val="TableRowNormalChar"/>
    <w:rsid w:val="00A665A9"/>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character" w:styleId="CommentReference">
    <w:name w:val="annotation reference"/>
    <w:basedOn w:val="DefaultParagraphFont"/>
    <w:rsid w:val="00A665A9"/>
    <w:rPr>
      <w:sz w:val="16"/>
      <w:szCs w:val="16"/>
    </w:rPr>
  </w:style>
  <w:style w:type="paragraph" w:styleId="CommentText">
    <w:name w:val="annotation text"/>
    <w:basedOn w:val="Normal"/>
    <w:link w:val="CommentTextChar"/>
    <w:rsid w:val="00A665A9"/>
    <w:rPr>
      <w:sz w:val="20"/>
      <w:szCs w:val="20"/>
    </w:rPr>
  </w:style>
  <w:style w:type="character" w:customStyle="1" w:styleId="CommentTextChar">
    <w:name w:val="Comment Text Char"/>
    <w:basedOn w:val="DefaultParagraphFont"/>
    <w:link w:val="CommentText"/>
    <w:rsid w:val="00A665A9"/>
    <w:rPr>
      <w:sz w:val="20"/>
      <w:szCs w:val="20"/>
    </w:rPr>
  </w:style>
  <w:style w:type="paragraph" w:styleId="CommentSubject">
    <w:name w:val="annotation subject"/>
    <w:basedOn w:val="CommentText"/>
    <w:next w:val="CommentText"/>
    <w:link w:val="CommentSubjectChar"/>
    <w:rsid w:val="00A665A9"/>
    <w:rPr>
      <w:b/>
      <w:bCs/>
    </w:rPr>
  </w:style>
  <w:style w:type="character" w:customStyle="1" w:styleId="CommentSubjectChar">
    <w:name w:val="Comment Subject Char"/>
    <w:basedOn w:val="CommentTextChar"/>
    <w:link w:val="CommentSubject"/>
    <w:rsid w:val="00A665A9"/>
    <w:rPr>
      <w:b/>
      <w:bCs/>
      <w:sz w:val="20"/>
      <w:szCs w:val="20"/>
    </w:rPr>
  </w:style>
  <w:style w:type="paragraph" w:styleId="DocumentMap">
    <w:name w:val="Document Map"/>
    <w:basedOn w:val="Normal"/>
    <w:link w:val="DocumentMapChar"/>
    <w:rsid w:val="00A665A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A665A9"/>
    <w:rPr>
      <w:rFonts w:ascii="Tahoma" w:hAnsi="Tahoma" w:cs="Tahoma"/>
      <w:sz w:val="20"/>
      <w:szCs w:val="20"/>
      <w:shd w:val="clear" w:color="auto" w:fill="000080"/>
    </w:rPr>
  </w:style>
  <w:style w:type="character" w:styleId="EndnoteReference">
    <w:name w:val="endnote reference"/>
    <w:basedOn w:val="DefaultParagraphFont"/>
    <w:rsid w:val="00A665A9"/>
    <w:rPr>
      <w:vertAlign w:val="superscript"/>
    </w:rPr>
  </w:style>
  <w:style w:type="paragraph" w:styleId="EndnoteText">
    <w:name w:val="endnote text"/>
    <w:basedOn w:val="Normal"/>
    <w:link w:val="EndnoteTextChar"/>
    <w:rsid w:val="00A665A9"/>
    <w:rPr>
      <w:sz w:val="20"/>
      <w:szCs w:val="20"/>
    </w:rPr>
  </w:style>
  <w:style w:type="character" w:customStyle="1" w:styleId="EndnoteTextChar">
    <w:name w:val="Endnote Text Char"/>
    <w:basedOn w:val="DefaultParagraphFont"/>
    <w:link w:val="EndnoteText"/>
    <w:rsid w:val="00A665A9"/>
    <w:rPr>
      <w:sz w:val="20"/>
      <w:szCs w:val="20"/>
    </w:rPr>
  </w:style>
  <w:style w:type="character" w:styleId="FootnoteReference">
    <w:name w:val="footnote reference"/>
    <w:basedOn w:val="DefaultParagraphFont"/>
    <w:qFormat/>
    <w:rsid w:val="00A665A9"/>
    <w:rPr>
      <w:vertAlign w:val="superscript"/>
    </w:rPr>
  </w:style>
  <w:style w:type="paragraph" w:styleId="Index1">
    <w:name w:val="index 1"/>
    <w:basedOn w:val="Normal"/>
    <w:rsid w:val="00A665A9"/>
  </w:style>
  <w:style w:type="paragraph" w:styleId="Index2">
    <w:name w:val="index 2"/>
    <w:basedOn w:val="Normal"/>
    <w:next w:val="Index1"/>
    <w:rsid w:val="00A665A9"/>
    <w:pPr>
      <w:ind w:left="284"/>
    </w:pPr>
  </w:style>
  <w:style w:type="paragraph" w:styleId="Index3">
    <w:name w:val="index 3"/>
    <w:basedOn w:val="Normal"/>
    <w:next w:val="Index1"/>
    <w:rsid w:val="00A665A9"/>
    <w:pPr>
      <w:ind w:left="567"/>
    </w:pPr>
  </w:style>
  <w:style w:type="paragraph" w:styleId="Index4">
    <w:name w:val="index 4"/>
    <w:basedOn w:val="Normal"/>
    <w:next w:val="Normal"/>
    <w:rsid w:val="00A665A9"/>
    <w:pPr>
      <w:ind w:left="880" w:hanging="220"/>
    </w:pPr>
  </w:style>
  <w:style w:type="paragraph" w:styleId="Index5">
    <w:name w:val="index 5"/>
    <w:basedOn w:val="Normal"/>
    <w:next w:val="Normal"/>
    <w:rsid w:val="00A665A9"/>
    <w:pPr>
      <w:ind w:left="1100" w:hanging="220"/>
    </w:pPr>
  </w:style>
  <w:style w:type="paragraph" w:styleId="Index6">
    <w:name w:val="index 6"/>
    <w:basedOn w:val="Normal"/>
    <w:next w:val="Normal"/>
    <w:rsid w:val="00A665A9"/>
    <w:pPr>
      <w:ind w:left="1320" w:hanging="220"/>
    </w:pPr>
  </w:style>
  <w:style w:type="paragraph" w:styleId="Index7">
    <w:name w:val="index 7"/>
    <w:basedOn w:val="Normal"/>
    <w:next w:val="Normal"/>
    <w:rsid w:val="00A665A9"/>
    <w:pPr>
      <w:ind w:left="1540" w:hanging="220"/>
    </w:pPr>
  </w:style>
  <w:style w:type="paragraph" w:styleId="Index8">
    <w:name w:val="index 8"/>
    <w:basedOn w:val="Normal"/>
    <w:next w:val="Normal"/>
    <w:rsid w:val="00A665A9"/>
    <w:pPr>
      <w:ind w:left="1760" w:hanging="220"/>
    </w:pPr>
  </w:style>
  <w:style w:type="paragraph" w:styleId="Index9">
    <w:name w:val="index 9"/>
    <w:basedOn w:val="Normal"/>
    <w:next w:val="Normal"/>
    <w:rsid w:val="00A665A9"/>
    <w:pPr>
      <w:ind w:left="1980" w:hanging="220"/>
    </w:pPr>
  </w:style>
  <w:style w:type="paragraph" w:styleId="IndexHeading">
    <w:name w:val="index heading"/>
    <w:basedOn w:val="Normal"/>
    <w:next w:val="Index1"/>
    <w:rsid w:val="00A665A9"/>
  </w:style>
  <w:style w:type="paragraph" w:styleId="List">
    <w:name w:val="List"/>
    <w:basedOn w:val="Normal"/>
    <w:rsid w:val="00A665A9"/>
    <w:pPr>
      <w:spacing w:line="300" w:lineRule="atLeast"/>
    </w:pPr>
  </w:style>
  <w:style w:type="paragraph" w:styleId="MacroText">
    <w:name w:val="macro"/>
    <w:link w:val="MacroTextChar"/>
    <w:rsid w:val="00A665A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A665A9"/>
    <w:rPr>
      <w:rFonts w:ascii="Courier New" w:hAnsi="Courier New" w:cs="Courier New"/>
    </w:rPr>
  </w:style>
  <w:style w:type="character" w:styleId="PageNumber">
    <w:name w:val="page number"/>
    <w:basedOn w:val="DefaultParagraphFont"/>
    <w:rsid w:val="00A665A9"/>
  </w:style>
  <w:style w:type="paragraph" w:customStyle="1" w:styleId="Single">
    <w:name w:val="Single"/>
    <w:basedOn w:val="Normal"/>
    <w:next w:val="CGCNumberedPara"/>
    <w:link w:val="SingleChar"/>
    <w:rsid w:val="00A665A9"/>
    <w:pPr>
      <w:spacing w:after="0" w:line="240" w:lineRule="auto"/>
    </w:pPr>
  </w:style>
  <w:style w:type="paragraph" w:styleId="TableofAuthorities">
    <w:name w:val="table of authorities"/>
    <w:basedOn w:val="Normal"/>
    <w:next w:val="Normal"/>
    <w:rsid w:val="00A665A9"/>
    <w:pPr>
      <w:tabs>
        <w:tab w:val="clear" w:pos="567"/>
      </w:tabs>
      <w:ind w:left="220" w:hanging="220"/>
    </w:pPr>
  </w:style>
  <w:style w:type="paragraph" w:styleId="TableofFigures">
    <w:name w:val="table of figures"/>
    <w:basedOn w:val="Normal"/>
    <w:next w:val="Normal"/>
    <w:rsid w:val="00A665A9"/>
    <w:pPr>
      <w:tabs>
        <w:tab w:val="clear" w:pos="567"/>
      </w:tabs>
    </w:pPr>
  </w:style>
  <w:style w:type="paragraph" w:customStyle="1" w:styleId="TableColHeadings">
    <w:name w:val="TableColHeadings"/>
    <w:basedOn w:val="Normal"/>
    <w:rsid w:val="00A665A9"/>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A665A9"/>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A665A9"/>
    <w:pPr>
      <w:spacing w:before="120"/>
    </w:pPr>
    <w:rPr>
      <w:rFonts w:cs="Arial"/>
      <w:b/>
      <w:bCs/>
    </w:rPr>
  </w:style>
  <w:style w:type="paragraph" w:styleId="TOC4">
    <w:name w:val="toc 4"/>
    <w:basedOn w:val="Normal"/>
    <w:next w:val="Normal"/>
    <w:rsid w:val="00A665A9"/>
    <w:pPr>
      <w:tabs>
        <w:tab w:val="clear" w:pos="567"/>
        <w:tab w:val="right" w:pos="8942"/>
      </w:tabs>
      <w:spacing w:after="0"/>
      <w:ind w:left="1134"/>
    </w:pPr>
  </w:style>
  <w:style w:type="paragraph" w:styleId="TOC5">
    <w:name w:val="toc 5"/>
    <w:basedOn w:val="Normal"/>
    <w:next w:val="Normal"/>
    <w:rsid w:val="00A665A9"/>
    <w:pPr>
      <w:tabs>
        <w:tab w:val="clear" w:pos="567"/>
      </w:tabs>
      <w:spacing w:after="0"/>
      <w:ind w:left="1701"/>
    </w:pPr>
    <w:rPr>
      <w:sz w:val="18"/>
      <w:szCs w:val="18"/>
    </w:rPr>
  </w:style>
  <w:style w:type="paragraph" w:styleId="TOC6">
    <w:name w:val="toc 6"/>
    <w:basedOn w:val="Normal"/>
    <w:next w:val="Normal"/>
    <w:rsid w:val="00A665A9"/>
    <w:pPr>
      <w:tabs>
        <w:tab w:val="clear" w:pos="567"/>
      </w:tabs>
      <w:spacing w:after="0"/>
      <w:ind w:left="1100"/>
    </w:pPr>
    <w:rPr>
      <w:sz w:val="18"/>
      <w:szCs w:val="18"/>
    </w:rPr>
  </w:style>
  <w:style w:type="paragraph" w:styleId="TOC7">
    <w:name w:val="toc 7"/>
    <w:basedOn w:val="Normal"/>
    <w:next w:val="Normal"/>
    <w:rsid w:val="00A665A9"/>
    <w:pPr>
      <w:tabs>
        <w:tab w:val="clear" w:pos="567"/>
      </w:tabs>
      <w:spacing w:after="0"/>
      <w:ind w:left="1320"/>
    </w:pPr>
    <w:rPr>
      <w:sz w:val="18"/>
      <w:szCs w:val="18"/>
    </w:rPr>
  </w:style>
  <w:style w:type="paragraph" w:styleId="TOC8">
    <w:name w:val="toc 8"/>
    <w:basedOn w:val="Normal"/>
    <w:next w:val="Normal"/>
    <w:rsid w:val="00A665A9"/>
    <w:pPr>
      <w:tabs>
        <w:tab w:val="clear" w:pos="567"/>
      </w:tabs>
      <w:spacing w:after="0"/>
      <w:ind w:left="1540"/>
    </w:pPr>
    <w:rPr>
      <w:sz w:val="18"/>
      <w:szCs w:val="18"/>
    </w:rPr>
  </w:style>
  <w:style w:type="paragraph" w:styleId="TOC9">
    <w:name w:val="toc 9"/>
    <w:basedOn w:val="Normal"/>
    <w:next w:val="Normal"/>
    <w:rsid w:val="00A665A9"/>
    <w:pPr>
      <w:tabs>
        <w:tab w:val="clear" w:pos="567"/>
      </w:tabs>
      <w:spacing w:after="0"/>
      <w:ind w:left="1760"/>
    </w:pPr>
    <w:rPr>
      <w:sz w:val="18"/>
      <w:szCs w:val="18"/>
    </w:rPr>
  </w:style>
  <w:style w:type="character" w:customStyle="1" w:styleId="NoSpacingChar">
    <w:name w:val="No Spacing Char"/>
    <w:basedOn w:val="DefaultParagraphFont"/>
    <w:link w:val="NoSpacing"/>
    <w:uiPriority w:val="1"/>
    <w:rsid w:val="00A665A9"/>
    <w:rPr>
      <w:sz w:val="24"/>
    </w:rPr>
  </w:style>
  <w:style w:type="paragraph" w:styleId="TOCHeading">
    <w:name w:val="TOC Heading"/>
    <w:basedOn w:val="Heading1"/>
    <w:next w:val="Normal"/>
    <w:uiPriority w:val="39"/>
    <w:unhideWhenUsed/>
    <w:rsid w:val="00A665A9"/>
    <w:pPr>
      <w:keepLines/>
      <w:pBdr>
        <w:bottom w:val="none" w:sz="0" w:space="0" w:color="auto"/>
      </w:pBdr>
      <w:spacing w:before="480" w:line="320" w:lineRule="atLeast"/>
      <w:outlineLvl w:val="9"/>
    </w:pPr>
    <w:rPr>
      <w:rFonts w:asciiTheme="majorHAnsi" w:hAnsiTheme="majorHAnsi"/>
      <w:caps w:val="0"/>
      <w:color w:val="365F91" w:themeColor="accent1" w:themeShade="BF"/>
      <w:sz w:val="28"/>
    </w:rPr>
  </w:style>
  <w:style w:type="character" w:customStyle="1" w:styleId="CGCBulletlistCharChar">
    <w:name w:val="CGC Bullet list Char Char"/>
    <w:basedOn w:val="DefaultParagraphFont"/>
    <w:link w:val="CGCBulletlist"/>
    <w:rsid w:val="00A665A9"/>
    <w:rPr>
      <w:sz w:val="24"/>
      <w:szCs w:val="20"/>
    </w:rPr>
  </w:style>
  <w:style w:type="character" w:customStyle="1" w:styleId="CGCParaNoChar">
    <w:name w:val="CGC Para No Char"/>
    <w:aliases w:val="CGC Numbered Para Char"/>
    <w:basedOn w:val="DefaultParagraphFont"/>
    <w:link w:val="CGCNumberedPara"/>
    <w:rsid w:val="00A665A9"/>
    <w:rPr>
      <w:sz w:val="24"/>
      <w:szCs w:val="24"/>
    </w:rPr>
  </w:style>
  <w:style w:type="character" w:customStyle="1" w:styleId="CGCTableFootnoteChar">
    <w:name w:val="CGC Table Footnote Char"/>
    <w:basedOn w:val="DefaultParagraphFont"/>
    <w:link w:val="CGCTableFootnote"/>
    <w:rsid w:val="00A665A9"/>
    <w:rPr>
      <w:sz w:val="20"/>
      <w:szCs w:val="24"/>
    </w:rPr>
  </w:style>
  <w:style w:type="character" w:customStyle="1" w:styleId="CGCTableHeadingChar">
    <w:name w:val="CGC Table Heading Char"/>
    <w:basedOn w:val="DefaultParagraphFont"/>
    <w:link w:val="CGCTableHeading"/>
    <w:rsid w:val="00A665A9"/>
    <w:rPr>
      <w:b/>
      <w:sz w:val="24"/>
      <w:szCs w:val="20"/>
    </w:rPr>
  </w:style>
  <w:style w:type="character" w:customStyle="1" w:styleId="CGCTableStubChar">
    <w:name w:val="CGC Table Stub Char"/>
    <w:basedOn w:val="DefaultParagraphFont"/>
    <w:link w:val="CGCTableStub"/>
    <w:rsid w:val="00A665A9"/>
    <w:rPr>
      <w:sz w:val="20"/>
      <w:szCs w:val="20"/>
    </w:rPr>
  </w:style>
  <w:style w:type="character" w:customStyle="1" w:styleId="TableRowNormalChar">
    <w:name w:val="TableRowNormal Char"/>
    <w:basedOn w:val="DefaultParagraphFont"/>
    <w:link w:val="TableRowNormal"/>
    <w:locked/>
    <w:rsid w:val="00A665A9"/>
    <w:rPr>
      <w:sz w:val="20"/>
      <w:szCs w:val="20"/>
    </w:rPr>
  </w:style>
  <w:style w:type="character" w:customStyle="1" w:styleId="CGCBulletlistChar">
    <w:name w:val="CGC Bullet list Char"/>
    <w:aliases w:val="CGC List 1 Char,CGC Bullet list Char1"/>
    <w:basedOn w:val="DefaultParagraphFont"/>
    <w:locked/>
    <w:rsid w:val="00A665A9"/>
    <w:rPr>
      <w:sz w:val="24"/>
      <w:szCs w:val="20"/>
    </w:rPr>
  </w:style>
  <w:style w:type="character" w:customStyle="1" w:styleId="CGCSubbulletlistChar">
    <w:name w:val="CGC Sub bullet list Char"/>
    <w:aliases w:val="CGC List 2 Char"/>
    <w:basedOn w:val="DefaultParagraphFont"/>
    <w:link w:val="CGCSubbulletlist"/>
    <w:locked/>
    <w:rsid w:val="00A665A9"/>
    <w:rPr>
      <w:sz w:val="24"/>
      <w:szCs w:val="20"/>
    </w:rPr>
  </w:style>
  <w:style w:type="paragraph" w:customStyle="1" w:styleId="h1num">
    <w:name w:val="h1num"/>
    <w:basedOn w:val="Normal"/>
    <w:rsid w:val="00A665A9"/>
    <w:pPr>
      <w:keepNext/>
      <w:pBdr>
        <w:bottom w:val="single" w:sz="6" w:space="1" w:color="auto"/>
      </w:pBdr>
      <w:tabs>
        <w:tab w:val="clear" w:pos="567"/>
      </w:tabs>
      <w:spacing w:before="2400" w:after="200" w:line="240" w:lineRule="auto"/>
      <w:outlineLvl w:val="0"/>
    </w:pPr>
    <w:rPr>
      <w:rFonts w:eastAsia="Times New Roman" w:cs="Arial"/>
      <w:b/>
      <w:bCs/>
      <w:caps/>
      <w:color w:val="329664"/>
      <w:sz w:val="40"/>
      <w:szCs w:val="32"/>
    </w:rPr>
  </w:style>
  <w:style w:type="character" w:customStyle="1" w:styleId="SingleChar">
    <w:name w:val="Single Char"/>
    <w:basedOn w:val="DefaultParagraphFont"/>
    <w:link w:val="Single"/>
    <w:locked/>
    <w:rsid w:val="00A665A9"/>
    <w:rPr>
      <w:sz w:val="24"/>
    </w:rPr>
  </w:style>
  <w:style w:type="paragraph" w:customStyle="1" w:styleId="StyleBodyText2Body">
    <w:name w:val="Style Body Text 2 + +Body"/>
    <w:basedOn w:val="BodyText2"/>
    <w:rsid w:val="00A665A9"/>
    <w:pPr>
      <w:keepNext/>
      <w:keepLines/>
      <w:tabs>
        <w:tab w:val="clear" w:pos="567"/>
        <w:tab w:val="left" w:pos="1440"/>
        <w:tab w:val="left" w:pos="2160"/>
        <w:tab w:val="left" w:pos="2880"/>
      </w:tabs>
      <w:spacing w:before="60" w:after="60" w:line="240" w:lineRule="auto"/>
    </w:pPr>
    <w:rPr>
      <w:rFonts w:eastAsia="Times New Roman" w:cs="Times New Roman"/>
      <w:sz w:val="20"/>
      <w:szCs w:val="24"/>
    </w:rPr>
  </w:style>
  <w:style w:type="paragraph" w:styleId="BodyText2">
    <w:name w:val="Body Text 2"/>
    <w:basedOn w:val="Normal"/>
    <w:link w:val="BodyText2Char"/>
    <w:rsid w:val="00A665A9"/>
    <w:pPr>
      <w:spacing w:after="120" w:line="480" w:lineRule="auto"/>
    </w:pPr>
  </w:style>
  <w:style w:type="character" w:customStyle="1" w:styleId="BodyText2Char">
    <w:name w:val="Body Text 2 Char"/>
    <w:basedOn w:val="DefaultParagraphFont"/>
    <w:link w:val="BodyText2"/>
    <w:rsid w:val="00A665A9"/>
    <w:rPr>
      <w:sz w:val="24"/>
    </w:rPr>
  </w:style>
  <w:style w:type="paragraph" w:customStyle="1" w:styleId="Default">
    <w:name w:val="Default"/>
    <w:rsid w:val="00A665A9"/>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link w:val="TitleChar"/>
    <w:uiPriority w:val="10"/>
    <w:rsid w:val="00A665A9"/>
    <w:pPr>
      <w:spacing w:before="120" w:after="360" w:line="240" w:lineRule="auto"/>
      <w:jc w:val="right"/>
    </w:pPr>
    <w:rPr>
      <w:rFonts w:ascii="Tahoma" w:eastAsia="Batang" w:hAnsi="Tahoma" w:cs="Times New Roman"/>
      <w:sz w:val="48"/>
      <w:szCs w:val="24"/>
      <w:lang w:eastAsia="ko-KR"/>
    </w:rPr>
  </w:style>
  <w:style w:type="character" w:customStyle="1" w:styleId="TitleChar">
    <w:name w:val="Title Char"/>
    <w:basedOn w:val="DefaultParagraphFont"/>
    <w:link w:val="Title"/>
    <w:uiPriority w:val="10"/>
    <w:rsid w:val="00A665A9"/>
    <w:rPr>
      <w:rFonts w:ascii="Tahoma" w:eastAsia="Batang" w:hAnsi="Tahoma" w:cs="Times New Roman"/>
      <w:sz w:val="48"/>
      <w:szCs w:val="24"/>
      <w:lang w:eastAsia="ko-KR"/>
    </w:rPr>
  </w:style>
  <w:style w:type="paragraph" w:styleId="Revision">
    <w:name w:val="Revision"/>
    <w:hidden/>
    <w:uiPriority w:val="99"/>
    <w:semiHidden/>
    <w:rsid w:val="00A665A9"/>
    <w:pPr>
      <w:spacing w:after="0" w:line="240" w:lineRule="auto"/>
    </w:pPr>
    <w:rPr>
      <w:sz w:val="24"/>
      <w:szCs w:val="24"/>
    </w:rPr>
  </w:style>
  <w:style w:type="character" w:styleId="Strong">
    <w:name w:val="Strong"/>
    <w:basedOn w:val="DefaultParagraphFont"/>
    <w:uiPriority w:val="22"/>
    <w:rsid w:val="00A665A9"/>
    <w:rPr>
      <w:b/>
      <w:bCs/>
    </w:rPr>
  </w:style>
  <w:style w:type="character" w:customStyle="1" w:styleId="apple-converted-space">
    <w:name w:val="apple-converted-space"/>
    <w:basedOn w:val="DefaultParagraphFont"/>
    <w:rsid w:val="00A665A9"/>
  </w:style>
  <w:style w:type="paragraph" w:customStyle="1" w:styleId="Style1">
    <w:name w:val="Style1"/>
    <w:basedOn w:val="CGCBulletlist"/>
    <w:link w:val="Style1Char"/>
    <w:rsid w:val="00A665A9"/>
    <w:pPr>
      <w:numPr>
        <w:numId w:val="0"/>
      </w:numPr>
      <w:tabs>
        <w:tab w:val="left" w:pos="1134"/>
      </w:tabs>
      <w:ind w:left="1134" w:hanging="567"/>
    </w:pPr>
  </w:style>
  <w:style w:type="character" w:customStyle="1" w:styleId="Style1Char">
    <w:name w:val="Style1 Char"/>
    <w:basedOn w:val="CGCBulletlistCharChar"/>
    <w:link w:val="Style1"/>
    <w:rsid w:val="00A665A9"/>
    <w:rPr>
      <w:sz w:val="24"/>
      <w:szCs w:val="20"/>
    </w:rPr>
  </w:style>
  <w:style w:type="character" w:customStyle="1" w:styleId="CGCNumberedParaOldHeading2Char">
    <w:name w:val="CGC Numbered Para (Old Heading 2) Char"/>
    <w:basedOn w:val="DefaultParagraphFont"/>
    <w:link w:val="CGCNumberedParaOldHeading2"/>
    <w:locked/>
    <w:rsid w:val="00C20E52"/>
    <w:rPr>
      <w:rFonts w:ascii="Times New Roman" w:hAnsi="Times New Roman" w:cs="Times New Roman"/>
      <w:sz w:val="24"/>
      <w:szCs w:val="24"/>
    </w:rPr>
  </w:style>
  <w:style w:type="paragraph" w:customStyle="1" w:styleId="CGCNumberedParaOldHeading2">
    <w:name w:val="CGC Numbered Para (Old Heading 2)"/>
    <w:basedOn w:val="Normal"/>
    <w:link w:val="CGCNumberedParaOldHeading2Char"/>
    <w:rsid w:val="00C20E52"/>
    <w:pPr>
      <w:tabs>
        <w:tab w:val="num" w:pos="567"/>
      </w:tabs>
      <w:ind w:left="567" w:hanging="567"/>
    </w:pPr>
    <w:rPr>
      <w:rFonts w:ascii="Times New Roman" w:hAnsi="Times New Roman" w:cs="Times New Roman"/>
      <w:szCs w:val="24"/>
    </w:rPr>
  </w:style>
  <w:style w:type="paragraph" w:customStyle="1" w:styleId="TableColumnHeadingLeft">
    <w:name w:val="Table Column Heading Left"/>
    <w:basedOn w:val="Normal"/>
    <w:uiPriority w:val="99"/>
    <w:rsid w:val="00C20E52"/>
    <w:pPr>
      <w:tabs>
        <w:tab w:val="clear" w:pos="567"/>
      </w:tabs>
      <w:spacing w:before="40" w:after="40" w:line="240" w:lineRule="auto"/>
      <w:jc w:val="both"/>
    </w:pPr>
    <w:rPr>
      <w:rFonts w:ascii="Consolas" w:eastAsia="Times New Roman" w:hAnsi="Consolas" w:cs="Times New Roman"/>
      <w:b/>
      <w:color w:val="3D4B67"/>
      <w:sz w:val="22"/>
      <w:szCs w:val="20"/>
      <w:lang w:eastAsia="en-AU"/>
    </w:rPr>
  </w:style>
  <w:style w:type="paragraph" w:customStyle="1" w:styleId="TableTextLeft">
    <w:name w:val="Table Text Left"/>
    <w:basedOn w:val="Normal"/>
    <w:uiPriority w:val="99"/>
    <w:rsid w:val="00C20E52"/>
    <w:pPr>
      <w:tabs>
        <w:tab w:val="clear" w:pos="567"/>
      </w:tabs>
      <w:spacing w:before="40" w:after="40" w:line="240" w:lineRule="auto"/>
      <w:jc w:val="both"/>
    </w:pPr>
    <w:rPr>
      <w:rFonts w:ascii="Corbel" w:eastAsia="Times New Roman" w:hAnsi="Corbel" w:cs="Times New Roman"/>
      <w:color w:val="000000"/>
      <w:sz w:val="21"/>
      <w:szCs w:val="20"/>
      <w:lang w:eastAsia="en-AU"/>
    </w:rPr>
  </w:style>
  <w:style w:type="paragraph" w:customStyle="1" w:styleId="ScheduleNumberedPara">
    <w:name w:val="ScheduleNumberedPara"/>
    <w:basedOn w:val="Normal"/>
    <w:uiPriority w:val="99"/>
    <w:rsid w:val="00C20E52"/>
    <w:pPr>
      <w:numPr>
        <w:ilvl w:val="1"/>
        <w:numId w:val="17"/>
      </w:numPr>
      <w:spacing w:after="240" w:line="260" w:lineRule="exact"/>
      <w:jc w:val="both"/>
    </w:pPr>
    <w:rPr>
      <w:rFonts w:ascii="Corbel" w:eastAsia="Times New Roman" w:hAnsi="Corbel" w:cs="Times New Roman"/>
      <w:color w:val="000000"/>
      <w:sz w:val="23"/>
      <w:szCs w:val="20"/>
      <w:lang w:eastAsia="en-AU"/>
    </w:rPr>
  </w:style>
  <w:style w:type="paragraph" w:customStyle="1" w:styleId="CharCharCharCharCharChar">
    <w:name w:val="Char Char Char Char Char Char"/>
    <w:basedOn w:val="Normal"/>
    <w:uiPriority w:val="99"/>
    <w:rsid w:val="00C20E52"/>
    <w:pPr>
      <w:tabs>
        <w:tab w:val="clear" w:pos="567"/>
      </w:tabs>
      <w:spacing w:after="160" w:line="240" w:lineRule="exact"/>
    </w:pPr>
    <w:rPr>
      <w:rFonts w:ascii="Verdana" w:eastAsia="Times New Roman" w:hAnsi="Verdana" w:cs="Times New Roman"/>
      <w:sz w:val="20"/>
      <w:szCs w:val="24"/>
      <w:lang w:val="en-US"/>
    </w:rPr>
  </w:style>
  <w:style w:type="paragraph" w:customStyle="1" w:styleId="AlphaParagraph">
    <w:name w:val="Alpha Paragraph"/>
    <w:basedOn w:val="Normal"/>
    <w:rsid w:val="00C20E52"/>
    <w:pPr>
      <w:numPr>
        <w:numId w:val="18"/>
      </w:numPr>
      <w:tabs>
        <w:tab w:val="clear" w:pos="567"/>
      </w:tabs>
      <w:spacing w:after="240" w:line="260" w:lineRule="exact"/>
      <w:jc w:val="both"/>
    </w:pPr>
    <w:rPr>
      <w:rFonts w:ascii="Corbel" w:eastAsia="Times New Roman" w:hAnsi="Corbel" w:cs="Times New Roman"/>
      <w:color w:val="000000"/>
      <w:sz w:val="23"/>
      <w:szCs w:val="20"/>
      <w:lang w:eastAsia="en-AU"/>
    </w:rPr>
  </w:style>
  <w:style w:type="paragraph" w:customStyle="1" w:styleId="SingleParagraph">
    <w:name w:val="Single Paragraph"/>
    <w:basedOn w:val="Normal"/>
    <w:rsid w:val="00C20E52"/>
    <w:pPr>
      <w:tabs>
        <w:tab w:val="clear" w:pos="567"/>
      </w:tabs>
      <w:spacing w:after="0" w:line="240" w:lineRule="auto"/>
    </w:pPr>
    <w:rPr>
      <w:rFonts w:ascii="Palatino" w:eastAsia="Times New Roman" w:hAnsi="Palatino" w:cs="Times New Roman"/>
      <w:szCs w:val="20"/>
      <w:lang w:eastAsia="en-AU"/>
    </w:rPr>
  </w:style>
  <w:style w:type="paragraph" w:customStyle="1" w:styleId="Addressee">
    <w:name w:val="Addressee"/>
    <w:basedOn w:val="Normal"/>
    <w:rsid w:val="00C20E52"/>
    <w:pPr>
      <w:tabs>
        <w:tab w:val="clear" w:pos="567"/>
      </w:tabs>
      <w:spacing w:after="0" w:line="240" w:lineRule="auto"/>
    </w:pPr>
    <w:rPr>
      <w:rFonts w:ascii="Times New Roman" w:eastAsia="Times New Roman" w:hAnsi="Times New Roman" w:cs="Times New Roman"/>
      <w:szCs w:val="24"/>
      <w:lang w:eastAsia="en-AU"/>
    </w:rPr>
  </w:style>
  <w:style w:type="paragraph" w:styleId="Salutation">
    <w:name w:val="Salutation"/>
    <w:basedOn w:val="Normal"/>
    <w:next w:val="Normal"/>
    <w:link w:val="SalutationChar"/>
    <w:rsid w:val="00C20E52"/>
    <w:pPr>
      <w:tabs>
        <w:tab w:val="clear" w:pos="567"/>
      </w:tabs>
      <w:spacing w:before="480" w:after="240" w:line="240" w:lineRule="auto"/>
    </w:pPr>
    <w:rPr>
      <w:rFonts w:ascii="Times New Roman" w:eastAsia="Times New Roman" w:hAnsi="Times New Roman" w:cs="Times New Roman"/>
      <w:szCs w:val="24"/>
      <w:lang w:eastAsia="en-AU"/>
    </w:rPr>
  </w:style>
  <w:style w:type="character" w:customStyle="1" w:styleId="SalutationChar">
    <w:name w:val="Salutation Char"/>
    <w:basedOn w:val="DefaultParagraphFont"/>
    <w:link w:val="Salutation"/>
    <w:rsid w:val="00C20E52"/>
    <w:rPr>
      <w:rFonts w:ascii="Times New Roman" w:eastAsia="Times New Roman" w:hAnsi="Times New Roman" w:cs="Times New Roman"/>
      <w:sz w:val="24"/>
      <w:szCs w:val="24"/>
      <w:lang w:eastAsia="en-AU"/>
    </w:rPr>
  </w:style>
  <w:style w:type="paragraph" w:customStyle="1" w:styleId="Signaturename">
    <w:name w:val="Signature name"/>
    <w:basedOn w:val="Normal"/>
    <w:rsid w:val="00C20E52"/>
    <w:pPr>
      <w:tabs>
        <w:tab w:val="clear" w:pos="567"/>
      </w:tabs>
      <w:spacing w:after="0" w:line="240" w:lineRule="auto"/>
    </w:pPr>
    <w:rPr>
      <w:rFonts w:ascii="Times New Roman" w:eastAsia="Times New Roman" w:hAnsi="Times New Roman" w:cs="Times New Roman"/>
      <w:caps/>
      <w:szCs w:val="24"/>
      <w:lang w:eastAsia="en-AU"/>
    </w:rPr>
  </w:style>
  <w:style w:type="paragraph" w:styleId="Closing">
    <w:name w:val="Closing"/>
    <w:basedOn w:val="Normal"/>
    <w:link w:val="ClosingChar"/>
    <w:rsid w:val="00C20E52"/>
    <w:pPr>
      <w:tabs>
        <w:tab w:val="clear" w:pos="567"/>
      </w:tabs>
      <w:spacing w:before="240" w:after="1200" w:line="240" w:lineRule="auto"/>
    </w:pPr>
    <w:rPr>
      <w:rFonts w:ascii="Times New Roman" w:eastAsia="Times New Roman" w:hAnsi="Times New Roman" w:cs="Times New Roman"/>
      <w:szCs w:val="24"/>
      <w:lang w:eastAsia="en-AU"/>
    </w:rPr>
  </w:style>
  <w:style w:type="character" w:customStyle="1" w:styleId="ClosingChar">
    <w:name w:val="Closing Char"/>
    <w:basedOn w:val="DefaultParagraphFont"/>
    <w:link w:val="Closing"/>
    <w:rsid w:val="00C20E52"/>
    <w:rPr>
      <w:rFonts w:ascii="Times New Roman" w:eastAsia="Times New Roman" w:hAnsi="Times New Roman" w:cs="Times New Roman"/>
      <w:sz w:val="24"/>
      <w:szCs w:val="24"/>
      <w:lang w:eastAsia="en-AU"/>
    </w:rPr>
  </w:style>
  <w:style w:type="paragraph" w:customStyle="1" w:styleId="Crest">
    <w:name w:val="Crest"/>
    <w:basedOn w:val="Normal"/>
    <w:rsid w:val="00C20E52"/>
    <w:pPr>
      <w:tabs>
        <w:tab w:val="clear" w:pos="567"/>
      </w:tabs>
      <w:spacing w:before="480" w:after="120" w:line="240" w:lineRule="auto"/>
      <w:jc w:val="center"/>
    </w:pPr>
    <w:rPr>
      <w:rFonts w:ascii="Times New Roman" w:eastAsia="Times New Roman" w:hAnsi="Times New Roman" w:cs="Times New Roman"/>
      <w:szCs w:val="24"/>
      <w:lang w:eastAsia="en-AU"/>
    </w:rPr>
  </w:style>
  <w:style w:type="paragraph" w:customStyle="1" w:styleId="Area">
    <w:name w:val="Area"/>
    <w:basedOn w:val="Normal"/>
    <w:rsid w:val="00C20E52"/>
    <w:pPr>
      <w:tabs>
        <w:tab w:val="clear" w:pos="567"/>
      </w:tabs>
      <w:spacing w:after="0" w:line="240" w:lineRule="auto"/>
      <w:jc w:val="right"/>
    </w:pPr>
    <w:rPr>
      <w:rFonts w:ascii="Times New Roman" w:eastAsia="Times New Roman" w:hAnsi="Times New Roman" w:cs="Times New Roman"/>
      <w:b/>
      <w:caps/>
      <w:sz w:val="28"/>
      <w:szCs w:val="28"/>
      <w:lang w:eastAsia="en-AU"/>
    </w:rPr>
  </w:style>
  <w:style w:type="paragraph" w:customStyle="1" w:styleId="Contact">
    <w:name w:val="Contact"/>
    <w:basedOn w:val="Normal"/>
    <w:rsid w:val="00C20E52"/>
    <w:pPr>
      <w:tabs>
        <w:tab w:val="clear" w:pos="567"/>
      </w:tabs>
      <w:spacing w:after="120" w:line="240" w:lineRule="auto"/>
      <w:contextualSpacing/>
      <w:jc w:val="right"/>
    </w:pPr>
    <w:rPr>
      <w:rFonts w:ascii="Times" w:eastAsia="Times New Roman" w:hAnsi="Times" w:cs="Times New Roman"/>
      <w:b/>
      <w:sz w:val="16"/>
      <w:szCs w:val="16"/>
      <w:lang w:eastAsia="en-AU"/>
    </w:rPr>
  </w:style>
  <w:style w:type="paragraph" w:customStyle="1" w:styleId="ParliamentHouse">
    <w:name w:val="Parliament House"/>
    <w:basedOn w:val="Normal"/>
    <w:rsid w:val="00C20E52"/>
    <w:pPr>
      <w:tabs>
        <w:tab w:val="clear" w:pos="567"/>
      </w:tabs>
      <w:spacing w:before="240" w:after="120" w:line="240" w:lineRule="auto"/>
      <w:contextualSpacing/>
      <w:jc w:val="right"/>
    </w:pPr>
    <w:rPr>
      <w:rFonts w:ascii="Times New Roman" w:eastAsia="Times New Roman" w:hAnsi="Times New Roman" w:cs="Times New Roman"/>
      <w:b/>
      <w:caps/>
      <w:sz w:val="16"/>
      <w:szCs w:val="16"/>
      <w:lang w:eastAsia="en-AU"/>
    </w:rPr>
  </w:style>
  <w:style w:type="paragraph" w:customStyle="1" w:styleId="URL">
    <w:name w:val="URL"/>
    <w:basedOn w:val="Normal"/>
    <w:rsid w:val="00C20E52"/>
    <w:pPr>
      <w:tabs>
        <w:tab w:val="clear" w:pos="567"/>
      </w:tabs>
      <w:spacing w:after="120" w:line="240" w:lineRule="auto"/>
      <w:jc w:val="right"/>
    </w:pPr>
    <w:rPr>
      <w:rFonts w:ascii="Times New Roman" w:eastAsia="Times New Roman" w:hAnsi="Times New Roman" w:cs="Times New Roman"/>
      <w:b/>
      <w:sz w:val="16"/>
      <w:szCs w:val="16"/>
      <w:lang w:eastAsia="en-AU"/>
    </w:rPr>
  </w:style>
  <w:style w:type="table" w:customStyle="1" w:styleId="TableGrid1">
    <w:name w:val="Table Grid1"/>
    <w:basedOn w:val="TableNormal"/>
    <w:next w:val="TableGrid"/>
    <w:uiPriority w:val="99"/>
    <w:rsid w:val="00C20E52"/>
    <w:pPr>
      <w:tabs>
        <w:tab w:val="left" w:pos="1418"/>
        <w:tab w:val="left" w:pos="2268"/>
        <w:tab w:val="left" w:pos="2835"/>
      </w:tabs>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rsid w:val="00C20E52"/>
    <w:rPr>
      <w:rFonts w:cs="Times New Roman"/>
    </w:rPr>
  </w:style>
  <w:style w:type="table" w:customStyle="1" w:styleId="TableGrid2">
    <w:name w:val="Table Grid2"/>
    <w:basedOn w:val="TableNormal"/>
    <w:next w:val="TableGrid"/>
    <w:rsid w:val="00C20E52"/>
    <w:pPr>
      <w:tabs>
        <w:tab w:val="left" w:pos="1418"/>
        <w:tab w:val="left" w:pos="2268"/>
        <w:tab w:val="left" w:pos="2835"/>
      </w:tabs>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20E52"/>
    <w:pPr>
      <w:tabs>
        <w:tab w:val="left" w:pos="1418"/>
        <w:tab w:val="left" w:pos="2268"/>
        <w:tab w:val="left" w:pos="2835"/>
      </w:tabs>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C20E52"/>
    <w:pPr>
      <w:tabs>
        <w:tab w:val="left" w:pos="1418"/>
        <w:tab w:val="left" w:pos="2268"/>
        <w:tab w:val="left" w:pos="2835"/>
      </w:tabs>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1">
    <w:name w:val="Heading 7 Char1"/>
    <w:aliases w:val="(Do Not Use) Char1,top section heading Char1,(TopSection) Char1"/>
    <w:basedOn w:val="DefaultParagraphFont"/>
    <w:semiHidden/>
    <w:rsid w:val="00C20E52"/>
    <w:rPr>
      <w:rFonts w:asciiTheme="majorHAnsi" w:eastAsiaTheme="majorEastAsia" w:hAnsiTheme="majorHAnsi" w:cstheme="majorBidi"/>
      <w:i/>
      <w:iCs/>
      <w:color w:val="404040" w:themeColor="text1" w:themeTint="BF"/>
      <w:sz w:val="24"/>
      <w:szCs w:val="22"/>
    </w:rPr>
  </w:style>
  <w:style w:type="character" w:customStyle="1" w:styleId="Heading8Char1">
    <w:name w:val="Heading 8 Char1"/>
    <w:aliases w:val="(Do not use) Char1,(Sub-section Nos) Char1"/>
    <w:basedOn w:val="DefaultParagraphFont"/>
    <w:semiHidden/>
    <w:rsid w:val="00C20E52"/>
    <w:rPr>
      <w:rFonts w:asciiTheme="majorHAnsi" w:eastAsiaTheme="majorEastAsia" w:hAnsiTheme="majorHAnsi" w:cstheme="majorBidi"/>
      <w:color w:val="404040" w:themeColor="text1" w:themeTint="BF"/>
    </w:rPr>
  </w:style>
  <w:style w:type="character" w:customStyle="1" w:styleId="Heading9Char1">
    <w:name w:val="Heading 9 Char1"/>
    <w:aliases w:val="Heading 9 (Do not use) Char1,(Subsubsection Nos) Char1"/>
    <w:basedOn w:val="DefaultParagraphFont"/>
    <w:semiHidden/>
    <w:rsid w:val="00C20E52"/>
    <w:rPr>
      <w:rFonts w:asciiTheme="majorHAnsi" w:eastAsiaTheme="majorEastAsia" w:hAnsiTheme="majorHAnsi" w:cstheme="majorBidi"/>
      <w:i/>
      <w:iCs/>
      <w:color w:val="404040" w:themeColor="text1" w:themeTint="BF"/>
    </w:rPr>
  </w:style>
  <w:style w:type="paragraph" w:customStyle="1" w:styleId="Heading2Alt">
    <w:name w:val="Heading 2 Alt"/>
    <w:basedOn w:val="Heading2"/>
    <w:link w:val="Heading2AltChar"/>
    <w:rsid w:val="00C20E52"/>
    <w:pPr>
      <w:widowControl/>
      <w:tabs>
        <w:tab w:val="clear" w:pos="567"/>
      </w:tabs>
      <w:spacing w:before="0"/>
    </w:pPr>
    <w:rPr>
      <w:rFonts w:eastAsia="Times New Roman" w:cs="Times New Roman"/>
      <w:bCs w:val="0"/>
      <w:color w:val="329664"/>
      <w:szCs w:val="40"/>
    </w:rPr>
  </w:style>
  <w:style w:type="paragraph" w:customStyle="1" w:styleId="Heading3Alt">
    <w:name w:val="Heading 3 Alt"/>
    <w:basedOn w:val="Heading3"/>
    <w:link w:val="Heading3AltChar"/>
    <w:rsid w:val="00C20E52"/>
    <w:pPr>
      <w:widowControl/>
      <w:tabs>
        <w:tab w:val="clear" w:pos="567"/>
      </w:tabs>
    </w:pPr>
    <w:rPr>
      <w:rFonts w:eastAsia="Times New Roman" w:cs="Times New Roman"/>
      <w:bCs w:val="0"/>
      <w:color w:val="329664"/>
      <w:sz w:val="24"/>
      <w:szCs w:val="20"/>
    </w:rPr>
  </w:style>
  <w:style w:type="character" w:customStyle="1" w:styleId="Heading2AltChar">
    <w:name w:val="Heading 2 Alt Char"/>
    <w:basedOn w:val="Heading2Char"/>
    <w:link w:val="Heading2Alt"/>
    <w:rsid w:val="00C20E52"/>
    <w:rPr>
      <w:rFonts w:eastAsia="Times New Roman" w:cs="Times New Roman"/>
      <w:b/>
      <w:bCs w:val="0"/>
      <w:caps/>
      <w:color w:val="329664"/>
      <w:sz w:val="40"/>
      <w:szCs w:val="40"/>
    </w:rPr>
  </w:style>
  <w:style w:type="character" w:customStyle="1" w:styleId="Heading3AltChar">
    <w:name w:val="Heading 3 Alt Char"/>
    <w:basedOn w:val="Heading3Char"/>
    <w:link w:val="Heading3Alt"/>
    <w:rsid w:val="00C20E52"/>
    <w:rPr>
      <w:rFonts w:eastAsia="Times New Roman" w:cs="Times New Roman"/>
      <w:b/>
      <w:bCs w:val="0"/>
      <w:caps/>
      <w:color w:val="329664"/>
      <w:sz w:val="24"/>
      <w:szCs w:val="20"/>
    </w:rPr>
  </w:style>
  <w:style w:type="paragraph" w:customStyle="1" w:styleId="StyleLatinCalibri10ptAfter0ptLinespacingsingle">
    <w:name w:val="Style (Latin) Calibri 10 pt After:  0 pt Line spacing:  single"/>
    <w:basedOn w:val="Normal"/>
    <w:rsid w:val="00C20E52"/>
    <w:pPr>
      <w:keepNext/>
      <w:spacing w:after="0" w:line="240" w:lineRule="auto"/>
    </w:pPr>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59647">
      <w:bodyDiv w:val="1"/>
      <w:marLeft w:val="0"/>
      <w:marRight w:val="0"/>
      <w:marTop w:val="0"/>
      <w:marBottom w:val="0"/>
      <w:divBdr>
        <w:top w:val="none" w:sz="0" w:space="0" w:color="auto"/>
        <w:left w:val="none" w:sz="0" w:space="0" w:color="auto"/>
        <w:bottom w:val="none" w:sz="0" w:space="0" w:color="auto"/>
        <w:right w:val="none" w:sz="0" w:space="0" w:color="auto"/>
      </w:divBdr>
    </w:div>
    <w:div w:id="233053500">
      <w:bodyDiv w:val="1"/>
      <w:marLeft w:val="0"/>
      <w:marRight w:val="0"/>
      <w:marTop w:val="0"/>
      <w:marBottom w:val="0"/>
      <w:divBdr>
        <w:top w:val="none" w:sz="0" w:space="0" w:color="auto"/>
        <w:left w:val="none" w:sz="0" w:space="0" w:color="auto"/>
        <w:bottom w:val="none" w:sz="0" w:space="0" w:color="auto"/>
        <w:right w:val="none" w:sz="0" w:space="0" w:color="auto"/>
      </w:divBdr>
    </w:div>
    <w:div w:id="282156658">
      <w:bodyDiv w:val="1"/>
      <w:marLeft w:val="0"/>
      <w:marRight w:val="0"/>
      <w:marTop w:val="0"/>
      <w:marBottom w:val="0"/>
      <w:divBdr>
        <w:top w:val="none" w:sz="0" w:space="0" w:color="auto"/>
        <w:left w:val="none" w:sz="0" w:space="0" w:color="auto"/>
        <w:bottom w:val="none" w:sz="0" w:space="0" w:color="auto"/>
        <w:right w:val="none" w:sz="0" w:space="0" w:color="auto"/>
      </w:divBdr>
    </w:div>
    <w:div w:id="343016428">
      <w:bodyDiv w:val="1"/>
      <w:marLeft w:val="0"/>
      <w:marRight w:val="0"/>
      <w:marTop w:val="0"/>
      <w:marBottom w:val="0"/>
      <w:divBdr>
        <w:top w:val="none" w:sz="0" w:space="0" w:color="auto"/>
        <w:left w:val="none" w:sz="0" w:space="0" w:color="auto"/>
        <w:bottom w:val="none" w:sz="0" w:space="0" w:color="auto"/>
        <w:right w:val="none" w:sz="0" w:space="0" w:color="auto"/>
      </w:divBdr>
    </w:div>
    <w:div w:id="406923675">
      <w:bodyDiv w:val="1"/>
      <w:marLeft w:val="0"/>
      <w:marRight w:val="0"/>
      <w:marTop w:val="0"/>
      <w:marBottom w:val="0"/>
      <w:divBdr>
        <w:top w:val="none" w:sz="0" w:space="0" w:color="auto"/>
        <w:left w:val="none" w:sz="0" w:space="0" w:color="auto"/>
        <w:bottom w:val="none" w:sz="0" w:space="0" w:color="auto"/>
        <w:right w:val="none" w:sz="0" w:space="0" w:color="auto"/>
      </w:divBdr>
    </w:div>
    <w:div w:id="412557055">
      <w:bodyDiv w:val="1"/>
      <w:marLeft w:val="0"/>
      <w:marRight w:val="0"/>
      <w:marTop w:val="0"/>
      <w:marBottom w:val="0"/>
      <w:divBdr>
        <w:top w:val="none" w:sz="0" w:space="0" w:color="auto"/>
        <w:left w:val="none" w:sz="0" w:space="0" w:color="auto"/>
        <w:bottom w:val="none" w:sz="0" w:space="0" w:color="auto"/>
        <w:right w:val="none" w:sz="0" w:space="0" w:color="auto"/>
      </w:divBdr>
    </w:div>
    <w:div w:id="477579633">
      <w:bodyDiv w:val="1"/>
      <w:marLeft w:val="0"/>
      <w:marRight w:val="0"/>
      <w:marTop w:val="0"/>
      <w:marBottom w:val="0"/>
      <w:divBdr>
        <w:top w:val="none" w:sz="0" w:space="0" w:color="auto"/>
        <w:left w:val="none" w:sz="0" w:space="0" w:color="auto"/>
        <w:bottom w:val="none" w:sz="0" w:space="0" w:color="auto"/>
        <w:right w:val="none" w:sz="0" w:space="0" w:color="auto"/>
      </w:divBdr>
    </w:div>
    <w:div w:id="562302462">
      <w:bodyDiv w:val="1"/>
      <w:marLeft w:val="0"/>
      <w:marRight w:val="0"/>
      <w:marTop w:val="0"/>
      <w:marBottom w:val="0"/>
      <w:divBdr>
        <w:top w:val="none" w:sz="0" w:space="0" w:color="auto"/>
        <w:left w:val="none" w:sz="0" w:space="0" w:color="auto"/>
        <w:bottom w:val="none" w:sz="0" w:space="0" w:color="auto"/>
        <w:right w:val="none" w:sz="0" w:space="0" w:color="auto"/>
      </w:divBdr>
    </w:div>
    <w:div w:id="670915974">
      <w:bodyDiv w:val="1"/>
      <w:marLeft w:val="0"/>
      <w:marRight w:val="0"/>
      <w:marTop w:val="0"/>
      <w:marBottom w:val="0"/>
      <w:divBdr>
        <w:top w:val="none" w:sz="0" w:space="0" w:color="auto"/>
        <w:left w:val="none" w:sz="0" w:space="0" w:color="auto"/>
        <w:bottom w:val="none" w:sz="0" w:space="0" w:color="auto"/>
        <w:right w:val="none" w:sz="0" w:space="0" w:color="auto"/>
      </w:divBdr>
    </w:div>
    <w:div w:id="699865660">
      <w:bodyDiv w:val="1"/>
      <w:marLeft w:val="0"/>
      <w:marRight w:val="0"/>
      <w:marTop w:val="0"/>
      <w:marBottom w:val="0"/>
      <w:divBdr>
        <w:top w:val="none" w:sz="0" w:space="0" w:color="auto"/>
        <w:left w:val="none" w:sz="0" w:space="0" w:color="auto"/>
        <w:bottom w:val="none" w:sz="0" w:space="0" w:color="auto"/>
        <w:right w:val="none" w:sz="0" w:space="0" w:color="auto"/>
      </w:divBdr>
    </w:div>
    <w:div w:id="771437397">
      <w:bodyDiv w:val="1"/>
      <w:marLeft w:val="0"/>
      <w:marRight w:val="0"/>
      <w:marTop w:val="0"/>
      <w:marBottom w:val="0"/>
      <w:divBdr>
        <w:top w:val="none" w:sz="0" w:space="0" w:color="auto"/>
        <w:left w:val="none" w:sz="0" w:space="0" w:color="auto"/>
        <w:bottom w:val="none" w:sz="0" w:space="0" w:color="auto"/>
        <w:right w:val="none" w:sz="0" w:space="0" w:color="auto"/>
      </w:divBdr>
    </w:div>
    <w:div w:id="851456791">
      <w:bodyDiv w:val="1"/>
      <w:marLeft w:val="0"/>
      <w:marRight w:val="0"/>
      <w:marTop w:val="0"/>
      <w:marBottom w:val="0"/>
      <w:divBdr>
        <w:top w:val="none" w:sz="0" w:space="0" w:color="auto"/>
        <w:left w:val="none" w:sz="0" w:space="0" w:color="auto"/>
        <w:bottom w:val="none" w:sz="0" w:space="0" w:color="auto"/>
        <w:right w:val="none" w:sz="0" w:space="0" w:color="auto"/>
      </w:divBdr>
    </w:div>
    <w:div w:id="890530833">
      <w:bodyDiv w:val="1"/>
      <w:marLeft w:val="0"/>
      <w:marRight w:val="0"/>
      <w:marTop w:val="0"/>
      <w:marBottom w:val="0"/>
      <w:divBdr>
        <w:top w:val="none" w:sz="0" w:space="0" w:color="auto"/>
        <w:left w:val="none" w:sz="0" w:space="0" w:color="auto"/>
        <w:bottom w:val="none" w:sz="0" w:space="0" w:color="auto"/>
        <w:right w:val="none" w:sz="0" w:space="0" w:color="auto"/>
      </w:divBdr>
    </w:div>
    <w:div w:id="910581943">
      <w:bodyDiv w:val="1"/>
      <w:marLeft w:val="0"/>
      <w:marRight w:val="0"/>
      <w:marTop w:val="0"/>
      <w:marBottom w:val="0"/>
      <w:divBdr>
        <w:top w:val="none" w:sz="0" w:space="0" w:color="auto"/>
        <w:left w:val="none" w:sz="0" w:space="0" w:color="auto"/>
        <w:bottom w:val="none" w:sz="0" w:space="0" w:color="auto"/>
        <w:right w:val="none" w:sz="0" w:space="0" w:color="auto"/>
      </w:divBdr>
    </w:div>
    <w:div w:id="956568840">
      <w:bodyDiv w:val="1"/>
      <w:marLeft w:val="0"/>
      <w:marRight w:val="0"/>
      <w:marTop w:val="0"/>
      <w:marBottom w:val="0"/>
      <w:divBdr>
        <w:top w:val="none" w:sz="0" w:space="0" w:color="auto"/>
        <w:left w:val="none" w:sz="0" w:space="0" w:color="auto"/>
        <w:bottom w:val="none" w:sz="0" w:space="0" w:color="auto"/>
        <w:right w:val="none" w:sz="0" w:space="0" w:color="auto"/>
      </w:divBdr>
    </w:div>
    <w:div w:id="977609318">
      <w:bodyDiv w:val="1"/>
      <w:marLeft w:val="0"/>
      <w:marRight w:val="0"/>
      <w:marTop w:val="0"/>
      <w:marBottom w:val="0"/>
      <w:divBdr>
        <w:top w:val="none" w:sz="0" w:space="0" w:color="auto"/>
        <w:left w:val="none" w:sz="0" w:space="0" w:color="auto"/>
        <w:bottom w:val="none" w:sz="0" w:space="0" w:color="auto"/>
        <w:right w:val="none" w:sz="0" w:space="0" w:color="auto"/>
      </w:divBdr>
    </w:div>
    <w:div w:id="995693260">
      <w:bodyDiv w:val="1"/>
      <w:marLeft w:val="0"/>
      <w:marRight w:val="0"/>
      <w:marTop w:val="0"/>
      <w:marBottom w:val="0"/>
      <w:divBdr>
        <w:top w:val="none" w:sz="0" w:space="0" w:color="auto"/>
        <w:left w:val="none" w:sz="0" w:space="0" w:color="auto"/>
        <w:bottom w:val="none" w:sz="0" w:space="0" w:color="auto"/>
        <w:right w:val="none" w:sz="0" w:space="0" w:color="auto"/>
      </w:divBdr>
    </w:div>
    <w:div w:id="1025907508">
      <w:bodyDiv w:val="1"/>
      <w:marLeft w:val="0"/>
      <w:marRight w:val="0"/>
      <w:marTop w:val="0"/>
      <w:marBottom w:val="0"/>
      <w:divBdr>
        <w:top w:val="none" w:sz="0" w:space="0" w:color="auto"/>
        <w:left w:val="none" w:sz="0" w:space="0" w:color="auto"/>
        <w:bottom w:val="none" w:sz="0" w:space="0" w:color="auto"/>
        <w:right w:val="none" w:sz="0" w:space="0" w:color="auto"/>
      </w:divBdr>
    </w:div>
    <w:div w:id="1037894567">
      <w:bodyDiv w:val="1"/>
      <w:marLeft w:val="0"/>
      <w:marRight w:val="0"/>
      <w:marTop w:val="0"/>
      <w:marBottom w:val="0"/>
      <w:divBdr>
        <w:top w:val="none" w:sz="0" w:space="0" w:color="auto"/>
        <w:left w:val="none" w:sz="0" w:space="0" w:color="auto"/>
        <w:bottom w:val="none" w:sz="0" w:space="0" w:color="auto"/>
        <w:right w:val="none" w:sz="0" w:space="0" w:color="auto"/>
      </w:divBdr>
    </w:div>
    <w:div w:id="1263760311">
      <w:bodyDiv w:val="1"/>
      <w:marLeft w:val="0"/>
      <w:marRight w:val="0"/>
      <w:marTop w:val="0"/>
      <w:marBottom w:val="0"/>
      <w:divBdr>
        <w:top w:val="none" w:sz="0" w:space="0" w:color="auto"/>
        <w:left w:val="none" w:sz="0" w:space="0" w:color="auto"/>
        <w:bottom w:val="none" w:sz="0" w:space="0" w:color="auto"/>
        <w:right w:val="none" w:sz="0" w:space="0" w:color="auto"/>
      </w:divBdr>
    </w:div>
    <w:div w:id="1373729712">
      <w:bodyDiv w:val="1"/>
      <w:marLeft w:val="0"/>
      <w:marRight w:val="0"/>
      <w:marTop w:val="0"/>
      <w:marBottom w:val="0"/>
      <w:divBdr>
        <w:top w:val="none" w:sz="0" w:space="0" w:color="auto"/>
        <w:left w:val="none" w:sz="0" w:space="0" w:color="auto"/>
        <w:bottom w:val="none" w:sz="0" w:space="0" w:color="auto"/>
        <w:right w:val="none" w:sz="0" w:space="0" w:color="auto"/>
      </w:divBdr>
    </w:div>
    <w:div w:id="1402408874">
      <w:bodyDiv w:val="1"/>
      <w:marLeft w:val="0"/>
      <w:marRight w:val="0"/>
      <w:marTop w:val="0"/>
      <w:marBottom w:val="0"/>
      <w:divBdr>
        <w:top w:val="none" w:sz="0" w:space="0" w:color="auto"/>
        <w:left w:val="none" w:sz="0" w:space="0" w:color="auto"/>
        <w:bottom w:val="none" w:sz="0" w:space="0" w:color="auto"/>
        <w:right w:val="none" w:sz="0" w:space="0" w:color="auto"/>
      </w:divBdr>
    </w:div>
    <w:div w:id="1536311298">
      <w:bodyDiv w:val="1"/>
      <w:marLeft w:val="0"/>
      <w:marRight w:val="0"/>
      <w:marTop w:val="0"/>
      <w:marBottom w:val="0"/>
      <w:divBdr>
        <w:top w:val="none" w:sz="0" w:space="0" w:color="auto"/>
        <w:left w:val="none" w:sz="0" w:space="0" w:color="auto"/>
        <w:bottom w:val="none" w:sz="0" w:space="0" w:color="auto"/>
        <w:right w:val="none" w:sz="0" w:space="0" w:color="auto"/>
      </w:divBdr>
    </w:div>
    <w:div w:id="1675840878">
      <w:bodyDiv w:val="1"/>
      <w:marLeft w:val="0"/>
      <w:marRight w:val="0"/>
      <w:marTop w:val="0"/>
      <w:marBottom w:val="0"/>
      <w:divBdr>
        <w:top w:val="none" w:sz="0" w:space="0" w:color="auto"/>
        <w:left w:val="none" w:sz="0" w:space="0" w:color="auto"/>
        <w:bottom w:val="none" w:sz="0" w:space="0" w:color="auto"/>
        <w:right w:val="none" w:sz="0" w:space="0" w:color="auto"/>
      </w:divBdr>
    </w:div>
    <w:div w:id="1730961085">
      <w:bodyDiv w:val="1"/>
      <w:marLeft w:val="0"/>
      <w:marRight w:val="0"/>
      <w:marTop w:val="0"/>
      <w:marBottom w:val="0"/>
      <w:divBdr>
        <w:top w:val="none" w:sz="0" w:space="0" w:color="auto"/>
        <w:left w:val="none" w:sz="0" w:space="0" w:color="auto"/>
        <w:bottom w:val="none" w:sz="0" w:space="0" w:color="auto"/>
        <w:right w:val="none" w:sz="0" w:space="0" w:color="auto"/>
      </w:divBdr>
    </w:div>
    <w:div w:id="1855266868">
      <w:bodyDiv w:val="1"/>
      <w:marLeft w:val="0"/>
      <w:marRight w:val="0"/>
      <w:marTop w:val="0"/>
      <w:marBottom w:val="0"/>
      <w:divBdr>
        <w:top w:val="none" w:sz="0" w:space="0" w:color="auto"/>
        <w:left w:val="none" w:sz="0" w:space="0" w:color="auto"/>
        <w:bottom w:val="none" w:sz="0" w:space="0" w:color="auto"/>
        <w:right w:val="none" w:sz="0" w:space="0" w:color="auto"/>
      </w:divBdr>
    </w:div>
    <w:div w:id="1918854733">
      <w:bodyDiv w:val="1"/>
      <w:marLeft w:val="0"/>
      <w:marRight w:val="0"/>
      <w:marTop w:val="0"/>
      <w:marBottom w:val="0"/>
      <w:divBdr>
        <w:top w:val="none" w:sz="0" w:space="0" w:color="auto"/>
        <w:left w:val="none" w:sz="0" w:space="0" w:color="auto"/>
        <w:bottom w:val="none" w:sz="0" w:space="0" w:color="auto"/>
        <w:right w:val="none" w:sz="0" w:space="0" w:color="auto"/>
      </w:divBdr>
    </w:div>
    <w:div w:id="198576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3.xml"/><Relationship Id="rId42" Type="http://schemas.openxmlformats.org/officeDocument/2006/relationships/footer" Target="footer12.xml"/><Relationship Id="rId47" Type="http://schemas.openxmlformats.org/officeDocument/2006/relationships/footer" Target="footer17.xml"/><Relationship Id="rId63" Type="http://schemas.openxmlformats.org/officeDocument/2006/relationships/image" Target="media/image11.emf"/><Relationship Id="rId68" Type="http://schemas.openxmlformats.org/officeDocument/2006/relationships/hyperlink" Target="https://www.cgc.gov.au/" TargetMode="External"/><Relationship Id="rId84" Type="http://schemas.openxmlformats.org/officeDocument/2006/relationships/footer" Target="footer32.xml"/><Relationship Id="rId89" Type="http://schemas.openxmlformats.org/officeDocument/2006/relationships/hyperlink" Target="https://www.cgc.gov.au/" TargetMode="External"/><Relationship Id="rId16" Type="http://schemas.openxmlformats.org/officeDocument/2006/relationships/hyperlink" Target="http://creativecommons.org/licenses/by/4.0/legalcode" TargetMode="External"/><Relationship Id="rId11" Type="http://schemas.openxmlformats.org/officeDocument/2006/relationships/footer" Target="footer2.xml"/><Relationship Id="rId32" Type="http://schemas.openxmlformats.org/officeDocument/2006/relationships/image" Target="media/image5.png"/><Relationship Id="rId37" Type="http://schemas.openxmlformats.org/officeDocument/2006/relationships/footer" Target="footer8.xml"/><Relationship Id="rId53" Type="http://schemas.openxmlformats.org/officeDocument/2006/relationships/footer" Target="footer23.xml"/><Relationship Id="rId58" Type="http://schemas.openxmlformats.org/officeDocument/2006/relationships/hyperlink" Target="https://www.cgc.gov.au/" TargetMode="External"/><Relationship Id="rId74" Type="http://schemas.openxmlformats.org/officeDocument/2006/relationships/image" Target="media/image19.emf"/><Relationship Id="rId79" Type="http://schemas.openxmlformats.org/officeDocument/2006/relationships/image" Target="media/image22.emf"/><Relationship Id="rId5" Type="http://schemas.openxmlformats.org/officeDocument/2006/relationships/settings" Target="settings.xml"/><Relationship Id="rId90" Type="http://schemas.openxmlformats.org/officeDocument/2006/relationships/footer" Target="footer34.xml"/><Relationship Id="rId14" Type="http://schemas.openxmlformats.org/officeDocument/2006/relationships/hyperlink" Target="http://creativecommons.org/licenses/by/3.0" TargetMode="External"/><Relationship Id="rId22" Type="http://schemas.openxmlformats.org/officeDocument/2006/relationships/header" Target="header2.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8.png"/><Relationship Id="rId43" Type="http://schemas.openxmlformats.org/officeDocument/2006/relationships/footer" Target="footer13.xml"/><Relationship Id="rId48" Type="http://schemas.openxmlformats.org/officeDocument/2006/relationships/footer" Target="footer18.xml"/><Relationship Id="rId56" Type="http://schemas.openxmlformats.org/officeDocument/2006/relationships/footer" Target="footer26.xml"/><Relationship Id="rId64" Type="http://schemas.openxmlformats.org/officeDocument/2006/relationships/image" Target="media/image12.emf"/><Relationship Id="rId69" Type="http://schemas.openxmlformats.org/officeDocument/2006/relationships/image" Target="media/image14.emf"/><Relationship Id="rId77" Type="http://schemas.openxmlformats.org/officeDocument/2006/relationships/hyperlink" Target="https://www.cgc.gov.au/" TargetMode="External"/><Relationship Id="rId8" Type="http://schemas.openxmlformats.org/officeDocument/2006/relationships/endnotes" Target="endnotes.xml"/><Relationship Id="rId51" Type="http://schemas.openxmlformats.org/officeDocument/2006/relationships/footer" Target="footer21.xml"/><Relationship Id="rId72" Type="http://schemas.openxmlformats.org/officeDocument/2006/relationships/image" Target="media/image17.emf"/><Relationship Id="rId80" Type="http://schemas.openxmlformats.org/officeDocument/2006/relationships/image" Target="media/image23.emf"/><Relationship Id="rId85" Type="http://schemas.openxmlformats.org/officeDocument/2006/relationships/footer" Target="footer33.xm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hyperlink" Target="http://www.itsanhonour.gov.au/coat-arms/" TargetMode="External"/><Relationship Id="rId25" Type="http://schemas.openxmlformats.org/officeDocument/2006/relationships/footer" Target="footer5.xml"/><Relationship Id="rId33" Type="http://schemas.openxmlformats.org/officeDocument/2006/relationships/image" Target="media/image6.png"/><Relationship Id="rId38" Type="http://schemas.openxmlformats.org/officeDocument/2006/relationships/footer" Target="footer9.xml"/><Relationship Id="rId46" Type="http://schemas.openxmlformats.org/officeDocument/2006/relationships/footer" Target="footer16.xml"/><Relationship Id="rId59" Type="http://schemas.openxmlformats.org/officeDocument/2006/relationships/hyperlink" Target="https://www.cgc.gov.au/" TargetMode="External"/><Relationship Id="rId67" Type="http://schemas.openxmlformats.org/officeDocument/2006/relationships/footer" Target="footer30.xml"/><Relationship Id="rId20" Type="http://schemas.openxmlformats.org/officeDocument/2006/relationships/header" Target="header1.xml"/><Relationship Id="rId41" Type="http://schemas.openxmlformats.org/officeDocument/2006/relationships/footer" Target="footer11.xml"/><Relationship Id="rId54" Type="http://schemas.openxmlformats.org/officeDocument/2006/relationships/footer" Target="footer24.xml"/><Relationship Id="rId62" Type="http://schemas.openxmlformats.org/officeDocument/2006/relationships/image" Target="media/image10.emf"/><Relationship Id="rId70" Type="http://schemas.openxmlformats.org/officeDocument/2006/relationships/image" Target="media/image15.emf"/><Relationship Id="rId75" Type="http://schemas.openxmlformats.org/officeDocument/2006/relationships/image" Target="media/image20.emf"/><Relationship Id="rId83" Type="http://schemas.openxmlformats.org/officeDocument/2006/relationships/image" Target="media/image26.emf"/><Relationship Id="rId88" Type="http://schemas.openxmlformats.org/officeDocument/2006/relationships/hyperlink" Target="https://www.cgc.gov.au/"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reativecommons.org/licenses/by/4.0" TargetMode="External"/><Relationship Id="rId23" Type="http://schemas.openxmlformats.org/officeDocument/2006/relationships/header" Target="header3.xml"/><Relationship Id="rId28" Type="http://schemas.openxmlformats.org/officeDocument/2006/relationships/image" Target="media/image3.png"/><Relationship Id="rId36" Type="http://schemas.openxmlformats.org/officeDocument/2006/relationships/image" Target="media/image9.png"/><Relationship Id="rId49" Type="http://schemas.openxmlformats.org/officeDocument/2006/relationships/footer" Target="footer19.xml"/><Relationship Id="rId57" Type="http://schemas.openxmlformats.org/officeDocument/2006/relationships/footer" Target="footer27.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footer" Target="footer14.xml"/><Relationship Id="rId52" Type="http://schemas.openxmlformats.org/officeDocument/2006/relationships/footer" Target="footer22.xml"/><Relationship Id="rId60" Type="http://schemas.openxmlformats.org/officeDocument/2006/relationships/hyperlink" Target="https://www.cgc.gov.au/" TargetMode="External"/><Relationship Id="rId65" Type="http://schemas.openxmlformats.org/officeDocument/2006/relationships/image" Target="media/image13.emf"/><Relationship Id="rId73" Type="http://schemas.openxmlformats.org/officeDocument/2006/relationships/image" Target="media/image18.emf"/><Relationship Id="rId78" Type="http://schemas.openxmlformats.org/officeDocument/2006/relationships/image" Target="media/image21.emf"/><Relationship Id="rId81" Type="http://schemas.openxmlformats.org/officeDocument/2006/relationships/image" Target="media/image24.emf"/><Relationship Id="rId86" Type="http://schemas.openxmlformats.org/officeDocument/2006/relationships/hyperlink" Target="https://www.cgc.gov.au/"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mailto:phil.parkins@cgc.gov.au" TargetMode="External"/><Relationship Id="rId39" Type="http://schemas.openxmlformats.org/officeDocument/2006/relationships/hyperlink" Target="http://www.cgc.gov.au/" TargetMode="External"/><Relationship Id="rId34" Type="http://schemas.openxmlformats.org/officeDocument/2006/relationships/image" Target="media/image7.png"/><Relationship Id="rId50" Type="http://schemas.openxmlformats.org/officeDocument/2006/relationships/footer" Target="footer20.xml"/><Relationship Id="rId55" Type="http://schemas.openxmlformats.org/officeDocument/2006/relationships/footer" Target="footer25.xml"/><Relationship Id="rId76" Type="http://schemas.openxmlformats.org/officeDocument/2006/relationships/footer" Target="footer31.xml"/><Relationship Id="rId7" Type="http://schemas.openxmlformats.org/officeDocument/2006/relationships/footnotes" Target="footnotes.xml"/><Relationship Id="rId71" Type="http://schemas.openxmlformats.org/officeDocument/2006/relationships/image" Target="media/image16.e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footer" Target="footer4.xml"/><Relationship Id="rId40" Type="http://schemas.openxmlformats.org/officeDocument/2006/relationships/footer" Target="footer10.xml"/><Relationship Id="rId45" Type="http://schemas.openxmlformats.org/officeDocument/2006/relationships/footer" Target="footer15.xml"/><Relationship Id="rId66" Type="http://schemas.openxmlformats.org/officeDocument/2006/relationships/footer" Target="footer29.xml"/><Relationship Id="rId87" Type="http://schemas.openxmlformats.org/officeDocument/2006/relationships/hyperlink" Target="https://www.cgc.gov.au/" TargetMode="External"/><Relationship Id="rId61" Type="http://schemas.openxmlformats.org/officeDocument/2006/relationships/footer" Target="footer28.xml"/><Relationship Id="rId82" Type="http://schemas.openxmlformats.org/officeDocument/2006/relationships/image" Target="media/image25.emf"/><Relationship Id="rId19" Type="http://schemas.openxmlformats.org/officeDocument/2006/relationships/hyperlink" Target="http://www.cg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gcna01\ODrive\Word%20Templates\Official%20Template\Document%20Templates\Agenda%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EA0F5-F687-4721-85F6-1B5A33CA8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Paper.dotx</Template>
  <TotalTime>5552</TotalTime>
  <Pages>146</Pages>
  <Words>45740</Words>
  <Characters>260721</Characters>
  <Application>Microsoft Office Word</Application>
  <DocSecurity>0</DocSecurity>
  <Lines>2172</Lines>
  <Paragraphs>611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305850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222</cp:revision>
  <cp:lastPrinted>2015-02-27T00:36:00Z</cp:lastPrinted>
  <dcterms:created xsi:type="dcterms:W3CDTF">2015-01-26T22:32:00Z</dcterms:created>
  <dcterms:modified xsi:type="dcterms:W3CDTF">2015-03-05T03:12:00Z</dcterms:modified>
</cp:coreProperties>
</file>