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header16.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CAE" w:rsidRDefault="00FC647D" w:rsidP="00F23CAE">
      <w:pPr>
        <w:pStyle w:val="Heading1"/>
      </w:pPr>
      <w:r>
        <w:rPr>
          <w:caps w:val="0"/>
        </w:rPr>
        <w:t>ATTACHMENT 1</w:t>
      </w:r>
    </w:p>
    <w:p w:rsidR="00F23CAE" w:rsidRDefault="00FC647D" w:rsidP="00F23CAE">
      <w:pPr>
        <w:pStyle w:val="Heading2"/>
      </w:pPr>
      <w:r>
        <w:rPr>
          <w:caps w:val="0"/>
        </w:rPr>
        <w:t>POPULATION DATA SUPPORTING THE ASSESSMENTS</w:t>
      </w:r>
    </w:p>
    <w:p w:rsidR="00F23CAE" w:rsidRDefault="00F23CAE" w:rsidP="00F23CAE">
      <w:pPr>
        <w:pStyle w:val="CGCNumberedPara"/>
      </w:pPr>
      <w:r>
        <w:t>This attachment provides details of the main population data used in Commission calculations. It also explains how we have used them.</w:t>
      </w:r>
    </w:p>
    <w:p w:rsidR="00F23CAE" w:rsidRDefault="00D24D46" w:rsidP="00F23CAE">
      <w:pPr>
        <w:pStyle w:val="Heading3"/>
      </w:pPr>
      <w:r>
        <w:t>Estimated resident population</w:t>
      </w:r>
    </w:p>
    <w:p w:rsidR="00F23CAE" w:rsidRDefault="00F23CAE" w:rsidP="00F23CAE">
      <w:pPr>
        <w:pStyle w:val="CGCNumberedPara"/>
      </w:pPr>
      <w:r>
        <w:t>For all its assessments, and its overall relativities, the Commission requires population level estimates. For many assessments it requires population data on a range of population groups disaggregated by various characteristics related to differential use or cost of services, for example, age, gender, Indigenous status, socio-economic status (SES) and remoteness.</w:t>
      </w:r>
    </w:p>
    <w:p w:rsidR="00F23CAE" w:rsidRDefault="00F23CAE" w:rsidP="00F23CAE">
      <w:pPr>
        <w:pStyle w:val="CGCNumberedPara"/>
      </w:pPr>
      <w:r>
        <w:t>All estimated resident population (ERP) data we use come from the Australian Bureau of Statistics (ABS). Most of these data are received through a special data request.</w:t>
      </w:r>
    </w:p>
    <w:p w:rsidR="00F23CAE" w:rsidRDefault="00F23CAE" w:rsidP="00F23CAE">
      <w:pPr>
        <w:pStyle w:val="Heading4"/>
      </w:pPr>
      <w:r>
        <w:t>Population level estimates</w:t>
      </w:r>
    </w:p>
    <w:p w:rsidR="00F23CAE" w:rsidRDefault="00F23CAE" w:rsidP="00F23CAE">
      <w:pPr>
        <w:pStyle w:val="CGCNumberedPara"/>
      </w:pPr>
      <w:r>
        <w:t>For assessments that require estimates of the size of total State populations, we use estimates as at 31 December. This is the middle of the financial year. This is the population series used for calculating:</w:t>
      </w:r>
    </w:p>
    <w:p w:rsidR="00F23CAE" w:rsidRDefault="009963DC" w:rsidP="00F23CAE">
      <w:pPr>
        <w:pStyle w:val="CGCBulletlist"/>
        <w:numPr>
          <w:ilvl w:val="0"/>
          <w:numId w:val="11"/>
        </w:numPr>
        <w:tabs>
          <w:tab w:val="clear" w:pos="927"/>
          <w:tab w:val="left" w:pos="1134"/>
        </w:tabs>
        <w:ind w:left="1134" w:hanging="567"/>
      </w:pPr>
      <w:r>
        <w:t xml:space="preserve">equal per capita (EPC) </w:t>
      </w:r>
      <w:r w:rsidR="00F23CAE">
        <w:t>distributions</w:t>
      </w:r>
    </w:p>
    <w:p w:rsidR="00F23CAE" w:rsidRDefault="00F23CAE" w:rsidP="00F23CAE">
      <w:pPr>
        <w:pStyle w:val="CGCBulletlist"/>
        <w:numPr>
          <w:ilvl w:val="0"/>
          <w:numId w:val="11"/>
        </w:numPr>
        <w:tabs>
          <w:tab w:val="clear" w:pos="927"/>
          <w:tab w:val="left" w:pos="1134"/>
        </w:tabs>
        <w:ind w:left="1134" w:hanging="567"/>
      </w:pPr>
      <w:r>
        <w:t>factors</w:t>
      </w:r>
    </w:p>
    <w:p w:rsidR="00F23CAE" w:rsidRDefault="00F23CAE" w:rsidP="00F23CAE">
      <w:pPr>
        <w:pStyle w:val="CGCBulletlist"/>
        <w:numPr>
          <w:ilvl w:val="0"/>
          <w:numId w:val="11"/>
        </w:numPr>
        <w:tabs>
          <w:tab w:val="clear" w:pos="927"/>
          <w:tab w:val="left" w:pos="1134"/>
        </w:tabs>
        <w:ind w:left="1134" w:hanging="567"/>
      </w:pPr>
      <w:proofErr w:type="gramStart"/>
      <w:r>
        <w:t>per</w:t>
      </w:r>
      <w:proofErr w:type="gramEnd"/>
      <w:r>
        <w:t xml:space="preserve"> capita relativities.</w:t>
      </w:r>
    </w:p>
    <w:p w:rsidR="00F23CAE" w:rsidRDefault="00F23CAE" w:rsidP="00F23CAE">
      <w:pPr>
        <w:pStyle w:val="CGCNumberedPara"/>
      </w:pPr>
      <w:r>
        <w:rPr>
          <w:highlight w:val="yellow"/>
        </w:rPr>
        <w:fldChar w:fldCharType="begin"/>
      </w:r>
      <w:r>
        <w:instrText xml:space="preserve"> REF _Ref410635298 \h </w:instrText>
      </w:r>
      <w:r>
        <w:rPr>
          <w:highlight w:val="yellow"/>
        </w:rPr>
      </w:r>
      <w:r>
        <w:rPr>
          <w:highlight w:val="yellow"/>
        </w:rPr>
        <w:fldChar w:fldCharType="separate"/>
      </w:r>
      <w:r w:rsidR="007B6A4C">
        <w:t>Table </w:t>
      </w:r>
      <w:r w:rsidR="007B6A4C">
        <w:rPr>
          <w:noProof/>
        </w:rPr>
        <w:t>1</w:t>
      </w:r>
      <w:r>
        <w:rPr>
          <w:highlight w:val="yellow"/>
        </w:rPr>
        <w:fldChar w:fldCharType="end"/>
      </w:r>
      <w:r>
        <w:t xml:space="preserve"> shows the State ERPs for each assessment year.</w:t>
      </w:r>
    </w:p>
    <w:p w:rsidR="00F23CAE" w:rsidRDefault="00F23CAE" w:rsidP="00F23CAE">
      <w:pPr>
        <w:pStyle w:val="Caption"/>
      </w:pPr>
      <w:bookmarkStart w:id="0" w:name="_Ref403996834"/>
      <w:bookmarkStart w:id="1" w:name="_Ref410635298"/>
      <w:r>
        <w:lastRenderedPageBreak/>
        <w:t>Table</w:t>
      </w:r>
      <w:bookmarkEnd w:id="0"/>
      <w:r>
        <w:t> </w:t>
      </w:r>
      <w:fldSimple w:instr=" SEQ Table \* ARABIC \r1 ">
        <w:r w:rsidR="007B6A4C">
          <w:rPr>
            <w:noProof/>
          </w:rPr>
          <w:t>1</w:t>
        </w:r>
      </w:fldSimple>
      <w:bookmarkEnd w:id="1"/>
      <w:r>
        <w:tab/>
        <w:t>Estimated resident population, by State, at 31 December</w:t>
      </w:r>
    </w:p>
    <w:tbl>
      <w:tblPr>
        <w:tblW w:w="8960" w:type="dxa"/>
        <w:tblInd w:w="93" w:type="dxa"/>
        <w:tblLook w:val="04A0" w:firstRow="1" w:lastRow="0" w:firstColumn="1" w:lastColumn="0" w:noHBand="0" w:noVBand="1"/>
      </w:tblPr>
      <w:tblGrid>
        <w:gridCol w:w="1060"/>
        <w:gridCol w:w="900"/>
        <w:gridCol w:w="900"/>
        <w:gridCol w:w="900"/>
        <w:gridCol w:w="900"/>
        <w:gridCol w:w="900"/>
        <w:gridCol w:w="800"/>
        <w:gridCol w:w="800"/>
        <w:gridCol w:w="800"/>
        <w:gridCol w:w="1000"/>
      </w:tblGrid>
      <w:tr w:rsidR="00F23CAE" w:rsidRPr="008021C5" w:rsidTr="00761BEA">
        <w:trPr>
          <w:trHeight w:val="379"/>
        </w:trPr>
        <w:tc>
          <w:tcPr>
            <w:tcW w:w="106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bookmarkStart w:id="2" w:name="RANGE!A3:J13"/>
            <w:r w:rsidRPr="008021C5">
              <w:rPr>
                <w:rFonts w:ascii="Calibri" w:eastAsia="Times New Roman" w:hAnsi="Calibri" w:cs="Times New Roman"/>
                <w:sz w:val="20"/>
                <w:szCs w:val="20"/>
                <w:lang w:eastAsia="en-AU"/>
              </w:rPr>
              <w:t> </w:t>
            </w:r>
            <w:bookmarkEnd w:id="2"/>
          </w:p>
        </w:tc>
        <w:tc>
          <w:tcPr>
            <w:tcW w:w="90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NSW</w:t>
            </w:r>
          </w:p>
        </w:tc>
        <w:tc>
          <w:tcPr>
            <w:tcW w:w="90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Vic</w:t>
            </w:r>
          </w:p>
        </w:tc>
        <w:tc>
          <w:tcPr>
            <w:tcW w:w="90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Qld</w:t>
            </w:r>
          </w:p>
        </w:tc>
        <w:tc>
          <w:tcPr>
            <w:tcW w:w="90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WA</w:t>
            </w:r>
          </w:p>
        </w:tc>
        <w:tc>
          <w:tcPr>
            <w:tcW w:w="90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SA</w:t>
            </w:r>
          </w:p>
        </w:tc>
        <w:tc>
          <w:tcPr>
            <w:tcW w:w="80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proofErr w:type="spellStart"/>
            <w:r w:rsidRPr="008021C5">
              <w:rPr>
                <w:rFonts w:ascii="Calibri" w:eastAsia="Times New Roman" w:hAnsi="Calibri" w:cs="Times New Roman"/>
                <w:sz w:val="20"/>
                <w:szCs w:val="20"/>
                <w:lang w:eastAsia="en-AU"/>
              </w:rPr>
              <w:t>Tas</w:t>
            </w:r>
            <w:proofErr w:type="spellEnd"/>
          </w:p>
        </w:tc>
        <w:tc>
          <w:tcPr>
            <w:tcW w:w="80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ACT</w:t>
            </w:r>
          </w:p>
        </w:tc>
        <w:tc>
          <w:tcPr>
            <w:tcW w:w="80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NT</w:t>
            </w:r>
          </w:p>
        </w:tc>
        <w:tc>
          <w:tcPr>
            <w:tcW w:w="100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Total</w:t>
            </w:r>
          </w:p>
        </w:tc>
      </w:tr>
      <w:tr w:rsidR="00F23CAE" w:rsidRPr="008021C5" w:rsidTr="00761BEA">
        <w:trPr>
          <w:trHeight w:val="259"/>
        </w:trPr>
        <w:tc>
          <w:tcPr>
            <w:tcW w:w="106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8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8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8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10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r>
      <w:tr w:rsidR="00F23CAE" w:rsidRPr="008021C5" w:rsidTr="00761BEA">
        <w:trPr>
          <w:trHeight w:val="315"/>
        </w:trPr>
        <w:tc>
          <w:tcPr>
            <w:tcW w:w="106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2010-11</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7 180</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5 496</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4 437</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2 319</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1 632</w:t>
            </w:r>
          </w:p>
        </w:tc>
        <w:tc>
          <w:tcPr>
            <w:tcW w:w="8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510</w:t>
            </w:r>
          </w:p>
        </w:tc>
        <w:tc>
          <w:tcPr>
            <w:tcW w:w="8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365</w:t>
            </w:r>
          </w:p>
        </w:tc>
        <w:tc>
          <w:tcPr>
            <w:tcW w:w="8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230</w:t>
            </w:r>
          </w:p>
        </w:tc>
        <w:tc>
          <w:tcPr>
            <w:tcW w:w="10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22 169</w:t>
            </w:r>
          </w:p>
        </w:tc>
      </w:tr>
      <w:tr w:rsidR="00F23CAE" w:rsidRPr="008021C5" w:rsidTr="00761BEA">
        <w:trPr>
          <w:trHeight w:val="315"/>
        </w:trPr>
        <w:tc>
          <w:tcPr>
            <w:tcW w:w="106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2011-12</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7 262</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5 583</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4 519</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2 392</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1 647</w:t>
            </w:r>
          </w:p>
        </w:tc>
        <w:tc>
          <w:tcPr>
            <w:tcW w:w="8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512</w:t>
            </w:r>
          </w:p>
        </w:tc>
        <w:tc>
          <w:tcPr>
            <w:tcW w:w="8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371</w:t>
            </w:r>
          </w:p>
        </w:tc>
        <w:tc>
          <w:tcPr>
            <w:tcW w:w="8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233</w:t>
            </w:r>
          </w:p>
        </w:tc>
        <w:tc>
          <w:tcPr>
            <w:tcW w:w="10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22 517</w:t>
            </w:r>
          </w:p>
        </w:tc>
      </w:tr>
      <w:tr w:rsidR="00F23CAE" w:rsidRPr="008021C5" w:rsidTr="00761BEA">
        <w:trPr>
          <w:trHeight w:val="315"/>
        </w:trPr>
        <w:tc>
          <w:tcPr>
            <w:tcW w:w="106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2012-13</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7 357</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5 681</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4 609</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2 480</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1 662</w:t>
            </w:r>
          </w:p>
        </w:tc>
        <w:tc>
          <w:tcPr>
            <w:tcW w:w="8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512</w:t>
            </w:r>
          </w:p>
        </w:tc>
        <w:tc>
          <w:tcPr>
            <w:tcW w:w="8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378</w:t>
            </w:r>
          </w:p>
        </w:tc>
        <w:tc>
          <w:tcPr>
            <w:tcW w:w="8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239</w:t>
            </w:r>
          </w:p>
        </w:tc>
        <w:tc>
          <w:tcPr>
            <w:tcW w:w="10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22 918</w:t>
            </w:r>
          </w:p>
        </w:tc>
      </w:tr>
      <w:tr w:rsidR="00F23CAE" w:rsidRPr="008021C5" w:rsidTr="00761BEA">
        <w:trPr>
          <w:trHeight w:val="315"/>
        </w:trPr>
        <w:tc>
          <w:tcPr>
            <w:tcW w:w="106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2013-14</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7 465</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5 787</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4 687</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2 549</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1 677</w:t>
            </w:r>
          </w:p>
        </w:tc>
        <w:tc>
          <w:tcPr>
            <w:tcW w:w="8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514</w:t>
            </w:r>
          </w:p>
        </w:tc>
        <w:tc>
          <w:tcPr>
            <w:tcW w:w="8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384</w:t>
            </w:r>
          </w:p>
        </w:tc>
        <w:tc>
          <w:tcPr>
            <w:tcW w:w="8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244</w:t>
            </w:r>
          </w:p>
        </w:tc>
        <w:tc>
          <w:tcPr>
            <w:tcW w:w="10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23 308</w:t>
            </w:r>
          </w:p>
        </w:tc>
      </w:tr>
      <w:tr w:rsidR="00F23CAE" w:rsidRPr="008021C5" w:rsidTr="00761BEA">
        <w:trPr>
          <w:trHeight w:val="259"/>
        </w:trPr>
        <w:tc>
          <w:tcPr>
            <w:tcW w:w="106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p>
        </w:tc>
        <w:tc>
          <w:tcPr>
            <w:tcW w:w="900" w:type="dxa"/>
            <w:tcBorders>
              <w:top w:val="single" w:sz="4" w:space="0" w:color="auto"/>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900" w:type="dxa"/>
            <w:tcBorders>
              <w:top w:val="single" w:sz="4" w:space="0" w:color="auto"/>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900" w:type="dxa"/>
            <w:tcBorders>
              <w:top w:val="single" w:sz="4" w:space="0" w:color="auto"/>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900" w:type="dxa"/>
            <w:tcBorders>
              <w:top w:val="single" w:sz="4" w:space="0" w:color="auto"/>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900" w:type="dxa"/>
            <w:tcBorders>
              <w:top w:val="single" w:sz="4" w:space="0" w:color="auto"/>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800" w:type="dxa"/>
            <w:tcBorders>
              <w:top w:val="single" w:sz="4" w:space="0" w:color="auto"/>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800" w:type="dxa"/>
            <w:tcBorders>
              <w:top w:val="single" w:sz="4" w:space="0" w:color="auto"/>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800" w:type="dxa"/>
            <w:tcBorders>
              <w:top w:val="single" w:sz="4" w:space="0" w:color="auto"/>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1000" w:type="dxa"/>
            <w:tcBorders>
              <w:top w:val="single" w:sz="4" w:space="0" w:color="auto"/>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r>
      <w:tr w:rsidR="00F23CAE" w:rsidRPr="008021C5" w:rsidTr="00761BEA">
        <w:trPr>
          <w:trHeight w:val="315"/>
        </w:trPr>
        <w:tc>
          <w:tcPr>
            <w:tcW w:w="106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2010-11</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32.4</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24.8</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20.0</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10.5</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7.4</w:t>
            </w:r>
          </w:p>
        </w:tc>
        <w:tc>
          <w:tcPr>
            <w:tcW w:w="8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2.3</w:t>
            </w:r>
          </w:p>
        </w:tc>
        <w:tc>
          <w:tcPr>
            <w:tcW w:w="8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1.6</w:t>
            </w:r>
          </w:p>
        </w:tc>
        <w:tc>
          <w:tcPr>
            <w:tcW w:w="8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w:t>
            </w:r>
          </w:p>
        </w:tc>
        <w:tc>
          <w:tcPr>
            <w:tcW w:w="10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100.0</w:t>
            </w:r>
          </w:p>
        </w:tc>
      </w:tr>
      <w:tr w:rsidR="00F23CAE" w:rsidRPr="008021C5" w:rsidTr="00761BEA">
        <w:trPr>
          <w:trHeight w:val="315"/>
        </w:trPr>
        <w:tc>
          <w:tcPr>
            <w:tcW w:w="106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2011-12</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32.2</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24.8</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20.1</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10.6</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7.3</w:t>
            </w:r>
          </w:p>
        </w:tc>
        <w:tc>
          <w:tcPr>
            <w:tcW w:w="8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2.3</w:t>
            </w:r>
          </w:p>
        </w:tc>
        <w:tc>
          <w:tcPr>
            <w:tcW w:w="8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1.6</w:t>
            </w:r>
          </w:p>
        </w:tc>
        <w:tc>
          <w:tcPr>
            <w:tcW w:w="8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w:t>
            </w:r>
          </w:p>
        </w:tc>
        <w:tc>
          <w:tcPr>
            <w:tcW w:w="10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100.0</w:t>
            </w:r>
          </w:p>
        </w:tc>
      </w:tr>
      <w:tr w:rsidR="00F23CAE" w:rsidRPr="008021C5" w:rsidTr="00761BEA">
        <w:trPr>
          <w:trHeight w:val="315"/>
        </w:trPr>
        <w:tc>
          <w:tcPr>
            <w:tcW w:w="106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2012-13</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32.1</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24.8</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20.1</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10.8</w:t>
            </w:r>
          </w:p>
        </w:tc>
        <w:tc>
          <w:tcPr>
            <w:tcW w:w="9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7.3</w:t>
            </w:r>
          </w:p>
        </w:tc>
        <w:tc>
          <w:tcPr>
            <w:tcW w:w="8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2.2</w:t>
            </w:r>
          </w:p>
        </w:tc>
        <w:tc>
          <w:tcPr>
            <w:tcW w:w="8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1.6</w:t>
            </w:r>
          </w:p>
        </w:tc>
        <w:tc>
          <w:tcPr>
            <w:tcW w:w="8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w:t>
            </w:r>
          </w:p>
        </w:tc>
        <w:tc>
          <w:tcPr>
            <w:tcW w:w="10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100.0</w:t>
            </w:r>
          </w:p>
        </w:tc>
      </w:tr>
      <w:tr w:rsidR="00F23CAE" w:rsidRPr="008021C5" w:rsidTr="00761BEA">
        <w:trPr>
          <w:trHeight w:val="315"/>
        </w:trPr>
        <w:tc>
          <w:tcPr>
            <w:tcW w:w="1060" w:type="dxa"/>
            <w:tcBorders>
              <w:top w:val="nil"/>
              <w:left w:val="nil"/>
              <w:bottom w:val="single" w:sz="4" w:space="0" w:color="auto"/>
              <w:right w:val="nil"/>
            </w:tcBorders>
            <w:shd w:val="clear" w:color="auto" w:fill="auto"/>
            <w:noWrap/>
            <w:vAlign w:val="bottom"/>
            <w:hideMark/>
          </w:tcPr>
          <w:p w:rsidR="00F23CAE" w:rsidRPr="008021C5" w:rsidRDefault="00F23CAE" w:rsidP="00761BEA">
            <w:pPr>
              <w:keepNext/>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2013-14</w:t>
            </w:r>
          </w:p>
        </w:tc>
        <w:tc>
          <w:tcPr>
            <w:tcW w:w="900" w:type="dxa"/>
            <w:tcBorders>
              <w:top w:val="nil"/>
              <w:left w:val="nil"/>
              <w:bottom w:val="single" w:sz="4" w:space="0" w:color="auto"/>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32.0</w:t>
            </w:r>
          </w:p>
        </w:tc>
        <w:tc>
          <w:tcPr>
            <w:tcW w:w="900" w:type="dxa"/>
            <w:tcBorders>
              <w:top w:val="nil"/>
              <w:left w:val="nil"/>
              <w:bottom w:val="single" w:sz="4" w:space="0" w:color="auto"/>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24.8</w:t>
            </w:r>
          </w:p>
        </w:tc>
        <w:tc>
          <w:tcPr>
            <w:tcW w:w="900" w:type="dxa"/>
            <w:tcBorders>
              <w:top w:val="nil"/>
              <w:left w:val="nil"/>
              <w:bottom w:val="single" w:sz="4" w:space="0" w:color="auto"/>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20.1</w:t>
            </w:r>
          </w:p>
        </w:tc>
        <w:tc>
          <w:tcPr>
            <w:tcW w:w="900" w:type="dxa"/>
            <w:tcBorders>
              <w:top w:val="nil"/>
              <w:left w:val="nil"/>
              <w:bottom w:val="single" w:sz="4" w:space="0" w:color="auto"/>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10.9</w:t>
            </w:r>
          </w:p>
        </w:tc>
        <w:tc>
          <w:tcPr>
            <w:tcW w:w="900" w:type="dxa"/>
            <w:tcBorders>
              <w:top w:val="nil"/>
              <w:left w:val="nil"/>
              <w:bottom w:val="single" w:sz="4" w:space="0" w:color="auto"/>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7.2</w:t>
            </w:r>
          </w:p>
        </w:tc>
        <w:tc>
          <w:tcPr>
            <w:tcW w:w="800" w:type="dxa"/>
            <w:tcBorders>
              <w:top w:val="nil"/>
              <w:left w:val="nil"/>
              <w:bottom w:val="single" w:sz="4" w:space="0" w:color="auto"/>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2.2</w:t>
            </w:r>
          </w:p>
        </w:tc>
        <w:tc>
          <w:tcPr>
            <w:tcW w:w="800" w:type="dxa"/>
            <w:tcBorders>
              <w:top w:val="nil"/>
              <w:left w:val="nil"/>
              <w:bottom w:val="single" w:sz="4" w:space="0" w:color="auto"/>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1.6</w:t>
            </w:r>
          </w:p>
        </w:tc>
        <w:tc>
          <w:tcPr>
            <w:tcW w:w="800" w:type="dxa"/>
            <w:tcBorders>
              <w:top w:val="nil"/>
              <w:left w:val="nil"/>
              <w:bottom w:val="single" w:sz="4" w:space="0" w:color="auto"/>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w:t>
            </w:r>
          </w:p>
        </w:tc>
        <w:tc>
          <w:tcPr>
            <w:tcW w:w="1000" w:type="dxa"/>
            <w:tcBorders>
              <w:top w:val="nil"/>
              <w:left w:val="nil"/>
              <w:bottom w:val="single" w:sz="4" w:space="0" w:color="auto"/>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100.0</w:t>
            </w:r>
          </w:p>
        </w:tc>
      </w:tr>
    </w:tbl>
    <w:p w:rsidR="00F23CAE" w:rsidRDefault="00F23CAE" w:rsidP="00F23CAE">
      <w:pPr>
        <w:pStyle w:val="CGCDataCaption"/>
      </w:pPr>
      <w:r>
        <w:t>Source:</w:t>
      </w:r>
      <w:r>
        <w:tab/>
        <w:t xml:space="preserve">Australian Bureau of Statistics. ABS Cat. No. 3101.0, </w:t>
      </w:r>
      <w:r w:rsidRPr="001627D3">
        <w:rPr>
          <w:i/>
        </w:rPr>
        <w:t>Australian Demographic Statistics</w:t>
      </w:r>
      <w:r>
        <w:t>, Table 4 Estimated Resident Population States and Territories.</w:t>
      </w:r>
    </w:p>
    <w:p w:rsidR="00F23CAE" w:rsidRDefault="00F23CAE" w:rsidP="00F23CAE">
      <w:pPr>
        <w:pStyle w:val="Heading4"/>
      </w:pPr>
      <w:r>
        <w:t>Disaggregated data</w:t>
      </w:r>
      <w:r>
        <w:tab/>
      </w:r>
    </w:p>
    <w:p w:rsidR="00F23CAE" w:rsidRDefault="00F23CAE" w:rsidP="00F23CAE">
      <w:pPr>
        <w:pStyle w:val="CGCNumberedPara"/>
      </w:pPr>
      <w:r>
        <w:t>The Commission receives administrative data on the use and cost of services from States and other third parties. These data are used to identify the characteristics of higher (or lower) cost population groups in the provision of State services. Population data are required so that national costs for these population groups can be distributed across States on the basis of their share of that population group.</w:t>
      </w:r>
    </w:p>
    <w:p w:rsidR="00F23CAE" w:rsidRPr="002073C9" w:rsidRDefault="00F23CAE" w:rsidP="00F23CAE">
      <w:pPr>
        <w:pStyle w:val="CGCNumberedPara"/>
      </w:pPr>
      <w:r>
        <w:t xml:space="preserve">For disaggregated ERPs, conceptually </w:t>
      </w:r>
      <w:r w:rsidRPr="002073C9">
        <w:t xml:space="preserve">we require populations as at 31 December, being the mid-point of the financial year. These populations are not available from the ABS, so we scale 30 June disaggregated population data to State total populations of 31 December of </w:t>
      </w:r>
      <w:r w:rsidR="003E0E31" w:rsidRPr="002073C9">
        <w:t>each</w:t>
      </w:r>
      <w:r w:rsidRPr="002073C9">
        <w:t xml:space="preserve"> year, </w:t>
      </w:r>
      <w:r w:rsidR="003E0E31" w:rsidRPr="002073C9">
        <w:t>to obtain</w:t>
      </w:r>
      <w:r w:rsidRPr="002073C9">
        <w:t xml:space="preserve"> </w:t>
      </w:r>
      <w:r w:rsidR="003E0E31" w:rsidRPr="002073C9">
        <w:t xml:space="preserve">an estimated </w:t>
      </w:r>
      <w:r w:rsidRPr="002073C9">
        <w:t>disaggregated ERP</w:t>
      </w:r>
      <w:r w:rsidR="003E0E31" w:rsidRPr="002073C9">
        <w:t xml:space="preserve"> as at 31 December</w:t>
      </w:r>
      <w:r w:rsidRPr="002073C9">
        <w:t xml:space="preserve">. The ABS provides these 30 June population data annually, disaggregated by age, </w:t>
      </w:r>
      <w:r w:rsidR="00EF0636">
        <w:t>sex</w:t>
      </w:r>
      <w:r w:rsidRPr="002073C9">
        <w:t xml:space="preserve">, and geography (providing remoteness and </w:t>
      </w:r>
      <w:r w:rsidR="00A22D28">
        <w:t>SES</w:t>
      </w:r>
      <w:r w:rsidRPr="002073C9">
        <w:t>).</w:t>
      </w:r>
    </w:p>
    <w:p w:rsidR="00F23CAE" w:rsidRDefault="003E0E31" w:rsidP="00F23CAE">
      <w:pPr>
        <w:pStyle w:val="CGCNumberedPara"/>
      </w:pPr>
      <w:r>
        <w:t>A</w:t>
      </w:r>
      <w:r w:rsidR="00F23CAE">
        <w:t xml:space="preserve">part from the Census year, the ABS does not provide these data disaggregated by Indigenous status. As a result, Indigenous </w:t>
      </w:r>
      <w:proofErr w:type="spellStart"/>
      <w:r w:rsidR="00F23CAE">
        <w:t>disaggregations</w:t>
      </w:r>
      <w:proofErr w:type="spellEnd"/>
      <w:r w:rsidR="00F23CAE">
        <w:t xml:space="preserve"> are imputed by the Commission for subsequent years. This is done by applying the Indigenous proportion of the total population within each disaggregated population group (in the Census year) then adjusting </w:t>
      </w:r>
      <w:r>
        <w:t xml:space="preserve">this </w:t>
      </w:r>
      <w:r w:rsidR="00F23CAE">
        <w:t xml:space="preserve">to match the ABS estimated Indigenous population projections at 30 June each year, by age and State. The resulting estimated numbers of Indigenous people in each disaggregated group are subtracted from the group’s total to give the number of non-Indigenous people in the group. </w:t>
      </w:r>
    </w:p>
    <w:p w:rsidR="00F23CAE" w:rsidRDefault="00F23CAE" w:rsidP="00F23CAE">
      <w:pPr>
        <w:pStyle w:val="Heading5"/>
      </w:pPr>
      <w:r>
        <w:t xml:space="preserve">Use of SA1 based classifications </w:t>
      </w:r>
    </w:p>
    <w:p w:rsidR="00F23CAE" w:rsidRDefault="00F23CAE" w:rsidP="00F23CAE">
      <w:pPr>
        <w:pStyle w:val="CGCNumberedPara"/>
      </w:pPr>
      <w:r>
        <w:t xml:space="preserve">The most accurate disaggregation of population by remoteness and SES is that based on classifications at Statistical Area Level 1 (SA1) geography. While it would be ideal if administrative data could also be provided at the SA1 level, this is rarely possible. In </w:t>
      </w:r>
      <w:r>
        <w:lastRenderedPageBreak/>
        <w:t>practice, the Commission receives administrative data on the use and cost of services from States and other third parties reflecting varying geographies.</w:t>
      </w:r>
    </w:p>
    <w:p w:rsidR="00F23CAE" w:rsidRDefault="00F23CAE" w:rsidP="00F23CAE">
      <w:pPr>
        <w:pStyle w:val="CGCNumberedPara"/>
      </w:pPr>
      <w:r>
        <w:t>National use and cost rates calculated from these geographies are generally applied to State populations based on SA1 classifications. Utilising SA1 classifications for disaggregated ERP is important, as this approach ensures diversity is recognised in the distribution of use and costs. It avoids instances where pockets of relative advantage, or disadvantage, are subsumed into broader geographical classifications. Details of the administrative data used and the populations to which they are applied are contained in each expense category chapter.</w:t>
      </w:r>
    </w:p>
    <w:p w:rsidR="00F23CAE" w:rsidRDefault="00F23CAE" w:rsidP="00F23CAE">
      <w:pPr>
        <w:pStyle w:val="Heading4"/>
      </w:pPr>
      <w:r>
        <w:t>Population growth estimates</w:t>
      </w:r>
    </w:p>
    <w:p w:rsidR="00F23CAE" w:rsidRDefault="00F23CAE" w:rsidP="00F23CAE">
      <w:pPr>
        <w:pStyle w:val="CGCNumberedPara"/>
      </w:pPr>
      <w:r>
        <w:t>For capital assessments, conceptually, we require population growth across financial years; that is, from 30 June to 30 June. In the 2010 Review</w:t>
      </w:r>
      <w:r w:rsidR="00EF0636">
        <w:t>,</w:t>
      </w:r>
      <w:r>
        <w:t xml:space="preserve"> we used calendar year growth as a proxy for financial year growth. In this review, we considered changing to financial year growth to better reflect the conceptual need in capital assessments. </w:t>
      </w:r>
    </w:p>
    <w:p w:rsidR="00F23CAE" w:rsidRPr="00304801" w:rsidRDefault="00F23CAE" w:rsidP="00F23CAE">
      <w:pPr>
        <w:pStyle w:val="CGCNumberedPara"/>
      </w:pPr>
      <w:r w:rsidRPr="00304801">
        <w:t>New South Wales, Victoria, Queensland, South Australia, Tasmania and the ACT expressed their support for this approach. Queensland an</w:t>
      </w:r>
      <w:r w:rsidR="003E0E31">
        <w:t>d Tasmania noted this approach wa</w:t>
      </w:r>
      <w:r w:rsidRPr="00304801">
        <w:t>s a better conceptual fit with the structure of the capital assessments than calendar year growth.</w:t>
      </w:r>
    </w:p>
    <w:p w:rsidR="00F23CAE" w:rsidRPr="00304801" w:rsidRDefault="00F23CAE" w:rsidP="00F23CAE">
      <w:pPr>
        <w:pStyle w:val="CGCNumberedPara"/>
      </w:pPr>
      <w:r w:rsidRPr="00304801">
        <w:t>Western Australia said using June populations instead of December populations would add complexity, without being likely to have a material impact over time. It also considered that growth between December and Ju</w:t>
      </w:r>
      <w:r w:rsidR="003E0E31">
        <w:t>ne in the year the switch occurred</w:t>
      </w:r>
      <w:r w:rsidRPr="00304801">
        <w:t xml:space="preserve"> would not be recognised. It considered that if this were an atypical year for population growth there could be a material transitional impact. However, we consider transitional effects are inevitable, and accepted aspects of the review process when assessment methods and data sources change. </w:t>
      </w:r>
    </w:p>
    <w:p w:rsidR="00F23CAE" w:rsidRDefault="00F23CAE" w:rsidP="00F23CAE">
      <w:pPr>
        <w:pStyle w:val="CGCNumberedPara"/>
      </w:pPr>
      <w:r>
        <w:t>Given the GST distribution is based on a three year average, we are not, at this stage,</w:t>
      </w:r>
      <w:r w:rsidRPr="002E65E2">
        <w:t xml:space="preserve"> </w:t>
      </w:r>
      <w:r>
        <w:t xml:space="preserve">convinced changing to financial year population growth would materially improve the equalisation outcomes. We have, therefore, continued to measure population growth on the basis of December to December movements. These growth rates are in </w:t>
      </w:r>
      <w:r>
        <w:rPr>
          <w:highlight w:val="yellow"/>
        </w:rPr>
        <w:fldChar w:fldCharType="begin"/>
      </w:r>
      <w:r>
        <w:instrText xml:space="preserve"> REF _Ref403996873 \h </w:instrText>
      </w:r>
      <w:r>
        <w:rPr>
          <w:highlight w:val="yellow"/>
        </w:rPr>
      </w:r>
      <w:r>
        <w:rPr>
          <w:highlight w:val="yellow"/>
        </w:rPr>
        <w:fldChar w:fldCharType="separate"/>
      </w:r>
      <w:r w:rsidR="007B6A4C">
        <w:t>Table </w:t>
      </w:r>
      <w:r w:rsidR="007B6A4C">
        <w:rPr>
          <w:noProof/>
        </w:rPr>
        <w:t>2</w:t>
      </w:r>
      <w:r>
        <w:rPr>
          <w:highlight w:val="yellow"/>
        </w:rPr>
        <w:fldChar w:fldCharType="end"/>
      </w:r>
      <w:r>
        <w:t>.</w:t>
      </w:r>
    </w:p>
    <w:p w:rsidR="00F23CAE" w:rsidRDefault="00F23CAE" w:rsidP="00F23CAE">
      <w:pPr>
        <w:pStyle w:val="Caption"/>
      </w:pPr>
      <w:bookmarkStart w:id="3" w:name="_Ref403996873"/>
      <w:r>
        <w:t>Table </w:t>
      </w:r>
      <w:fldSimple w:instr=" SEQ Table \* ARABIC ">
        <w:r w:rsidR="007B6A4C">
          <w:rPr>
            <w:noProof/>
          </w:rPr>
          <w:t>2</w:t>
        </w:r>
      </w:fldSimple>
      <w:bookmarkEnd w:id="3"/>
      <w:r>
        <w:tab/>
        <w:t>State population growth rates</w:t>
      </w:r>
    </w:p>
    <w:tbl>
      <w:tblPr>
        <w:tblW w:w="8900" w:type="dxa"/>
        <w:tblLayout w:type="fixed"/>
        <w:tblCellMar>
          <w:left w:w="0" w:type="dxa"/>
          <w:right w:w="0" w:type="dxa"/>
        </w:tblCellMar>
        <w:tblLook w:val="04A0" w:firstRow="1" w:lastRow="0" w:firstColumn="1" w:lastColumn="0" w:noHBand="0" w:noVBand="1"/>
      </w:tblPr>
      <w:tblGrid>
        <w:gridCol w:w="1520"/>
        <w:gridCol w:w="820"/>
        <w:gridCol w:w="820"/>
        <w:gridCol w:w="820"/>
        <w:gridCol w:w="820"/>
        <w:gridCol w:w="820"/>
        <w:gridCol w:w="820"/>
        <w:gridCol w:w="820"/>
        <w:gridCol w:w="820"/>
        <w:gridCol w:w="820"/>
      </w:tblGrid>
      <w:tr w:rsidR="00631F3B" w:rsidRPr="00631F3B" w:rsidTr="00631F3B">
        <w:trPr>
          <w:trHeight w:val="379"/>
        </w:trPr>
        <w:tc>
          <w:tcPr>
            <w:tcW w:w="1520" w:type="dxa"/>
            <w:tcBorders>
              <w:top w:val="single" w:sz="4" w:space="0" w:color="auto"/>
              <w:left w:val="nil"/>
              <w:bottom w:val="single" w:sz="4" w:space="0" w:color="auto"/>
              <w:right w:val="nil"/>
            </w:tcBorders>
            <w:shd w:val="clear" w:color="auto" w:fill="auto"/>
            <w:noWrap/>
            <w:vAlign w:val="center"/>
            <w:hideMark/>
          </w:tcPr>
          <w:p w:rsidR="00631F3B" w:rsidRPr="00631F3B" w:rsidRDefault="00631F3B" w:rsidP="00631F3B">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bookmarkStart w:id="4" w:name="RANGE!A2:J6"/>
            <w:r w:rsidRPr="00631F3B">
              <w:rPr>
                <w:rFonts w:ascii="Calibri" w:eastAsia="Times New Roman" w:hAnsi="Calibri" w:cs="Times New Roman"/>
                <w:sz w:val="20"/>
                <w:szCs w:val="20"/>
                <w:lang w:eastAsia="en-AU"/>
              </w:rPr>
              <w:t> </w:t>
            </w:r>
            <w:bookmarkEnd w:id="4"/>
          </w:p>
        </w:tc>
        <w:tc>
          <w:tcPr>
            <w:tcW w:w="820" w:type="dxa"/>
            <w:tcBorders>
              <w:top w:val="single" w:sz="4" w:space="0" w:color="auto"/>
              <w:left w:val="nil"/>
              <w:bottom w:val="single" w:sz="4" w:space="0" w:color="auto"/>
              <w:right w:val="nil"/>
            </w:tcBorders>
            <w:shd w:val="clear" w:color="auto" w:fill="auto"/>
            <w:noWrap/>
            <w:vAlign w:val="center"/>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NSW</w:t>
            </w:r>
          </w:p>
        </w:tc>
        <w:tc>
          <w:tcPr>
            <w:tcW w:w="820" w:type="dxa"/>
            <w:tcBorders>
              <w:top w:val="single" w:sz="4" w:space="0" w:color="auto"/>
              <w:left w:val="nil"/>
              <w:bottom w:val="single" w:sz="4" w:space="0" w:color="auto"/>
              <w:right w:val="nil"/>
            </w:tcBorders>
            <w:shd w:val="clear" w:color="auto" w:fill="auto"/>
            <w:noWrap/>
            <w:vAlign w:val="center"/>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Vic</w:t>
            </w:r>
          </w:p>
        </w:tc>
        <w:tc>
          <w:tcPr>
            <w:tcW w:w="820" w:type="dxa"/>
            <w:tcBorders>
              <w:top w:val="single" w:sz="4" w:space="0" w:color="auto"/>
              <w:left w:val="nil"/>
              <w:bottom w:val="single" w:sz="4" w:space="0" w:color="auto"/>
              <w:right w:val="nil"/>
            </w:tcBorders>
            <w:shd w:val="clear" w:color="auto" w:fill="auto"/>
            <w:noWrap/>
            <w:vAlign w:val="center"/>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Qld</w:t>
            </w:r>
          </w:p>
        </w:tc>
        <w:tc>
          <w:tcPr>
            <w:tcW w:w="820" w:type="dxa"/>
            <w:tcBorders>
              <w:top w:val="single" w:sz="4" w:space="0" w:color="auto"/>
              <w:left w:val="nil"/>
              <w:bottom w:val="single" w:sz="4" w:space="0" w:color="auto"/>
              <w:right w:val="nil"/>
            </w:tcBorders>
            <w:shd w:val="clear" w:color="auto" w:fill="auto"/>
            <w:noWrap/>
            <w:vAlign w:val="center"/>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WA</w:t>
            </w:r>
          </w:p>
        </w:tc>
        <w:tc>
          <w:tcPr>
            <w:tcW w:w="820" w:type="dxa"/>
            <w:tcBorders>
              <w:top w:val="single" w:sz="4" w:space="0" w:color="auto"/>
              <w:left w:val="nil"/>
              <w:bottom w:val="single" w:sz="4" w:space="0" w:color="auto"/>
              <w:right w:val="nil"/>
            </w:tcBorders>
            <w:shd w:val="clear" w:color="auto" w:fill="auto"/>
            <w:noWrap/>
            <w:vAlign w:val="center"/>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SA</w:t>
            </w:r>
          </w:p>
        </w:tc>
        <w:tc>
          <w:tcPr>
            <w:tcW w:w="820" w:type="dxa"/>
            <w:tcBorders>
              <w:top w:val="single" w:sz="4" w:space="0" w:color="auto"/>
              <w:left w:val="nil"/>
              <w:bottom w:val="single" w:sz="4" w:space="0" w:color="auto"/>
              <w:right w:val="nil"/>
            </w:tcBorders>
            <w:shd w:val="clear" w:color="auto" w:fill="auto"/>
            <w:noWrap/>
            <w:vAlign w:val="center"/>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631F3B">
              <w:rPr>
                <w:rFonts w:ascii="Calibri" w:eastAsia="Times New Roman" w:hAnsi="Calibri" w:cs="Times New Roman"/>
                <w:sz w:val="20"/>
                <w:szCs w:val="20"/>
                <w:lang w:eastAsia="en-AU"/>
              </w:rPr>
              <w:t>Tas</w:t>
            </w:r>
            <w:proofErr w:type="spellEnd"/>
          </w:p>
        </w:tc>
        <w:tc>
          <w:tcPr>
            <w:tcW w:w="820" w:type="dxa"/>
            <w:tcBorders>
              <w:top w:val="single" w:sz="4" w:space="0" w:color="auto"/>
              <w:left w:val="nil"/>
              <w:bottom w:val="single" w:sz="4" w:space="0" w:color="auto"/>
              <w:right w:val="nil"/>
            </w:tcBorders>
            <w:shd w:val="clear" w:color="auto" w:fill="auto"/>
            <w:noWrap/>
            <w:vAlign w:val="center"/>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ACT</w:t>
            </w:r>
          </w:p>
        </w:tc>
        <w:tc>
          <w:tcPr>
            <w:tcW w:w="820" w:type="dxa"/>
            <w:tcBorders>
              <w:top w:val="single" w:sz="4" w:space="0" w:color="auto"/>
              <w:left w:val="nil"/>
              <w:bottom w:val="single" w:sz="4" w:space="0" w:color="auto"/>
              <w:right w:val="nil"/>
            </w:tcBorders>
            <w:shd w:val="clear" w:color="auto" w:fill="auto"/>
            <w:noWrap/>
            <w:vAlign w:val="center"/>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NT</w:t>
            </w:r>
          </w:p>
        </w:tc>
        <w:tc>
          <w:tcPr>
            <w:tcW w:w="820" w:type="dxa"/>
            <w:tcBorders>
              <w:top w:val="single" w:sz="4" w:space="0" w:color="auto"/>
              <w:left w:val="nil"/>
              <w:bottom w:val="single" w:sz="4" w:space="0" w:color="auto"/>
              <w:right w:val="nil"/>
            </w:tcBorders>
            <w:shd w:val="clear" w:color="auto" w:fill="auto"/>
            <w:noWrap/>
            <w:vAlign w:val="center"/>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Ave</w:t>
            </w:r>
          </w:p>
        </w:tc>
      </w:tr>
      <w:tr w:rsidR="00631F3B" w:rsidRPr="00631F3B" w:rsidTr="00631F3B">
        <w:trPr>
          <w:trHeight w:val="259"/>
        </w:trPr>
        <w:tc>
          <w:tcPr>
            <w:tcW w:w="1520" w:type="dxa"/>
            <w:tcBorders>
              <w:top w:val="nil"/>
              <w:left w:val="nil"/>
              <w:bottom w:val="nil"/>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p>
        </w:tc>
        <w:tc>
          <w:tcPr>
            <w:tcW w:w="820" w:type="dxa"/>
            <w:tcBorders>
              <w:top w:val="nil"/>
              <w:left w:val="nil"/>
              <w:bottom w:val="nil"/>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w:t>
            </w:r>
          </w:p>
        </w:tc>
        <w:tc>
          <w:tcPr>
            <w:tcW w:w="820" w:type="dxa"/>
            <w:tcBorders>
              <w:top w:val="nil"/>
              <w:left w:val="nil"/>
              <w:bottom w:val="nil"/>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w:t>
            </w:r>
          </w:p>
        </w:tc>
        <w:tc>
          <w:tcPr>
            <w:tcW w:w="820" w:type="dxa"/>
            <w:tcBorders>
              <w:top w:val="nil"/>
              <w:left w:val="nil"/>
              <w:bottom w:val="nil"/>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w:t>
            </w:r>
          </w:p>
        </w:tc>
        <w:tc>
          <w:tcPr>
            <w:tcW w:w="820" w:type="dxa"/>
            <w:tcBorders>
              <w:top w:val="nil"/>
              <w:left w:val="nil"/>
              <w:bottom w:val="nil"/>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w:t>
            </w:r>
          </w:p>
        </w:tc>
        <w:tc>
          <w:tcPr>
            <w:tcW w:w="820" w:type="dxa"/>
            <w:tcBorders>
              <w:top w:val="nil"/>
              <w:left w:val="nil"/>
              <w:bottom w:val="nil"/>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w:t>
            </w:r>
          </w:p>
        </w:tc>
        <w:tc>
          <w:tcPr>
            <w:tcW w:w="820" w:type="dxa"/>
            <w:tcBorders>
              <w:top w:val="nil"/>
              <w:left w:val="nil"/>
              <w:bottom w:val="nil"/>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w:t>
            </w:r>
          </w:p>
        </w:tc>
        <w:tc>
          <w:tcPr>
            <w:tcW w:w="820" w:type="dxa"/>
            <w:tcBorders>
              <w:top w:val="nil"/>
              <w:left w:val="nil"/>
              <w:bottom w:val="nil"/>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w:t>
            </w:r>
          </w:p>
        </w:tc>
        <w:tc>
          <w:tcPr>
            <w:tcW w:w="820" w:type="dxa"/>
            <w:tcBorders>
              <w:top w:val="nil"/>
              <w:left w:val="nil"/>
              <w:bottom w:val="nil"/>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w:t>
            </w:r>
          </w:p>
        </w:tc>
        <w:tc>
          <w:tcPr>
            <w:tcW w:w="820" w:type="dxa"/>
            <w:tcBorders>
              <w:top w:val="nil"/>
              <w:left w:val="nil"/>
              <w:bottom w:val="nil"/>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w:t>
            </w:r>
          </w:p>
        </w:tc>
      </w:tr>
      <w:tr w:rsidR="00631F3B" w:rsidRPr="00631F3B" w:rsidTr="00631F3B">
        <w:trPr>
          <w:trHeight w:val="315"/>
        </w:trPr>
        <w:tc>
          <w:tcPr>
            <w:tcW w:w="1520" w:type="dxa"/>
            <w:tcBorders>
              <w:top w:val="nil"/>
              <w:left w:val="nil"/>
              <w:bottom w:val="nil"/>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2011-12</w:t>
            </w:r>
          </w:p>
        </w:tc>
        <w:tc>
          <w:tcPr>
            <w:tcW w:w="820" w:type="dxa"/>
            <w:tcBorders>
              <w:top w:val="nil"/>
              <w:left w:val="nil"/>
              <w:bottom w:val="nil"/>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1.1</w:t>
            </w:r>
          </w:p>
        </w:tc>
        <w:tc>
          <w:tcPr>
            <w:tcW w:w="820" w:type="dxa"/>
            <w:tcBorders>
              <w:top w:val="nil"/>
              <w:left w:val="nil"/>
              <w:bottom w:val="nil"/>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1.6</w:t>
            </w:r>
          </w:p>
        </w:tc>
        <w:tc>
          <w:tcPr>
            <w:tcW w:w="820" w:type="dxa"/>
            <w:tcBorders>
              <w:top w:val="nil"/>
              <w:left w:val="nil"/>
              <w:bottom w:val="nil"/>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1.8</w:t>
            </w:r>
          </w:p>
        </w:tc>
        <w:tc>
          <w:tcPr>
            <w:tcW w:w="820" w:type="dxa"/>
            <w:tcBorders>
              <w:top w:val="nil"/>
              <w:left w:val="nil"/>
              <w:bottom w:val="nil"/>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3.1</w:t>
            </w:r>
          </w:p>
        </w:tc>
        <w:tc>
          <w:tcPr>
            <w:tcW w:w="820" w:type="dxa"/>
            <w:tcBorders>
              <w:top w:val="nil"/>
              <w:left w:val="nil"/>
              <w:bottom w:val="nil"/>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0.9</w:t>
            </w:r>
          </w:p>
        </w:tc>
        <w:tc>
          <w:tcPr>
            <w:tcW w:w="820" w:type="dxa"/>
            <w:tcBorders>
              <w:top w:val="nil"/>
              <w:left w:val="nil"/>
              <w:bottom w:val="nil"/>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0.3</w:t>
            </w:r>
          </w:p>
        </w:tc>
        <w:tc>
          <w:tcPr>
            <w:tcW w:w="820" w:type="dxa"/>
            <w:tcBorders>
              <w:top w:val="nil"/>
              <w:left w:val="nil"/>
              <w:bottom w:val="nil"/>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1.7</w:t>
            </w:r>
          </w:p>
        </w:tc>
        <w:tc>
          <w:tcPr>
            <w:tcW w:w="820" w:type="dxa"/>
            <w:tcBorders>
              <w:top w:val="nil"/>
              <w:left w:val="nil"/>
              <w:bottom w:val="nil"/>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1.0</w:t>
            </w:r>
          </w:p>
        </w:tc>
        <w:tc>
          <w:tcPr>
            <w:tcW w:w="820" w:type="dxa"/>
            <w:tcBorders>
              <w:top w:val="nil"/>
              <w:left w:val="nil"/>
              <w:bottom w:val="nil"/>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1.6</w:t>
            </w:r>
          </w:p>
        </w:tc>
      </w:tr>
      <w:tr w:rsidR="00631F3B" w:rsidRPr="00631F3B" w:rsidTr="00631F3B">
        <w:trPr>
          <w:trHeight w:val="315"/>
        </w:trPr>
        <w:tc>
          <w:tcPr>
            <w:tcW w:w="1520" w:type="dxa"/>
            <w:tcBorders>
              <w:top w:val="nil"/>
              <w:left w:val="nil"/>
              <w:bottom w:val="nil"/>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2012-13</w:t>
            </w:r>
          </w:p>
        </w:tc>
        <w:tc>
          <w:tcPr>
            <w:tcW w:w="820" w:type="dxa"/>
            <w:tcBorders>
              <w:top w:val="nil"/>
              <w:left w:val="nil"/>
              <w:bottom w:val="nil"/>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1.3</w:t>
            </w:r>
          </w:p>
        </w:tc>
        <w:tc>
          <w:tcPr>
            <w:tcW w:w="820" w:type="dxa"/>
            <w:tcBorders>
              <w:top w:val="nil"/>
              <w:left w:val="nil"/>
              <w:bottom w:val="nil"/>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1.8</w:t>
            </w:r>
          </w:p>
        </w:tc>
        <w:tc>
          <w:tcPr>
            <w:tcW w:w="820" w:type="dxa"/>
            <w:tcBorders>
              <w:top w:val="nil"/>
              <w:left w:val="nil"/>
              <w:bottom w:val="nil"/>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2.0</w:t>
            </w:r>
          </w:p>
        </w:tc>
        <w:tc>
          <w:tcPr>
            <w:tcW w:w="820" w:type="dxa"/>
            <w:tcBorders>
              <w:top w:val="nil"/>
              <w:left w:val="nil"/>
              <w:bottom w:val="nil"/>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3.7</w:t>
            </w:r>
          </w:p>
        </w:tc>
        <w:tc>
          <w:tcPr>
            <w:tcW w:w="820" w:type="dxa"/>
            <w:tcBorders>
              <w:top w:val="nil"/>
              <w:left w:val="nil"/>
              <w:bottom w:val="nil"/>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0.9</w:t>
            </w:r>
          </w:p>
        </w:tc>
        <w:tc>
          <w:tcPr>
            <w:tcW w:w="820" w:type="dxa"/>
            <w:tcBorders>
              <w:top w:val="nil"/>
              <w:left w:val="nil"/>
              <w:bottom w:val="nil"/>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0.1</w:t>
            </w:r>
          </w:p>
        </w:tc>
        <w:tc>
          <w:tcPr>
            <w:tcW w:w="820" w:type="dxa"/>
            <w:tcBorders>
              <w:top w:val="nil"/>
              <w:left w:val="nil"/>
              <w:bottom w:val="nil"/>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1.8</w:t>
            </w:r>
          </w:p>
        </w:tc>
        <w:tc>
          <w:tcPr>
            <w:tcW w:w="820" w:type="dxa"/>
            <w:tcBorders>
              <w:top w:val="nil"/>
              <w:left w:val="nil"/>
              <w:bottom w:val="nil"/>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2.8</w:t>
            </w:r>
          </w:p>
        </w:tc>
        <w:tc>
          <w:tcPr>
            <w:tcW w:w="820" w:type="dxa"/>
            <w:tcBorders>
              <w:top w:val="nil"/>
              <w:left w:val="nil"/>
              <w:bottom w:val="nil"/>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1.8</w:t>
            </w:r>
          </w:p>
        </w:tc>
      </w:tr>
      <w:tr w:rsidR="00631F3B" w:rsidRPr="00631F3B" w:rsidTr="00631F3B">
        <w:trPr>
          <w:trHeight w:val="315"/>
        </w:trPr>
        <w:tc>
          <w:tcPr>
            <w:tcW w:w="1520" w:type="dxa"/>
            <w:tcBorders>
              <w:top w:val="nil"/>
              <w:left w:val="nil"/>
              <w:bottom w:val="single" w:sz="4" w:space="0" w:color="auto"/>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2013-14</w:t>
            </w:r>
          </w:p>
        </w:tc>
        <w:tc>
          <w:tcPr>
            <w:tcW w:w="820" w:type="dxa"/>
            <w:tcBorders>
              <w:top w:val="nil"/>
              <w:left w:val="nil"/>
              <w:bottom w:val="single" w:sz="4" w:space="0" w:color="auto"/>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1.5</w:t>
            </w:r>
          </w:p>
        </w:tc>
        <w:tc>
          <w:tcPr>
            <w:tcW w:w="820" w:type="dxa"/>
            <w:tcBorders>
              <w:top w:val="nil"/>
              <w:left w:val="nil"/>
              <w:bottom w:val="single" w:sz="4" w:space="0" w:color="auto"/>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1.9</w:t>
            </w:r>
          </w:p>
        </w:tc>
        <w:tc>
          <w:tcPr>
            <w:tcW w:w="820" w:type="dxa"/>
            <w:tcBorders>
              <w:top w:val="nil"/>
              <w:left w:val="nil"/>
              <w:bottom w:val="single" w:sz="4" w:space="0" w:color="auto"/>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1.7</w:t>
            </w:r>
          </w:p>
        </w:tc>
        <w:tc>
          <w:tcPr>
            <w:tcW w:w="820" w:type="dxa"/>
            <w:tcBorders>
              <w:top w:val="nil"/>
              <w:left w:val="nil"/>
              <w:bottom w:val="single" w:sz="4" w:space="0" w:color="auto"/>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2.8</w:t>
            </w:r>
          </w:p>
        </w:tc>
        <w:tc>
          <w:tcPr>
            <w:tcW w:w="820" w:type="dxa"/>
            <w:tcBorders>
              <w:top w:val="nil"/>
              <w:left w:val="nil"/>
              <w:bottom w:val="single" w:sz="4" w:space="0" w:color="auto"/>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0.9</w:t>
            </w:r>
          </w:p>
        </w:tc>
        <w:tc>
          <w:tcPr>
            <w:tcW w:w="820" w:type="dxa"/>
            <w:tcBorders>
              <w:top w:val="nil"/>
              <w:left w:val="nil"/>
              <w:bottom w:val="single" w:sz="4" w:space="0" w:color="auto"/>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0.3</w:t>
            </w:r>
          </w:p>
        </w:tc>
        <w:tc>
          <w:tcPr>
            <w:tcW w:w="820" w:type="dxa"/>
            <w:tcBorders>
              <w:top w:val="nil"/>
              <w:left w:val="nil"/>
              <w:bottom w:val="single" w:sz="4" w:space="0" w:color="auto"/>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1.6</w:t>
            </w:r>
          </w:p>
        </w:tc>
        <w:tc>
          <w:tcPr>
            <w:tcW w:w="820" w:type="dxa"/>
            <w:tcBorders>
              <w:top w:val="nil"/>
              <w:left w:val="nil"/>
              <w:bottom w:val="single" w:sz="4" w:space="0" w:color="auto"/>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1.9</w:t>
            </w:r>
          </w:p>
        </w:tc>
        <w:tc>
          <w:tcPr>
            <w:tcW w:w="820" w:type="dxa"/>
            <w:tcBorders>
              <w:top w:val="nil"/>
              <w:left w:val="nil"/>
              <w:bottom w:val="single" w:sz="4" w:space="0" w:color="auto"/>
              <w:right w:val="nil"/>
            </w:tcBorders>
            <w:shd w:val="clear" w:color="auto" w:fill="auto"/>
            <w:noWrap/>
            <w:vAlign w:val="bottom"/>
            <w:hideMark/>
          </w:tcPr>
          <w:p w:rsidR="00631F3B" w:rsidRPr="00631F3B" w:rsidRDefault="00631F3B" w:rsidP="00631F3B">
            <w:pPr>
              <w:keepNext/>
              <w:keepLines/>
              <w:tabs>
                <w:tab w:val="clear" w:pos="567"/>
              </w:tabs>
              <w:spacing w:after="0" w:line="240" w:lineRule="auto"/>
              <w:jc w:val="right"/>
              <w:rPr>
                <w:rFonts w:ascii="Calibri" w:eastAsia="Times New Roman" w:hAnsi="Calibri" w:cs="Times New Roman"/>
                <w:sz w:val="20"/>
                <w:szCs w:val="20"/>
                <w:lang w:eastAsia="en-AU"/>
              </w:rPr>
            </w:pPr>
            <w:r w:rsidRPr="00631F3B">
              <w:rPr>
                <w:rFonts w:ascii="Calibri" w:eastAsia="Times New Roman" w:hAnsi="Calibri" w:cs="Times New Roman"/>
                <w:sz w:val="20"/>
                <w:szCs w:val="20"/>
                <w:lang w:eastAsia="en-AU"/>
              </w:rPr>
              <w:t>1.7</w:t>
            </w:r>
          </w:p>
        </w:tc>
      </w:tr>
    </w:tbl>
    <w:p w:rsidR="00F23CAE" w:rsidRDefault="00F23CAE" w:rsidP="00F23CAE">
      <w:pPr>
        <w:pStyle w:val="CGCDataCaption"/>
      </w:pPr>
      <w:r>
        <w:t>Source:</w:t>
      </w:r>
      <w:r>
        <w:tab/>
        <w:t xml:space="preserve">Commission calculation using </w:t>
      </w:r>
      <w:r w:rsidR="00631F3B">
        <w:t>December</w:t>
      </w:r>
      <w:r>
        <w:t xml:space="preserve"> ERP.</w:t>
      </w:r>
    </w:p>
    <w:p w:rsidR="00F23CAE" w:rsidRDefault="00F23CAE" w:rsidP="00F23CAE">
      <w:pPr>
        <w:pStyle w:val="Heading4"/>
      </w:pPr>
      <w:r>
        <w:lastRenderedPageBreak/>
        <w:t>Service populations</w:t>
      </w:r>
    </w:p>
    <w:p w:rsidR="00F23CAE" w:rsidRDefault="00F23CAE" w:rsidP="00F23CAE">
      <w:pPr>
        <w:pStyle w:val="CGCNumberedPara"/>
      </w:pPr>
      <w:r>
        <w:t>We use ERP data (that is, populations reflecting place of usual residence rather than place of enumeration) as the basis of our estimates of potential service use. Tourists, itinerant and fly in fl</w:t>
      </w:r>
      <w:r w:rsidR="00EF0636">
        <w:t>y out (FIFO) worker populations</w:t>
      </w:r>
      <w:r>
        <w:t xml:space="preserve"> and mobile Indigenous popu</w:t>
      </w:r>
      <w:r w:rsidR="00EF0636">
        <w:t>lations</w:t>
      </w:r>
      <w:r>
        <w:t xml:space="preserve"> may affect service delivery requirements differently for different States and services. However we were not able to identify, or measure, any such effects. </w:t>
      </w:r>
    </w:p>
    <w:p w:rsidR="00F23CAE" w:rsidRDefault="00F23CAE" w:rsidP="00F23CAE">
      <w:pPr>
        <w:pStyle w:val="CGCNumberedPara"/>
      </w:pPr>
      <w:r>
        <w:t>The ABS says that no reliable method of estimating service populations has been developed nationally, or internationally, because service populations are not discrete or mutually exclusive. States have not been able to provide data on how different service populations affect State service provision requirements and State budgets.</w:t>
      </w:r>
    </w:p>
    <w:p w:rsidR="00F23CAE" w:rsidRDefault="00F23CAE" w:rsidP="00F23CAE">
      <w:pPr>
        <w:pStyle w:val="CGCNumberedPara"/>
      </w:pPr>
      <w:r>
        <w:t>As addressed in the discussion of mining expenditure in Volume 1, Chapter 2 – Main issues, we do not consider that a measure of the population distribution that reflects service populations will produce a better equalisation outcome, because we have no data on the service use patterns of transient populations.</w:t>
      </w:r>
    </w:p>
    <w:p w:rsidR="00F23CAE" w:rsidRDefault="00F23CAE" w:rsidP="00F23CAE">
      <w:pPr>
        <w:pStyle w:val="CGCNumberedPara"/>
      </w:pPr>
      <w:r>
        <w:t>Victoria noted some associated issues, such as people in regional areas receiving more complex medical treatments in capital cities, but it does not support the use of population data based on place of enumeration. It said it has not been demonstrated that this would provide a better indication of the location of service delivery.</w:t>
      </w:r>
    </w:p>
    <w:p w:rsidR="00F23CAE" w:rsidRDefault="00F23CAE" w:rsidP="00F23CAE">
      <w:pPr>
        <w:pStyle w:val="CGCNumberedPara"/>
      </w:pPr>
      <w:r>
        <w:t>Queensland and Western Australia raised issues with their FIFO populations. Queensland observed that while FIFO workers will not be measured through place of residence, alternatives may not be reliable or practical. The possible effects of FIFO populations are discussed in more detail in Volume 1, Chapter 2 – Main issues.</w:t>
      </w:r>
    </w:p>
    <w:p w:rsidR="00F23CAE" w:rsidRDefault="00F23CAE" w:rsidP="00F23CAE">
      <w:pPr>
        <w:pStyle w:val="CGCNumberedPara"/>
      </w:pPr>
      <w:r>
        <w:t xml:space="preserve">There remains no reliable national data on the population distribution other than the </w:t>
      </w:r>
      <w:r w:rsidR="00A22D28">
        <w:t>Australian Bureau of Statistics (</w:t>
      </w:r>
      <w:r>
        <w:t>ABS</w:t>
      </w:r>
      <w:r w:rsidR="00A22D28">
        <w:t>)</w:t>
      </w:r>
      <w:r>
        <w:t xml:space="preserve"> Estimated Resident Population. As such, we use ERP as our measure of all populations. </w:t>
      </w:r>
    </w:p>
    <w:p w:rsidR="00F23CAE" w:rsidRDefault="00F23CAE" w:rsidP="00F23CAE">
      <w:pPr>
        <w:pStyle w:val="Heading3"/>
      </w:pPr>
      <w:r>
        <w:t>Population characteristics used in assessments</w:t>
      </w:r>
    </w:p>
    <w:p w:rsidR="00F23CAE" w:rsidRPr="002073C9" w:rsidRDefault="00F23CAE" w:rsidP="00F23CAE">
      <w:pPr>
        <w:pStyle w:val="CGCNumberedPara"/>
      </w:pPr>
      <w:r w:rsidRPr="002073C9">
        <w:t xml:space="preserve">The main population characteristics used in our assessments are </w:t>
      </w:r>
      <w:r w:rsidR="00A22D28">
        <w:t xml:space="preserve">Indigenous status, </w:t>
      </w:r>
      <w:r w:rsidRPr="002073C9">
        <w:t xml:space="preserve">age, remoteness and socio-economic status. The major way in which these attributes affect the GST is where States have different shares of different groups. Therefore, in selecting classifications, it is more important to consider how State populations differ, than how service use rates differ. We have achieved this by </w:t>
      </w:r>
      <w:r w:rsidR="00A22D28">
        <w:t>us</w:t>
      </w:r>
      <w:r w:rsidR="00A22D28" w:rsidRPr="002073C9">
        <w:t xml:space="preserve">ing </w:t>
      </w:r>
      <w:r w:rsidRPr="002073C9">
        <w:t xml:space="preserve">a common structure </w:t>
      </w:r>
      <w:r w:rsidR="00A22D28">
        <w:t>for</w:t>
      </w:r>
      <w:r w:rsidR="00A22D28" w:rsidRPr="002073C9">
        <w:t xml:space="preserve"> </w:t>
      </w:r>
      <w:r w:rsidRPr="002073C9">
        <w:t>the classification of population characteristics. Where use rates do differ, it may be material to use different levels of detail within the common structure. For example, it is material to further disaggregate the 65+ age group in the Health assessment</w:t>
      </w:r>
      <w:r w:rsidR="00EB0E14" w:rsidRPr="002073C9">
        <w:t xml:space="preserve"> and to disaggregate the 15-44 year age group </w:t>
      </w:r>
      <w:r w:rsidRPr="002073C9">
        <w:t xml:space="preserve">in the Justice assessment. </w:t>
      </w:r>
    </w:p>
    <w:p w:rsidR="00F23CAE" w:rsidRDefault="00F23CAE" w:rsidP="00F23CAE">
      <w:pPr>
        <w:pStyle w:val="CGCNumberedPara"/>
      </w:pPr>
      <w:r>
        <w:lastRenderedPageBreak/>
        <w:t xml:space="preserve">As an additional benefit, having a common structure, with fewer unique categories, reduces the size of the datasets required, thus simplifying assessments and reducing the </w:t>
      </w:r>
      <w:r w:rsidR="00EB0E14">
        <w:t>risk of errors. I</w:t>
      </w:r>
      <w:r>
        <w:t xml:space="preserve">t also enhances the analysis that can be undertaken. </w:t>
      </w:r>
    </w:p>
    <w:p w:rsidR="00F23CAE" w:rsidRDefault="00F23CAE" w:rsidP="00F23CAE">
      <w:pPr>
        <w:pStyle w:val="Heading4"/>
      </w:pPr>
      <w:r>
        <w:t>Age</w:t>
      </w:r>
    </w:p>
    <w:p w:rsidR="00F23CAE" w:rsidRDefault="00F23CAE" w:rsidP="00F23CAE">
      <w:pPr>
        <w:pStyle w:val="CGCNumberedPara"/>
      </w:pPr>
      <w:r>
        <w:t xml:space="preserve">The </w:t>
      </w:r>
      <w:r w:rsidR="00A22D28">
        <w:t xml:space="preserve">reason why </w:t>
      </w:r>
      <w:r>
        <w:t xml:space="preserve">that we </w:t>
      </w:r>
      <w:r w:rsidR="00EB0E14">
        <w:t>aim</w:t>
      </w:r>
      <w:r>
        <w:t xml:space="preserve"> to have common structures to our classifications is best demonstrated with age, but is valid in other classifications. As our primary focus is on the difference in the distribution of populations between States, we have been guided in selecting common structures by the patterns in </w:t>
      </w:r>
      <w:r>
        <w:fldChar w:fldCharType="begin"/>
      </w:r>
      <w:r>
        <w:instrText xml:space="preserve"> REF _Ref410635352 \h </w:instrText>
      </w:r>
      <w:r>
        <w:fldChar w:fldCharType="separate"/>
      </w:r>
      <w:r w:rsidR="007B6A4C">
        <w:t>Figure </w:t>
      </w:r>
      <w:r w:rsidR="007B6A4C">
        <w:rPr>
          <w:noProof/>
        </w:rPr>
        <w:t>1</w:t>
      </w:r>
      <w:r>
        <w:fldChar w:fldCharType="end"/>
      </w:r>
      <w:r>
        <w:t xml:space="preserve">. South Australia and Tasmania have considerably below average shares of 15-44 year olds, and above average shares of 45-64 year olds, because </w:t>
      </w:r>
      <w:r w:rsidR="00476158">
        <w:t xml:space="preserve">many among </w:t>
      </w:r>
      <w:r>
        <w:t>the younger populations leave these States.</w:t>
      </w:r>
    </w:p>
    <w:p w:rsidR="00F23CAE" w:rsidRDefault="00F23CAE" w:rsidP="00F23CAE">
      <w:pPr>
        <w:pStyle w:val="Caption"/>
      </w:pPr>
      <w:bookmarkStart w:id="5" w:name="_Ref403996916"/>
      <w:bookmarkStart w:id="6" w:name="_Ref410635352"/>
      <w:r>
        <w:t>Figure </w:t>
      </w:r>
      <w:bookmarkEnd w:id="5"/>
      <w:r>
        <w:fldChar w:fldCharType="begin"/>
      </w:r>
      <w:r>
        <w:instrText xml:space="preserve"> SEQ Figure \* ARABIC \r1 </w:instrText>
      </w:r>
      <w:r>
        <w:fldChar w:fldCharType="separate"/>
      </w:r>
      <w:r w:rsidR="007B6A4C">
        <w:rPr>
          <w:noProof/>
        </w:rPr>
        <w:t>1</w:t>
      </w:r>
      <w:r>
        <w:fldChar w:fldCharType="end"/>
      </w:r>
      <w:bookmarkEnd w:id="6"/>
      <w:r>
        <w:tab/>
        <w:t>Age structure of State populations, June 2014</w:t>
      </w:r>
    </w:p>
    <w:p w:rsidR="00F23CAE" w:rsidRDefault="00ED65F4" w:rsidP="00F23CAE">
      <w:r>
        <w:rPr>
          <w:noProof/>
          <w:lang w:eastAsia="zh-TW"/>
        </w:rPr>
        <w:drawing>
          <wp:inline distT="0" distB="0" distL="0" distR="0" wp14:anchorId="0521A354" wp14:editId="76837753">
            <wp:extent cx="5625663" cy="3503557"/>
            <wp:effectExtent l="0" t="0" r="0" b="1905"/>
            <wp:docPr id="6" name="Picture 5" descr="This figure shows the distribution of population by age for each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5663" cy="350355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F23CAE" w:rsidRDefault="00F23CAE" w:rsidP="00F23CAE">
      <w:pPr>
        <w:pStyle w:val="CGCDataCaption"/>
      </w:pPr>
      <w:r>
        <w:t>Source: ABS 3101.0</w:t>
      </w:r>
      <w:r w:rsidR="00A22D28">
        <w:t>,</w:t>
      </w:r>
      <w:r>
        <w:t xml:space="preserve"> </w:t>
      </w:r>
      <w:r w:rsidRPr="001627D3">
        <w:rPr>
          <w:i/>
        </w:rPr>
        <w:t>Australian Demographic Statistics, June 2014</w:t>
      </w:r>
      <w:r>
        <w:t>.</w:t>
      </w:r>
    </w:p>
    <w:p w:rsidR="00F23CAE" w:rsidRDefault="00F23CAE" w:rsidP="00F23CAE">
      <w:pPr>
        <w:pStyle w:val="CGCNumberedPara"/>
      </w:pPr>
      <w:r>
        <w:t xml:space="preserve">In the 2015 Review, the major age groups </w:t>
      </w:r>
      <w:r w:rsidR="00EB0E14">
        <w:t xml:space="preserve">used </w:t>
      </w:r>
      <w:r>
        <w:t xml:space="preserve">are 0-14, 15-64 and 65+. This structure is used in a range of social and economic statistics, and has been generally adopted within our classifications. Within these major groups, further disaggregation has been applied where there is a conceptual case and it has been material to do so. </w:t>
      </w:r>
      <w:r>
        <w:rPr>
          <w:highlight w:val="yellow"/>
        </w:rPr>
        <w:fldChar w:fldCharType="begin"/>
      </w:r>
      <w:r>
        <w:instrText xml:space="preserve"> REF _Ref403996939 \h </w:instrText>
      </w:r>
      <w:r>
        <w:rPr>
          <w:highlight w:val="yellow"/>
        </w:rPr>
      </w:r>
      <w:r>
        <w:rPr>
          <w:highlight w:val="yellow"/>
        </w:rPr>
        <w:fldChar w:fldCharType="separate"/>
      </w:r>
      <w:r w:rsidR="007B6A4C">
        <w:t>Table </w:t>
      </w:r>
      <w:r w:rsidR="007B6A4C">
        <w:rPr>
          <w:noProof/>
        </w:rPr>
        <w:t>3</w:t>
      </w:r>
      <w:r>
        <w:rPr>
          <w:highlight w:val="yellow"/>
        </w:rPr>
        <w:fldChar w:fldCharType="end"/>
      </w:r>
      <w:r>
        <w:t xml:space="preserve"> shows the details of State estimated resident populations for December 2013 dissected by the three major age groups.</w:t>
      </w:r>
    </w:p>
    <w:p w:rsidR="00F23CAE" w:rsidRDefault="00F23CAE" w:rsidP="00F23CAE">
      <w:pPr>
        <w:pStyle w:val="Caption"/>
        <w:tabs>
          <w:tab w:val="clear" w:pos="1418"/>
          <w:tab w:val="left" w:pos="2020"/>
        </w:tabs>
      </w:pPr>
      <w:bookmarkStart w:id="7" w:name="_Ref403996939"/>
      <w:r>
        <w:lastRenderedPageBreak/>
        <w:t>Table </w:t>
      </w:r>
      <w:fldSimple w:instr=" SEQ Table \* ARABIC ">
        <w:r w:rsidR="007B6A4C">
          <w:rPr>
            <w:noProof/>
          </w:rPr>
          <w:t>3</w:t>
        </w:r>
      </w:fldSimple>
      <w:bookmarkEnd w:id="7"/>
      <w:r>
        <w:tab/>
        <w:t>Estimated resident population by age and State, December 2013</w:t>
      </w:r>
    </w:p>
    <w:tbl>
      <w:tblPr>
        <w:tblW w:w="8960" w:type="dxa"/>
        <w:tblInd w:w="93" w:type="dxa"/>
        <w:tblLook w:val="04A0" w:firstRow="1" w:lastRow="0" w:firstColumn="1" w:lastColumn="0" w:noHBand="0" w:noVBand="1"/>
      </w:tblPr>
      <w:tblGrid>
        <w:gridCol w:w="1400"/>
        <w:gridCol w:w="860"/>
        <w:gridCol w:w="860"/>
        <w:gridCol w:w="860"/>
        <w:gridCol w:w="860"/>
        <w:gridCol w:w="860"/>
        <w:gridCol w:w="760"/>
        <w:gridCol w:w="760"/>
        <w:gridCol w:w="760"/>
        <w:gridCol w:w="980"/>
      </w:tblGrid>
      <w:tr w:rsidR="00F23CAE" w:rsidRPr="008021C5" w:rsidTr="00761BEA">
        <w:trPr>
          <w:trHeight w:val="379"/>
        </w:trPr>
        <w:tc>
          <w:tcPr>
            <w:tcW w:w="140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w:t>
            </w:r>
          </w:p>
        </w:tc>
        <w:tc>
          <w:tcPr>
            <w:tcW w:w="86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NSW</w:t>
            </w:r>
          </w:p>
        </w:tc>
        <w:tc>
          <w:tcPr>
            <w:tcW w:w="86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Vic</w:t>
            </w:r>
          </w:p>
        </w:tc>
        <w:tc>
          <w:tcPr>
            <w:tcW w:w="86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Qld</w:t>
            </w:r>
          </w:p>
        </w:tc>
        <w:tc>
          <w:tcPr>
            <w:tcW w:w="86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WA</w:t>
            </w:r>
          </w:p>
        </w:tc>
        <w:tc>
          <w:tcPr>
            <w:tcW w:w="86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SA</w:t>
            </w:r>
          </w:p>
        </w:tc>
        <w:tc>
          <w:tcPr>
            <w:tcW w:w="76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proofErr w:type="spellStart"/>
            <w:r w:rsidRPr="008021C5">
              <w:rPr>
                <w:rFonts w:ascii="Calibri" w:eastAsia="Times New Roman" w:hAnsi="Calibri" w:cs="Times New Roman"/>
                <w:sz w:val="20"/>
                <w:szCs w:val="20"/>
                <w:lang w:eastAsia="en-AU"/>
              </w:rPr>
              <w:t>Tas</w:t>
            </w:r>
            <w:proofErr w:type="spellEnd"/>
          </w:p>
        </w:tc>
        <w:tc>
          <w:tcPr>
            <w:tcW w:w="76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ACT</w:t>
            </w:r>
          </w:p>
        </w:tc>
        <w:tc>
          <w:tcPr>
            <w:tcW w:w="76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NT</w:t>
            </w:r>
          </w:p>
        </w:tc>
        <w:tc>
          <w:tcPr>
            <w:tcW w:w="98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Total</w:t>
            </w:r>
          </w:p>
        </w:tc>
      </w:tr>
      <w:tr w:rsidR="00F23CAE" w:rsidRPr="008021C5" w:rsidTr="00761BEA">
        <w:trPr>
          <w:trHeight w:val="259"/>
        </w:trPr>
        <w:tc>
          <w:tcPr>
            <w:tcW w:w="140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98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r>
      <w:tr w:rsidR="00F23CAE" w:rsidRPr="008021C5" w:rsidTr="00761BEA">
        <w:trPr>
          <w:trHeight w:val="315"/>
        </w:trPr>
        <w:tc>
          <w:tcPr>
            <w:tcW w:w="140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0 - 14 years</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1 409</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1 060</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930</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488</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296</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95</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71</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54</w:t>
            </w:r>
          </w:p>
        </w:tc>
        <w:tc>
          <w:tcPr>
            <w:tcW w:w="98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4 405</w:t>
            </w:r>
          </w:p>
        </w:tc>
      </w:tr>
      <w:tr w:rsidR="00F23CAE" w:rsidRPr="008021C5" w:rsidTr="00761BEA">
        <w:trPr>
          <w:trHeight w:val="315"/>
        </w:trPr>
        <w:tc>
          <w:tcPr>
            <w:tcW w:w="140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15 - 64 years</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4 924</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3 881</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3 119</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1 743</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1 100</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330</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269</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174</w:t>
            </w:r>
          </w:p>
        </w:tc>
        <w:tc>
          <w:tcPr>
            <w:tcW w:w="98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15 540</w:t>
            </w:r>
          </w:p>
        </w:tc>
      </w:tr>
      <w:tr w:rsidR="00F23CAE" w:rsidRPr="008021C5" w:rsidTr="00761BEA">
        <w:trPr>
          <w:trHeight w:val="315"/>
        </w:trPr>
        <w:tc>
          <w:tcPr>
            <w:tcW w:w="140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65+ years</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1 132</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846</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638</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318</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281</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89</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44</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15</w:t>
            </w:r>
          </w:p>
        </w:tc>
        <w:tc>
          <w:tcPr>
            <w:tcW w:w="98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3 363</w:t>
            </w:r>
          </w:p>
        </w:tc>
      </w:tr>
      <w:tr w:rsidR="00F23CAE" w:rsidRPr="008021C5" w:rsidTr="00761BEA">
        <w:trPr>
          <w:trHeight w:val="315"/>
        </w:trPr>
        <w:tc>
          <w:tcPr>
            <w:tcW w:w="140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Total</w:t>
            </w:r>
          </w:p>
        </w:tc>
        <w:tc>
          <w:tcPr>
            <w:tcW w:w="8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7 465</w:t>
            </w:r>
          </w:p>
        </w:tc>
        <w:tc>
          <w:tcPr>
            <w:tcW w:w="8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5 787</w:t>
            </w:r>
          </w:p>
        </w:tc>
        <w:tc>
          <w:tcPr>
            <w:tcW w:w="8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4 687</w:t>
            </w:r>
          </w:p>
        </w:tc>
        <w:tc>
          <w:tcPr>
            <w:tcW w:w="8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2 549</w:t>
            </w:r>
          </w:p>
        </w:tc>
        <w:tc>
          <w:tcPr>
            <w:tcW w:w="8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1 677</w:t>
            </w:r>
          </w:p>
        </w:tc>
        <w:tc>
          <w:tcPr>
            <w:tcW w:w="7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514</w:t>
            </w:r>
          </w:p>
        </w:tc>
        <w:tc>
          <w:tcPr>
            <w:tcW w:w="7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384</w:t>
            </w:r>
          </w:p>
        </w:tc>
        <w:tc>
          <w:tcPr>
            <w:tcW w:w="7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244</w:t>
            </w:r>
          </w:p>
        </w:tc>
        <w:tc>
          <w:tcPr>
            <w:tcW w:w="98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23 308</w:t>
            </w:r>
          </w:p>
        </w:tc>
      </w:tr>
      <w:tr w:rsidR="00F23CAE" w:rsidRPr="008021C5" w:rsidTr="00761BEA">
        <w:trPr>
          <w:trHeight w:val="259"/>
        </w:trPr>
        <w:tc>
          <w:tcPr>
            <w:tcW w:w="140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98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r>
      <w:tr w:rsidR="00F23CAE" w:rsidRPr="008021C5" w:rsidTr="00761BEA">
        <w:trPr>
          <w:trHeight w:val="315"/>
        </w:trPr>
        <w:tc>
          <w:tcPr>
            <w:tcW w:w="140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0 - 14 years</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32.0</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24.1</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21.1</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11.1</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6.7</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2.2</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1.6</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1.2</w:t>
            </w:r>
          </w:p>
        </w:tc>
        <w:tc>
          <w:tcPr>
            <w:tcW w:w="98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100.0</w:t>
            </w:r>
          </w:p>
        </w:tc>
      </w:tr>
      <w:tr w:rsidR="00F23CAE" w:rsidRPr="008021C5" w:rsidTr="00761BEA">
        <w:trPr>
          <w:trHeight w:val="315"/>
        </w:trPr>
        <w:tc>
          <w:tcPr>
            <w:tcW w:w="140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15 - 64 years</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31.7</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25.0</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20.1</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11.2</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7.1</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2.1</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1.7</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1.1</w:t>
            </w:r>
          </w:p>
        </w:tc>
        <w:tc>
          <w:tcPr>
            <w:tcW w:w="98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100.0</w:t>
            </w:r>
          </w:p>
        </w:tc>
      </w:tr>
      <w:tr w:rsidR="00F23CAE" w:rsidRPr="008021C5" w:rsidTr="00761BEA">
        <w:trPr>
          <w:trHeight w:val="315"/>
        </w:trPr>
        <w:tc>
          <w:tcPr>
            <w:tcW w:w="140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65+ years</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33.7</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25.2</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19.0</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9.5</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8.3</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2.6</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1.3</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0.5</w:t>
            </w:r>
          </w:p>
        </w:tc>
        <w:tc>
          <w:tcPr>
            <w:tcW w:w="98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100.0</w:t>
            </w:r>
          </w:p>
        </w:tc>
      </w:tr>
      <w:tr w:rsidR="00F23CAE" w:rsidRPr="008021C5" w:rsidTr="00761BEA">
        <w:trPr>
          <w:trHeight w:val="315"/>
        </w:trPr>
        <w:tc>
          <w:tcPr>
            <w:tcW w:w="1400" w:type="dxa"/>
            <w:tcBorders>
              <w:top w:val="nil"/>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Total</w:t>
            </w:r>
          </w:p>
        </w:tc>
        <w:tc>
          <w:tcPr>
            <w:tcW w:w="8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32.0</w:t>
            </w:r>
          </w:p>
        </w:tc>
        <w:tc>
          <w:tcPr>
            <w:tcW w:w="8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24.8</w:t>
            </w:r>
          </w:p>
        </w:tc>
        <w:tc>
          <w:tcPr>
            <w:tcW w:w="8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20.1</w:t>
            </w:r>
          </w:p>
        </w:tc>
        <w:tc>
          <w:tcPr>
            <w:tcW w:w="8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10.9</w:t>
            </w:r>
          </w:p>
        </w:tc>
        <w:tc>
          <w:tcPr>
            <w:tcW w:w="8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7.2</w:t>
            </w:r>
          </w:p>
        </w:tc>
        <w:tc>
          <w:tcPr>
            <w:tcW w:w="7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2.2</w:t>
            </w:r>
          </w:p>
        </w:tc>
        <w:tc>
          <w:tcPr>
            <w:tcW w:w="7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1.6</w:t>
            </w:r>
          </w:p>
        </w:tc>
        <w:tc>
          <w:tcPr>
            <w:tcW w:w="7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w:t>
            </w:r>
          </w:p>
        </w:tc>
        <w:tc>
          <w:tcPr>
            <w:tcW w:w="98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100.0</w:t>
            </w:r>
          </w:p>
        </w:tc>
      </w:tr>
    </w:tbl>
    <w:p w:rsidR="00F23CAE" w:rsidRDefault="00F23CAE" w:rsidP="00F23CAE">
      <w:pPr>
        <w:pStyle w:val="CGCDataCaption"/>
      </w:pPr>
      <w:r>
        <w:t>Source:</w:t>
      </w:r>
      <w:r>
        <w:tab/>
        <w:t>Commission calculation using ABS data.</w:t>
      </w:r>
    </w:p>
    <w:p w:rsidR="00F23CAE" w:rsidRPr="002073C9" w:rsidRDefault="0070160E" w:rsidP="00F23CAE">
      <w:pPr>
        <w:pStyle w:val="CGCNumberedPara"/>
      </w:pPr>
      <w:r w:rsidRPr="002073C9">
        <w:t xml:space="preserve">An assessment of the different impacts State </w:t>
      </w:r>
      <w:r w:rsidR="00F23CAE" w:rsidRPr="002073C9">
        <w:t xml:space="preserve">age </w:t>
      </w:r>
      <w:r w:rsidRPr="002073C9">
        <w:t xml:space="preserve">profiles have on State spending </w:t>
      </w:r>
      <w:r w:rsidR="00F23CAE" w:rsidRPr="002073C9">
        <w:t>is material across all categories</w:t>
      </w:r>
      <w:r w:rsidRPr="002073C9">
        <w:t>. As a result,</w:t>
      </w:r>
      <w:r w:rsidR="00F23CAE" w:rsidRPr="002073C9">
        <w:t xml:space="preserve"> where </w:t>
      </w:r>
      <w:r w:rsidRPr="002073C9">
        <w:t>there is a</w:t>
      </w:r>
      <w:r w:rsidR="00F23CAE" w:rsidRPr="002073C9">
        <w:t xml:space="preserve"> conceptual case for assessing </w:t>
      </w:r>
      <w:r w:rsidRPr="002073C9">
        <w:t xml:space="preserve">the impact of </w:t>
      </w:r>
      <w:r w:rsidR="00F23CAE" w:rsidRPr="002073C9">
        <w:t>age</w:t>
      </w:r>
      <w:r w:rsidRPr="002073C9">
        <w:t xml:space="preserve"> in a category</w:t>
      </w:r>
      <w:r w:rsidR="00F23CAE" w:rsidRPr="002073C9">
        <w:t xml:space="preserve">, we have done so, using our standard age groups shown in </w:t>
      </w:r>
      <w:r w:rsidR="00F23CAE" w:rsidRPr="002073C9">
        <w:fldChar w:fldCharType="begin"/>
      </w:r>
      <w:r w:rsidR="00F23CAE" w:rsidRPr="002073C9">
        <w:instrText xml:space="preserve"> REF _Ref403996939 \h  \* MERGEFORMAT </w:instrText>
      </w:r>
      <w:r w:rsidR="00F23CAE" w:rsidRPr="002073C9">
        <w:fldChar w:fldCharType="separate"/>
      </w:r>
      <w:r w:rsidR="007B6A4C">
        <w:t>Table 3</w:t>
      </w:r>
      <w:r w:rsidR="00F23CAE" w:rsidRPr="002073C9">
        <w:fldChar w:fldCharType="end"/>
      </w:r>
      <w:r w:rsidR="00F23CAE" w:rsidRPr="002073C9">
        <w:t xml:space="preserve">. Where it is material to split this further within a category, we have done so. </w:t>
      </w:r>
    </w:p>
    <w:p w:rsidR="00F23CAE" w:rsidRDefault="00F23CAE" w:rsidP="00F23CAE">
      <w:pPr>
        <w:pStyle w:val="Heading4"/>
      </w:pPr>
      <w:r>
        <w:t>Remoteness</w:t>
      </w:r>
    </w:p>
    <w:p w:rsidR="00F23CAE" w:rsidRDefault="00F23CAE" w:rsidP="00F23CAE">
      <w:pPr>
        <w:pStyle w:val="CGCNumberedPara"/>
      </w:pPr>
      <w:r>
        <w:t>An attribute used throughout many assessments is a measure of the population living in areas of varying remoteness.</w:t>
      </w:r>
    </w:p>
    <w:p w:rsidR="00F23CAE" w:rsidRDefault="00F23CAE" w:rsidP="00A22D28">
      <w:pPr>
        <w:pStyle w:val="CGCNumberedPara"/>
      </w:pPr>
      <w:r>
        <w:t xml:space="preserve">The ABS remoteness areas </w:t>
      </w:r>
      <w:r w:rsidR="00A22D28">
        <w:t xml:space="preserve">based on the </w:t>
      </w:r>
      <w:r w:rsidR="00A22D28" w:rsidRPr="00A22D28">
        <w:t>Accessibility/Remoteness Index of Australia</w:t>
      </w:r>
      <w:r w:rsidR="00A22D28">
        <w:t xml:space="preserve"> (ARIA) </w:t>
      </w:r>
      <w:r>
        <w:t xml:space="preserve">are </w:t>
      </w:r>
      <w:r w:rsidR="00476158">
        <w:t xml:space="preserve">now </w:t>
      </w:r>
      <w:r>
        <w:t xml:space="preserve">used as the standard classification of remoteness. States were consulted </w:t>
      </w:r>
      <w:r w:rsidR="00476158">
        <w:t>and their</w:t>
      </w:r>
      <w:r>
        <w:t xml:space="preserve"> views relating to this decision are discussed in more detail in </w:t>
      </w:r>
      <w:r w:rsidR="00CE038D">
        <w:t xml:space="preserve">Volume 2 and </w:t>
      </w:r>
      <w:r>
        <w:t>Chapter 23 — Regional costs.</w:t>
      </w:r>
    </w:p>
    <w:p w:rsidR="00F23CAE" w:rsidRDefault="00F23CAE" w:rsidP="00F23CAE">
      <w:pPr>
        <w:pStyle w:val="CGCNumberedPara"/>
      </w:pPr>
      <w:r>
        <w:fldChar w:fldCharType="begin"/>
      </w:r>
      <w:r>
        <w:instrText xml:space="preserve"> REF _Ref403996957 \h </w:instrText>
      </w:r>
      <w:r>
        <w:fldChar w:fldCharType="separate"/>
      </w:r>
      <w:r w:rsidR="007B6A4C">
        <w:t>Table </w:t>
      </w:r>
      <w:r w:rsidR="007B6A4C">
        <w:rPr>
          <w:noProof/>
        </w:rPr>
        <w:t>4</w:t>
      </w:r>
      <w:r>
        <w:fldChar w:fldCharType="end"/>
      </w:r>
      <w:r>
        <w:t xml:space="preserve"> provides details of State estimated resident populations for December 2013 dissected by five </w:t>
      </w:r>
      <w:r w:rsidR="00476158">
        <w:t>remoteness areas</w:t>
      </w:r>
      <w:r>
        <w:t>.</w:t>
      </w:r>
    </w:p>
    <w:p w:rsidR="00F23CAE" w:rsidRDefault="00F23CAE" w:rsidP="00F23CAE">
      <w:pPr>
        <w:pStyle w:val="Caption"/>
      </w:pPr>
      <w:bookmarkStart w:id="8" w:name="_Ref403996957"/>
      <w:r>
        <w:lastRenderedPageBreak/>
        <w:t>Table </w:t>
      </w:r>
      <w:fldSimple w:instr=" SEQ Table \* ARABIC ">
        <w:r w:rsidR="007B6A4C">
          <w:rPr>
            <w:noProof/>
          </w:rPr>
          <w:t>4</w:t>
        </w:r>
      </w:fldSimple>
      <w:bookmarkEnd w:id="8"/>
      <w:r>
        <w:tab/>
        <w:t>Estimated resident population by location and State, December 2013</w:t>
      </w:r>
    </w:p>
    <w:tbl>
      <w:tblPr>
        <w:tblW w:w="8940" w:type="dxa"/>
        <w:tblInd w:w="93" w:type="dxa"/>
        <w:tblLook w:val="04A0" w:firstRow="1" w:lastRow="0" w:firstColumn="1" w:lastColumn="0" w:noHBand="0" w:noVBand="1"/>
      </w:tblPr>
      <w:tblGrid>
        <w:gridCol w:w="1580"/>
        <w:gridCol w:w="820"/>
        <w:gridCol w:w="820"/>
        <w:gridCol w:w="820"/>
        <w:gridCol w:w="820"/>
        <w:gridCol w:w="820"/>
        <w:gridCol w:w="740"/>
        <w:gridCol w:w="740"/>
        <w:gridCol w:w="780"/>
        <w:gridCol w:w="1000"/>
      </w:tblGrid>
      <w:tr w:rsidR="00F23CAE" w:rsidRPr="008021C5" w:rsidTr="00761BEA">
        <w:trPr>
          <w:trHeight w:val="379"/>
        </w:trPr>
        <w:tc>
          <w:tcPr>
            <w:tcW w:w="158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bookmarkStart w:id="9" w:name="RANGE!A3:J17"/>
            <w:r w:rsidRPr="008021C5">
              <w:rPr>
                <w:rFonts w:ascii="Calibri" w:eastAsia="Times New Roman" w:hAnsi="Calibri" w:cs="Times New Roman"/>
                <w:sz w:val="20"/>
                <w:szCs w:val="20"/>
                <w:lang w:eastAsia="en-AU"/>
              </w:rPr>
              <w:t> </w:t>
            </w:r>
            <w:bookmarkEnd w:id="9"/>
          </w:p>
        </w:tc>
        <w:tc>
          <w:tcPr>
            <w:tcW w:w="82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NSW</w:t>
            </w:r>
          </w:p>
        </w:tc>
        <w:tc>
          <w:tcPr>
            <w:tcW w:w="82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Vic</w:t>
            </w:r>
          </w:p>
        </w:tc>
        <w:tc>
          <w:tcPr>
            <w:tcW w:w="82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Qld</w:t>
            </w:r>
          </w:p>
        </w:tc>
        <w:tc>
          <w:tcPr>
            <w:tcW w:w="82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WA</w:t>
            </w:r>
          </w:p>
        </w:tc>
        <w:tc>
          <w:tcPr>
            <w:tcW w:w="82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SA</w:t>
            </w:r>
          </w:p>
        </w:tc>
        <w:tc>
          <w:tcPr>
            <w:tcW w:w="74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proofErr w:type="spellStart"/>
            <w:r w:rsidRPr="008021C5">
              <w:rPr>
                <w:rFonts w:ascii="Calibri" w:eastAsia="Times New Roman" w:hAnsi="Calibri" w:cs="Times New Roman"/>
                <w:sz w:val="20"/>
                <w:szCs w:val="20"/>
                <w:lang w:eastAsia="en-AU"/>
              </w:rPr>
              <w:t>Tas</w:t>
            </w:r>
            <w:proofErr w:type="spellEnd"/>
          </w:p>
        </w:tc>
        <w:tc>
          <w:tcPr>
            <w:tcW w:w="74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ACT</w:t>
            </w:r>
          </w:p>
        </w:tc>
        <w:tc>
          <w:tcPr>
            <w:tcW w:w="78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NT</w:t>
            </w:r>
          </w:p>
        </w:tc>
        <w:tc>
          <w:tcPr>
            <w:tcW w:w="100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Total</w:t>
            </w:r>
          </w:p>
        </w:tc>
      </w:tr>
      <w:tr w:rsidR="00F23CAE" w:rsidRPr="008021C5" w:rsidTr="00761BEA">
        <w:trPr>
          <w:trHeight w:val="259"/>
        </w:trPr>
        <w:tc>
          <w:tcPr>
            <w:tcW w:w="158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p>
        </w:tc>
        <w:tc>
          <w:tcPr>
            <w:tcW w:w="82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82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82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82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82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74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74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78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10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r>
      <w:tr w:rsidR="00F23CAE" w:rsidRPr="008021C5" w:rsidTr="00761BEA">
        <w:trPr>
          <w:trHeight w:val="315"/>
        </w:trPr>
        <w:tc>
          <w:tcPr>
            <w:tcW w:w="158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Major cities</w:t>
            </w:r>
          </w:p>
        </w:tc>
        <w:tc>
          <w:tcPr>
            <w:tcW w:w="82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5 537</w:t>
            </w:r>
          </w:p>
        </w:tc>
        <w:tc>
          <w:tcPr>
            <w:tcW w:w="82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4 430</w:t>
            </w:r>
          </w:p>
        </w:tc>
        <w:tc>
          <w:tcPr>
            <w:tcW w:w="82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2 908</w:t>
            </w:r>
          </w:p>
        </w:tc>
        <w:tc>
          <w:tcPr>
            <w:tcW w:w="82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1 956</w:t>
            </w:r>
          </w:p>
        </w:tc>
        <w:tc>
          <w:tcPr>
            <w:tcW w:w="82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1 231</w:t>
            </w:r>
          </w:p>
        </w:tc>
        <w:tc>
          <w:tcPr>
            <w:tcW w:w="74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w:t>
            </w:r>
          </w:p>
        </w:tc>
        <w:tc>
          <w:tcPr>
            <w:tcW w:w="74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383</w:t>
            </w:r>
          </w:p>
        </w:tc>
        <w:tc>
          <w:tcPr>
            <w:tcW w:w="78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w:t>
            </w:r>
          </w:p>
        </w:tc>
        <w:tc>
          <w:tcPr>
            <w:tcW w:w="100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16 445</w:t>
            </w:r>
          </w:p>
        </w:tc>
      </w:tr>
      <w:tr w:rsidR="00F23CAE" w:rsidRPr="008021C5" w:rsidTr="00761BEA">
        <w:trPr>
          <w:trHeight w:val="315"/>
        </w:trPr>
        <w:tc>
          <w:tcPr>
            <w:tcW w:w="158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Inner regional</w:t>
            </w:r>
          </w:p>
        </w:tc>
        <w:tc>
          <w:tcPr>
            <w:tcW w:w="82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1 440</w:t>
            </w:r>
          </w:p>
        </w:tc>
        <w:tc>
          <w:tcPr>
            <w:tcW w:w="82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1 105</w:t>
            </w:r>
          </w:p>
        </w:tc>
        <w:tc>
          <w:tcPr>
            <w:tcW w:w="82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950</w:t>
            </w:r>
          </w:p>
        </w:tc>
        <w:tc>
          <w:tcPr>
            <w:tcW w:w="82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231</w:t>
            </w:r>
          </w:p>
        </w:tc>
        <w:tc>
          <w:tcPr>
            <w:tcW w:w="82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182</w:t>
            </w:r>
          </w:p>
        </w:tc>
        <w:tc>
          <w:tcPr>
            <w:tcW w:w="74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337</w:t>
            </w:r>
          </w:p>
        </w:tc>
        <w:tc>
          <w:tcPr>
            <w:tcW w:w="74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w:t>
            </w:r>
          </w:p>
        </w:tc>
        <w:tc>
          <w:tcPr>
            <w:tcW w:w="78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w:t>
            </w:r>
          </w:p>
        </w:tc>
        <w:tc>
          <w:tcPr>
            <w:tcW w:w="100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4 246</w:t>
            </w:r>
          </w:p>
        </w:tc>
      </w:tr>
      <w:tr w:rsidR="00F23CAE" w:rsidRPr="008021C5" w:rsidTr="00761BEA">
        <w:trPr>
          <w:trHeight w:val="315"/>
        </w:trPr>
        <w:tc>
          <w:tcPr>
            <w:tcW w:w="158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Outer regional</w:t>
            </w:r>
          </w:p>
        </w:tc>
        <w:tc>
          <w:tcPr>
            <w:tcW w:w="82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448</w:t>
            </w:r>
          </w:p>
        </w:tc>
        <w:tc>
          <w:tcPr>
            <w:tcW w:w="82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247</w:t>
            </w:r>
          </w:p>
        </w:tc>
        <w:tc>
          <w:tcPr>
            <w:tcW w:w="82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689</w:t>
            </w:r>
          </w:p>
        </w:tc>
        <w:tc>
          <w:tcPr>
            <w:tcW w:w="82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190</w:t>
            </w:r>
          </w:p>
        </w:tc>
        <w:tc>
          <w:tcPr>
            <w:tcW w:w="82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203</w:t>
            </w:r>
          </w:p>
        </w:tc>
        <w:tc>
          <w:tcPr>
            <w:tcW w:w="74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166</w:t>
            </w:r>
          </w:p>
        </w:tc>
        <w:tc>
          <w:tcPr>
            <w:tcW w:w="74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w:t>
            </w:r>
          </w:p>
        </w:tc>
        <w:tc>
          <w:tcPr>
            <w:tcW w:w="78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138</w:t>
            </w:r>
          </w:p>
        </w:tc>
        <w:tc>
          <w:tcPr>
            <w:tcW w:w="100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2 082</w:t>
            </w:r>
          </w:p>
        </w:tc>
      </w:tr>
      <w:tr w:rsidR="00F23CAE" w:rsidRPr="008021C5" w:rsidTr="00761BEA">
        <w:trPr>
          <w:trHeight w:val="315"/>
        </w:trPr>
        <w:tc>
          <w:tcPr>
            <w:tcW w:w="158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Remote</w:t>
            </w:r>
          </w:p>
        </w:tc>
        <w:tc>
          <w:tcPr>
            <w:tcW w:w="82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31</w:t>
            </w:r>
          </w:p>
        </w:tc>
        <w:tc>
          <w:tcPr>
            <w:tcW w:w="82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5</w:t>
            </w:r>
          </w:p>
        </w:tc>
        <w:tc>
          <w:tcPr>
            <w:tcW w:w="82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80</w:t>
            </w:r>
          </w:p>
        </w:tc>
        <w:tc>
          <w:tcPr>
            <w:tcW w:w="82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105</w:t>
            </w:r>
          </w:p>
        </w:tc>
        <w:tc>
          <w:tcPr>
            <w:tcW w:w="82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46</w:t>
            </w:r>
          </w:p>
        </w:tc>
        <w:tc>
          <w:tcPr>
            <w:tcW w:w="74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8</w:t>
            </w:r>
          </w:p>
        </w:tc>
        <w:tc>
          <w:tcPr>
            <w:tcW w:w="74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w:t>
            </w:r>
          </w:p>
        </w:tc>
        <w:tc>
          <w:tcPr>
            <w:tcW w:w="78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50</w:t>
            </w:r>
          </w:p>
        </w:tc>
        <w:tc>
          <w:tcPr>
            <w:tcW w:w="10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326</w:t>
            </w:r>
          </w:p>
        </w:tc>
      </w:tr>
      <w:tr w:rsidR="00F23CAE" w:rsidRPr="008021C5" w:rsidTr="00761BEA">
        <w:trPr>
          <w:trHeight w:val="315"/>
        </w:trPr>
        <w:tc>
          <w:tcPr>
            <w:tcW w:w="158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Very remote</w:t>
            </w:r>
          </w:p>
        </w:tc>
        <w:tc>
          <w:tcPr>
            <w:tcW w:w="82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9</w:t>
            </w:r>
          </w:p>
        </w:tc>
        <w:tc>
          <w:tcPr>
            <w:tcW w:w="82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w:t>
            </w:r>
          </w:p>
        </w:tc>
        <w:tc>
          <w:tcPr>
            <w:tcW w:w="82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60</w:t>
            </w:r>
          </w:p>
        </w:tc>
        <w:tc>
          <w:tcPr>
            <w:tcW w:w="82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68</w:t>
            </w:r>
          </w:p>
        </w:tc>
        <w:tc>
          <w:tcPr>
            <w:tcW w:w="82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15</w:t>
            </w:r>
          </w:p>
        </w:tc>
        <w:tc>
          <w:tcPr>
            <w:tcW w:w="74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w:t>
            </w:r>
          </w:p>
        </w:tc>
        <w:tc>
          <w:tcPr>
            <w:tcW w:w="74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w:t>
            </w:r>
          </w:p>
        </w:tc>
        <w:tc>
          <w:tcPr>
            <w:tcW w:w="78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56</w:t>
            </w:r>
          </w:p>
        </w:tc>
        <w:tc>
          <w:tcPr>
            <w:tcW w:w="10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209</w:t>
            </w:r>
          </w:p>
        </w:tc>
      </w:tr>
      <w:tr w:rsidR="00F23CAE" w:rsidRPr="008021C5" w:rsidTr="00761BEA">
        <w:trPr>
          <w:trHeight w:val="315"/>
        </w:trPr>
        <w:tc>
          <w:tcPr>
            <w:tcW w:w="158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Total</w:t>
            </w:r>
          </w:p>
        </w:tc>
        <w:tc>
          <w:tcPr>
            <w:tcW w:w="82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7 465</w:t>
            </w:r>
          </w:p>
        </w:tc>
        <w:tc>
          <w:tcPr>
            <w:tcW w:w="82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5 787</w:t>
            </w:r>
          </w:p>
        </w:tc>
        <w:tc>
          <w:tcPr>
            <w:tcW w:w="82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4 687</w:t>
            </w:r>
          </w:p>
        </w:tc>
        <w:tc>
          <w:tcPr>
            <w:tcW w:w="82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2 549</w:t>
            </w:r>
          </w:p>
        </w:tc>
        <w:tc>
          <w:tcPr>
            <w:tcW w:w="82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1 677</w:t>
            </w:r>
          </w:p>
        </w:tc>
        <w:tc>
          <w:tcPr>
            <w:tcW w:w="74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514</w:t>
            </w:r>
          </w:p>
        </w:tc>
        <w:tc>
          <w:tcPr>
            <w:tcW w:w="74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384</w:t>
            </w:r>
          </w:p>
        </w:tc>
        <w:tc>
          <w:tcPr>
            <w:tcW w:w="78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244</w:t>
            </w:r>
          </w:p>
        </w:tc>
        <w:tc>
          <w:tcPr>
            <w:tcW w:w="100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23 308</w:t>
            </w:r>
          </w:p>
        </w:tc>
      </w:tr>
      <w:tr w:rsidR="00F23CAE" w:rsidRPr="008021C5" w:rsidTr="00761BEA">
        <w:trPr>
          <w:trHeight w:val="259"/>
        </w:trPr>
        <w:tc>
          <w:tcPr>
            <w:tcW w:w="158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p>
        </w:tc>
        <w:tc>
          <w:tcPr>
            <w:tcW w:w="82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82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82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82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82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74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74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78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10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r>
      <w:tr w:rsidR="00F23CAE" w:rsidRPr="008021C5" w:rsidTr="00761BEA">
        <w:trPr>
          <w:trHeight w:val="315"/>
        </w:trPr>
        <w:tc>
          <w:tcPr>
            <w:tcW w:w="158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Major cities</w:t>
            </w:r>
          </w:p>
        </w:tc>
        <w:tc>
          <w:tcPr>
            <w:tcW w:w="82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33.7</w:t>
            </w:r>
          </w:p>
        </w:tc>
        <w:tc>
          <w:tcPr>
            <w:tcW w:w="82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26.9</w:t>
            </w:r>
          </w:p>
        </w:tc>
        <w:tc>
          <w:tcPr>
            <w:tcW w:w="82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17.7</w:t>
            </w:r>
          </w:p>
        </w:tc>
        <w:tc>
          <w:tcPr>
            <w:tcW w:w="82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11.9</w:t>
            </w:r>
          </w:p>
        </w:tc>
        <w:tc>
          <w:tcPr>
            <w:tcW w:w="82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7.5</w:t>
            </w:r>
          </w:p>
        </w:tc>
        <w:tc>
          <w:tcPr>
            <w:tcW w:w="74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w:t>
            </w:r>
          </w:p>
        </w:tc>
        <w:tc>
          <w:tcPr>
            <w:tcW w:w="74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2.3</w:t>
            </w:r>
          </w:p>
        </w:tc>
        <w:tc>
          <w:tcPr>
            <w:tcW w:w="78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w:t>
            </w:r>
          </w:p>
        </w:tc>
        <w:tc>
          <w:tcPr>
            <w:tcW w:w="100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100.0</w:t>
            </w:r>
          </w:p>
        </w:tc>
      </w:tr>
      <w:tr w:rsidR="00F23CAE" w:rsidRPr="008021C5" w:rsidTr="00761BEA">
        <w:trPr>
          <w:trHeight w:val="315"/>
        </w:trPr>
        <w:tc>
          <w:tcPr>
            <w:tcW w:w="158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Inner regional</w:t>
            </w:r>
          </w:p>
        </w:tc>
        <w:tc>
          <w:tcPr>
            <w:tcW w:w="82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33.9</w:t>
            </w:r>
          </w:p>
        </w:tc>
        <w:tc>
          <w:tcPr>
            <w:tcW w:w="82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26.0</w:t>
            </w:r>
          </w:p>
        </w:tc>
        <w:tc>
          <w:tcPr>
            <w:tcW w:w="82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22.4</w:t>
            </w:r>
          </w:p>
        </w:tc>
        <w:tc>
          <w:tcPr>
            <w:tcW w:w="82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5.4</w:t>
            </w:r>
          </w:p>
        </w:tc>
        <w:tc>
          <w:tcPr>
            <w:tcW w:w="82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4.3</w:t>
            </w:r>
          </w:p>
        </w:tc>
        <w:tc>
          <w:tcPr>
            <w:tcW w:w="74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7.9</w:t>
            </w:r>
          </w:p>
        </w:tc>
        <w:tc>
          <w:tcPr>
            <w:tcW w:w="74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w:t>
            </w:r>
          </w:p>
        </w:tc>
        <w:tc>
          <w:tcPr>
            <w:tcW w:w="78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w:t>
            </w:r>
          </w:p>
        </w:tc>
        <w:tc>
          <w:tcPr>
            <w:tcW w:w="100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100.0</w:t>
            </w:r>
          </w:p>
        </w:tc>
      </w:tr>
      <w:tr w:rsidR="00F23CAE" w:rsidRPr="008021C5" w:rsidTr="00761BEA">
        <w:trPr>
          <w:trHeight w:val="315"/>
        </w:trPr>
        <w:tc>
          <w:tcPr>
            <w:tcW w:w="158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Outer regional</w:t>
            </w:r>
          </w:p>
        </w:tc>
        <w:tc>
          <w:tcPr>
            <w:tcW w:w="82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21.5</w:t>
            </w:r>
          </w:p>
        </w:tc>
        <w:tc>
          <w:tcPr>
            <w:tcW w:w="82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11.9</w:t>
            </w:r>
          </w:p>
        </w:tc>
        <w:tc>
          <w:tcPr>
            <w:tcW w:w="82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33.1</w:t>
            </w:r>
          </w:p>
        </w:tc>
        <w:tc>
          <w:tcPr>
            <w:tcW w:w="82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9.1</w:t>
            </w:r>
          </w:p>
        </w:tc>
        <w:tc>
          <w:tcPr>
            <w:tcW w:w="82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9.7</w:t>
            </w:r>
          </w:p>
        </w:tc>
        <w:tc>
          <w:tcPr>
            <w:tcW w:w="74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8.0</w:t>
            </w:r>
          </w:p>
        </w:tc>
        <w:tc>
          <w:tcPr>
            <w:tcW w:w="74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w:t>
            </w:r>
          </w:p>
        </w:tc>
        <w:tc>
          <w:tcPr>
            <w:tcW w:w="78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6.6</w:t>
            </w:r>
          </w:p>
        </w:tc>
        <w:tc>
          <w:tcPr>
            <w:tcW w:w="1000" w:type="dxa"/>
            <w:tcBorders>
              <w:top w:val="nil"/>
              <w:left w:val="nil"/>
              <w:bottom w:val="nil"/>
              <w:right w:val="nil"/>
            </w:tcBorders>
            <w:shd w:val="clear" w:color="auto" w:fill="auto"/>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100.0</w:t>
            </w:r>
          </w:p>
        </w:tc>
      </w:tr>
      <w:tr w:rsidR="00F23CAE" w:rsidRPr="008021C5" w:rsidTr="00761BEA">
        <w:trPr>
          <w:trHeight w:val="315"/>
        </w:trPr>
        <w:tc>
          <w:tcPr>
            <w:tcW w:w="158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Remote</w:t>
            </w:r>
          </w:p>
        </w:tc>
        <w:tc>
          <w:tcPr>
            <w:tcW w:w="82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9.5</w:t>
            </w:r>
          </w:p>
        </w:tc>
        <w:tc>
          <w:tcPr>
            <w:tcW w:w="82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1.4</w:t>
            </w:r>
          </w:p>
        </w:tc>
        <w:tc>
          <w:tcPr>
            <w:tcW w:w="82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24.7</w:t>
            </w:r>
          </w:p>
        </w:tc>
        <w:tc>
          <w:tcPr>
            <w:tcW w:w="82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32.3</w:t>
            </w:r>
          </w:p>
        </w:tc>
        <w:tc>
          <w:tcPr>
            <w:tcW w:w="82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14.1</w:t>
            </w:r>
          </w:p>
        </w:tc>
        <w:tc>
          <w:tcPr>
            <w:tcW w:w="74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2.5</w:t>
            </w:r>
          </w:p>
        </w:tc>
        <w:tc>
          <w:tcPr>
            <w:tcW w:w="74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w:t>
            </w:r>
          </w:p>
        </w:tc>
        <w:tc>
          <w:tcPr>
            <w:tcW w:w="78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15.5</w:t>
            </w:r>
          </w:p>
        </w:tc>
        <w:tc>
          <w:tcPr>
            <w:tcW w:w="10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100.0</w:t>
            </w:r>
          </w:p>
        </w:tc>
      </w:tr>
      <w:tr w:rsidR="00F23CAE" w:rsidRPr="008021C5" w:rsidTr="00761BEA">
        <w:trPr>
          <w:trHeight w:val="315"/>
        </w:trPr>
        <w:tc>
          <w:tcPr>
            <w:tcW w:w="158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Very remote</w:t>
            </w:r>
          </w:p>
        </w:tc>
        <w:tc>
          <w:tcPr>
            <w:tcW w:w="82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4.1</w:t>
            </w:r>
          </w:p>
        </w:tc>
        <w:tc>
          <w:tcPr>
            <w:tcW w:w="82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w:t>
            </w:r>
          </w:p>
        </w:tc>
        <w:tc>
          <w:tcPr>
            <w:tcW w:w="82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28.6</w:t>
            </w:r>
          </w:p>
        </w:tc>
        <w:tc>
          <w:tcPr>
            <w:tcW w:w="82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32.4</w:t>
            </w:r>
          </w:p>
        </w:tc>
        <w:tc>
          <w:tcPr>
            <w:tcW w:w="82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7.2</w:t>
            </w:r>
          </w:p>
        </w:tc>
        <w:tc>
          <w:tcPr>
            <w:tcW w:w="74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1.1</w:t>
            </w:r>
          </w:p>
        </w:tc>
        <w:tc>
          <w:tcPr>
            <w:tcW w:w="74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w:t>
            </w:r>
          </w:p>
        </w:tc>
        <w:tc>
          <w:tcPr>
            <w:tcW w:w="78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26.6</w:t>
            </w:r>
          </w:p>
        </w:tc>
        <w:tc>
          <w:tcPr>
            <w:tcW w:w="1000" w:type="dxa"/>
            <w:tcBorders>
              <w:top w:val="nil"/>
              <w:left w:val="nil"/>
              <w:bottom w:val="nil"/>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100.0</w:t>
            </w:r>
          </w:p>
        </w:tc>
      </w:tr>
      <w:tr w:rsidR="00F23CAE" w:rsidRPr="008021C5" w:rsidTr="00761BEA">
        <w:trPr>
          <w:trHeight w:val="315"/>
        </w:trPr>
        <w:tc>
          <w:tcPr>
            <w:tcW w:w="1580" w:type="dxa"/>
            <w:tcBorders>
              <w:top w:val="nil"/>
              <w:left w:val="nil"/>
              <w:bottom w:val="single" w:sz="4" w:space="0" w:color="auto"/>
              <w:right w:val="nil"/>
            </w:tcBorders>
            <w:shd w:val="clear" w:color="auto" w:fill="auto"/>
            <w:noWrap/>
            <w:vAlign w:val="bottom"/>
            <w:hideMark/>
          </w:tcPr>
          <w:p w:rsidR="00F23CAE" w:rsidRPr="008021C5" w:rsidRDefault="00F23CAE" w:rsidP="00761BEA">
            <w:pPr>
              <w:keepNext/>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Total</w:t>
            </w:r>
          </w:p>
        </w:tc>
        <w:tc>
          <w:tcPr>
            <w:tcW w:w="82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32.0</w:t>
            </w:r>
          </w:p>
        </w:tc>
        <w:tc>
          <w:tcPr>
            <w:tcW w:w="82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24.8</w:t>
            </w:r>
          </w:p>
        </w:tc>
        <w:tc>
          <w:tcPr>
            <w:tcW w:w="82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20.1</w:t>
            </w:r>
          </w:p>
        </w:tc>
        <w:tc>
          <w:tcPr>
            <w:tcW w:w="82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10.9</w:t>
            </w:r>
          </w:p>
        </w:tc>
        <w:tc>
          <w:tcPr>
            <w:tcW w:w="82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7.2</w:t>
            </w:r>
          </w:p>
        </w:tc>
        <w:tc>
          <w:tcPr>
            <w:tcW w:w="74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2.2</w:t>
            </w:r>
          </w:p>
        </w:tc>
        <w:tc>
          <w:tcPr>
            <w:tcW w:w="74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1.6</w:t>
            </w:r>
          </w:p>
        </w:tc>
        <w:tc>
          <w:tcPr>
            <w:tcW w:w="78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w:t>
            </w:r>
          </w:p>
        </w:tc>
        <w:tc>
          <w:tcPr>
            <w:tcW w:w="100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100.0</w:t>
            </w:r>
          </w:p>
        </w:tc>
      </w:tr>
    </w:tbl>
    <w:p w:rsidR="00F23CAE" w:rsidRDefault="00F23CAE" w:rsidP="00F23CAE">
      <w:pPr>
        <w:pStyle w:val="CGCDataCaption"/>
      </w:pPr>
      <w:r>
        <w:t>Note:</w:t>
      </w:r>
      <w:r>
        <w:tab/>
        <w:t xml:space="preserve">Under the </w:t>
      </w:r>
      <w:r w:rsidR="009963DC">
        <w:t>Australian Statistical Geography Standard (</w:t>
      </w:r>
      <w:r>
        <w:t>ASGS</w:t>
      </w:r>
      <w:r w:rsidR="009963DC">
        <w:t>)</w:t>
      </w:r>
      <w:r>
        <w:t>, Tasmania and the Northern Territory are considered to have no major cities, as neither have cities with a population of more than 250</w:t>
      </w:r>
      <w:r w:rsidR="009963DC">
        <w:t> </w:t>
      </w:r>
      <w:r>
        <w:t>000 people.</w:t>
      </w:r>
    </w:p>
    <w:p w:rsidR="00F23CAE" w:rsidRDefault="00F23CAE" w:rsidP="00F23CAE">
      <w:pPr>
        <w:pStyle w:val="CGCDataCaption"/>
      </w:pPr>
      <w:r>
        <w:t>Source:</w:t>
      </w:r>
      <w:r>
        <w:tab/>
        <w:t>ABS data request</w:t>
      </w:r>
      <w:r w:rsidR="00CE038D">
        <w:t>.</w:t>
      </w:r>
    </w:p>
    <w:p w:rsidR="00F23CAE" w:rsidRDefault="00F23CAE" w:rsidP="00F23CAE">
      <w:pPr>
        <w:pStyle w:val="CGCNumberedPara"/>
      </w:pPr>
      <w:r>
        <w:t xml:space="preserve">Category assessments use either the five remoteness areas, or an aggregation of these into </w:t>
      </w:r>
      <w:r w:rsidR="0070160E">
        <w:t>groups, depending on the materiality of each disaggregation or the quality of the data</w:t>
      </w:r>
      <w:r>
        <w:t xml:space="preserve">. </w:t>
      </w:r>
    </w:p>
    <w:p w:rsidR="00F23CAE" w:rsidRDefault="00724A0A" w:rsidP="00F23CAE">
      <w:pPr>
        <w:pStyle w:val="Heading4"/>
      </w:pPr>
      <w:r>
        <w:t>Indigenous and s</w:t>
      </w:r>
      <w:r w:rsidR="00F23CAE">
        <w:t xml:space="preserve">ocio-economic status </w:t>
      </w:r>
    </w:p>
    <w:p w:rsidR="00F23CAE" w:rsidRPr="002073C9" w:rsidRDefault="00F23CAE" w:rsidP="00F23CAE">
      <w:pPr>
        <w:pStyle w:val="CGCNumberedPara"/>
      </w:pPr>
      <w:r>
        <w:t xml:space="preserve">One of the attributes of the population that we use in our assessments is SES. In this review we </w:t>
      </w:r>
      <w:r w:rsidR="0070160E">
        <w:t xml:space="preserve">have </w:t>
      </w:r>
      <w:r>
        <w:t>use</w:t>
      </w:r>
      <w:r w:rsidR="0070160E">
        <w:t>d</w:t>
      </w:r>
      <w:r>
        <w:t xml:space="preserve"> a separate measure of SES for the Indigenous and non</w:t>
      </w:r>
      <w:r>
        <w:noBreakHyphen/>
        <w:t xml:space="preserve">Indigenous populations. The Non-Indigenous Socio-Economic Index for Areas (NISEIFA) was developed for the Commission by the ABS. This index uses the same indicators as the Socio-Economic Index for Areas (SEIFA) Index of relative </w:t>
      </w:r>
      <w:r w:rsidRPr="002073C9">
        <w:t>socio</w:t>
      </w:r>
      <w:r w:rsidRPr="002073C9">
        <w:noBreakHyphen/>
        <w:t>economic disadvantage.</w:t>
      </w:r>
      <w:r w:rsidRPr="002073C9">
        <w:rPr>
          <w:rStyle w:val="FootnoteReference"/>
        </w:rPr>
        <w:footnoteReference w:id="1"/>
      </w:r>
      <w:r w:rsidRPr="002073C9">
        <w:t xml:space="preserve">  We use this index to classify the non-Indigenous population into SES quintiles, each with 20% of the national non-Indigenous population. The Indigenous Relative Socio-economic Outcome (IRSEO) index was developed at the Australian National University.</w:t>
      </w:r>
      <w:r w:rsidRPr="002073C9">
        <w:rPr>
          <w:rStyle w:val="FootnoteReference"/>
        </w:rPr>
        <w:footnoteReference w:id="2"/>
      </w:r>
      <w:r w:rsidRPr="002073C9">
        <w:t xml:space="preserve">  We use this index to classify the Indigenous population into SES quintiles, each quintile containing 20% of the national Indigenous population.</w:t>
      </w:r>
    </w:p>
    <w:p w:rsidR="00F23CAE" w:rsidRDefault="00F23CAE" w:rsidP="00F23CAE">
      <w:pPr>
        <w:pStyle w:val="CGCNumberedPara"/>
      </w:pPr>
      <w:r>
        <w:lastRenderedPageBreak/>
        <w:t xml:space="preserve">These indexes </w:t>
      </w:r>
      <w:r w:rsidR="0070160E">
        <w:t>are</w:t>
      </w:r>
      <w:r>
        <w:t xml:space="preserve"> area based measures</w:t>
      </w:r>
      <w:r w:rsidR="0070160E">
        <w:t>,</w:t>
      </w:r>
      <w:r>
        <w:t xml:space="preserve"> similar to SEIFA. The indexes and their use are discussed in more detail in Volume 1, Chapter 2 – Main issues</w:t>
      </w:r>
      <w:r w:rsidRPr="003A0A9D">
        <w:t>.</w:t>
      </w:r>
      <w:r>
        <w:t xml:space="preserve"> </w:t>
      </w:r>
    </w:p>
    <w:p w:rsidR="00F23CAE" w:rsidRDefault="00F23CAE" w:rsidP="00F23CAE">
      <w:pPr>
        <w:pStyle w:val="CGCNumberedPara"/>
      </w:pPr>
      <w:r>
        <w:fldChar w:fldCharType="begin"/>
      </w:r>
      <w:r>
        <w:instrText xml:space="preserve"> REF _Ref403996976 \h </w:instrText>
      </w:r>
      <w:r>
        <w:fldChar w:fldCharType="separate"/>
      </w:r>
      <w:r w:rsidR="007B6A4C">
        <w:t>Table </w:t>
      </w:r>
      <w:r w:rsidR="007B6A4C">
        <w:rPr>
          <w:noProof/>
        </w:rPr>
        <w:t>5</w:t>
      </w:r>
      <w:r>
        <w:fldChar w:fldCharType="end"/>
      </w:r>
      <w:r>
        <w:t xml:space="preserve"> and </w:t>
      </w:r>
      <w:r>
        <w:fldChar w:fldCharType="begin"/>
      </w:r>
      <w:r>
        <w:instrText xml:space="preserve"> REF _Ref403996991 \h </w:instrText>
      </w:r>
      <w:r>
        <w:fldChar w:fldCharType="separate"/>
      </w:r>
      <w:r w:rsidR="007B6A4C">
        <w:t>Table </w:t>
      </w:r>
      <w:r w:rsidR="007B6A4C">
        <w:rPr>
          <w:noProof/>
        </w:rPr>
        <w:t>6</w:t>
      </w:r>
      <w:r>
        <w:fldChar w:fldCharType="end"/>
      </w:r>
      <w:r>
        <w:t xml:space="preserve"> provide details of State Indigenous and non-Indigenous ERPs for December 2013 respectively, dissected by socio-economic quintiles.</w:t>
      </w:r>
    </w:p>
    <w:p w:rsidR="00F23CAE" w:rsidRDefault="00F23CAE" w:rsidP="00F23CAE">
      <w:pPr>
        <w:pStyle w:val="Caption"/>
      </w:pPr>
      <w:bookmarkStart w:id="10" w:name="_Ref403996976"/>
      <w:r>
        <w:t>Table </w:t>
      </w:r>
      <w:fldSimple w:instr=" SEQ Table \* ARABIC ">
        <w:r w:rsidR="007B6A4C">
          <w:rPr>
            <w:noProof/>
          </w:rPr>
          <w:t>5</w:t>
        </w:r>
      </w:fldSimple>
      <w:bookmarkEnd w:id="10"/>
      <w:r>
        <w:tab/>
        <w:t>Indigenous ERP by IRSEO quintiles and State, December 2013</w:t>
      </w:r>
    </w:p>
    <w:tbl>
      <w:tblPr>
        <w:tblW w:w="9000" w:type="dxa"/>
        <w:tblLayout w:type="fixed"/>
        <w:tblCellMar>
          <w:left w:w="0" w:type="dxa"/>
          <w:right w:w="0" w:type="dxa"/>
        </w:tblCellMar>
        <w:tblLook w:val="04A0" w:firstRow="1" w:lastRow="0" w:firstColumn="1" w:lastColumn="0" w:noHBand="0" w:noVBand="1"/>
      </w:tblPr>
      <w:tblGrid>
        <w:gridCol w:w="2380"/>
        <w:gridCol w:w="760"/>
        <w:gridCol w:w="760"/>
        <w:gridCol w:w="760"/>
        <w:gridCol w:w="760"/>
        <w:gridCol w:w="660"/>
        <w:gridCol w:w="660"/>
        <w:gridCol w:w="660"/>
        <w:gridCol w:w="760"/>
        <w:gridCol w:w="840"/>
      </w:tblGrid>
      <w:tr w:rsidR="00F23CAE" w:rsidRPr="008021C5" w:rsidTr="00761BEA">
        <w:trPr>
          <w:trHeight w:val="379"/>
        </w:trPr>
        <w:tc>
          <w:tcPr>
            <w:tcW w:w="238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keepNext/>
              <w:keepLines/>
              <w:tabs>
                <w:tab w:val="clear" w:pos="567"/>
              </w:tabs>
              <w:spacing w:after="0" w:line="240" w:lineRule="auto"/>
              <w:ind w:left="193"/>
              <w:jc w:val="right"/>
              <w:rPr>
                <w:rFonts w:ascii="Calibri" w:eastAsia="Times New Roman" w:hAnsi="Calibri" w:cs="Times New Roman"/>
                <w:sz w:val="20"/>
                <w:szCs w:val="20"/>
                <w:lang w:eastAsia="en-AU"/>
              </w:rPr>
            </w:pPr>
            <w:bookmarkStart w:id="11" w:name="RANGE!A4:J18"/>
            <w:r w:rsidRPr="008021C5">
              <w:rPr>
                <w:rFonts w:ascii="Calibri" w:eastAsia="Times New Roman" w:hAnsi="Calibri" w:cs="Times New Roman"/>
                <w:sz w:val="20"/>
                <w:szCs w:val="20"/>
                <w:lang w:eastAsia="en-AU"/>
              </w:rPr>
              <w:t> </w:t>
            </w:r>
            <w:bookmarkEnd w:id="11"/>
          </w:p>
        </w:tc>
        <w:tc>
          <w:tcPr>
            <w:tcW w:w="76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NSW</w:t>
            </w:r>
          </w:p>
        </w:tc>
        <w:tc>
          <w:tcPr>
            <w:tcW w:w="76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Vic</w:t>
            </w:r>
          </w:p>
        </w:tc>
        <w:tc>
          <w:tcPr>
            <w:tcW w:w="76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Qld</w:t>
            </w:r>
          </w:p>
        </w:tc>
        <w:tc>
          <w:tcPr>
            <w:tcW w:w="76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WA</w:t>
            </w:r>
          </w:p>
        </w:tc>
        <w:tc>
          <w:tcPr>
            <w:tcW w:w="66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SA</w:t>
            </w:r>
          </w:p>
        </w:tc>
        <w:tc>
          <w:tcPr>
            <w:tcW w:w="66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8021C5">
              <w:rPr>
                <w:rFonts w:ascii="Calibri" w:eastAsia="Times New Roman" w:hAnsi="Calibri" w:cs="Times New Roman"/>
                <w:sz w:val="20"/>
                <w:szCs w:val="20"/>
                <w:lang w:eastAsia="en-AU"/>
              </w:rPr>
              <w:t>Tas</w:t>
            </w:r>
            <w:proofErr w:type="spellEnd"/>
          </w:p>
        </w:tc>
        <w:tc>
          <w:tcPr>
            <w:tcW w:w="66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ACT</w:t>
            </w:r>
          </w:p>
        </w:tc>
        <w:tc>
          <w:tcPr>
            <w:tcW w:w="76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NT</w:t>
            </w:r>
          </w:p>
        </w:tc>
        <w:tc>
          <w:tcPr>
            <w:tcW w:w="84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Total</w:t>
            </w:r>
          </w:p>
        </w:tc>
      </w:tr>
      <w:tr w:rsidR="00F23CAE" w:rsidRPr="008021C5" w:rsidTr="00761BEA">
        <w:trPr>
          <w:trHeight w:val="259"/>
        </w:trPr>
        <w:tc>
          <w:tcPr>
            <w:tcW w:w="238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ind w:left="193"/>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6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6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6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84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r>
      <w:tr w:rsidR="00F23CAE" w:rsidRPr="008021C5" w:rsidTr="00761BEA">
        <w:trPr>
          <w:trHeight w:val="315"/>
        </w:trPr>
        <w:tc>
          <w:tcPr>
            <w:tcW w:w="238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ind w:left="193"/>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Least disadvantaged</w:t>
            </w:r>
          </w:p>
        </w:tc>
        <w:tc>
          <w:tcPr>
            <w:tcW w:w="7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48</w:t>
            </w:r>
          </w:p>
        </w:tc>
        <w:tc>
          <w:tcPr>
            <w:tcW w:w="7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26</w:t>
            </w:r>
          </w:p>
        </w:tc>
        <w:tc>
          <w:tcPr>
            <w:tcW w:w="7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43</w:t>
            </w:r>
          </w:p>
        </w:tc>
        <w:tc>
          <w:tcPr>
            <w:tcW w:w="7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4</w:t>
            </w:r>
          </w:p>
        </w:tc>
        <w:tc>
          <w:tcPr>
            <w:tcW w:w="6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w:t>
            </w:r>
          </w:p>
        </w:tc>
        <w:tc>
          <w:tcPr>
            <w:tcW w:w="6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9</w:t>
            </w:r>
          </w:p>
        </w:tc>
        <w:tc>
          <w:tcPr>
            <w:tcW w:w="6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7</w:t>
            </w:r>
          </w:p>
        </w:tc>
        <w:tc>
          <w:tcPr>
            <w:tcW w:w="7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4</w:t>
            </w:r>
          </w:p>
        </w:tc>
        <w:tc>
          <w:tcPr>
            <w:tcW w:w="84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145</w:t>
            </w:r>
          </w:p>
        </w:tc>
      </w:tr>
      <w:tr w:rsidR="00F23CAE" w:rsidRPr="008021C5" w:rsidTr="00761BEA">
        <w:trPr>
          <w:trHeight w:val="315"/>
        </w:trPr>
        <w:tc>
          <w:tcPr>
            <w:tcW w:w="238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ind w:left="193"/>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2nd least disadvantaged</w:t>
            </w:r>
          </w:p>
        </w:tc>
        <w:tc>
          <w:tcPr>
            <w:tcW w:w="7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60</w:t>
            </w:r>
          </w:p>
        </w:tc>
        <w:tc>
          <w:tcPr>
            <w:tcW w:w="7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6</w:t>
            </w:r>
          </w:p>
        </w:tc>
        <w:tc>
          <w:tcPr>
            <w:tcW w:w="7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38</w:t>
            </w:r>
          </w:p>
        </w:tc>
        <w:tc>
          <w:tcPr>
            <w:tcW w:w="7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9</w:t>
            </w:r>
          </w:p>
        </w:tc>
        <w:tc>
          <w:tcPr>
            <w:tcW w:w="6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9</w:t>
            </w:r>
          </w:p>
        </w:tc>
        <w:tc>
          <w:tcPr>
            <w:tcW w:w="6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14</w:t>
            </w:r>
          </w:p>
        </w:tc>
        <w:tc>
          <w:tcPr>
            <w:tcW w:w="6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w:t>
            </w:r>
          </w:p>
        </w:tc>
        <w:tc>
          <w:tcPr>
            <w:tcW w:w="7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8</w:t>
            </w:r>
          </w:p>
        </w:tc>
        <w:tc>
          <w:tcPr>
            <w:tcW w:w="84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144</w:t>
            </w:r>
          </w:p>
        </w:tc>
      </w:tr>
      <w:tr w:rsidR="00F23CAE" w:rsidRPr="008021C5" w:rsidTr="00761BEA">
        <w:trPr>
          <w:trHeight w:val="315"/>
        </w:trPr>
        <w:tc>
          <w:tcPr>
            <w:tcW w:w="238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ind w:left="193"/>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Middle quintile</w:t>
            </w:r>
          </w:p>
        </w:tc>
        <w:tc>
          <w:tcPr>
            <w:tcW w:w="7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33</w:t>
            </w:r>
          </w:p>
        </w:tc>
        <w:tc>
          <w:tcPr>
            <w:tcW w:w="7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12</w:t>
            </w:r>
          </w:p>
        </w:tc>
        <w:tc>
          <w:tcPr>
            <w:tcW w:w="7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56</w:t>
            </w:r>
          </w:p>
        </w:tc>
        <w:tc>
          <w:tcPr>
            <w:tcW w:w="7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25</w:t>
            </w:r>
          </w:p>
        </w:tc>
        <w:tc>
          <w:tcPr>
            <w:tcW w:w="6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5</w:t>
            </w:r>
          </w:p>
        </w:tc>
        <w:tc>
          <w:tcPr>
            <w:tcW w:w="6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w:t>
            </w:r>
          </w:p>
        </w:tc>
        <w:tc>
          <w:tcPr>
            <w:tcW w:w="6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w:t>
            </w:r>
          </w:p>
        </w:tc>
        <w:tc>
          <w:tcPr>
            <w:tcW w:w="7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6</w:t>
            </w:r>
          </w:p>
        </w:tc>
        <w:tc>
          <w:tcPr>
            <w:tcW w:w="84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139</w:t>
            </w:r>
          </w:p>
        </w:tc>
      </w:tr>
      <w:tr w:rsidR="00F23CAE" w:rsidRPr="008021C5" w:rsidTr="00761BEA">
        <w:trPr>
          <w:trHeight w:val="315"/>
        </w:trPr>
        <w:tc>
          <w:tcPr>
            <w:tcW w:w="238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ind w:left="193"/>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2nd most disadvantaged</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54</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6</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38</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25</w:t>
            </w:r>
          </w:p>
        </w:tc>
        <w:tc>
          <w:tcPr>
            <w:tcW w:w="6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12</w:t>
            </w:r>
          </w:p>
        </w:tc>
        <w:tc>
          <w:tcPr>
            <w:tcW w:w="6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w:t>
            </w:r>
          </w:p>
        </w:tc>
        <w:tc>
          <w:tcPr>
            <w:tcW w:w="6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w:t>
            </w:r>
          </w:p>
        </w:tc>
        <w:tc>
          <w:tcPr>
            <w:tcW w:w="84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138</w:t>
            </w:r>
          </w:p>
        </w:tc>
      </w:tr>
      <w:tr w:rsidR="00F23CAE" w:rsidRPr="008021C5" w:rsidTr="00761BEA">
        <w:trPr>
          <w:trHeight w:val="315"/>
        </w:trPr>
        <w:tc>
          <w:tcPr>
            <w:tcW w:w="238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ind w:left="193"/>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Most disadvantaged</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23</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23</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30</w:t>
            </w:r>
          </w:p>
        </w:tc>
        <w:tc>
          <w:tcPr>
            <w:tcW w:w="6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w:t>
            </w:r>
          </w:p>
        </w:tc>
        <w:tc>
          <w:tcPr>
            <w:tcW w:w="6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w:t>
            </w:r>
          </w:p>
        </w:tc>
        <w:tc>
          <w:tcPr>
            <w:tcW w:w="6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52</w:t>
            </w:r>
          </w:p>
        </w:tc>
        <w:tc>
          <w:tcPr>
            <w:tcW w:w="84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139</w:t>
            </w:r>
          </w:p>
        </w:tc>
      </w:tr>
      <w:tr w:rsidR="00F23CAE" w:rsidRPr="008021C5" w:rsidTr="00761BEA">
        <w:trPr>
          <w:trHeight w:val="315"/>
        </w:trPr>
        <w:tc>
          <w:tcPr>
            <w:tcW w:w="238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ind w:left="193"/>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Total</w:t>
            </w:r>
          </w:p>
        </w:tc>
        <w:tc>
          <w:tcPr>
            <w:tcW w:w="7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218</w:t>
            </w:r>
          </w:p>
        </w:tc>
        <w:tc>
          <w:tcPr>
            <w:tcW w:w="7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50</w:t>
            </w:r>
          </w:p>
        </w:tc>
        <w:tc>
          <w:tcPr>
            <w:tcW w:w="7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200</w:t>
            </w:r>
          </w:p>
        </w:tc>
        <w:tc>
          <w:tcPr>
            <w:tcW w:w="7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93</w:t>
            </w:r>
          </w:p>
        </w:tc>
        <w:tc>
          <w:tcPr>
            <w:tcW w:w="6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39</w:t>
            </w:r>
          </w:p>
        </w:tc>
        <w:tc>
          <w:tcPr>
            <w:tcW w:w="6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25</w:t>
            </w:r>
          </w:p>
        </w:tc>
        <w:tc>
          <w:tcPr>
            <w:tcW w:w="6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7</w:t>
            </w:r>
          </w:p>
        </w:tc>
        <w:tc>
          <w:tcPr>
            <w:tcW w:w="7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72</w:t>
            </w:r>
          </w:p>
        </w:tc>
        <w:tc>
          <w:tcPr>
            <w:tcW w:w="84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704</w:t>
            </w:r>
          </w:p>
        </w:tc>
      </w:tr>
      <w:tr w:rsidR="00F23CAE" w:rsidRPr="008021C5" w:rsidTr="00761BEA">
        <w:trPr>
          <w:trHeight w:val="259"/>
        </w:trPr>
        <w:tc>
          <w:tcPr>
            <w:tcW w:w="238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ind w:left="193"/>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6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6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6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84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r>
      <w:tr w:rsidR="00F23CAE" w:rsidRPr="008021C5" w:rsidTr="00761BEA">
        <w:trPr>
          <w:trHeight w:val="315"/>
        </w:trPr>
        <w:tc>
          <w:tcPr>
            <w:tcW w:w="238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ind w:left="193"/>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Least disadvantaged</w:t>
            </w:r>
          </w:p>
        </w:tc>
        <w:tc>
          <w:tcPr>
            <w:tcW w:w="7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33.5</w:t>
            </w:r>
          </w:p>
        </w:tc>
        <w:tc>
          <w:tcPr>
            <w:tcW w:w="7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18.0</w:t>
            </w:r>
          </w:p>
        </w:tc>
        <w:tc>
          <w:tcPr>
            <w:tcW w:w="7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29.8</w:t>
            </w:r>
          </w:p>
        </w:tc>
        <w:tc>
          <w:tcPr>
            <w:tcW w:w="7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2.5</w:t>
            </w:r>
          </w:p>
        </w:tc>
        <w:tc>
          <w:tcPr>
            <w:tcW w:w="6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2.3</w:t>
            </w:r>
          </w:p>
        </w:tc>
        <w:tc>
          <w:tcPr>
            <w:tcW w:w="6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6.4</w:t>
            </w:r>
          </w:p>
        </w:tc>
        <w:tc>
          <w:tcPr>
            <w:tcW w:w="6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4.5</w:t>
            </w:r>
          </w:p>
        </w:tc>
        <w:tc>
          <w:tcPr>
            <w:tcW w:w="7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3.1</w:t>
            </w:r>
          </w:p>
        </w:tc>
        <w:tc>
          <w:tcPr>
            <w:tcW w:w="84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100.0</w:t>
            </w:r>
          </w:p>
        </w:tc>
      </w:tr>
      <w:tr w:rsidR="00F23CAE" w:rsidRPr="008021C5" w:rsidTr="00761BEA">
        <w:trPr>
          <w:trHeight w:val="315"/>
        </w:trPr>
        <w:tc>
          <w:tcPr>
            <w:tcW w:w="238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ind w:left="193"/>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2nd least disadvantaged</w:t>
            </w:r>
          </w:p>
        </w:tc>
        <w:tc>
          <w:tcPr>
            <w:tcW w:w="7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41.4</w:t>
            </w:r>
          </w:p>
        </w:tc>
        <w:tc>
          <w:tcPr>
            <w:tcW w:w="7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4.5</w:t>
            </w:r>
          </w:p>
        </w:tc>
        <w:tc>
          <w:tcPr>
            <w:tcW w:w="7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26.6</w:t>
            </w:r>
          </w:p>
        </w:tc>
        <w:tc>
          <w:tcPr>
            <w:tcW w:w="7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6.3</w:t>
            </w:r>
          </w:p>
        </w:tc>
        <w:tc>
          <w:tcPr>
            <w:tcW w:w="6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6.4</w:t>
            </w:r>
          </w:p>
        </w:tc>
        <w:tc>
          <w:tcPr>
            <w:tcW w:w="6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9.5</w:t>
            </w:r>
          </w:p>
        </w:tc>
        <w:tc>
          <w:tcPr>
            <w:tcW w:w="6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w:t>
            </w:r>
          </w:p>
        </w:tc>
        <w:tc>
          <w:tcPr>
            <w:tcW w:w="7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5.4</w:t>
            </w:r>
          </w:p>
        </w:tc>
        <w:tc>
          <w:tcPr>
            <w:tcW w:w="84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100.0</w:t>
            </w:r>
          </w:p>
        </w:tc>
      </w:tr>
      <w:tr w:rsidR="00F23CAE" w:rsidRPr="008021C5" w:rsidTr="00761BEA">
        <w:trPr>
          <w:trHeight w:val="315"/>
        </w:trPr>
        <w:tc>
          <w:tcPr>
            <w:tcW w:w="238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ind w:left="193"/>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Middle quintile</w:t>
            </w:r>
          </w:p>
        </w:tc>
        <w:tc>
          <w:tcPr>
            <w:tcW w:w="7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23.9</w:t>
            </w:r>
          </w:p>
        </w:tc>
        <w:tc>
          <w:tcPr>
            <w:tcW w:w="7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8.7</w:t>
            </w:r>
          </w:p>
        </w:tc>
        <w:tc>
          <w:tcPr>
            <w:tcW w:w="7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40.6</w:t>
            </w:r>
          </w:p>
        </w:tc>
        <w:tc>
          <w:tcPr>
            <w:tcW w:w="7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18.1</w:t>
            </w:r>
          </w:p>
        </w:tc>
        <w:tc>
          <w:tcPr>
            <w:tcW w:w="6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3.3</w:t>
            </w:r>
          </w:p>
        </w:tc>
        <w:tc>
          <w:tcPr>
            <w:tcW w:w="6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w:t>
            </w:r>
          </w:p>
        </w:tc>
        <w:tc>
          <w:tcPr>
            <w:tcW w:w="6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w:t>
            </w:r>
          </w:p>
        </w:tc>
        <w:tc>
          <w:tcPr>
            <w:tcW w:w="76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4.4</w:t>
            </w:r>
          </w:p>
        </w:tc>
        <w:tc>
          <w:tcPr>
            <w:tcW w:w="840" w:type="dxa"/>
            <w:tcBorders>
              <w:top w:val="nil"/>
              <w:left w:val="nil"/>
              <w:bottom w:val="nil"/>
              <w:right w:val="nil"/>
            </w:tcBorders>
            <w:shd w:val="clear" w:color="auto" w:fill="auto"/>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100.0</w:t>
            </w:r>
          </w:p>
        </w:tc>
      </w:tr>
      <w:tr w:rsidR="00F23CAE" w:rsidRPr="008021C5" w:rsidTr="00761BEA">
        <w:trPr>
          <w:trHeight w:val="315"/>
        </w:trPr>
        <w:tc>
          <w:tcPr>
            <w:tcW w:w="238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ind w:left="193"/>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2nd most disadvantaged</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38.9</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4.1</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27.8</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18.5</w:t>
            </w:r>
          </w:p>
        </w:tc>
        <w:tc>
          <w:tcPr>
            <w:tcW w:w="6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9.0</w:t>
            </w:r>
          </w:p>
        </w:tc>
        <w:tc>
          <w:tcPr>
            <w:tcW w:w="6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0.8</w:t>
            </w:r>
          </w:p>
        </w:tc>
        <w:tc>
          <w:tcPr>
            <w:tcW w:w="6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w:t>
            </w:r>
          </w:p>
        </w:tc>
        <w:tc>
          <w:tcPr>
            <w:tcW w:w="84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100.0</w:t>
            </w:r>
          </w:p>
        </w:tc>
      </w:tr>
      <w:tr w:rsidR="00F23CAE" w:rsidRPr="008021C5" w:rsidTr="00761BEA">
        <w:trPr>
          <w:trHeight w:val="315"/>
        </w:trPr>
        <w:tc>
          <w:tcPr>
            <w:tcW w:w="238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ind w:left="193"/>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Most disadvantaged</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16.9</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16.9</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21.4</w:t>
            </w:r>
          </w:p>
        </w:tc>
        <w:tc>
          <w:tcPr>
            <w:tcW w:w="6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7.0</w:t>
            </w:r>
          </w:p>
        </w:tc>
        <w:tc>
          <w:tcPr>
            <w:tcW w:w="6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w:t>
            </w:r>
          </w:p>
        </w:tc>
        <w:tc>
          <w:tcPr>
            <w:tcW w:w="6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37.8</w:t>
            </w:r>
          </w:p>
        </w:tc>
        <w:tc>
          <w:tcPr>
            <w:tcW w:w="840" w:type="dxa"/>
            <w:tcBorders>
              <w:top w:val="nil"/>
              <w:left w:val="nil"/>
              <w:bottom w:val="nil"/>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100.0</w:t>
            </w:r>
          </w:p>
        </w:tc>
      </w:tr>
      <w:tr w:rsidR="00F23CAE" w:rsidRPr="008021C5" w:rsidTr="00761BEA">
        <w:trPr>
          <w:trHeight w:val="315"/>
        </w:trPr>
        <w:tc>
          <w:tcPr>
            <w:tcW w:w="2380" w:type="dxa"/>
            <w:tcBorders>
              <w:top w:val="nil"/>
              <w:left w:val="nil"/>
              <w:bottom w:val="single" w:sz="4" w:space="0" w:color="auto"/>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ind w:left="193"/>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Total</w:t>
            </w:r>
          </w:p>
        </w:tc>
        <w:tc>
          <w:tcPr>
            <w:tcW w:w="7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31.0</w:t>
            </w:r>
          </w:p>
        </w:tc>
        <w:tc>
          <w:tcPr>
            <w:tcW w:w="7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7.1</w:t>
            </w:r>
          </w:p>
        </w:tc>
        <w:tc>
          <w:tcPr>
            <w:tcW w:w="7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28.3</w:t>
            </w:r>
          </w:p>
        </w:tc>
        <w:tc>
          <w:tcPr>
            <w:tcW w:w="7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13.2</w:t>
            </w:r>
          </w:p>
        </w:tc>
        <w:tc>
          <w:tcPr>
            <w:tcW w:w="6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5.6</w:t>
            </w:r>
          </w:p>
        </w:tc>
        <w:tc>
          <w:tcPr>
            <w:tcW w:w="6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3.6</w:t>
            </w:r>
          </w:p>
        </w:tc>
        <w:tc>
          <w:tcPr>
            <w:tcW w:w="6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0.9</w:t>
            </w:r>
          </w:p>
        </w:tc>
        <w:tc>
          <w:tcPr>
            <w:tcW w:w="7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10.2</w:t>
            </w:r>
          </w:p>
        </w:tc>
        <w:tc>
          <w:tcPr>
            <w:tcW w:w="84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keepNext/>
              <w:keepLines/>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100.0</w:t>
            </w:r>
          </w:p>
        </w:tc>
      </w:tr>
    </w:tbl>
    <w:p w:rsidR="00F23CAE" w:rsidRDefault="00F23CAE" w:rsidP="00F23CAE">
      <w:pPr>
        <w:pStyle w:val="CGCDataCaption"/>
      </w:pPr>
      <w:r>
        <w:t>Source:</w:t>
      </w:r>
      <w:r>
        <w:tab/>
        <w:t>Commission calculation using ABS data request and IRSEO index.</w:t>
      </w:r>
    </w:p>
    <w:p w:rsidR="00F23CAE" w:rsidRDefault="00F23CAE" w:rsidP="00F23CAE">
      <w:pPr>
        <w:pStyle w:val="Caption"/>
      </w:pPr>
      <w:bookmarkStart w:id="12" w:name="_Ref403996991"/>
      <w:r>
        <w:t>Table </w:t>
      </w:r>
      <w:fldSimple w:instr=" SEQ Table \* ARABIC ">
        <w:r w:rsidR="007B6A4C">
          <w:rPr>
            <w:noProof/>
          </w:rPr>
          <w:t>6</w:t>
        </w:r>
      </w:fldSimple>
      <w:bookmarkEnd w:id="12"/>
      <w:r>
        <w:tab/>
        <w:t>Non-Indigenous ERP by NISEIFA quintiles and State, December 2013</w:t>
      </w:r>
    </w:p>
    <w:tbl>
      <w:tblPr>
        <w:tblW w:w="8940" w:type="dxa"/>
        <w:tblInd w:w="93" w:type="dxa"/>
        <w:tblLook w:val="04A0" w:firstRow="1" w:lastRow="0" w:firstColumn="1" w:lastColumn="0" w:noHBand="0" w:noVBand="1"/>
      </w:tblPr>
      <w:tblGrid>
        <w:gridCol w:w="2220"/>
        <w:gridCol w:w="760"/>
        <w:gridCol w:w="760"/>
        <w:gridCol w:w="760"/>
        <w:gridCol w:w="760"/>
        <w:gridCol w:w="740"/>
        <w:gridCol w:w="660"/>
        <w:gridCol w:w="680"/>
        <w:gridCol w:w="740"/>
        <w:gridCol w:w="860"/>
      </w:tblGrid>
      <w:tr w:rsidR="00F23CAE" w:rsidRPr="008021C5" w:rsidTr="00761BEA">
        <w:trPr>
          <w:trHeight w:val="379"/>
        </w:trPr>
        <w:tc>
          <w:tcPr>
            <w:tcW w:w="222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w:t>
            </w:r>
          </w:p>
        </w:tc>
        <w:tc>
          <w:tcPr>
            <w:tcW w:w="76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NSW</w:t>
            </w:r>
          </w:p>
        </w:tc>
        <w:tc>
          <w:tcPr>
            <w:tcW w:w="76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Vic</w:t>
            </w:r>
          </w:p>
        </w:tc>
        <w:tc>
          <w:tcPr>
            <w:tcW w:w="76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Qld</w:t>
            </w:r>
          </w:p>
        </w:tc>
        <w:tc>
          <w:tcPr>
            <w:tcW w:w="76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WA</w:t>
            </w:r>
          </w:p>
        </w:tc>
        <w:tc>
          <w:tcPr>
            <w:tcW w:w="74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SA</w:t>
            </w:r>
          </w:p>
        </w:tc>
        <w:tc>
          <w:tcPr>
            <w:tcW w:w="66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proofErr w:type="spellStart"/>
            <w:r w:rsidRPr="008021C5">
              <w:rPr>
                <w:rFonts w:ascii="Calibri" w:eastAsia="Times New Roman" w:hAnsi="Calibri" w:cs="Times New Roman"/>
                <w:sz w:val="20"/>
                <w:szCs w:val="20"/>
                <w:lang w:eastAsia="en-AU"/>
              </w:rPr>
              <w:t>Tas</w:t>
            </w:r>
            <w:proofErr w:type="spellEnd"/>
          </w:p>
        </w:tc>
        <w:tc>
          <w:tcPr>
            <w:tcW w:w="68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ACT</w:t>
            </w:r>
          </w:p>
        </w:tc>
        <w:tc>
          <w:tcPr>
            <w:tcW w:w="74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NT</w:t>
            </w:r>
          </w:p>
        </w:tc>
        <w:tc>
          <w:tcPr>
            <w:tcW w:w="860" w:type="dxa"/>
            <w:tcBorders>
              <w:top w:val="single" w:sz="4" w:space="0" w:color="auto"/>
              <w:left w:val="nil"/>
              <w:bottom w:val="single" w:sz="4" w:space="0" w:color="auto"/>
              <w:right w:val="nil"/>
            </w:tcBorders>
            <w:shd w:val="clear" w:color="auto" w:fill="auto"/>
            <w:noWrap/>
            <w:vAlign w:val="center"/>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Total</w:t>
            </w:r>
          </w:p>
        </w:tc>
      </w:tr>
      <w:tr w:rsidR="00F23CAE" w:rsidRPr="008021C5" w:rsidTr="00761BEA">
        <w:trPr>
          <w:trHeight w:val="259"/>
        </w:trPr>
        <w:tc>
          <w:tcPr>
            <w:tcW w:w="222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74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6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68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74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'000</w:t>
            </w:r>
          </w:p>
        </w:tc>
      </w:tr>
      <w:tr w:rsidR="00F23CAE" w:rsidRPr="008021C5" w:rsidTr="00761BEA">
        <w:trPr>
          <w:trHeight w:val="315"/>
        </w:trPr>
        <w:tc>
          <w:tcPr>
            <w:tcW w:w="222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Least disadvantaged</w:t>
            </w:r>
          </w:p>
        </w:tc>
        <w:tc>
          <w:tcPr>
            <w:tcW w:w="7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1 571</w:t>
            </w:r>
          </w:p>
        </w:tc>
        <w:tc>
          <w:tcPr>
            <w:tcW w:w="7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1 121</w:t>
            </w:r>
          </w:p>
        </w:tc>
        <w:tc>
          <w:tcPr>
            <w:tcW w:w="7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767</w:t>
            </w:r>
          </w:p>
        </w:tc>
        <w:tc>
          <w:tcPr>
            <w:tcW w:w="7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607</w:t>
            </w:r>
          </w:p>
        </w:tc>
        <w:tc>
          <w:tcPr>
            <w:tcW w:w="74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200</w:t>
            </w:r>
          </w:p>
        </w:tc>
        <w:tc>
          <w:tcPr>
            <w:tcW w:w="6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36</w:t>
            </w:r>
          </w:p>
        </w:tc>
        <w:tc>
          <w:tcPr>
            <w:tcW w:w="68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199</w:t>
            </w:r>
          </w:p>
        </w:tc>
        <w:tc>
          <w:tcPr>
            <w:tcW w:w="74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46</w:t>
            </w:r>
          </w:p>
        </w:tc>
        <w:tc>
          <w:tcPr>
            <w:tcW w:w="8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4 547</w:t>
            </w:r>
          </w:p>
        </w:tc>
      </w:tr>
      <w:tr w:rsidR="00F23CAE" w:rsidRPr="008021C5" w:rsidTr="00761BEA">
        <w:trPr>
          <w:trHeight w:val="315"/>
        </w:trPr>
        <w:tc>
          <w:tcPr>
            <w:tcW w:w="222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2nd least disadvantaged</w:t>
            </w:r>
          </w:p>
        </w:tc>
        <w:tc>
          <w:tcPr>
            <w:tcW w:w="7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1 244</w:t>
            </w:r>
          </w:p>
        </w:tc>
        <w:tc>
          <w:tcPr>
            <w:tcW w:w="7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1 247</w:t>
            </w:r>
          </w:p>
        </w:tc>
        <w:tc>
          <w:tcPr>
            <w:tcW w:w="7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924</w:t>
            </w:r>
          </w:p>
        </w:tc>
        <w:tc>
          <w:tcPr>
            <w:tcW w:w="7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596</w:t>
            </w:r>
          </w:p>
        </w:tc>
        <w:tc>
          <w:tcPr>
            <w:tcW w:w="74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297</w:t>
            </w:r>
          </w:p>
        </w:tc>
        <w:tc>
          <w:tcPr>
            <w:tcW w:w="6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65</w:t>
            </w:r>
          </w:p>
        </w:tc>
        <w:tc>
          <w:tcPr>
            <w:tcW w:w="68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102</w:t>
            </w:r>
          </w:p>
        </w:tc>
        <w:tc>
          <w:tcPr>
            <w:tcW w:w="74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61</w:t>
            </w:r>
          </w:p>
        </w:tc>
        <w:tc>
          <w:tcPr>
            <w:tcW w:w="8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4 536</w:t>
            </w:r>
          </w:p>
        </w:tc>
      </w:tr>
      <w:tr w:rsidR="00F23CAE" w:rsidRPr="008021C5" w:rsidTr="00761BEA">
        <w:trPr>
          <w:trHeight w:val="315"/>
        </w:trPr>
        <w:tc>
          <w:tcPr>
            <w:tcW w:w="222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Middle quintile</w:t>
            </w:r>
          </w:p>
        </w:tc>
        <w:tc>
          <w:tcPr>
            <w:tcW w:w="7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1 274</w:t>
            </w:r>
          </w:p>
        </w:tc>
        <w:tc>
          <w:tcPr>
            <w:tcW w:w="7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1 217</w:t>
            </w:r>
          </w:p>
        </w:tc>
        <w:tc>
          <w:tcPr>
            <w:tcW w:w="7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1 005</w:t>
            </w:r>
          </w:p>
        </w:tc>
        <w:tc>
          <w:tcPr>
            <w:tcW w:w="7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513</w:t>
            </w:r>
          </w:p>
        </w:tc>
        <w:tc>
          <w:tcPr>
            <w:tcW w:w="74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321</w:t>
            </w:r>
          </w:p>
        </w:tc>
        <w:tc>
          <w:tcPr>
            <w:tcW w:w="6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107</w:t>
            </w:r>
          </w:p>
        </w:tc>
        <w:tc>
          <w:tcPr>
            <w:tcW w:w="68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45</w:t>
            </w:r>
          </w:p>
        </w:tc>
        <w:tc>
          <w:tcPr>
            <w:tcW w:w="74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39</w:t>
            </w:r>
          </w:p>
        </w:tc>
        <w:tc>
          <w:tcPr>
            <w:tcW w:w="8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4 519</w:t>
            </w:r>
          </w:p>
        </w:tc>
      </w:tr>
      <w:tr w:rsidR="00F23CAE" w:rsidRPr="008021C5" w:rsidTr="00761BEA">
        <w:trPr>
          <w:trHeight w:val="315"/>
        </w:trPr>
        <w:tc>
          <w:tcPr>
            <w:tcW w:w="222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2nd most disadvantaged</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1 453</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1 071</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966</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458</w:t>
            </w:r>
          </w:p>
        </w:tc>
        <w:tc>
          <w:tcPr>
            <w:tcW w:w="74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403</w:t>
            </w:r>
          </w:p>
        </w:tc>
        <w:tc>
          <w:tcPr>
            <w:tcW w:w="6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119</w:t>
            </w:r>
          </w:p>
        </w:tc>
        <w:tc>
          <w:tcPr>
            <w:tcW w:w="68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24</w:t>
            </w:r>
          </w:p>
        </w:tc>
        <w:tc>
          <w:tcPr>
            <w:tcW w:w="74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20</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4 513</w:t>
            </w:r>
          </w:p>
        </w:tc>
      </w:tr>
      <w:tr w:rsidR="00F23CAE" w:rsidRPr="008021C5" w:rsidTr="00761BEA">
        <w:trPr>
          <w:trHeight w:val="315"/>
        </w:trPr>
        <w:tc>
          <w:tcPr>
            <w:tcW w:w="222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Most disadvantaged</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1 705</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1 082</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826</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282</w:t>
            </w:r>
          </w:p>
        </w:tc>
        <w:tc>
          <w:tcPr>
            <w:tcW w:w="74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417</w:t>
            </w:r>
          </w:p>
        </w:tc>
        <w:tc>
          <w:tcPr>
            <w:tcW w:w="6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162</w:t>
            </w:r>
          </w:p>
        </w:tc>
        <w:tc>
          <w:tcPr>
            <w:tcW w:w="68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8</w:t>
            </w:r>
          </w:p>
        </w:tc>
        <w:tc>
          <w:tcPr>
            <w:tcW w:w="74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6</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4 488</w:t>
            </w:r>
          </w:p>
        </w:tc>
      </w:tr>
      <w:tr w:rsidR="00F23CAE" w:rsidRPr="008021C5" w:rsidTr="00761BEA">
        <w:trPr>
          <w:trHeight w:val="315"/>
        </w:trPr>
        <w:tc>
          <w:tcPr>
            <w:tcW w:w="222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Total</w:t>
            </w:r>
          </w:p>
        </w:tc>
        <w:tc>
          <w:tcPr>
            <w:tcW w:w="7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7 247</w:t>
            </w:r>
          </w:p>
        </w:tc>
        <w:tc>
          <w:tcPr>
            <w:tcW w:w="7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5 737</w:t>
            </w:r>
          </w:p>
        </w:tc>
        <w:tc>
          <w:tcPr>
            <w:tcW w:w="7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4 488</w:t>
            </w:r>
          </w:p>
        </w:tc>
        <w:tc>
          <w:tcPr>
            <w:tcW w:w="7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2 456</w:t>
            </w:r>
          </w:p>
        </w:tc>
        <w:tc>
          <w:tcPr>
            <w:tcW w:w="74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1 638</w:t>
            </w:r>
          </w:p>
        </w:tc>
        <w:tc>
          <w:tcPr>
            <w:tcW w:w="6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489</w:t>
            </w:r>
          </w:p>
        </w:tc>
        <w:tc>
          <w:tcPr>
            <w:tcW w:w="68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377</w:t>
            </w:r>
          </w:p>
        </w:tc>
        <w:tc>
          <w:tcPr>
            <w:tcW w:w="74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172</w:t>
            </w:r>
          </w:p>
        </w:tc>
        <w:tc>
          <w:tcPr>
            <w:tcW w:w="8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 xml:space="preserve"> 22 603</w:t>
            </w:r>
          </w:p>
        </w:tc>
      </w:tr>
      <w:tr w:rsidR="00F23CAE" w:rsidRPr="008021C5" w:rsidTr="00761BEA">
        <w:trPr>
          <w:trHeight w:val="259"/>
        </w:trPr>
        <w:tc>
          <w:tcPr>
            <w:tcW w:w="222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74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6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68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74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w:t>
            </w:r>
          </w:p>
        </w:tc>
      </w:tr>
      <w:tr w:rsidR="00F23CAE" w:rsidRPr="008021C5" w:rsidTr="00761BEA">
        <w:trPr>
          <w:trHeight w:val="315"/>
        </w:trPr>
        <w:tc>
          <w:tcPr>
            <w:tcW w:w="222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Least disadvantaged</w:t>
            </w:r>
          </w:p>
        </w:tc>
        <w:tc>
          <w:tcPr>
            <w:tcW w:w="7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34.5</w:t>
            </w:r>
          </w:p>
        </w:tc>
        <w:tc>
          <w:tcPr>
            <w:tcW w:w="7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24.7</w:t>
            </w:r>
          </w:p>
        </w:tc>
        <w:tc>
          <w:tcPr>
            <w:tcW w:w="7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16.9</w:t>
            </w:r>
          </w:p>
        </w:tc>
        <w:tc>
          <w:tcPr>
            <w:tcW w:w="7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13.4</w:t>
            </w:r>
          </w:p>
        </w:tc>
        <w:tc>
          <w:tcPr>
            <w:tcW w:w="74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4.4</w:t>
            </w:r>
          </w:p>
        </w:tc>
        <w:tc>
          <w:tcPr>
            <w:tcW w:w="6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0.8</w:t>
            </w:r>
          </w:p>
        </w:tc>
        <w:tc>
          <w:tcPr>
            <w:tcW w:w="68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4.4</w:t>
            </w:r>
          </w:p>
        </w:tc>
        <w:tc>
          <w:tcPr>
            <w:tcW w:w="74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w:t>
            </w:r>
          </w:p>
        </w:tc>
        <w:tc>
          <w:tcPr>
            <w:tcW w:w="8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100.0</w:t>
            </w:r>
          </w:p>
        </w:tc>
      </w:tr>
      <w:tr w:rsidR="00F23CAE" w:rsidRPr="008021C5" w:rsidTr="00761BEA">
        <w:trPr>
          <w:trHeight w:val="315"/>
        </w:trPr>
        <w:tc>
          <w:tcPr>
            <w:tcW w:w="222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2nd least disadvantaged</w:t>
            </w:r>
          </w:p>
        </w:tc>
        <w:tc>
          <w:tcPr>
            <w:tcW w:w="7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27.4</w:t>
            </w:r>
          </w:p>
        </w:tc>
        <w:tc>
          <w:tcPr>
            <w:tcW w:w="7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27.5</w:t>
            </w:r>
          </w:p>
        </w:tc>
        <w:tc>
          <w:tcPr>
            <w:tcW w:w="7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20.4</w:t>
            </w:r>
          </w:p>
        </w:tc>
        <w:tc>
          <w:tcPr>
            <w:tcW w:w="7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13.1</w:t>
            </w:r>
          </w:p>
        </w:tc>
        <w:tc>
          <w:tcPr>
            <w:tcW w:w="74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6.6</w:t>
            </w:r>
          </w:p>
        </w:tc>
        <w:tc>
          <w:tcPr>
            <w:tcW w:w="6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1.4</w:t>
            </w:r>
          </w:p>
        </w:tc>
        <w:tc>
          <w:tcPr>
            <w:tcW w:w="68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2.3</w:t>
            </w:r>
          </w:p>
        </w:tc>
        <w:tc>
          <w:tcPr>
            <w:tcW w:w="74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1.3</w:t>
            </w:r>
          </w:p>
        </w:tc>
        <w:tc>
          <w:tcPr>
            <w:tcW w:w="8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100.0</w:t>
            </w:r>
          </w:p>
        </w:tc>
      </w:tr>
      <w:tr w:rsidR="00F23CAE" w:rsidRPr="008021C5" w:rsidTr="00761BEA">
        <w:trPr>
          <w:trHeight w:val="315"/>
        </w:trPr>
        <w:tc>
          <w:tcPr>
            <w:tcW w:w="222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Middle quintile</w:t>
            </w:r>
          </w:p>
        </w:tc>
        <w:tc>
          <w:tcPr>
            <w:tcW w:w="7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28.2</w:t>
            </w:r>
          </w:p>
        </w:tc>
        <w:tc>
          <w:tcPr>
            <w:tcW w:w="7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26.9</w:t>
            </w:r>
          </w:p>
        </w:tc>
        <w:tc>
          <w:tcPr>
            <w:tcW w:w="7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22.2</w:t>
            </w:r>
          </w:p>
        </w:tc>
        <w:tc>
          <w:tcPr>
            <w:tcW w:w="7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11.3</w:t>
            </w:r>
          </w:p>
        </w:tc>
        <w:tc>
          <w:tcPr>
            <w:tcW w:w="74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7.1</w:t>
            </w:r>
          </w:p>
        </w:tc>
        <w:tc>
          <w:tcPr>
            <w:tcW w:w="6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2.4</w:t>
            </w:r>
          </w:p>
        </w:tc>
        <w:tc>
          <w:tcPr>
            <w:tcW w:w="68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w:t>
            </w:r>
          </w:p>
        </w:tc>
        <w:tc>
          <w:tcPr>
            <w:tcW w:w="74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0.9</w:t>
            </w:r>
          </w:p>
        </w:tc>
        <w:tc>
          <w:tcPr>
            <w:tcW w:w="860" w:type="dxa"/>
            <w:tcBorders>
              <w:top w:val="nil"/>
              <w:left w:val="nil"/>
              <w:bottom w:val="nil"/>
              <w:right w:val="nil"/>
            </w:tcBorders>
            <w:shd w:val="clear" w:color="auto" w:fill="auto"/>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100.0</w:t>
            </w:r>
          </w:p>
        </w:tc>
      </w:tr>
      <w:tr w:rsidR="00F23CAE" w:rsidRPr="008021C5" w:rsidTr="00761BEA">
        <w:trPr>
          <w:trHeight w:val="315"/>
        </w:trPr>
        <w:tc>
          <w:tcPr>
            <w:tcW w:w="222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2nd most disadvantaged</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32.2</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23.7</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21.4</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10.1</w:t>
            </w:r>
          </w:p>
        </w:tc>
        <w:tc>
          <w:tcPr>
            <w:tcW w:w="74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8.9</w:t>
            </w:r>
          </w:p>
        </w:tc>
        <w:tc>
          <w:tcPr>
            <w:tcW w:w="6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2.6</w:t>
            </w:r>
          </w:p>
        </w:tc>
        <w:tc>
          <w:tcPr>
            <w:tcW w:w="68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0.5</w:t>
            </w:r>
          </w:p>
        </w:tc>
        <w:tc>
          <w:tcPr>
            <w:tcW w:w="74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0.4</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100.0</w:t>
            </w:r>
          </w:p>
        </w:tc>
      </w:tr>
      <w:tr w:rsidR="00F23CAE" w:rsidRPr="008021C5" w:rsidTr="00761BEA">
        <w:trPr>
          <w:trHeight w:val="315"/>
        </w:trPr>
        <w:tc>
          <w:tcPr>
            <w:tcW w:w="222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Most disadvantaged</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38.0</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24.1</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18.4</w:t>
            </w:r>
          </w:p>
        </w:tc>
        <w:tc>
          <w:tcPr>
            <w:tcW w:w="7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6.3</w:t>
            </w:r>
          </w:p>
        </w:tc>
        <w:tc>
          <w:tcPr>
            <w:tcW w:w="74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9.3</w:t>
            </w:r>
          </w:p>
        </w:tc>
        <w:tc>
          <w:tcPr>
            <w:tcW w:w="6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3.6</w:t>
            </w:r>
          </w:p>
        </w:tc>
        <w:tc>
          <w:tcPr>
            <w:tcW w:w="68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0.2</w:t>
            </w:r>
          </w:p>
        </w:tc>
        <w:tc>
          <w:tcPr>
            <w:tcW w:w="74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0.1</w:t>
            </w:r>
          </w:p>
        </w:tc>
        <w:tc>
          <w:tcPr>
            <w:tcW w:w="860" w:type="dxa"/>
            <w:tcBorders>
              <w:top w:val="nil"/>
              <w:left w:val="nil"/>
              <w:bottom w:val="nil"/>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100.0</w:t>
            </w:r>
          </w:p>
        </w:tc>
      </w:tr>
      <w:tr w:rsidR="00F23CAE" w:rsidRPr="008021C5" w:rsidTr="00761BEA">
        <w:trPr>
          <w:trHeight w:val="315"/>
        </w:trPr>
        <w:tc>
          <w:tcPr>
            <w:tcW w:w="2220" w:type="dxa"/>
            <w:tcBorders>
              <w:top w:val="nil"/>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Total</w:t>
            </w:r>
          </w:p>
        </w:tc>
        <w:tc>
          <w:tcPr>
            <w:tcW w:w="7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32.1</w:t>
            </w:r>
          </w:p>
        </w:tc>
        <w:tc>
          <w:tcPr>
            <w:tcW w:w="7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25.4</w:t>
            </w:r>
          </w:p>
        </w:tc>
        <w:tc>
          <w:tcPr>
            <w:tcW w:w="7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19.9</w:t>
            </w:r>
          </w:p>
        </w:tc>
        <w:tc>
          <w:tcPr>
            <w:tcW w:w="7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10.9</w:t>
            </w:r>
          </w:p>
        </w:tc>
        <w:tc>
          <w:tcPr>
            <w:tcW w:w="74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7.2</w:t>
            </w:r>
          </w:p>
        </w:tc>
        <w:tc>
          <w:tcPr>
            <w:tcW w:w="6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2.2</w:t>
            </w:r>
          </w:p>
        </w:tc>
        <w:tc>
          <w:tcPr>
            <w:tcW w:w="68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1.7</w:t>
            </w:r>
          </w:p>
        </w:tc>
        <w:tc>
          <w:tcPr>
            <w:tcW w:w="74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0.8</w:t>
            </w:r>
          </w:p>
        </w:tc>
        <w:tc>
          <w:tcPr>
            <w:tcW w:w="860" w:type="dxa"/>
            <w:tcBorders>
              <w:top w:val="single" w:sz="4" w:space="0" w:color="auto"/>
              <w:left w:val="nil"/>
              <w:bottom w:val="single" w:sz="4" w:space="0" w:color="auto"/>
              <w:right w:val="nil"/>
            </w:tcBorders>
            <w:shd w:val="clear" w:color="auto" w:fill="auto"/>
            <w:noWrap/>
            <w:vAlign w:val="bottom"/>
            <w:hideMark/>
          </w:tcPr>
          <w:p w:rsidR="00F23CAE" w:rsidRPr="008021C5" w:rsidRDefault="00F23CAE" w:rsidP="00761BEA">
            <w:pPr>
              <w:tabs>
                <w:tab w:val="clear" w:pos="567"/>
              </w:tabs>
              <w:spacing w:after="0" w:line="240" w:lineRule="auto"/>
              <w:jc w:val="right"/>
              <w:rPr>
                <w:rFonts w:ascii="Calibri" w:eastAsia="Times New Roman" w:hAnsi="Calibri" w:cs="Times New Roman"/>
                <w:sz w:val="20"/>
                <w:szCs w:val="20"/>
                <w:lang w:eastAsia="en-AU"/>
              </w:rPr>
            </w:pPr>
            <w:r w:rsidRPr="008021C5">
              <w:rPr>
                <w:rFonts w:ascii="Calibri" w:eastAsia="Times New Roman" w:hAnsi="Calibri" w:cs="Times New Roman"/>
                <w:sz w:val="20"/>
                <w:szCs w:val="20"/>
                <w:lang w:eastAsia="en-AU"/>
              </w:rPr>
              <w:t>100.0</w:t>
            </w:r>
          </w:p>
        </w:tc>
      </w:tr>
    </w:tbl>
    <w:p w:rsidR="00F23CAE" w:rsidRDefault="00F23CAE" w:rsidP="00F23CAE">
      <w:pPr>
        <w:pStyle w:val="CGCDataCaption"/>
      </w:pPr>
      <w:r>
        <w:t>Source:</w:t>
      </w:r>
      <w:r>
        <w:tab/>
        <w:t>Commission calculation using ABS data request and NISEIFA index.</w:t>
      </w:r>
    </w:p>
    <w:p w:rsidR="00F23CAE" w:rsidRDefault="00F23CAE" w:rsidP="00F23CAE">
      <w:pPr>
        <w:pStyle w:val="Heading4"/>
      </w:pPr>
      <w:r>
        <w:lastRenderedPageBreak/>
        <w:t>Urban centres/localities (UCLs)</w:t>
      </w:r>
    </w:p>
    <w:p w:rsidR="00F23CAE" w:rsidRDefault="00F23CAE" w:rsidP="00F23CAE">
      <w:pPr>
        <w:pStyle w:val="CGCNumberedPara"/>
      </w:pPr>
      <w:r>
        <w:t xml:space="preserve">In this review, UCLs </w:t>
      </w:r>
      <w:r w:rsidR="0070160E">
        <w:t xml:space="preserve">have been </w:t>
      </w:r>
      <w:r>
        <w:t>used as the primary geography measure in assessments that relate to urban form. However, in certain instances we need to make adjustments to better reflect what States do.</w:t>
      </w:r>
    </w:p>
    <w:p w:rsidR="00F23CAE" w:rsidRDefault="00F23CAE" w:rsidP="00F23CAE">
      <w:pPr>
        <w:pStyle w:val="CGCBulletlist"/>
        <w:numPr>
          <w:ilvl w:val="0"/>
          <w:numId w:val="11"/>
        </w:numPr>
        <w:tabs>
          <w:tab w:val="clear" w:pos="927"/>
          <w:tab w:val="left" w:pos="1134"/>
        </w:tabs>
        <w:ind w:left="1134" w:hanging="567"/>
      </w:pPr>
      <w:r>
        <w:t>Urban transport is often provided as an integrated network across closely neighbouring UCLs. Therefore, in the Transport category</w:t>
      </w:r>
      <w:r w:rsidR="00EF0636">
        <w:t>,</w:t>
      </w:r>
      <w:r>
        <w:t xml:space="preserve"> all UCLs within a Significant Urban Area (SUA) are aggregated and treated as a single UCL. We consider that this generally better reflects how States deliver this service. </w:t>
      </w:r>
    </w:p>
    <w:p w:rsidR="00F23CAE" w:rsidRDefault="00F23CAE" w:rsidP="00F23CAE">
      <w:pPr>
        <w:pStyle w:val="CGCBulletlist"/>
        <w:numPr>
          <w:ilvl w:val="0"/>
          <w:numId w:val="11"/>
        </w:numPr>
        <w:tabs>
          <w:tab w:val="clear" w:pos="927"/>
          <w:tab w:val="left" w:pos="1134"/>
        </w:tabs>
        <w:ind w:left="1134" w:hanging="567"/>
      </w:pPr>
      <w:r>
        <w:t xml:space="preserve">In the Services to </w:t>
      </w:r>
      <w:proofErr w:type="gramStart"/>
      <w:r>
        <w:t>communities</w:t>
      </w:r>
      <w:proofErr w:type="gramEnd"/>
      <w:r>
        <w:t xml:space="preserve"> category, we consider that subsidies for electricity and water are provided in remote and very remote towns of 50 to 1</w:t>
      </w:r>
      <w:r w:rsidR="0070160E">
        <w:t> </w:t>
      </w:r>
      <w:r>
        <w:t xml:space="preserve">000 people. Because UCLs are not defined for towns of below 200, we have defined these using aggregations of mesh blocks using criteria </w:t>
      </w:r>
      <w:r w:rsidR="0070160E">
        <w:t xml:space="preserve">similar </w:t>
      </w:r>
      <w:r>
        <w:t xml:space="preserve">to </w:t>
      </w:r>
      <w:r w:rsidR="0070160E">
        <w:t>that used by the ABS to</w:t>
      </w:r>
      <w:r>
        <w:t xml:space="preserve"> defin</w:t>
      </w:r>
      <w:r w:rsidR="0070160E">
        <w:t>e</w:t>
      </w:r>
      <w:r>
        <w:t xml:space="preserve"> urban</w:t>
      </w:r>
      <w:r w:rsidR="0070160E">
        <w:t xml:space="preserve"> areas</w:t>
      </w:r>
      <w:r>
        <w:t>.</w:t>
      </w:r>
    </w:p>
    <w:p w:rsidR="00F23CAE" w:rsidRDefault="00F23CAE" w:rsidP="00F23CAE">
      <w:pPr>
        <w:pStyle w:val="CGCNumberedPara"/>
      </w:pPr>
      <w:r>
        <w:t xml:space="preserve">These adjustments and the other category specific criteria </w:t>
      </w:r>
      <w:r w:rsidR="00EF0636">
        <w:t xml:space="preserve">relating </w:t>
      </w:r>
      <w:r>
        <w:t>to how UCLs are used in each category are discussed in the relevant chapters:</w:t>
      </w:r>
    </w:p>
    <w:p w:rsidR="00F23CAE" w:rsidRDefault="00F23CAE" w:rsidP="00F23CAE">
      <w:pPr>
        <w:pStyle w:val="CGCBulletlist"/>
        <w:numPr>
          <w:ilvl w:val="0"/>
          <w:numId w:val="11"/>
        </w:numPr>
        <w:tabs>
          <w:tab w:val="clear" w:pos="927"/>
          <w:tab w:val="left" w:pos="1134"/>
        </w:tabs>
        <w:ind w:left="1134" w:hanging="567"/>
      </w:pPr>
      <w:r>
        <w:t>Roads</w:t>
      </w:r>
      <w:r w:rsidR="00CE038D">
        <w:t xml:space="preserve"> — Volume 2 and Chapter 17</w:t>
      </w:r>
    </w:p>
    <w:p w:rsidR="00F23CAE" w:rsidRDefault="00F23CAE" w:rsidP="00F23CAE">
      <w:pPr>
        <w:pStyle w:val="CGCBulletlist"/>
        <w:numPr>
          <w:ilvl w:val="0"/>
          <w:numId w:val="11"/>
        </w:numPr>
        <w:tabs>
          <w:tab w:val="clear" w:pos="927"/>
          <w:tab w:val="left" w:pos="1134"/>
        </w:tabs>
        <w:ind w:left="1134" w:hanging="567"/>
      </w:pPr>
      <w:r>
        <w:t>Transport</w:t>
      </w:r>
      <w:r w:rsidR="00EF0636">
        <w:t xml:space="preserve"> — Volume 2 and C</w:t>
      </w:r>
      <w:r w:rsidR="00CE038D">
        <w:t>hapter 18</w:t>
      </w:r>
    </w:p>
    <w:p w:rsidR="00F23CAE" w:rsidRDefault="00F23CAE" w:rsidP="00F23CAE">
      <w:pPr>
        <w:pStyle w:val="CGCBulletlist"/>
        <w:numPr>
          <w:ilvl w:val="0"/>
          <w:numId w:val="11"/>
        </w:numPr>
        <w:tabs>
          <w:tab w:val="clear" w:pos="927"/>
          <w:tab w:val="left" w:pos="1134"/>
        </w:tabs>
        <w:ind w:left="1134" w:hanging="567"/>
      </w:pPr>
      <w:r>
        <w:t>Services to communities</w:t>
      </w:r>
      <w:r w:rsidR="00CE038D">
        <w:t xml:space="preserve"> — Volume 2 and Chapter 15</w:t>
      </w:r>
      <w:r>
        <w:t>.</w:t>
      </w:r>
    </w:p>
    <w:p w:rsidR="00F23CAE" w:rsidRDefault="00F23CAE" w:rsidP="00F23CAE">
      <w:pPr>
        <w:pStyle w:val="CGCNumberedPara"/>
      </w:pPr>
      <w:r>
        <w:t>We no longer:</w:t>
      </w:r>
    </w:p>
    <w:p w:rsidR="00F23CAE" w:rsidRDefault="000918D0" w:rsidP="00F23CAE">
      <w:pPr>
        <w:pStyle w:val="CGCBulletlist"/>
        <w:numPr>
          <w:ilvl w:val="0"/>
          <w:numId w:val="11"/>
        </w:numPr>
        <w:tabs>
          <w:tab w:val="clear" w:pos="927"/>
          <w:tab w:val="left" w:pos="1134"/>
        </w:tabs>
        <w:ind w:left="1134" w:hanging="567"/>
      </w:pPr>
      <w:r>
        <w:t>m</w:t>
      </w:r>
      <w:r w:rsidR="0070160E">
        <w:t>ake adjustments to</w:t>
      </w:r>
      <w:r w:rsidR="00F23CAE">
        <w:t xml:space="preserve"> UCLs in</w:t>
      </w:r>
      <w:r>
        <w:t>cluded in Hobart and Darwin for</w:t>
      </w:r>
      <w:r w:rsidR="00F23CAE">
        <w:t xml:space="preserve"> the Transport assessment</w:t>
      </w:r>
    </w:p>
    <w:p w:rsidR="00F23CAE" w:rsidRDefault="00F23CAE" w:rsidP="00F23CAE">
      <w:pPr>
        <w:pStyle w:val="CGCBulletlist"/>
        <w:numPr>
          <w:ilvl w:val="0"/>
          <w:numId w:val="11"/>
        </w:numPr>
        <w:tabs>
          <w:tab w:val="clear" w:pos="927"/>
          <w:tab w:val="left" w:pos="1134"/>
        </w:tabs>
        <w:ind w:left="1134" w:hanging="567"/>
      </w:pPr>
      <w:proofErr w:type="gramStart"/>
      <w:r>
        <w:t>use</w:t>
      </w:r>
      <w:proofErr w:type="gramEnd"/>
      <w:r>
        <w:t xml:space="preserve"> different definitions of urban areas for different aspects of the Roads assessment.</w:t>
      </w:r>
    </w:p>
    <w:p w:rsidR="00F23CAE" w:rsidRDefault="00F23CAE" w:rsidP="00F23CAE">
      <w:pPr>
        <w:pStyle w:val="CGCNumberedPara"/>
      </w:pPr>
      <w:r>
        <w:fldChar w:fldCharType="begin"/>
      </w:r>
      <w:r>
        <w:instrText xml:space="preserve"> REF _Ref403997009 \h </w:instrText>
      </w:r>
      <w:r>
        <w:fldChar w:fldCharType="separate"/>
      </w:r>
      <w:r w:rsidR="007B6A4C">
        <w:t>Table </w:t>
      </w:r>
      <w:r w:rsidR="007B6A4C">
        <w:rPr>
          <w:noProof/>
        </w:rPr>
        <w:t>7</w:t>
      </w:r>
      <w:r>
        <w:fldChar w:fldCharType="end"/>
      </w:r>
      <w:r>
        <w:t xml:space="preserve"> shows the differences between States in where their populations are located in terms of various UCL size cut-offs applied in different categories.</w:t>
      </w:r>
    </w:p>
    <w:p w:rsidR="00F23CAE" w:rsidRDefault="00F23CAE" w:rsidP="00F23CAE">
      <w:pPr>
        <w:pStyle w:val="Caption"/>
      </w:pPr>
      <w:bookmarkStart w:id="13" w:name="_Ref403997009"/>
      <w:r>
        <w:lastRenderedPageBreak/>
        <w:t>Table </w:t>
      </w:r>
      <w:fldSimple w:instr=" SEQ Table \* ARABIC ">
        <w:r w:rsidR="007B6A4C">
          <w:rPr>
            <w:noProof/>
          </w:rPr>
          <w:t>7</w:t>
        </w:r>
      </w:fldSimple>
      <w:bookmarkEnd w:id="13"/>
      <w:r>
        <w:tab/>
        <w:t>Estimated resident population by urban centre/locality and State, December 2011</w:t>
      </w:r>
    </w:p>
    <w:tbl>
      <w:tblPr>
        <w:tblW w:w="8980" w:type="dxa"/>
        <w:tblLayout w:type="fixed"/>
        <w:tblCellMar>
          <w:left w:w="0" w:type="dxa"/>
          <w:right w:w="0" w:type="dxa"/>
        </w:tblCellMar>
        <w:tblLook w:val="04A0" w:firstRow="1" w:lastRow="0" w:firstColumn="1" w:lastColumn="0" w:noHBand="0" w:noVBand="1"/>
      </w:tblPr>
      <w:tblGrid>
        <w:gridCol w:w="2460"/>
        <w:gridCol w:w="720"/>
        <w:gridCol w:w="720"/>
        <w:gridCol w:w="720"/>
        <w:gridCol w:w="720"/>
        <w:gridCol w:w="720"/>
        <w:gridCol w:w="700"/>
        <w:gridCol w:w="700"/>
        <w:gridCol w:w="700"/>
        <w:gridCol w:w="820"/>
      </w:tblGrid>
      <w:tr w:rsidR="00F23CAE" w:rsidRPr="00B32137" w:rsidTr="00761BEA">
        <w:trPr>
          <w:trHeight w:val="379"/>
        </w:trPr>
        <w:tc>
          <w:tcPr>
            <w:tcW w:w="2460" w:type="dxa"/>
            <w:tcBorders>
              <w:top w:val="single" w:sz="4" w:space="0" w:color="auto"/>
              <w:left w:val="nil"/>
              <w:bottom w:val="single" w:sz="4" w:space="0" w:color="auto"/>
              <w:right w:val="nil"/>
            </w:tcBorders>
            <w:shd w:val="clear" w:color="auto" w:fill="auto"/>
            <w:noWrap/>
            <w:vAlign w:val="center"/>
            <w:hideMark/>
          </w:tcPr>
          <w:p w:rsidR="00F23CAE" w:rsidRPr="00B32137" w:rsidRDefault="00F23CAE" w:rsidP="00761BEA">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bookmarkStart w:id="14" w:name="RANGE!A4:J12"/>
            <w:r w:rsidRPr="00B32137">
              <w:rPr>
                <w:rFonts w:ascii="Calibri" w:eastAsia="Times New Roman" w:hAnsi="Calibri" w:cs="Times New Roman"/>
                <w:color w:val="000000"/>
                <w:sz w:val="20"/>
                <w:szCs w:val="20"/>
                <w:lang w:eastAsia="en-AU"/>
              </w:rPr>
              <w:t> </w:t>
            </w:r>
            <w:bookmarkEnd w:id="14"/>
          </w:p>
        </w:tc>
        <w:tc>
          <w:tcPr>
            <w:tcW w:w="720" w:type="dxa"/>
            <w:tcBorders>
              <w:top w:val="single" w:sz="4" w:space="0" w:color="auto"/>
              <w:left w:val="nil"/>
              <w:bottom w:val="single" w:sz="4" w:space="0" w:color="auto"/>
              <w:right w:val="nil"/>
            </w:tcBorders>
            <w:shd w:val="clear" w:color="auto" w:fill="auto"/>
            <w:noWrap/>
            <w:vAlign w:val="center"/>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NSW</w:t>
            </w:r>
          </w:p>
        </w:tc>
        <w:tc>
          <w:tcPr>
            <w:tcW w:w="720" w:type="dxa"/>
            <w:tcBorders>
              <w:top w:val="single" w:sz="4" w:space="0" w:color="auto"/>
              <w:left w:val="nil"/>
              <w:bottom w:val="single" w:sz="4" w:space="0" w:color="auto"/>
              <w:right w:val="nil"/>
            </w:tcBorders>
            <w:shd w:val="clear" w:color="auto" w:fill="auto"/>
            <w:noWrap/>
            <w:vAlign w:val="center"/>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Vic</w:t>
            </w:r>
          </w:p>
        </w:tc>
        <w:tc>
          <w:tcPr>
            <w:tcW w:w="720" w:type="dxa"/>
            <w:tcBorders>
              <w:top w:val="single" w:sz="4" w:space="0" w:color="auto"/>
              <w:left w:val="nil"/>
              <w:bottom w:val="single" w:sz="4" w:space="0" w:color="auto"/>
              <w:right w:val="nil"/>
            </w:tcBorders>
            <w:shd w:val="clear" w:color="auto" w:fill="auto"/>
            <w:noWrap/>
            <w:vAlign w:val="center"/>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Qld</w:t>
            </w:r>
          </w:p>
        </w:tc>
        <w:tc>
          <w:tcPr>
            <w:tcW w:w="720" w:type="dxa"/>
            <w:tcBorders>
              <w:top w:val="single" w:sz="4" w:space="0" w:color="auto"/>
              <w:left w:val="nil"/>
              <w:bottom w:val="single" w:sz="4" w:space="0" w:color="auto"/>
              <w:right w:val="nil"/>
            </w:tcBorders>
            <w:shd w:val="clear" w:color="auto" w:fill="auto"/>
            <w:noWrap/>
            <w:vAlign w:val="center"/>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WA</w:t>
            </w:r>
          </w:p>
        </w:tc>
        <w:tc>
          <w:tcPr>
            <w:tcW w:w="720" w:type="dxa"/>
            <w:tcBorders>
              <w:top w:val="single" w:sz="4" w:space="0" w:color="auto"/>
              <w:left w:val="nil"/>
              <w:bottom w:val="single" w:sz="4" w:space="0" w:color="auto"/>
              <w:right w:val="nil"/>
            </w:tcBorders>
            <w:shd w:val="clear" w:color="auto" w:fill="auto"/>
            <w:noWrap/>
            <w:vAlign w:val="center"/>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SA</w:t>
            </w:r>
          </w:p>
        </w:tc>
        <w:tc>
          <w:tcPr>
            <w:tcW w:w="700" w:type="dxa"/>
            <w:tcBorders>
              <w:top w:val="single" w:sz="4" w:space="0" w:color="auto"/>
              <w:left w:val="nil"/>
              <w:bottom w:val="single" w:sz="4" w:space="0" w:color="auto"/>
              <w:right w:val="nil"/>
            </w:tcBorders>
            <w:shd w:val="clear" w:color="auto" w:fill="auto"/>
            <w:noWrap/>
            <w:vAlign w:val="center"/>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proofErr w:type="spellStart"/>
            <w:r w:rsidRPr="00B32137">
              <w:rPr>
                <w:rFonts w:ascii="Calibri" w:eastAsia="Times New Roman" w:hAnsi="Calibri" w:cs="Times New Roman"/>
                <w:color w:val="000000"/>
                <w:sz w:val="20"/>
                <w:szCs w:val="20"/>
                <w:lang w:eastAsia="en-AU"/>
              </w:rPr>
              <w:t>Tas</w:t>
            </w:r>
            <w:proofErr w:type="spellEnd"/>
          </w:p>
        </w:tc>
        <w:tc>
          <w:tcPr>
            <w:tcW w:w="700" w:type="dxa"/>
            <w:tcBorders>
              <w:top w:val="single" w:sz="4" w:space="0" w:color="auto"/>
              <w:left w:val="nil"/>
              <w:bottom w:val="single" w:sz="4" w:space="0" w:color="auto"/>
              <w:right w:val="nil"/>
            </w:tcBorders>
            <w:shd w:val="clear" w:color="auto" w:fill="auto"/>
            <w:noWrap/>
            <w:vAlign w:val="center"/>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ACT</w:t>
            </w:r>
          </w:p>
        </w:tc>
        <w:tc>
          <w:tcPr>
            <w:tcW w:w="700" w:type="dxa"/>
            <w:tcBorders>
              <w:top w:val="single" w:sz="4" w:space="0" w:color="auto"/>
              <w:left w:val="nil"/>
              <w:bottom w:val="single" w:sz="4" w:space="0" w:color="auto"/>
              <w:right w:val="nil"/>
            </w:tcBorders>
            <w:shd w:val="clear" w:color="auto" w:fill="auto"/>
            <w:noWrap/>
            <w:vAlign w:val="center"/>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NT</w:t>
            </w:r>
          </w:p>
        </w:tc>
        <w:tc>
          <w:tcPr>
            <w:tcW w:w="820" w:type="dxa"/>
            <w:tcBorders>
              <w:top w:val="single" w:sz="4" w:space="0" w:color="auto"/>
              <w:left w:val="nil"/>
              <w:bottom w:val="single" w:sz="4" w:space="0" w:color="auto"/>
              <w:right w:val="nil"/>
            </w:tcBorders>
            <w:shd w:val="clear" w:color="auto" w:fill="auto"/>
            <w:noWrap/>
            <w:vAlign w:val="center"/>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Total</w:t>
            </w:r>
          </w:p>
        </w:tc>
      </w:tr>
      <w:tr w:rsidR="00F23CAE" w:rsidRPr="00B32137" w:rsidTr="00761BEA">
        <w:trPr>
          <w:trHeight w:val="379"/>
        </w:trPr>
        <w:tc>
          <w:tcPr>
            <w:tcW w:w="2460" w:type="dxa"/>
            <w:tcBorders>
              <w:top w:val="nil"/>
              <w:left w:val="nil"/>
              <w:bottom w:val="nil"/>
              <w:right w:val="nil"/>
            </w:tcBorders>
            <w:shd w:val="clear" w:color="auto" w:fill="auto"/>
            <w:noWrap/>
            <w:vAlign w:val="bottom"/>
            <w:hideMark/>
          </w:tcPr>
          <w:p w:rsidR="00F23CAE" w:rsidRPr="00B32137" w:rsidRDefault="00F23CAE" w:rsidP="00761BEA">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720" w:type="dxa"/>
            <w:tcBorders>
              <w:top w:val="nil"/>
              <w:left w:val="nil"/>
              <w:bottom w:val="nil"/>
              <w:right w:val="nil"/>
            </w:tcBorders>
            <w:shd w:val="clear" w:color="auto" w:fill="auto"/>
            <w:noWrap/>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'000</w:t>
            </w:r>
          </w:p>
        </w:tc>
        <w:tc>
          <w:tcPr>
            <w:tcW w:w="720" w:type="dxa"/>
            <w:tcBorders>
              <w:top w:val="nil"/>
              <w:left w:val="nil"/>
              <w:bottom w:val="nil"/>
              <w:right w:val="nil"/>
            </w:tcBorders>
            <w:shd w:val="clear" w:color="auto" w:fill="auto"/>
            <w:noWrap/>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'000</w:t>
            </w:r>
          </w:p>
        </w:tc>
        <w:tc>
          <w:tcPr>
            <w:tcW w:w="720" w:type="dxa"/>
            <w:tcBorders>
              <w:top w:val="nil"/>
              <w:left w:val="nil"/>
              <w:bottom w:val="nil"/>
              <w:right w:val="nil"/>
            </w:tcBorders>
            <w:shd w:val="clear" w:color="auto" w:fill="auto"/>
            <w:noWrap/>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'000</w:t>
            </w:r>
          </w:p>
        </w:tc>
        <w:tc>
          <w:tcPr>
            <w:tcW w:w="720" w:type="dxa"/>
            <w:tcBorders>
              <w:top w:val="nil"/>
              <w:left w:val="nil"/>
              <w:bottom w:val="nil"/>
              <w:right w:val="nil"/>
            </w:tcBorders>
            <w:shd w:val="clear" w:color="auto" w:fill="auto"/>
            <w:noWrap/>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'000</w:t>
            </w:r>
          </w:p>
        </w:tc>
        <w:tc>
          <w:tcPr>
            <w:tcW w:w="720" w:type="dxa"/>
            <w:tcBorders>
              <w:top w:val="nil"/>
              <w:left w:val="nil"/>
              <w:bottom w:val="nil"/>
              <w:right w:val="nil"/>
            </w:tcBorders>
            <w:shd w:val="clear" w:color="auto" w:fill="auto"/>
            <w:noWrap/>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'000</w:t>
            </w:r>
          </w:p>
        </w:tc>
        <w:tc>
          <w:tcPr>
            <w:tcW w:w="700" w:type="dxa"/>
            <w:tcBorders>
              <w:top w:val="nil"/>
              <w:left w:val="nil"/>
              <w:bottom w:val="nil"/>
              <w:right w:val="nil"/>
            </w:tcBorders>
            <w:shd w:val="clear" w:color="auto" w:fill="auto"/>
            <w:noWrap/>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'000</w:t>
            </w:r>
          </w:p>
        </w:tc>
        <w:tc>
          <w:tcPr>
            <w:tcW w:w="700" w:type="dxa"/>
            <w:tcBorders>
              <w:top w:val="nil"/>
              <w:left w:val="nil"/>
              <w:bottom w:val="nil"/>
              <w:right w:val="nil"/>
            </w:tcBorders>
            <w:shd w:val="clear" w:color="auto" w:fill="auto"/>
            <w:noWrap/>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'000</w:t>
            </w:r>
          </w:p>
        </w:tc>
        <w:tc>
          <w:tcPr>
            <w:tcW w:w="700" w:type="dxa"/>
            <w:tcBorders>
              <w:top w:val="nil"/>
              <w:left w:val="nil"/>
              <w:bottom w:val="nil"/>
              <w:right w:val="nil"/>
            </w:tcBorders>
            <w:shd w:val="clear" w:color="auto" w:fill="auto"/>
            <w:noWrap/>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'000</w:t>
            </w:r>
          </w:p>
        </w:tc>
        <w:tc>
          <w:tcPr>
            <w:tcW w:w="820" w:type="dxa"/>
            <w:tcBorders>
              <w:top w:val="nil"/>
              <w:left w:val="nil"/>
              <w:bottom w:val="nil"/>
              <w:right w:val="nil"/>
            </w:tcBorders>
            <w:shd w:val="clear" w:color="auto" w:fill="auto"/>
            <w:noWrap/>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'000</w:t>
            </w:r>
          </w:p>
        </w:tc>
      </w:tr>
      <w:tr w:rsidR="00F23CAE" w:rsidRPr="00B32137" w:rsidTr="00761BEA">
        <w:trPr>
          <w:trHeight w:val="555"/>
        </w:trPr>
        <w:tc>
          <w:tcPr>
            <w:tcW w:w="246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Remote and very remote communities of 50 - 1 000</w:t>
            </w:r>
          </w:p>
        </w:tc>
        <w:tc>
          <w:tcPr>
            <w:tcW w:w="72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6</w:t>
            </w:r>
          </w:p>
        </w:tc>
        <w:tc>
          <w:tcPr>
            <w:tcW w:w="72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2</w:t>
            </w:r>
          </w:p>
        </w:tc>
        <w:tc>
          <w:tcPr>
            <w:tcW w:w="72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30</w:t>
            </w:r>
          </w:p>
        </w:tc>
        <w:tc>
          <w:tcPr>
            <w:tcW w:w="72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28</w:t>
            </w:r>
          </w:p>
        </w:tc>
        <w:tc>
          <w:tcPr>
            <w:tcW w:w="72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14</w:t>
            </w:r>
          </w:p>
        </w:tc>
        <w:tc>
          <w:tcPr>
            <w:tcW w:w="70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5</w:t>
            </w:r>
          </w:p>
        </w:tc>
        <w:tc>
          <w:tcPr>
            <w:tcW w:w="70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0</w:t>
            </w:r>
          </w:p>
        </w:tc>
        <w:tc>
          <w:tcPr>
            <w:tcW w:w="70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22</w:t>
            </w:r>
          </w:p>
        </w:tc>
        <w:tc>
          <w:tcPr>
            <w:tcW w:w="82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107</w:t>
            </w:r>
          </w:p>
        </w:tc>
      </w:tr>
      <w:tr w:rsidR="00F23CAE" w:rsidRPr="00B32137" w:rsidTr="00761BEA">
        <w:trPr>
          <w:trHeight w:val="315"/>
        </w:trPr>
        <w:tc>
          <w:tcPr>
            <w:tcW w:w="2460" w:type="dxa"/>
            <w:tcBorders>
              <w:top w:val="nil"/>
              <w:left w:val="nil"/>
              <w:bottom w:val="nil"/>
              <w:right w:val="nil"/>
            </w:tcBorders>
            <w:shd w:val="clear" w:color="auto" w:fill="auto"/>
            <w:noWrap/>
            <w:vAlign w:val="bottom"/>
            <w:hideMark/>
          </w:tcPr>
          <w:p w:rsidR="00F23CAE" w:rsidRPr="00B32137" w:rsidRDefault="00F23CAE" w:rsidP="00761BEA">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UCLs of 40 000+</w:t>
            </w:r>
          </w:p>
        </w:tc>
        <w:tc>
          <w:tcPr>
            <w:tcW w:w="72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5 342</w:t>
            </w:r>
          </w:p>
        </w:tc>
        <w:tc>
          <w:tcPr>
            <w:tcW w:w="72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4 313</w:t>
            </w:r>
          </w:p>
        </w:tc>
        <w:tc>
          <w:tcPr>
            <w:tcW w:w="72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3 339</w:t>
            </w:r>
          </w:p>
        </w:tc>
        <w:tc>
          <w:tcPr>
            <w:tcW w:w="72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1 823</w:t>
            </w:r>
          </w:p>
        </w:tc>
        <w:tc>
          <w:tcPr>
            <w:tcW w:w="72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1 145</w:t>
            </w:r>
          </w:p>
        </w:tc>
        <w:tc>
          <w:tcPr>
            <w:tcW w:w="70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253</w:t>
            </w:r>
          </w:p>
        </w:tc>
        <w:tc>
          <w:tcPr>
            <w:tcW w:w="70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370</w:t>
            </w:r>
          </w:p>
        </w:tc>
        <w:tc>
          <w:tcPr>
            <w:tcW w:w="70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111</w:t>
            </w:r>
          </w:p>
        </w:tc>
        <w:tc>
          <w:tcPr>
            <w:tcW w:w="82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16 697</w:t>
            </w:r>
          </w:p>
        </w:tc>
      </w:tr>
      <w:tr w:rsidR="00F23CAE" w:rsidRPr="00B32137" w:rsidTr="00761BEA">
        <w:trPr>
          <w:trHeight w:val="315"/>
        </w:trPr>
        <w:tc>
          <w:tcPr>
            <w:tcW w:w="246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UCLs within SUAs &gt; 20 000</w:t>
            </w:r>
          </w:p>
        </w:tc>
        <w:tc>
          <w:tcPr>
            <w:tcW w:w="720" w:type="dxa"/>
            <w:tcBorders>
              <w:top w:val="nil"/>
              <w:left w:val="nil"/>
              <w:bottom w:val="single" w:sz="4" w:space="0" w:color="auto"/>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5 478</w:t>
            </w:r>
          </w:p>
        </w:tc>
        <w:tc>
          <w:tcPr>
            <w:tcW w:w="720" w:type="dxa"/>
            <w:tcBorders>
              <w:top w:val="nil"/>
              <w:left w:val="nil"/>
              <w:bottom w:val="single" w:sz="4" w:space="0" w:color="auto"/>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4 436</w:t>
            </w:r>
          </w:p>
        </w:tc>
        <w:tc>
          <w:tcPr>
            <w:tcW w:w="720" w:type="dxa"/>
            <w:tcBorders>
              <w:top w:val="nil"/>
              <w:left w:val="nil"/>
              <w:bottom w:val="single" w:sz="4" w:space="0" w:color="auto"/>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3 516</w:t>
            </w:r>
          </w:p>
        </w:tc>
        <w:tc>
          <w:tcPr>
            <w:tcW w:w="720" w:type="dxa"/>
            <w:tcBorders>
              <w:top w:val="nil"/>
              <w:left w:val="nil"/>
              <w:bottom w:val="single" w:sz="4" w:space="0" w:color="auto"/>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1 845</w:t>
            </w:r>
          </w:p>
        </w:tc>
        <w:tc>
          <w:tcPr>
            <w:tcW w:w="720" w:type="dxa"/>
            <w:tcBorders>
              <w:top w:val="nil"/>
              <w:left w:val="nil"/>
              <w:bottom w:val="single" w:sz="4" w:space="0" w:color="auto"/>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1 223</w:t>
            </w:r>
          </w:p>
        </w:tc>
        <w:tc>
          <w:tcPr>
            <w:tcW w:w="700" w:type="dxa"/>
            <w:tcBorders>
              <w:top w:val="nil"/>
              <w:left w:val="nil"/>
              <w:bottom w:val="single" w:sz="4" w:space="0" w:color="auto"/>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275</w:t>
            </w:r>
          </w:p>
        </w:tc>
        <w:tc>
          <w:tcPr>
            <w:tcW w:w="700" w:type="dxa"/>
            <w:tcBorders>
              <w:top w:val="nil"/>
              <w:left w:val="nil"/>
              <w:bottom w:val="single" w:sz="4" w:space="0" w:color="auto"/>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370</w:t>
            </w:r>
          </w:p>
        </w:tc>
        <w:tc>
          <w:tcPr>
            <w:tcW w:w="700" w:type="dxa"/>
            <w:tcBorders>
              <w:top w:val="nil"/>
              <w:left w:val="nil"/>
              <w:bottom w:val="single" w:sz="4" w:space="0" w:color="auto"/>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112</w:t>
            </w:r>
          </w:p>
        </w:tc>
        <w:tc>
          <w:tcPr>
            <w:tcW w:w="820" w:type="dxa"/>
            <w:tcBorders>
              <w:top w:val="nil"/>
              <w:left w:val="nil"/>
              <w:bottom w:val="single" w:sz="4" w:space="0" w:color="auto"/>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17 255</w:t>
            </w:r>
          </w:p>
        </w:tc>
      </w:tr>
      <w:tr w:rsidR="00F23CAE" w:rsidRPr="00B32137" w:rsidTr="00761BEA">
        <w:trPr>
          <w:trHeight w:val="259"/>
        </w:trPr>
        <w:tc>
          <w:tcPr>
            <w:tcW w:w="2460" w:type="dxa"/>
            <w:tcBorders>
              <w:top w:val="nil"/>
              <w:left w:val="nil"/>
              <w:bottom w:val="nil"/>
              <w:right w:val="nil"/>
            </w:tcBorders>
            <w:shd w:val="clear" w:color="auto" w:fill="auto"/>
            <w:noWrap/>
            <w:vAlign w:val="bottom"/>
            <w:hideMark/>
          </w:tcPr>
          <w:p w:rsidR="00F23CAE" w:rsidRPr="00B32137" w:rsidRDefault="00F23CAE" w:rsidP="00761BEA">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720" w:type="dxa"/>
            <w:tcBorders>
              <w:top w:val="nil"/>
              <w:left w:val="nil"/>
              <w:bottom w:val="nil"/>
              <w:right w:val="nil"/>
            </w:tcBorders>
            <w:shd w:val="clear" w:color="auto" w:fill="auto"/>
            <w:noWrap/>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w:t>
            </w:r>
          </w:p>
        </w:tc>
        <w:tc>
          <w:tcPr>
            <w:tcW w:w="720" w:type="dxa"/>
            <w:tcBorders>
              <w:top w:val="nil"/>
              <w:left w:val="nil"/>
              <w:bottom w:val="nil"/>
              <w:right w:val="nil"/>
            </w:tcBorders>
            <w:shd w:val="clear" w:color="auto" w:fill="auto"/>
            <w:noWrap/>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w:t>
            </w:r>
          </w:p>
        </w:tc>
        <w:tc>
          <w:tcPr>
            <w:tcW w:w="720" w:type="dxa"/>
            <w:tcBorders>
              <w:top w:val="nil"/>
              <w:left w:val="nil"/>
              <w:bottom w:val="nil"/>
              <w:right w:val="nil"/>
            </w:tcBorders>
            <w:shd w:val="clear" w:color="auto" w:fill="auto"/>
            <w:noWrap/>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w:t>
            </w:r>
          </w:p>
        </w:tc>
        <w:tc>
          <w:tcPr>
            <w:tcW w:w="720" w:type="dxa"/>
            <w:tcBorders>
              <w:top w:val="nil"/>
              <w:left w:val="nil"/>
              <w:bottom w:val="nil"/>
              <w:right w:val="nil"/>
            </w:tcBorders>
            <w:shd w:val="clear" w:color="auto" w:fill="auto"/>
            <w:noWrap/>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w:t>
            </w:r>
          </w:p>
        </w:tc>
        <w:tc>
          <w:tcPr>
            <w:tcW w:w="720" w:type="dxa"/>
            <w:tcBorders>
              <w:top w:val="nil"/>
              <w:left w:val="nil"/>
              <w:bottom w:val="nil"/>
              <w:right w:val="nil"/>
            </w:tcBorders>
            <w:shd w:val="clear" w:color="auto" w:fill="auto"/>
            <w:noWrap/>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w:t>
            </w:r>
          </w:p>
        </w:tc>
        <w:tc>
          <w:tcPr>
            <w:tcW w:w="700" w:type="dxa"/>
            <w:tcBorders>
              <w:top w:val="nil"/>
              <w:left w:val="nil"/>
              <w:bottom w:val="nil"/>
              <w:right w:val="nil"/>
            </w:tcBorders>
            <w:shd w:val="clear" w:color="auto" w:fill="auto"/>
            <w:noWrap/>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w:t>
            </w:r>
          </w:p>
        </w:tc>
        <w:tc>
          <w:tcPr>
            <w:tcW w:w="700" w:type="dxa"/>
            <w:tcBorders>
              <w:top w:val="nil"/>
              <w:left w:val="nil"/>
              <w:bottom w:val="nil"/>
              <w:right w:val="nil"/>
            </w:tcBorders>
            <w:shd w:val="clear" w:color="auto" w:fill="auto"/>
            <w:noWrap/>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w:t>
            </w:r>
          </w:p>
        </w:tc>
        <w:tc>
          <w:tcPr>
            <w:tcW w:w="700" w:type="dxa"/>
            <w:tcBorders>
              <w:top w:val="nil"/>
              <w:left w:val="nil"/>
              <w:bottom w:val="nil"/>
              <w:right w:val="nil"/>
            </w:tcBorders>
            <w:shd w:val="clear" w:color="auto" w:fill="auto"/>
            <w:noWrap/>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w:t>
            </w:r>
          </w:p>
        </w:tc>
        <w:tc>
          <w:tcPr>
            <w:tcW w:w="820" w:type="dxa"/>
            <w:tcBorders>
              <w:top w:val="nil"/>
              <w:left w:val="nil"/>
              <w:bottom w:val="nil"/>
              <w:right w:val="nil"/>
            </w:tcBorders>
            <w:shd w:val="clear" w:color="auto" w:fill="auto"/>
            <w:noWrap/>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w:t>
            </w:r>
          </w:p>
        </w:tc>
      </w:tr>
      <w:tr w:rsidR="00F23CAE" w:rsidRPr="00B32137" w:rsidTr="00761BEA">
        <w:trPr>
          <w:trHeight w:val="555"/>
        </w:trPr>
        <w:tc>
          <w:tcPr>
            <w:tcW w:w="246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Remote and very remote communities of 50 - 1 000</w:t>
            </w:r>
          </w:p>
        </w:tc>
        <w:tc>
          <w:tcPr>
            <w:tcW w:w="72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5.6</w:t>
            </w:r>
          </w:p>
        </w:tc>
        <w:tc>
          <w:tcPr>
            <w:tcW w:w="72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1.8</w:t>
            </w:r>
          </w:p>
        </w:tc>
        <w:tc>
          <w:tcPr>
            <w:tcW w:w="72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28.4</w:t>
            </w:r>
          </w:p>
        </w:tc>
        <w:tc>
          <w:tcPr>
            <w:tcW w:w="72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25.9</w:t>
            </w:r>
          </w:p>
        </w:tc>
        <w:tc>
          <w:tcPr>
            <w:tcW w:w="72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13.3</w:t>
            </w:r>
          </w:p>
        </w:tc>
        <w:tc>
          <w:tcPr>
            <w:tcW w:w="70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4.6</w:t>
            </w:r>
          </w:p>
        </w:tc>
        <w:tc>
          <w:tcPr>
            <w:tcW w:w="70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0.0</w:t>
            </w:r>
          </w:p>
        </w:tc>
        <w:tc>
          <w:tcPr>
            <w:tcW w:w="70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20.5</w:t>
            </w:r>
          </w:p>
        </w:tc>
        <w:tc>
          <w:tcPr>
            <w:tcW w:w="82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100.0</w:t>
            </w:r>
          </w:p>
        </w:tc>
      </w:tr>
      <w:tr w:rsidR="00F23CAE" w:rsidRPr="00B32137" w:rsidTr="00761BEA">
        <w:trPr>
          <w:trHeight w:val="315"/>
        </w:trPr>
        <w:tc>
          <w:tcPr>
            <w:tcW w:w="2460" w:type="dxa"/>
            <w:tcBorders>
              <w:top w:val="nil"/>
              <w:left w:val="nil"/>
              <w:bottom w:val="nil"/>
              <w:right w:val="nil"/>
            </w:tcBorders>
            <w:shd w:val="clear" w:color="auto" w:fill="auto"/>
            <w:noWrap/>
            <w:vAlign w:val="bottom"/>
            <w:hideMark/>
          </w:tcPr>
          <w:p w:rsidR="00F23CAE" w:rsidRPr="00B32137" w:rsidRDefault="00F23CAE" w:rsidP="00761BEA">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UCLs of 40 000+</w:t>
            </w:r>
          </w:p>
        </w:tc>
        <w:tc>
          <w:tcPr>
            <w:tcW w:w="72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32.0</w:t>
            </w:r>
          </w:p>
        </w:tc>
        <w:tc>
          <w:tcPr>
            <w:tcW w:w="72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25.8</w:t>
            </w:r>
          </w:p>
        </w:tc>
        <w:tc>
          <w:tcPr>
            <w:tcW w:w="72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20.0</w:t>
            </w:r>
          </w:p>
        </w:tc>
        <w:tc>
          <w:tcPr>
            <w:tcW w:w="72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10.9</w:t>
            </w:r>
          </w:p>
        </w:tc>
        <w:tc>
          <w:tcPr>
            <w:tcW w:w="72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6.9</w:t>
            </w:r>
          </w:p>
        </w:tc>
        <w:tc>
          <w:tcPr>
            <w:tcW w:w="70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1.5</w:t>
            </w:r>
          </w:p>
        </w:tc>
        <w:tc>
          <w:tcPr>
            <w:tcW w:w="70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2.2</w:t>
            </w:r>
          </w:p>
        </w:tc>
        <w:tc>
          <w:tcPr>
            <w:tcW w:w="70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0.7</w:t>
            </w:r>
          </w:p>
        </w:tc>
        <w:tc>
          <w:tcPr>
            <w:tcW w:w="820" w:type="dxa"/>
            <w:tcBorders>
              <w:top w:val="nil"/>
              <w:left w:val="nil"/>
              <w:bottom w:val="nil"/>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100.0</w:t>
            </w:r>
          </w:p>
        </w:tc>
      </w:tr>
      <w:tr w:rsidR="00F23CAE" w:rsidRPr="00B32137" w:rsidTr="00761BEA">
        <w:trPr>
          <w:trHeight w:val="315"/>
        </w:trPr>
        <w:tc>
          <w:tcPr>
            <w:tcW w:w="2460" w:type="dxa"/>
            <w:tcBorders>
              <w:top w:val="nil"/>
              <w:left w:val="nil"/>
              <w:bottom w:val="single" w:sz="4" w:space="0" w:color="auto"/>
              <w:right w:val="nil"/>
            </w:tcBorders>
            <w:shd w:val="clear" w:color="auto" w:fill="auto"/>
            <w:vAlign w:val="bottom"/>
            <w:hideMark/>
          </w:tcPr>
          <w:p w:rsidR="00F23CAE" w:rsidRPr="00B32137" w:rsidRDefault="00F23CAE" w:rsidP="00761BEA">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UCLs within SUAs &gt; 20 000</w:t>
            </w:r>
          </w:p>
        </w:tc>
        <w:tc>
          <w:tcPr>
            <w:tcW w:w="720" w:type="dxa"/>
            <w:tcBorders>
              <w:top w:val="nil"/>
              <w:left w:val="nil"/>
              <w:bottom w:val="single" w:sz="4" w:space="0" w:color="auto"/>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31.7</w:t>
            </w:r>
          </w:p>
        </w:tc>
        <w:tc>
          <w:tcPr>
            <w:tcW w:w="720" w:type="dxa"/>
            <w:tcBorders>
              <w:top w:val="nil"/>
              <w:left w:val="nil"/>
              <w:bottom w:val="single" w:sz="4" w:space="0" w:color="auto"/>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25.7</w:t>
            </w:r>
          </w:p>
        </w:tc>
        <w:tc>
          <w:tcPr>
            <w:tcW w:w="720" w:type="dxa"/>
            <w:tcBorders>
              <w:top w:val="nil"/>
              <w:left w:val="nil"/>
              <w:bottom w:val="single" w:sz="4" w:space="0" w:color="auto"/>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20.4</w:t>
            </w:r>
          </w:p>
        </w:tc>
        <w:tc>
          <w:tcPr>
            <w:tcW w:w="720" w:type="dxa"/>
            <w:tcBorders>
              <w:top w:val="nil"/>
              <w:left w:val="nil"/>
              <w:bottom w:val="single" w:sz="4" w:space="0" w:color="auto"/>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10.7</w:t>
            </w:r>
          </w:p>
        </w:tc>
        <w:tc>
          <w:tcPr>
            <w:tcW w:w="720" w:type="dxa"/>
            <w:tcBorders>
              <w:top w:val="nil"/>
              <w:left w:val="nil"/>
              <w:bottom w:val="single" w:sz="4" w:space="0" w:color="auto"/>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7.1</w:t>
            </w:r>
          </w:p>
        </w:tc>
        <w:tc>
          <w:tcPr>
            <w:tcW w:w="700" w:type="dxa"/>
            <w:tcBorders>
              <w:top w:val="nil"/>
              <w:left w:val="nil"/>
              <w:bottom w:val="single" w:sz="4" w:space="0" w:color="auto"/>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1.6</w:t>
            </w:r>
          </w:p>
        </w:tc>
        <w:tc>
          <w:tcPr>
            <w:tcW w:w="700" w:type="dxa"/>
            <w:tcBorders>
              <w:top w:val="nil"/>
              <w:left w:val="nil"/>
              <w:bottom w:val="single" w:sz="4" w:space="0" w:color="auto"/>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2.1</w:t>
            </w:r>
          </w:p>
        </w:tc>
        <w:tc>
          <w:tcPr>
            <w:tcW w:w="700" w:type="dxa"/>
            <w:tcBorders>
              <w:top w:val="nil"/>
              <w:left w:val="nil"/>
              <w:bottom w:val="single" w:sz="4" w:space="0" w:color="auto"/>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0.6</w:t>
            </w:r>
          </w:p>
        </w:tc>
        <w:tc>
          <w:tcPr>
            <w:tcW w:w="820" w:type="dxa"/>
            <w:tcBorders>
              <w:top w:val="nil"/>
              <w:left w:val="nil"/>
              <w:bottom w:val="single" w:sz="4" w:space="0" w:color="auto"/>
              <w:right w:val="nil"/>
            </w:tcBorders>
            <w:shd w:val="clear" w:color="auto" w:fill="auto"/>
            <w:vAlign w:val="bottom"/>
            <w:hideMark/>
          </w:tcPr>
          <w:p w:rsidR="00F23CAE" w:rsidRPr="00B32137" w:rsidRDefault="00F23CAE" w:rsidP="00761BEA">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32137">
              <w:rPr>
                <w:rFonts w:ascii="Calibri" w:eastAsia="Times New Roman" w:hAnsi="Calibri" w:cs="Times New Roman"/>
                <w:color w:val="000000"/>
                <w:sz w:val="20"/>
                <w:szCs w:val="20"/>
                <w:lang w:eastAsia="en-AU"/>
              </w:rPr>
              <w:t xml:space="preserve">  100.0</w:t>
            </w:r>
          </w:p>
        </w:tc>
      </w:tr>
    </w:tbl>
    <w:p w:rsidR="00F23CAE" w:rsidRDefault="00F23CAE" w:rsidP="00F23CAE">
      <w:pPr>
        <w:pStyle w:val="CGCDataCaption"/>
      </w:pPr>
      <w:r>
        <w:t>Source:</w:t>
      </w:r>
      <w:r>
        <w:tab/>
        <w:t>Commission calculation based on ERP from ABS data request.</w:t>
      </w:r>
    </w:p>
    <w:p w:rsidR="00F23CAE" w:rsidRPr="00C21EF9" w:rsidRDefault="00F23CAE" w:rsidP="00F23CAE"/>
    <w:p w:rsidR="00F23CAE" w:rsidRDefault="00F23CAE" w:rsidP="00597461">
      <w:pPr>
        <w:pStyle w:val="Heading1"/>
        <w:sectPr w:rsidR="00F23CAE" w:rsidSect="00DF4D99">
          <w:footerReference w:type="default" r:id="rId10"/>
          <w:footerReference w:type="first" r:id="rId11"/>
          <w:footnotePr>
            <w:numRestart w:val="eachSect"/>
          </w:footnotePr>
          <w:pgSz w:w="11906" w:h="16838" w:code="9"/>
          <w:pgMar w:top="1701" w:right="1474" w:bottom="1701" w:left="1474" w:header="709" w:footer="709" w:gutter="0"/>
          <w:pgNumType w:start="557"/>
          <w:cols w:space="708"/>
          <w:titlePg/>
          <w:docGrid w:linePitch="360"/>
        </w:sectPr>
      </w:pPr>
    </w:p>
    <w:p w:rsidR="00445CFD" w:rsidRDefault="00FC647D" w:rsidP="00445CFD">
      <w:pPr>
        <w:pStyle w:val="Heading1"/>
      </w:pPr>
      <w:r>
        <w:rPr>
          <w:caps w:val="0"/>
        </w:rPr>
        <w:lastRenderedPageBreak/>
        <w:t>ATTACHMENT 2</w:t>
      </w:r>
    </w:p>
    <w:p w:rsidR="00445CFD" w:rsidRDefault="00FC647D" w:rsidP="00445CFD">
      <w:pPr>
        <w:pStyle w:val="Heading2"/>
      </w:pPr>
      <w:r>
        <w:rPr>
          <w:caps w:val="0"/>
        </w:rPr>
        <w:t>TREATMENT OF COMMONWEALTH PAYMENTS</w:t>
      </w:r>
    </w:p>
    <w:p w:rsidR="00D248AD" w:rsidRDefault="00D248AD" w:rsidP="00D248AD">
      <w:pPr>
        <w:pStyle w:val="CGCNumberedPara"/>
        <w:numPr>
          <w:ilvl w:val="1"/>
          <w:numId w:val="16"/>
        </w:numPr>
      </w:pPr>
      <w:r>
        <w:t>The Commission has been guided by the horizontal equalisation objective and has adopted a single guideline to decide the treatment of all payments on a case by case basis:</w:t>
      </w:r>
    </w:p>
    <w:p w:rsidR="00D248AD" w:rsidRDefault="00D248AD" w:rsidP="00D248AD">
      <w:pPr>
        <w:pStyle w:val="CGCQuotation"/>
      </w:pPr>
      <w:proofErr w:type="gramStart"/>
      <w:r>
        <w:t>payments</w:t>
      </w:r>
      <w:proofErr w:type="gramEnd"/>
      <w:r>
        <w:t xml:space="preserve"> which support State services, and for which expenditure needs are assessed, will impact the relativities. </w:t>
      </w:r>
    </w:p>
    <w:p w:rsidR="00D248AD" w:rsidRDefault="00D248AD" w:rsidP="00D248AD">
      <w:pPr>
        <w:pStyle w:val="CGCNumberedPara"/>
        <w:numPr>
          <w:ilvl w:val="1"/>
          <w:numId w:val="16"/>
        </w:numPr>
      </w:pPr>
      <w:r>
        <w:t xml:space="preserve">Assessed expenditure needs are differences among the States which affect the cost of delivering services. In some cases, on conceptual grounds, we conclude that there are no differences in per capita service delivery costs and assess expenditure equal per capita. Spending reflects population shares alone (a deliberative equal per capita assessment). Where such an assessment is made, related payments would affect the GST distribution. However, where needs have not been assessed because they are not material, </w:t>
      </w:r>
      <w:r w:rsidR="00EF0636">
        <w:t xml:space="preserve">or because we have been unable to assess them, these are </w:t>
      </w:r>
      <w:r>
        <w:t>not a deliberative equal per capita assessment and any associated payments should not affect the GST distribution.</w:t>
      </w:r>
    </w:p>
    <w:p w:rsidR="00D248AD" w:rsidRDefault="00D248AD" w:rsidP="00D248AD">
      <w:pPr>
        <w:pStyle w:val="CGCNumberedPara"/>
        <w:numPr>
          <w:ilvl w:val="1"/>
          <w:numId w:val="16"/>
        </w:numPr>
      </w:pPr>
      <w:r>
        <w:t>Adopting the guideline and applying it on a case by case basis to Commonwealth payments therefore result</w:t>
      </w:r>
      <w:r w:rsidR="009A62DA">
        <w:t>s</w:t>
      </w:r>
      <w:r>
        <w:t xml:space="preserve"> in some payments having an impact on the relativities and others not. The decision is made purely on the basis of whether the payment is available to support State services and whether needs have been assessed. </w:t>
      </w:r>
    </w:p>
    <w:p w:rsidR="00D248AD" w:rsidRDefault="004D5C8A" w:rsidP="00D248AD">
      <w:pPr>
        <w:pStyle w:val="Heading3"/>
      </w:pPr>
      <w:r>
        <w:t>Terms of reference</w:t>
      </w:r>
    </w:p>
    <w:p w:rsidR="00D248AD" w:rsidRDefault="00D248AD" w:rsidP="00D248AD">
      <w:pPr>
        <w:pStyle w:val="CGCNumberedPara"/>
        <w:numPr>
          <w:ilvl w:val="1"/>
          <w:numId w:val="16"/>
        </w:numPr>
      </w:pPr>
      <w:r>
        <w:t>The terms of reference provide guidance to the Commission on the treatment of Commonwealth payments. They ask the Commission:</w:t>
      </w:r>
    </w:p>
    <w:p w:rsidR="00D248AD" w:rsidRDefault="00D248AD" w:rsidP="00D248AD">
      <w:pPr>
        <w:pStyle w:val="CGCBulletlist"/>
        <w:numPr>
          <w:ilvl w:val="0"/>
          <w:numId w:val="11"/>
        </w:numPr>
        <w:tabs>
          <w:tab w:val="clear" w:pos="927"/>
          <w:tab w:val="left" w:pos="1134"/>
        </w:tabs>
        <w:ind w:left="1134" w:hanging="567"/>
      </w:pPr>
      <w:r>
        <w:t>to ensure that some specified payments (usually referred to as quarantined payments), including all reward payments, have no impact on the Goods and Services Tax (GST) distribution</w:t>
      </w:r>
    </w:p>
    <w:p w:rsidR="00D248AD" w:rsidRDefault="00D248AD" w:rsidP="00D248AD">
      <w:pPr>
        <w:pStyle w:val="CGCBulletlist"/>
        <w:numPr>
          <w:ilvl w:val="0"/>
          <w:numId w:val="11"/>
        </w:numPr>
        <w:tabs>
          <w:tab w:val="clear" w:pos="927"/>
          <w:tab w:val="left" w:pos="1134"/>
        </w:tabs>
        <w:ind w:left="1134" w:hanging="567"/>
      </w:pPr>
      <w:r>
        <w:t>to treat national specific purpose payments (SPPs), national health reform funding, national partnership project payments and general revenue assistance (GRA), other than the GST, so that they would affect GST shares, but treat national partnership facilitation payments so that they would not.</w:t>
      </w:r>
    </w:p>
    <w:p w:rsidR="00D248AD" w:rsidRDefault="00D248AD" w:rsidP="00D248AD">
      <w:pPr>
        <w:ind w:left="567"/>
      </w:pPr>
      <w:r>
        <w:lastRenderedPageBreak/>
        <w:t>However, the Commission is given discretion to vary the treatment of the second group of payments where it is appropriate, reflecting the nature of the payment and the role of State governments in providing services.</w:t>
      </w:r>
    </w:p>
    <w:p w:rsidR="00D248AD" w:rsidRDefault="00D248AD" w:rsidP="00D248AD">
      <w:pPr>
        <w:pStyle w:val="CGCNumberedPara"/>
      </w:pPr>
      <w:r>
        <w:t xml:space="preserve">These instructions, which are consistent with the Intergovernmental Agreement on Federal Financial Relations (as amended) (IGA), make it clear that where it has discretion, the Commission should exercise that discretion in deciding if and how payments should affect the GST distribution. </w:t>
      </w:r>
    </w:p>
    <w:p w:rsidR="00D248AD" w:rsidRDefault="00D248AD" w:rsidP="00D248AD">
      <w:pPr>
        <w:pStyle w:val="CGCNumberedPara"/>
      </w:pPr>
      <w:r>
        <w:t>The terms of reference require the Commission to treat some payments so they have no direct impact on the relativities. They include payments nominated in previous terms of reference. Those payments relevant to the assessment years of this review are listed below. We have treated them as not impacting on the relativities.</w:t>
      </w:r>
    </w:p>
    <w:p w:rsidR="00D248AD" w:rsidRDefault="009A62DA" w:rsidP="00D248AD">
      <w:pPr>
        <w:pStyle w:val="CGCBulletlist"/>
        <w:numPr>
          <w:ilvl w:val="0"/>
          <w:numId w:val="11"/>
        </w:numPr>
        <w:tabs>
          <w:tab w:val="clear" w:pos="927"/>
          <w:tab w:val="left" w:pos="1134"/>
        </w:tabs>
        <w:ind w:left="1134" w:hanging="567"/>
      </w:pPr>
      <w:r>
        <w:t>r</w:t>
      </w:r>
      <w:r w:rsidR="00D248AD">
        <w:t>eward payments made under National Partnership Agreements</w:t>
      </w:r>
    </w:p>
    <w:p w:rsidR="00D248AD" w:rsidRDefault="00D248AD" w:rsidP="00D248AD">
      <w:pPr>
        <w:pStyle w:val="CGCBulletlist"/>
        <w:numPr>
          <w:ilvl w:val="0"/>
          <w:numId w:val="11"/>
        </w:numPr>
        <w:tabs>
          <w:tab w:val="clear" w:pos="927"/>
          <w:tab w:val="left" w:pos="1134"/>
        </w:tabs>
        <w:ind w:left="1134" w:hanging="567"/>
      </w:pPr>
      <w:r>
        <w:t>Assistance for Tasmania to implement national policy reforms</w:t>
      </w:r>
    </w:p>
    <w:p w:rsidR="00D248AD" w:rsidRDefault="00D248AD" w:rsidP="00D248AD">
      <w:pPr>
        <w:pStyle w:val="CGCBulletlist"/>
        <w:numPr>
          <w:ilvl w:val="0"/>
          <w:numId w:val="11"/>
        </w:numPr>
        <w:tabs>
          <w:tab w:val="clear" w:pos="927"/>
          <w:tab w:val="left" w:pos="1134"/>
        </w:tabs>
        <w:ind w:left="1134" w:hanging="567"/>
      </w:pPr>
      <w:r>
        <w:t>Assisting preparation towards the launch of the National disability insurance scheme</w:t>
      </w:r>
    </w:p>
    <w:p w:rsidR="00D248AD" w:rsidRDefault="00D248AD" w:rsidP="00D248AD">
      <w:pPr>
        <w:pStyle w:val="CGCBulletlist"/>
        <w:numPr>
          <w:ilvl w:val="0"/>
          <w:numId w:val="11"/>
        </w:numPr>
        <w:tabs>
          <w:tab w:val="clear" w:pos="927"/>
          <w:tab w:val="left" w:pos="1134"/>
        </w:tabs>
        <w:ind w:left="1134" w:hanging="567"/>
      </w:pPr>
      <w:r>
        <w:t>Caring for our Country</w:t>
      </w:r>
    </w:p>
    <w:p w:rsidR="00D248AD" w:rsidRDefault="00D248AD" w:rsidP="00D248AD">
      <w:pPr>
        <w:pStyle w:val="CGCBulletlist"/>
        <w:numPr>
          <w:ilvl w:val="0"/>
          <w:numId w:val="11"/>
        </w:numPr>
        <w:tabs>
          <w:tab w:val="clear" w:pos="927"/>
          <w:tab w:val="left" w:pos="1134"/>
        </w:tabs>
        <w:ind w:left="1134" w:hanging="567"/>
      </w:pPr>
      <w:r>
        <w:t>Centenary of Canberra 2013 — A gift to the national capital</w:t>
      </w:r>
    </w:p>
    <w:p w:rsidR="00D248AD" w:rsidRDefault="00D248AD" w:rsidP="00D248AD">
      <w:pPr>
        <w:pStyle w:val="CGCBulletlist"/>
        <w:numPr>
          <w:ilvl w:val="0"/>
          <w:numId w:val="11"/>
        </w:numPr>
        <w:tabs>
          <w:tab w:val="clear" w:pos="927"/>
          <w:tab w:val="left" w:pos="1134"/>
        </w:tabs>
        <w:ind w:left="1134" w:hanging="567"/>
      </w:pPr>
      <w:r>
        <w:t>Closing the Gap and Stronger Futures in the Northern Territory</w:t>
      </w:r>
    </w:p>
    <w:p w:rsidR="00D248AD" w:rsidRDefault="00D248AD" w:rsidP="00D248AD">
      <w:pPr>
        <w:pStyle w:val="CGCBulletlist"/>
        <w:numPr>
          <w:ilvl w:val="0"/>
          <w:numId w:val="11"/>
        </w:numPr>
        <w:tabs>
          <w:tab w:val="clear" w:pos="927"/>
          <w:tab w:val="left" w:pos="1134"/>
        </w:tabs>
        <w:ind w:left="1134" w:hanging="567"/>
      </w:pPr>
      <w:r>
        <w:t>Health care grants for the Torres Strait</w:t>
      </w:r>
    </w:p>
    <w:p w:rsidR="00D248AD" w:rsidRDefault="00D248AD" w:rsidP="00D248AD">
      <w:pPr>
        <w:pStyle w:val="CGCBulletlist"/>
        <w:numPr>
          <w:ilvl w:val="0"/>
          <w:numId w:val="11"/>
        </w:numPr>
        <w:tabs>
          <w:tab w:val="clear" w:pos="927"/>
          <w:tab w:val="left" w:pos="1134"/>
        </w:tabs>
        <w:ind w:left="1134" w:hanging="567"/>
      </w:pPr>
      <w:r>
        <w:t>Improving health services in Tasmania</w:t>
      </w:r>
    </w:p>
    <w:p w:rsidR="00D248AD" w:rsidRDefault="00D248AD" w:rsidP="00D248AD">
      <w:pPr>
        <w:pStyle w:val="CGCBulletlist"/>
        <w:numPr>
          <w:ilvl w:val="0"/>
          <w:numId w:val="11"/>
        </w:numPr>
        <w:tabs>
          <w:tab w:val="clear" w:pos="927"/>
          <w:tab w:val="left" w:pos="1134"/>
        </w:tabs>
        <w:ind w:left="1134" w:hanging="567"/>
      </w:pPr>
      <w:r>
        <w:t xml:space="preserve">Macquarie Point </w:t>
      </w:r>
      <w:proofErr w:type="spellStart"/>
      <w:r>
        <w:t>Railyards</w:t>
      </w:r>
      <w:proofErr w:type="spellEnd"/>
      <w:r>
        <w:t xml:space="preserve"> precinct remediation</w:t>
      </w:r>
    </w:p>
    <w:p w:rsidR="00D248AD" w:rsidRDefault="00D248AD" w:rsidP="00D248AD">
      <w:pPr>
        <w:pStyle w:val="CGCBulletlist"/>
        <w:numPr>
          <w:ilvl w:val="0"/>
          <w:numId w:val="11"/>
        </w:numPr>
        <w:tabs>
          <w:tab w:val="clear" w:pos="927"/>
          <w:tab w:val="left" w:pos="1134"/>
        </w:tabs>
        <w:ind w:left="1134" w:hanging="567"/>
      </w:pPr>
      <w:r>
        <w:t>National Health Reform funding – reward payments components</w:t>
      </w:r>
    </w:p>
    <w:p w:rsidR="00D248AD" w:rsidRDefault="00D248AD" w:rsidP="00D248AD">
      <w:pPr>
        <w:pStyle w:val="CGCBulletlist"/>
        <w:numPr>
          <w:ilvl w:val="0"/>
          <w:numId w:val="11"/>
        </w:numPr>
        <w:tabs>
          <w:tab w:val="clear" w:pos="927"/>
          <w:tab w:val="left" w:pos="1134"/>
        </w:tabs>
        <w:ind w:left="1134" w:hanging="567"/>
      </w:pPr>
      <w:r>
        <w:t>Pilot of drought reform measures in Western Australia</w:t>
      </w:r>
    </w:p>
    <w:p w:rsidR="00D248AD" w:rsidRDefault="00D248AD" w:rsidP="00D248AD">
      <w:pPr>
        <w:pStyle w:val="CGCBulletlist"/>
        <w:numPr>
          <w:ilvl w:val="0"/>
          <w:numId w:val="11"/>
        </w:numPr>
        <w:tabs>
          <w:tab w:val="clear" w:pos="927"/>
          <w:tab w:val="left" w:pos="1134"/>
        </w:tabs>
        <w:ind w:left="1134" w:hanging="567"/>
      </w:pPr>
      <w:r>
        <w:t>Royal Darwin Hospital – equipped, prepared and ready</w:t>
      </w:r>
    </w:p>
    <w:p w:rsidR="00D248AD" w:rsidRDefault="00D248AD" w:rsidP="00D248AD">
      <w:pPr>
        <w:pStyle w:val="CGCBulletlist"/>
        <w:numPr>
          <w:ilvl w:val="0"/>
          <w:numId w:val="11"/>
        </w:numPr>
        <w:tabs>
          <w:tab w:val="clear" w:pos="927"/>
          <w:tab w:val="left" w:pos="1134"/>
        </w:tabs>
        <w:ind w:left="1134" w:hanging="567"/>
      </w:pPr>
      <w:r>
        <w:t xml:space="preserve">Sinking fund on State debt </w:t>
      </w:r>
    </w:p>
    <w:p w:rsidR="00D248AD" w:rsidRDefault="00D248AD" w:rsidP="00D248AD">
      <w:pPr>
        <w:pStyle w:val="CGCBulletlist"/>
        <w:numPr>
          <w:ilvl w:val="0"/>
          <w:numId w:val="11"/>
        </w:numPr>
        <w:tabs>
          <w:tab w:val="clear" w:pos="927"/>
          <w:tab w:val="left" w:pos="1134"/>
        </w:tabs>
        <w:ind w:left="1134" w:hanging="567"/>
      </w:pPr>
      <w:r>
        <w:t>South Australian River Murray Sustainability Program</w:t>
      </w:r>
    </w:p>
    <w:p w:rsidR="00D248AD" w:rsidRDefault="00D248AD" w:rsidP="00D248AD">
      <w:pPr>
        <w:pStyle w:val="CGCBulletlist"/>
        <w:numPr>
          <w:ilvl w:val="0"/>
          <w:numId w:val="11"/>
        </w:numPr>
        <w:tabs>
          <w:tab w:val="clear" w:pos="927"/>
          <w:tab w:val="left" w:pos="1134"/>
        </w:tabs>
        <w:ind w:left="1134" w:hanging="567"/>
      </w:pPr>
      <w:r>
        <w:t>Tasmanian Forests Intergovernmental Agreement</w:t>
      </w:r>
    </w:p>
    <w:p w:rsidR="00D248AD" w:rsidRDefault="00D248AD" w:rsidP="00D248AD">
      <w:pPr>
        <w:pStyle w:val="CGCBulletlist"/>
        <w:numPr>
          <w:ilvl w:val="0"/>
          <w:numId w:val="11"/>
        </w:numPr>
        <w:tabs>
          <w:tab w:val="clear" w:pos="927"/>
          <w:tab w:val="left" w:pos="1134"/>
        </w:tabs>
        <w:ind w:left="1134" w:hanging="567"/>
      </w:pPr>
      <w:r>
        <w:t>Victorian cytology service.</w:t>
      </w:r>
    </w:p>
    <w:p w:rsidR="00001035" w:rsidRDefault="00001035" w:rsidP="00D248AD">
      <w:pPr>
        <w:pStyle w:val="CGCNumberedPara"/>
      </w:pPr>
      <w:r>
        <w:t xml:space="preserve">The 2014 Update terms of reference asked the Commission to treat the forgiveness of South Australian housing debt on 30 June 2013 not directly influence the relativities. We have </w:t>
      </w:r>
      <w:r w:rsidR="00826FC2">
        <w:t xml:space="preserve">continued </w:t>
      </w:r>
      <w:r>
        <w:t>treat</w:t>
      </w:r>
      <w:r w:rsidR="00826FC2">
        <w:t>ing</w:t>
      </w:r>
      <w:r>
        <w:t xml:space="preserve"> the </w:t>
      </w:r>
      <w:r w:rsidR="00826FC2">
        <w:t>debt forgone</w:t>
      </w:r>
      <w:r>
        <w:t xml:space="preserve"> </w:t>
      </w:r>
      <w:r w:rsidR="00826FC2">
        <w:t xml:space="preserve">as not impacting </w:t>
      </w:r>
      <w:bookmarkStart w:id="15" w:name="_GoBack"/>
      <w:bookmarkEnd w:id="15"/>
      <w:r w:rsidR="00826FC2">
        <w:t>the relativities</w:t>
      </w:r>
      <w:r w:rsidR="00826FC2">
        <w:rPr>
          <w:rStyle w:val="FootnoteReference"/>
        </w:rPr>
        <w:footnoteReference w:id="3"/>
      </w:r>
      <w:r>
        <w:t>.</w:t>
      </w:r>
    </w:p>
    <w:p w:rsidR="00D248AD" w:rsidRDefault="009A62DA" w:rsidP="00D248AD">
      <w:pPr>
        <w:pStyle w:val="CGCNumberedPara"/>
      </w:pPr>
      <w:r>
        <w:t>The supplementary t</w:t>
      </w:r>
      <w:r w:rsidR="00D248AD">
        <w:t xml:space="preserve">erms of </w:t>
      </w:r>
      <w:r>
        <w:t>r</w:t>
      </w:r>
      <w:r w:rsidR="00D248AD">
        <w:t xml:space="preserve">eference for the 2015 Review further require the Commission to treat 50% of the following payments </w:t>
      </w:r>
      <w:r w:rsidR="00EF0636">
        <w:t xml:space="preserve">for major roads </w:t>
      </w:r>
      <w:r>
        <w:t>as</w:t>
      </w:r>
      <w:r w:rsidR="00D248AD">
        <w:t xml:space="preserve"> having no </w:t>
      </w:r>
      <w:r w:rsidR="00D248AD">
        <w:lastRenderedPageBreak/>
        <w:t>impact on relativities. Most of these payments are made from 2014-15, which is outside the assessment period of the 2015 Review. For those payments that were paid in 2013-14, we have treated 50% of them as not affecting the relativities.</w:t>
      </w:r>
    </w:p>
    <w:p w:rsidR="00D248AD" w:rsidRDefault="00D248AD" w:rsidP="00D248AD">
      <w:pPr>
        <w:pStyle w:val="CGCBulletlist"/>
        <w:numPr>
          <w:ilvl w:val="0"/>
          <w:numId w:val="11"/>
        </w:numPr>
        <w:tabs>
          <w:tab w:val="clear" w:pos="927"/>
          <w:tab w:val="left" w:pos="1134"/>
        </w:tabs>
        <w:ind w:left="1134" w:hanging="567"/>
      </w:pPr>
      <w:r>
        <w:t xml:space="preserve">$1.5 billion for </w:t>
      </w:r>
      <w:proofErr w:type="spellStart"/>
      <w:r>
        <w:t>WestConnex</w:t>
      </w:r>
      <w:proofErr w:type="spellEnd"/>
    </w:p>
    <w:p w:rsidR="00D248AD" w:rsidRDefault="00D248AD" w:rsidP="00D248AD">
      <w:pPr>
        <w:pStyle w:val="CGCBulletlist"/>
        <w:numPr>
          <w:ilvl w:val="0"/>
          <w:numId w:val="11"/>
        </w:numPr>
        <w:tabs>
          <w:tab w:val="clear" w:pos="927"/>
          <w:tab w:val="left" w:pos="1134"/>
        </w:tabs>
        <w:ind w:left="1134" w:hanging="567"/>
      </w:pPr>
      <w:r>
        <w:t>$3 billion for the East-West link</w:t>
      </w:r>
    </w:p>
    <w:p w:rsidR="00D248AD" w:rsidRDefault="00D248AD" w:rsidP="00D248AD">
      <w:pPr>
        <w:pStyle w:val="CGCBulletlist"/>
        <w:numPr>
          <w:ilvl w:val="0"/>
          <w:numId w:val="11"/>
        </w:numPr>
        <w:tabs>
          <w:tab w:val="clear" w:pos="927"/>
          <w:tab w:val="left" w:pos="1134"/>
        </w:tabs>
        <w:ind w:left="1134" w:hanging="567"/>
      </w:pPr>
      <w:r>
        <w:t>$2.9 billion for the Western Sydney Infrastructure plan</w:t>
      </w:r>
    </w:p>
    <w:p w:rsidR="00D248AD" w:rsidRDefault="00D248AD" w:rsidP="00D248AD">
      <w:pPr>
        <w:pStyle w:val="CGCBulletlist"/>
        <w:numPr>
          <w:ilvl w:val="0"/>
          <w:numId w:val="11"/>
        </w:numPr>
        <w:tabs>
          <w:tab w:val="clear" w:pos="927"/>
          <w:tab w:val="left" w:pos="1134"/>
        </w:tabs>
        <w:ind w:left="1134" w:hanging="567"/>
      </w:pPr>
      <w:r>
        <w:t>$0.6 billion for the Toowoomba Second Range Crossing</w:t>
      </w:r>
    </w:p>
    <w:p w:rsidR="00D248AD" w:rsidRDefault="00D248AD" w:rsidP="00D248AD">
      <w:pPr>
        <w:pStyle w:val="CGCBulletlist"/>
        <w:numPr>
          <w:ilvl w:val="0"/>
          <w:numId w:val="11"/>
        </w:numPr>
        <w:tabs>
          <w:tab w:val="clear" w:pos="927"/>
          <w:tab w:val="left" w:pos="1134"/>
        </w:tabs>
        <w:ind w:left="1134" w:hanging="567"/>
      </w:pPr>
      <w:r>
        <w:t>$0.9 billion for the Perth Freight Link/Roe Highway</w:t>
      </w:r>
    </w:p>
    <w:p w:rsidR="00D248AD" w:rsidRDefault="00D248AD" w:rsidP="00D248AD">
      <w:pPr>
        <w:pStyle w:val="CGCBulletlist"/>
        <w:numPr>
          <w:ilvl w:val="0"/>
          <w:numId w:val="11"/>
        </w:numPr>
        <w:tabs>
          <w:tab w:val="clear" w:pos="927"/>
          <w:tab w:val="left" w:pos="1134"/>
        </w:tabs>
        <w:ind w:left="1134" w:hanging="567"/>
      </w:pPr>
      <w:r>
        <w:t>$0.4 billion for the North-South Road Corridor</w:t>
      </w:r>
    </w:p>
    <w:p w:rsidR="00D248AD" w:rsidRDefault="00D248AD" w:rsidP="00D248AD">
      <w:pPr>
        <w:pStyle w:val="CGCBulletlist"/>
        <w:numPr>
          <w:ilvl w:val="0"/>
          <w:numId w:val="11"/>
        </w:numPr>
        <w:tabs>
          <w:tab w:val="clear" w:pos="927"/>
          <w:tab w:val="left" w:pos="1134"/>
        </w:tabs>
        <w:ind w:left="1134" w:hanging="567"/>
      </w:pPr>
      <w:r>
        <w:t xml:space="preserve">$0.1 billion for the Northern Territory Roads Package. </w:t>
      </w:r>
    </w:p>
    <w:p w:rsidR="00D248AD" w:rsidRDefault="009A62DA" w:rsidP="00D248AD">
      <w:pPr>
        <w:pStyle w:val="CGCNumberedPara"/>
      </w:pPr>
      <w:r>
        <w:t>The s</w:t>
      </w:r>
      <w:r w:rsidR="00D248AD">
        <w:t xml:space="preserve">upplementary </w:t>
      </w:r>
      <w:r>
        <w:t>t</w:t>
      </w:r>
      <w:r w:rsidR="00D248AD">
        <w:t xml:space="preserve">erms of </w:t>
      </w:r>
      <w:r>
        <w:t>r</w:t>
      </w:r>
      <w:r w:rsidR="00D248AD">
        <w:t xml:space="preserve">eference also ask </w:t>
      </w:r>
      <w:r w:rsidR="00EF0636">
        <w:t xml:space="preserve">that </w:t>
      </w:r>
      <w:r w:rsidR="00D248AD">
        <w:t>the following future payments not impact on the relativities. We will treat them accordingly when they are paid.</w:t>
      </w:r>
    </w:p>
    <w:p w:rsidR="00D248AD" w:rsidRDefault="00D248AD" w:rsidP="00D248AD">
      <w:pPr>
        <w:pStyle w:val="CGCBulletlist"/>
        <w:numPr>
          <w:ilvl w:val="0"/>
          <w:numId w:val="11"/>
        </w:numPr>
        <w:tabs>
          <w:tab w:val="clear" w:pos="927"/>
          <w:tab w:val="left" w:pos="1134"/>
        </w:tabs>
        <w:ind w:left="1134" w:hanging="567"/>
      </w:pPr>
      <w:r>
        <w:t>payments under the $5 billion Asset Recycling Initiative (from 2014</w:t>
      </w:r>
      <w:r>
        <w:noBreakHyphen/>
        <w:t>15)</w:t>
      </w:r>
    </w:p>
    <w:p w:rsidR="00D248AD" w:rsidRDefault="00D248AD" w:rsidP="00D248AD">
      <w:pPr>
        <w:pStyle w:val="CGCBulletlist"/>
        <w:numPr>
          <w:ilvl w:val="0"/>
          <w:numId w:val="11"/>
        </w:numPr>
        <w:tabs>
          <w:tab w:val="clear" w:pos="927"/>
          <w:tab w:val="left" w:pos="1134"/>
        </w:tabs>
        <w:ind w:left="1134" w:hanging="567"/>
      </w:pPr>
      <w:r>
        <w:t xml:space="preserve">States’ drawdowns from </w:t>
      </w:r>
      <w:proofErr w:type="spellStart"/>
      <w:r>
        <w:t>DisabilityCare</w:t>
      </w:r>
      <w:proofErr w:type="spellEnd"/>
      <w:r>
        <w:t xml:space="preserve"> Australia Fund during the transition phase for the National Disability Insurance Scheme (from 2015</w:t>
      </w:r>
      <w:r>
        <w:noBreakHyphen/>
        <w:t>16).</w:t>
      </w:r>
    </w:p>
    <w:p w:rsidR="00D248AD" w:rsidRPr="004D5C8A" w:rsidRDefault="004D5C8A" w:rsidP="004D5C8A">
      <w:pPr>
        <w:pStyle w:val="Heading3"/>
      </w:pPr>
      <w:r>
        <w:t>B</w:t>
      </w:r>
      <w:r w:rsidRPr="004D5C8A">
        <w:t>ackcasting</w:t>
      </w:r>
    </w:p>
    <w:p w:rsidR="00D248AD" w:rsidRDefault="00D248AD" w:rsidP="00D248AD">
      <w:pPr>
        <w:pStyle w:val="CGCNumberedPara"/>
      </w:pPr>
      <w:r>
        <w:t>If there are major changes in the Commonwealth-State financial relations between the historical years used in the Commission’s assessments and in the year the relativities would be applied, the new arrangements are generally ‘</w:t>
      </w:r>
      <w:proofErr w:type="spellStart"/>
      <w:r>
        <w:t>backcast</w:t>
      </w:r>
      <w:proofErr w:type="spellEnd"/>
      <w:r>
        <w:t xml:space="preserve">’ </w:t>
      </w:r>
      <w:r w:rsidR="009A62DA">
        <w:t xml:space="preserve">into these assessment years </w:t>
      </w:r>
      <w:r>
        <w:t xml:space="preserve">to improve the contemporaneity of the relativities. </w:t>
      </w:r>
      <w:proofErr w:type="spellStart"/>
      <w:r>
        <w:t>Backcasting</w:t>
      </w:r>
      <w:proofErr w:type="spellEnd"/>
      <w:r>
        <w:t xml:space="preserve"> is only done when the application year changes are reliably known and data needed for calculating the </w:t>
      </w:r>
      <w:proofErr w:type="spellStart"/>
      <w:r>
        <w:t>backcast</w:t>
      </w:r>
      <w:proofErr w:type="spellEnd"/>
      <w:r>
        <w:t xml:space="preserve"> amounts are reliable.</w:t>
      </w:r>
    </w:p>
    <w:p w:rsidR="00D248AD" w:rsidRPr="00E94FB3" w:rsidRDefault="00D248AD" w:rsidP="00D248AD">
      <w:pPr>
        <w:pStyle w:val="CGCNumberedPara"/>
        <w:rPr>
          <w:lang w:val="en-US"/>
        </w:rPr>
      </w:pPr>
      <w:r w:rsidRPr="009D4441">
        <w:t>The 2011 Intergovernmental Agreement on Federal Financial Arrangements (IGA</w:t>
      </w:r>
      <w:r>
        <w:t> </w:t>
      </w:r>
      <w:r w:rsidRPr="009D4441">
        <w:t>2011) note</w:t>
      </w:r>
      <w:r>
        <w:t>d</w:t>
      </w:r>
      <w:r w:rsidRPr="009D4441">
        <w:t xml:space="preserve"> that the distribution of the Schools, Skilled workforce development and Affordable housing </w:t>
      </w:r>
      <w:r>
        <w:t>S</w:t>
      </w:r>
      <w:r w:rsidRPr="009D4441">
        <w:t>PPs w</w:t>
      </w:r>
      <w:r>
        <w:t>ould be equal per capita (EPC)</w:t>
      </w:r>
      <w:r w:rsidRPr="009D4441">
        <w:t xml:space="preserve"> (student enrolments for schools) in 2014-15. The National Health Reform base funding and the Disability SPP move</w:t>
      </w:r>
      <w:r>
        <w:t>d</w:t>
      </w:r>
      <w:r w:rsidRPr="009D4441">
        <w:t xml:space="preserve"> to an </w:t>
      </w:r>
      <w:r>
        <w:t>equal per capita (</w:t>
      </w:r>
      <w:r w:rsidRPr="009D4441">
        <w:t>EPC</w:t>
      </w:r>
      <w:r>
        <w:t>)</w:t>
      </w:r>
      <w:r w:rsidRPr="009D4441">
        <w:t xml:space="preserve"> distribution in 2013-14.</w:t>
      </w:r>
    </w:p>
    <w:p w:rsidR="00D248AD" w:rsidRPr="00B671D7" w:rsidRDefault="00D248AD" w:rsidP="00D248AD">
      <w:pPr>
        <w:pStyle w:val="CGCNumberedPara"/>
        <w:rPr>
          <w:lang w:val="en-US"/>
        </w:rPr>
      </w:pPr>
      <w:r>
        <w:t>Since then</w:t>
      </w:r>
      <w:r w:rsidRPr="009D4441">
        <w:t>, there have been further changes in funding arrangements for health and education</w:t>
      </w:r>
      <w:r>
        <w:t xml:space="preserve"> that result in the distribution of these payments moving away from EPC.</w:t>
      </w:r>
    </w:p>
    <w:p w:rsidR="00D248AD" w:rsidRDefault="00D248AD" w:rsidP="00D248AD">
      <w:pPr>
        <w:pStyle w:val="CGCNumberedPara"/>
      </w:pPr>
      <w:r>
        <w:t xml:space="preserve">In this review, we have applied </w:t>
      </w:r>
      <w:proofErr w:type="spellStart"/>
      <w:r>
        <w:t>backcasting</w:t>
      </w:r>
      <w:proofErr w:type="spellEnd"/>
      <w:r>
        <w:t xml:space="preserve"> to the following payments:</w:t>
      </w:r>
    </w:p>
    <w:p w:rsidR="00D248AD" w:rsidRDefault="00D248AD" w:rsidP="00D248AD">
      <w:pPr>
        <w:pStyle w:val="CGCBulletlist"/>
        <w:numPr>
          <w:ilvl w:val="0"/>
          <w:numId w:val="11"/>
        </w:numPr>
        <w:tabs>
          <w:tab w:val="clear" w:pos="927"/>
          <w:tab w:val="left" w:pos="1134"/>
        </w:tabs>
        <w:ind w:left="1134" w:hanging="567"/>
      </w:pPr>
      <w:r>
        <w:t xml:space="preserve">National Skills and workforce development, Affordable Housing, Disability SPPs — </w:t>
      </w:r>
      <w:r w:rsidR="00A431B7">
        <w:t xml:space="preserve">we </w:t>
      </w:r>
      <w:r w:rsidR="009A62DA">
        <w:t xml:space="preserve">have distributed these payment </w:t>
      </w:r>
      <w:r>
        <w:t>based on population share</w:t>
      </w:r>
      <w:r w:rsidR="009A62DA">
        <w:t>s.</w:t>
      </w:r>
    </w:p>
    <w:p w:rsidR="00D248AD" w:rsidRDefault="00D248AD" w:rsidP="00D248AD">
      <w:pPr>
        <w:pStyle w:val="CGCBulletlist"/>
        <w:numPr>
          <w:ilvl w:val="0"/>
          <w:numId w:val="11"/>
        </w:numPr>
        <w:tabs>
          <w:tab w:val="clear" w:pos="927"/>
          <w:tab w:val="left" w:pos="1134"/>
        </w:tabs>
        <w:ind w:left="1134" w:hanging="567"/>
      </w:pPr>
      <w:r>
        <w:t>National health reform (NHR) funding —</w:t>
      </w:r>
      <w:r w:rsidR="009A62DA">
        <w:t xml:space="preserve"> </w:t>
      </w:r>
      <w:r w:rsidR="00A431B7">
        <w:t xml:space="preserve">we </w:t>
      </w:r>
      <w:r>
        <w:t xml:space="preserve">have </w:t>
      </w:r>
      <w:proofErr w:type="spellStart"/>
      <w:r w:rsidR="009A62DA">
        <w:t>backcast</w:t>
      </w:r>
      <w:proofErr w:type="spellEnd"/>
      <w:r>
        <w:t xml:space="preserve"> the 2013-14 distribution published in the Commonwealth’s Final Budget Outcome, adjusted </w:t>
      </w:r>
      <w:r>
        <w:lastRenderedPageBreak/>
        <w:t>for cross border</w:t>
      </w:r>
      <w:r w:rsidR="009A62DA">
        <w:t xml:space="preserve"> services</w:t>
      </w:r>
      <w:r>
        <w:rPr>
          <w:rStyle w:val="FootnoteReference"/>
        </w:rPr>
        <w:footnoteReference w:id="4"/>
      </w:r>
      <w:r w:rsidR="009A62DA">
        <w:t xml:space="preserve"> into the three</w:t>
      </w:r>
      <w:r>
        <w:t xml:space="preserve"> assessment years</w:t>
      </w:r>
      <w:r w:rsidR="009A62DA">
        <w:t>. We have used this distribution because the forecast data for 2014-15 and 2015-16 are not reliable.</w:t>
      </w:r>
    </w:p>
    <w:p w:rsidR="00D248AD" w:rsidRDefault="00D248AD" w:rsidP="00D248AD">
      <w:pPr>
        <w:pStyle w:val="CGCBulletlist"/>
        <w:numPr>
          <w:ilvl w:val="0"/>
          <w:numId w:val="11"/>
        </w:numPr>
        <w:tabs>
          <w:tab w:val="clear" w:pos="927"/>
          <w:tab w:val="left" w:pos="1134"/>
        </w:tabs>
        <w:ind w:left="1134" w:hanging="567"/>
      </w:pPr>
      <w:r>
        <w:t>National education reform funding —</w:t>
      </w:r>
      <w:r w:rsidR="009A62DA">
        <w:t xml:space="preserve"> </w:t>
      </w:r>
      <w:r w:rsidR="00BA7F4E">
        <w:t xml:space="preserve">we </w:t>
      </w:r>
      <w:r>
        <w:t xml:space="preserve">have used the 2015-16 distribution of Students </w:t>
      </w:r>
      <w:r w:rsidR="00BA7F4E">
        <w:t>F</w:t>
      </w:r>
      <w:r>
        <w:t>irst funding for all assessment years to reflect changed funding arrangements and the expense assessment approach.</w:t>
      </w:r>
    </w:p>
    <w:p w:rsidR="00D248AD" w:rsidRDefault="00D248AD" w:rsidP="00D248AD">
      <w:pPr>
        <w:pStyle w:val="CGCNumberedPara"/>
      </w:pPr>
      <w:r>
        <w:t xml:space="preserve">We </w:t>
      </w:r>
      <w:r w:rsidR="009A62DA">
        <w:t xml:space="preserve">do not consider any new </w:t>
      </w:r>
      <w:r>
        <w:t>payments commenc</w:t>
      </w:r>
      <w:r w:rsidR="009A62DA">
        <w:t>ing</w:t>
      </w:r>
      <w:r>
        <w:t xml:space="preserve"> in 2014-15 and 2015-16 published in the </w:t>
      </w:r>
      <w:r w:rsidRPr="00D62A68">
        <w:rPr>
          <w:i/>
        </w:rPr>
        <w:t>Federal Financial Relations, Budget Paper No. 3, 2014-15</w:t>
      </w:r>
      <w:r>
        <w:t xml:space="preserve"> </w:t>
      </w:r>
      <w:r w:rsidR="009A62DA">
        <w:t xml:space="preserve">require </w:t>
      </w:r>
      <w:proofErr w:type="spellStart"/>
      <w:r w:rsidR="009A62DA">
        <w:t>backcasting</w:t>
      </w:r>
      <w:proofErr w:type="spellEnd"/>
      <w:r w:rsidR="009A62DA">
        <w:t xml:space="preserve">. They </w:t>
      </w:r>
      <w:r>
        <w:t>are not made as a result of major change</w:t>
      </w:r>
      <w:r w:rsidR="00F11236">
        <w:t>s</w:t>
      </w:r>
      <w:r>
        <w:t xml:space="preserve"> in Commonwealth-State financial arrangement</w:t>
      </w:r>
      <w:r w:rsidR="00BA7F4E">
        <w:t>s</w:t>
      </w:r>
      <w:r>
        <w:t xml:space="preserve">. Treatment of these new payments will be considered when they appear in the data in the assessment period. </w:t>
      </w:r>
      <w:r w:rsidR="00695230">
        <w:fldChar w:fldCharType="begin"/>
      </w:r>
      <w:r w:rsidR="00695230">
        <w:instrText xml:space="preserve"> REF _Ref411422200 \h </w:instrText>
      </w:r>
      <w:r w:rsidR="00695230">
        <w:fldChar w:fldCharType="separate"/>
      </w:r>
      <w:r w:rsidR="007B6A4C">
        <w:t xml:space="preserve">Table </w:t>
      </w:r>
      <w:r w:rsidR="007B6A4C">
        <w:rPr>
          <w:noProof/>
        </w:rPr>
        <w:t>3</w:t>
      </w:r>
      <w:r w:rsidR="00695230">
        <w:fldChar w:fldCharType="end"/>
      </w:r>
      <w:r w:rsidR="00695230">
        <w:t xml:space="preserve"> </w:t>
      </w:r>
      <w:r w:rsidR="009A62DA">
        <w:t>shows tho</w:t>
      </w:r>
      <w:r>
        <w:t>se payments.</w:t>
      </w:r>
    </w:p>
    <w:p w:rsidR="00D248AD" w:rsidRPr="004D5C8A" w:rsidRDefault="004D5C8A" w:rsidP="004D5C8A">
      <w:pPr>
        <w:pStyle w:val="Heading3"/>
      </w:pPr>
      <w:r>
        <w:t>T</w:t>
      </w:r>
      <w:r w:rsidRPr="004D5C8A">
        <w:t>reatment of payments made in 2011-12 to 2013-14</w:t>
      </w:r>
    </w:p>
    <w:p w:rsidR="00D248AD" w:rsidRDefault="00D248AD" w:rsidP="00D248AD">
      <w:pPr>
        <w:pStyle w:val="CGCNumberedPara"/>
      </w:pPr>
      <w:r>
        <w:rPr>
          <w:highlight w:val="yellow"/>
        </w:rPr>
        <w:fldChar w:fldCharType="begin"/>
      </w:r>
      <w:r>
        <w:instrText xml:space="preserve"> REF _Ref411343611 \h </w:instrText>
      </w:r>
      <w:r>
        <w:rPr>
          <w:highlight w:val="yellow"/>
        </w:rPr>
      </w:r>
      <w:r>
        <w:rPr>
          <w:highlight w:val="yellow"/>
        </w:rPr>
        <w:fldChar w:fldCharType="separate"/>
      </w:r>
      <w:r w:rsidR="007B6A4C">
        <w:t xml:space="preserve">Table </w:t>
      </w:r>
      <w:r w:rsidR="007B6A4C">
        <w:rPr>
          <w:noProof/>
        </w:rPr>
        <w:t>1</w:t>
      </w:r>
      <w:r>
        <w:rPr>
          <w:highlight w:val="yellow"/>
        </w:rPr>
        <w:fldChar w:fldCharType="end"/>
      </w:r>
      <w:r>
        <w:t xml:space="preserve"> shows all payments made in 2011</w:t>
      </w:r>
      <w:r>
        <w:noBreakHyphen/>
        <w:t>12 to 2013</w:t>
      </w:r>
      <w:r>
        <w:noBreakHyphen/>
        <w:t xml:space="preserve">14 and the Commission’s decision on the treatment of each payment. Payments with treatments prescribed by the terms of reference are marked with an asterisk in the table. </w:t>
      </w:r>
    </w:p>
    <w:p w:rsidR="00D248AD" w:rsidRDefault="00D248AD" w:rsidP="00D248AD">
      <w:pPr>
        <w:pStyle w:val="CGCNumberedPara"/>
      </w:pPr>
      <w:r>
        <w:rPr>
          <w:highlight w:val="yellow"/>
        </w:rPr>
        <w:fldChar w:fldCharType="begin"/>
      </w:r>
      <w:r>
        <w:instrText xml:space="preserve"> REF _Ref411343624 \h </w:instrText>
      </w:r>
      <w:r>
        <w:rPr>
          <w:highlight w:val="yellow"/>
        </w:rPr>
      </w:r>
      <w:r>
        <w:rPr>
          <w:highlight w:val="yellow"/>
        </w:rPr>
        <w:fldChar w:fldCharType="separate"/>
      </w:r>
      <w:r w:rsidR="007B6A4C">
        <w:t xml:space="preserve">Table </w:t>
      </w:r>
      <w:r w:rsidR="007B6A4C">
        <w:rPr>
          <w:noProof/>
        </w:rPr>
        <w:t>2</w:t>
      </w:r>
      <w:r>
        <w:rPr>
          <w:highlight w:val="yellow"/>
        </w:rPr>
        <w:fldChar w:fldCharType="end"/>
      </w:r>
      <w:r>
        <w:t xml:space="preserve"> provides a summary of </w:t>
      </w:r>
      <w:r w:rsidR="009A62DA">
        <w:t xml:space="preserve">selected </w:t>
      </w:r>
      <w:r>
        <w:t xml:space="preserve">Commonwealth own-purpose expenses (COPEs) and their treatment. The payments are only those the Commission considered might have an impact on State fiscal capacities and </w:t>
      </w:r>
      <w:r w:rsidR="00E414CE">
        <w:t>on which information could be collected</w:t>
      </w:r>
      <w:r>
        <w:t>.</w:t>
      </w:r>
    </w:p>
    <w:p w:rsidR="00D248AD" w:rsidRDefault="00D248AD" w:rsidP="00D248AD">
      <w:pPr>
        <w:pStyle w:val="CGCNumberedPara"/>
      </w:pPr>
      <w:r>
        <w:t>The treatment of some payments has changed</w:t>
      </w:r>
      <w:r w:rsidR="00E414CE">
        <w:t xml:space="preserve"> since the 2014 Update</w:t>
      </w:r>
      <w:r>
        <w:t>. These are marked in the tables and include</w:t>
      </w:r>
      <w:r w:rsidR="00E414CE">
        <w:t xml:space="preserve"> the following.</w:t>
      </w:r>
    </w:p>
    <w:p w:rsidR="00D248AD" w:rsidRDefault="00D248AD" w:rsidP="00D248AD">
      <w:pPr>
        <w:pStyle w:val="CGCBulletlist"/>
        <w:numPr>
          <w:ilvl w:val="0"/>
          <w:numId w:val="11"/>
        </w:numPr>
        <w:tabs>
          <w:tab w:val="clear" w:pos="927"/>
          <w:tab w:val="left" w:pos="1134"/>
        </w:tabs>
        <w:ind w:left="1134" w:hanging="567"/>
      </w:pPr>
      <w:r>
        <w:t xml:space="preserve">Change in Commonwealth-State responsibilities </w:t>
      </w:r>
      <w:r w:rsidR="00E414CE">
        <w:t>for</w:t>
      </w:r>
      <w:r>
        <w:t xml:space="preserve"> aged care — the 2015</w:t>
      </w:r>
      <w:r w:rsidR="00BA7F4E">
        <w:t> </w:t>
      </w:r>
      <w:r>
        <w:t xml:space="preserve">Review terms of reference no longer require the Commission to treat the transfer of aged care services from the </w:t>
      </w:r>
      <w:r w:rsidR="00AE2813">
        <w:t xml:space="preserve">States </w:t>
      </w:r>
      <w:r>
        <w:t xml:space="preserve">to the </w:t>
      </w:r>
      <w:r w:rsidR="00AE2813">
        <w:t xml:space="preserve">Commonwealth </w:t>
      </w:r>
      <w:r w:rsidR="00E414CE">
        <w:t xml:space="preserve">as </w:t>
      </w:r>
      <w:r>
        <w:t>not impact</w:t>
      </w:r>
      <w:r w:rsidR="00E414CE">
        <w:t>ing</w:t>
      </w:r>
      <w:r>
        <w:t xml:space="preserve"> on the relativities. To reflect the change in responsibilities and our </w:t>
      </w:r>
      <w:r w:rsidR="00AE2813">
        <w:t xml:space="preserve">EPC </w:t>
      </w:r>
      <w:r>
        <w:t>assessment of aged care, we have reversed the 2014 Update treatment of the following payments.</w:t>
      </w:r>
    </w:p>
    <w:p w:rsidR="00D248AD" w:rsidRDefault="00D248AD" w:rsidP="00D248AD">
      <w:pPr>
        <w:pStyle w:val="CGCSubbulletlist"/>
        <w:numPr>
          <w:ilvl w:val="0"/>
          <w:numId w:val="14"/>
        </w:numPr>
        <w:tabs>
          <w:tab w:val="clear" w:pos="927"/>
        </w:tabs>
        <w:ind w:left="1701" w:hanging="567"/>
      </w:pPr>
      <w:r>
        <w:t>Changed roles and responsibilities – adjustment to achieve budget neutrality —</w:t>
      </w:r>
      <w:r w:rsidR="009963DC">
        <w:t xml:space="preserve"> </w:t>
      </w:r>
      <w:r>
        <w:t>the Commonwealth payment</w:t>
      </w:r>
      <w:r w:rsidR="00E414CE">
        <w:t xml:space="preserve"> has been excluded</w:t>
      </w:r>
      <w:r>
        <w:t>, States’ reimbursement to Commonwealth for the notional costs of delivering Community Packages Care and Residential Care services to the younger people (it was excluded in the 2014 Update)</w:t>
      </w:r>
      <w:r w:rsidR="00E414CE">
        <w:t xml:space="preserve"> is included</w:t>
      </w:r>
      <w:r w:rsidR="00AE2813">
        <w:t>.</w:t>
      </w:r>
    </w:p>
    <w:p w:rsidR="00D248AD" w:rsidRDefault="00D248AD" w:rsidP="00D248AD">
      <w:pPr>
        <w:pStyle w:val="CGCSubbulletlist"/>
        <w:numPr>
          <w:ilvl w:val="0"/>
          <w:numId w:val="14"/>
        </w:numPr>
        <w:tabs>
          <w:tab w:val="clear" w:pos="927"/>
        </w:tabs>
        <w:ind w:left="1701" w:hanging="567"/>
      </w:pPr>
      <w:r>
        <w:t>Basic community care maintenance and support services — payment to all States changed from impact to no impact</w:t>
      </w:r>
      <w:r w:rsidR="00AE2813">
        <w:t>.</w:t>
      </w:r>
    </w:p>
    <w:p w:rsidR="00D248AD" w:rsidRDefault="00D248AD" w:rsidP="00D248AD">
      <w:pPr>
        <w:pStyle w:val="CGCSubbulletlist"/>
        <w:numPr>
          <w:ilvl w:val="0"/>
          <w:numId w:val="14"/>
        </w:numPr>
        <w:tabs>
          <w:tab w:val="clear" w:pos="927"/>
        </w:tabs>
        <w:ind w:left="1701" w:hanging="567"/>
      </w:pPr>
      <w:r>
        <w:lastRenderedPageBreak/>
        <w:t>Aged care assessment – payment to all States changed from impact to no impact</w:t>
      </w:r>
      <w:r w:rsidR="00AE2813">
        <w:t>.</w:t>
      </w:r>
    </w:p>
    <w:p w:rsidR="00D248AD" w:rsidRDefault="00D248AD" w:rsidP="00D248AD">
      <w:pPr>
        <w:pStyle w:val="CGCBulletlist"/>
        <w:numPr>
          <w:ilvl w:val="0"/>
          <w:numId w:val="11"/>
        </w:numPr>
        <w:tabs>
          <w:tab w:val="clear" w:pos="927"/>
          <w:tab w:val="left" w:pos="1134"/>
        </w:tabs>
        <w:ind w:left="1134" w:hanging="567"/>
      </w:pPr>
      <w:r>
        <w:t>Remote Indigenous housing – treatment changed from no impact in all years to no impact for 2011-12 and 2012-13, and impact for 2013-14</w:t>
      </w:r>
      <w:r w:rsidR="00BA7F4E">
        <w:t>.</w:t>
      </w:r>
    </w:p>
    <w:p w:rsidR="00D248AD" w:rsidRDefault="00D248AD" w:rsidP="00D248AD">
      <w:pPr>
        <w:pStyle w:val="CGCBulletlist"/>
        <w:numPr>
          <w:ilvl w:val="0"/>
          <w:numId w:val="11"/>
        </w:numPr>
        <w:tabs>
          <w:tab w:val="clear" w:pos="927"/>
          <w:tab w:val="left" w:pos="1134"/>
        </w:tabs>
        <w:ind w:left="1134" w:hanging="567"/>
      </w:pPr>
      <w:r>
        <w:t>Infrastructure investment payments for National rail network, including payments under Building Australia Fund – rail, and Nation Building Program – Investment rail payments – treatment changed from impact to 50% impact and 50% no impact</w:t>
      </w:r>
      <w:r w:rsidR="00BA7F4E">
        <w:t>.</w:t>
      </w:r>
    </w:p>
    <w:p w:rsidR="00D248AD" w:rsidRDefault="00D248AD" w:rsidP="00D248AD">
      <w:pPr>
        <w:pStyle w:val="CGCBulletlist"/>
        <w:numPr>
          <w:ilvl w:val="0"/>
          <w:numId w:val="11"/>
        </w:numPr>
        <w:tabs>
          <w:tab w:val="clear" w:pos="927"/>
          <w:tab w:val="left" w:pos="1134"/>
        </w:tabs>
        <w:ind w:left="1134" w:hanging="567"/>
      </w:pPr>
      <w:r>
        <w:t xml:space="preserve">Australian Capital Territory emergency </w:t>
      </w:r>
      <w:r w:rsidR="00BA7F4E">
        <w:t xml:space="preserve">services </w:t>
      </w:r>
      <w:r>
        <w:t>– treatment changed from impact to no impact</w:t>
      </w:r>
      <w:r w:rsidR="00BA7F4E">
        <w:t>.</w:t>
      </w:r>
    </w:p>
    <w:p w:rsidR="00D248AD" w:rsidRDefault="00D248AD" w:rsidP="00D248AD">
      <w:pPr>
        <w:pStyle w:val="CGCBulletlist"/>
        <w:numPr>
          <w:ilvl w:val="0"/>
          <w:numId w:val="11"/>
        </w:numPr>
        <w:tabs>
          <w:tab w:val="clear" w:pos="927"/>
          <w:tab w:val="left" w:pos="1134"/>
        </w:tabs>
        <w:ind w:left="1134" w:hanging="567"/>
      </w:pPr>
      <w:r>
        <w:t>COPE for National emergency management projects – treatment changed from impact to no impact.</w:t>
      </w:r>
    </w:p>
    <w:p w:rsidR="00D248AD" w:rsidRDefault="00D248AD" w:rsidP="00D248AD">
      <w:pPr>
        <w:pStyle w:val="CGCNumberedPara"/>
      </w:pPr>
      <w:r>
        <w:t>South Australia asked us to reconsider the treatment of the Sustainable rural water use and infrastructure program (SRWUIP). It argued a number of significant SRWUIP projects were for protection of the environment and should not impact on the relativities because related needs are not assessed. We reviewed the projects covered by the SRWUIP and found that the majority of the payments were for agriculture and urban water supply</w:t>
      </w:r>
      <w:r w:rsidR="00EF0636">
        <w:t>, which are assessed differentially</w:t>
      </w:r>
      <w:r>
        <w:t>. For this reason, we decided to continue treating SRWUIP payment as impacting on the relativities.</w:t>
      </w:r>
    </w:p>
    <w:p w:rsidR="00445CFD" w:rsidRDefault="00445CFD" w:rsidP="00445CFD">
      <w:pPr>
        <w:pStyle w:val="CGCBulletlist"/>
        <w:numPr>
          <w:ilvl w:val="0"/>
          <w:numId w:val="11"/>
        </w:numPr>
        <w:tabs>
          <w:tab w:val="clear" w:pos="927"/>
          <w:tab w:val="left" w:pos="1134"/>
        </w:tabs>
        <w:ind w:left="1134" w:hanging="567"/>
        <w:sectPr w:rsidR="00445CFD" w:rsidSect="006A7524">
          <w:headerReference w:type="default" r:id="rId12"/>
          <w:footerReference w:type="default" r:id="rId13"/>
          <w:headerReference w:type="first" r:id="rId14"/>
          <w:footerReference w:type="first" r:id="rId15"/>
          <w:pgSz w:w="11899" w:h="16838" w:code="9"/>
          <w:pgMar w:top="1701" w:right="1474" w:bottom="1701" w:left="1474" w:header="709" w:footer="709" w:gutter="0"/>
          <w:cols w:space="708"/>
          <w:titlePg/>
          <w:docGrid w:linePitch="299"/>
        </w:sectPr>
      </w:pPr>
    </w:p>
    <w:p w:rsidR="00445CFD" w:rsidRDefault="00445CFD" w:rsidP="00445CFD">
      <w:pPr>
        <w:pStyle w:val="Caption"/>
      </w:pPr>
      <w:bookmarkStart w:id="16" w:name="_Ref411343611"/>
      <w:r>
        <w:lastRenderedPageBreak/>
        <w:t xml:space="preserve">Table </w:t>
      </w:r>
      <w:fldSimple w:instr=" SEQ Table \* ARABIC \r1 ">
        <w:r w:rsidR="007B6A4C">
          <w:rPr>
            <w:noProof/>
          </w:rPr>
          <w:t>1</w:t>
        </w:r>
      </w:fldSimple>
      <w:bookmarkEnd w:id="16"/>
      <w:r w:rsidRPr="009914AE">
        <w:tab/>
        <w:t xml:space="preserve">Payments listed in </w:t>
      </w:r>
      <w:r w:rsidR="00BA7F4E">
        <w:t xml:space="preserve">the </w:t>
      </w:r>
      <w:r w:rsidRPr="009914AE">
        <w:t>Commonwealth’s final budget outcome documents</w:t>
      </w:r>
    </w:p>
    <w:tbl>
      <w:tblPr>
        <w:tblW w:w="5000" w:type="pct"/>
        <w:tblBorders>
          <w:top w:val="single" w:sz="6" w:space="0" w:color="auto"/>
          <w:bottom w:val="single" w:sz="6" w:space="0" w:color="auto"/>
        </w:tblBorders>
        <w:tblCellMar>
          <w:left w:w="85" w:type="dxa"/>
          <w:right w:w="85" w:type="dxa"/>
        </w:tblCellMar>
        <w:tblLook w:val="0000" w:firstRow="0" w:lastRow="0" w:firstColumn="0" w:lastColumn="0" w:noHBand="0" w:noVBand="0"/>
      </w:tblPr>
      <w:tblGrid>
        <w:gridCol w:w="1821"/>
        <w:gridCol w:w="3962"/>
        <w:gridCol w:w="1834"/>
        <w:gridCol w:w="2120"/>
        <w:gridCol w:w="1978"/>
        <w:gridCol w:w="1891"/>
      </w:tblGrid>
      <w:tr w:rsidR="00445CFD" w:rsidRPr="00445CFD" w:rsidTr="00A5067D">
        <w:trPr>
          <w:cantSplit/>
          <w:tblHeader/>
        </w:trPr>
        <w:tc>
          <w:tcPr>
            <w:tcW w:w="669" w:type="pct"/>
            <w:tcBorders>
              <w:top w:val="single" w:sz="6" w:space="0" w:color="auto"/>
              <w:bottom w:val="single" w:sz="4" w:space="0" w:color="auto"/>
            </w:tcBorders>
            <w:vAlign w:val="center"/>
          </w:tcPr>
          <w:p w:rsidR="00445CFD" w:rsidRPr="00445CFD" w:rsidRDefault="00445CFD" w:rsidP="00445CFD">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Payment</w:t>
            </w:r>
          </w:p>
        </w:tc>
        <w:tc>
          <w:tcPr>
            <w:tcW w:w="1456" w:type="pct"/>
            <w:tcBorders>
              <w:top w:val="single" w:sz="6" w:space="0" w:color="auto"/>
              <w:bottom w:val="single" w:sz="4" w:space="0" w:color="auto"/>
            </w:tcBorders>
            <w:vAlign w:val="center"/>
          </w:tcPr>
          <w:p w:rsidR="00445CFD" w:rsidRPr="00445CFD" w:rsidRDefault="00445CFD" w:rsidP="00445CFD">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Program description</w:t>
            </w:r>
          </w:p>
        </w:tc>
        <w:tc>
          <w:tcPr>
            <w:tcW w:w="674" w:type="pct"/>
            <w:tcBorders>
              <w:top w:val="single" w:sz="6" w:space="0" w:color="auto"/>
              <w:bottom w:val="single" w:sz="4" w:space="0" w:color="auto"/>
            </w:tcBorders>
            <w:vAlign w:val="center"/>
          </w:tcPr>
          <w:p w:rsidR="00445CFD" w:rsidRPr="00445CFD" w:rsidRDefault="00445CFD" w:rsidP="00445CFD">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Years paid in R2015</w:t>
            </w:r>
          </w:p>
        </w:tc>
        <w:tc>
          <w:tcPr>
            <w:tcW w:w="779" w:type="pct"/>
            <w:tcBorders>
              <w:top w:val="single" w:sz="6" w:space="0" w:color="auto"/>
              <w:bottom w:val="single" w:sz="4" w:space="0" w:color="auto"/>
            </w:tcBorders>
            <w:vAlign w:val="center"/>
          </w:tcPr>
          <w:p w:rsidR="00445CFD" w:rsidRPr="00445CFD" w:rsidRDefault="00445CFD" w:rsidP="00445CFD">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Treatment in R2015</w:t>
            </w:r>
          </w:p>
        </w:tc>
        <w:tc>
          <w:tcPr>
            <w:tcW w:w="727" w:type="pct"/>
            <w:tcBorders>
              <w:top w:val="single" w:sz="6" w:space="0" w:color="auto"/>
              <w:bottom w:val="single" w:sz="4" w:space="0" w:color="auto"/>
            </w:tcBorders>
            <w:vAlign w:val="center"/>
          </w:tcPr>
          <w:p w:rsidR="00445CFD" w:rsidRPr="00445CFD" w:rsidRDefault="00445CFD" w:rsidP="00445CFD">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Reason for change from U2014</w:t>
            </w:r>
          </w:p>
        </w:tc>
        <w:tc>
          <w:tcPr>
            <w:tcW w:w="695" w:type="pct"/>
            <w:tcBorders>
              <w:top w:val="single" w:sz="6" w:space="0" w:color="auto"/>
              <w:bottom w:val="single" w:sz="4" w:space="0" w:color="auto"/>
            </w:tcBorders>
            <w:vAlign w:val="center"/>
          </w:tcPr>
          <w:p w:rsidR="00445CFD" w:rsidRPr="00445CFD" w:rsidRDefault="00445CFD" w:rsidP="00445CFD">
            <w:pPr>
              <w:keepNext/>
              <w:keepLines/>
              <w:tabs>
                <w:tab w:val="left" w:pos="475"/>
                <w:tab w:val="left" w:pos="1440"/>
                <w:tab w:val="left" w:pos="2160"/>
                <w:tab w:val="left" w:pos="2880"/>
              </w:tabs>
              <w:spacing w:before="60" w:after="60" w:line="240" w:lineRule="auto"/>
              <w:rPr>
                <w:rFonts w:ascii="Calibri" w:eastAsia="Calibri" w:hAnsi="Calibri" w:cs="Calibri"/>
                <w:sz w:val="18"/>
                <w:szCs w:val="18"/>
              </w:rPr>
            </w:pPr>
            <w:r w:rsidRPr="00445CFD">
              <w:rPr>
                <w:rFonts w:ascii="Calibri" w:eastAsia="Calibri" w:hAnsi="Calibri" w:cs="Calibri"/>
                <w:sz w:val="18"/>
                <w:szCs w:val="18"/>
              </w:rPr>
              <w:t>Reason for ‘No impact’</w:t>
            </w:r>
          </w:p>
        </w:tc>
      </w:tr>
      <w:tr w:rsidR="00445CFD" w:rsidRPr="00445CFD" w:rsidTr="00A5067D">
        <w:trPr>
          <w:cantSplit/>
        </w:trPr>
        <w:tc>
          <w:tcPr>
            <w:tcW w:w="5000" w:type="pct"/>
            <w:gridSpan w:val="6"/>
            <w:tcBorders>
              <w:top w:val="single" w:sz="4" w:space="0" w:color="auto"/>
            </w:tcBorders>
            <w:vAlign w:val="bottom"/>
          </w:tcPr>
          <w:p w:rsidR="00445CFD" w:rsidRPr="00445CFD" w:rsidRDefault="00445CFD" w:rsidP="00445CFD">
            <w:pPr>
              <w:spacing w:line="240" w:lineRule="auto"/>
              <w:rPr>
                <w:rFonts w:ascii="Calibri" w:eastAsia="Calibri" w:hAnsi="Calibri" w:cs="Times New Roman"/>
                <w:b/>
                <w:sz w:val="18"/>
                <w:szCs w:val="18"/>
              </w:rPr>
            </w:pPr>
            <w:r w:rsidRPr="00445CFD">
              <w:rPr>
                <w:rFonts w:ascii="Calibri" w:eastAsia="Calibri" w:hAnsi="Calibri" w:cs="Times New Roman"/>
                <w:b/>
                <w:sz w:val="18"/>
                <w:szCs w:val="18"/>
              </w:rPr>
              <w:t>GENERAL REVENUE ASSISTANCE</w:t>
            </w:r>
          </w:p>
        </w:tc>
      </w:tr>
      <w:tr w:rsidR="00445CFD" w:rsidRPr="00445CFD" w:rsidTr="00A5067D">
        <w:trPr>
          <w:cantSplit/>
        </w:trPr>
        <w:tc>
          <w:tcPr>
            <w:tcW w:w="669" w:type="pct"/>
            <w:vAlign w:val="bottom"/>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GST Payments</w:t>
            </w:r>
          </w:p>
        </w:tc>
        <w:tc>
          <w:tcPr>
            <w:tcW w:w="1456" w:type="pct"/>
            <w:vAlign w:val="bottom"/>
          </w:tcPr>
          <w:p w:rsidR="00445CFD" w:rsidRPr="00445CFD" w:rsidRDefault="00445CFD" w:rsidP="00445CFD">
            <w:pPr>
              <w:spacing w:line="240" w:lineRule="auto"/>
              <w:rPr>
                <w:rFonts w:ascii="Calibri" w:eastAsia="Calibri" w:hAnsi="Calibri" w:cs="Times New Roman"/>
                <w:sz w:val="18"/>
                <w:szCs w:val="18"/>
              </w:rPr>
            </w:pPr>
          </w:p>
        </w:tc>
        <w:tc>
          <w:tcPr>
            <w:tcW w:w="674" w:type="pct"/>
            <w:vAlign w:val="bottom"/>
          </w:tcPr>
          <w:p w:rsidR="00445CFD" w:rsidRPr="00445CFD" w:rsidRDefault="000422F7" w:rsidP="000422F7">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sidRPr="00445CFD">
              <w:rPr>
                <w:rFonts w:ascii="Calibri" w:eastAsia="Calibri" w:hAnsi="Calibri" w:cs="Times New Roman"/>
                <w:sz w:val="18"/>
                <w:szCs w:val="18"/>
              </w:rPr>
              <w:t>2011-12 to 2013-14</w:t>
            </w:r>
          </w:p>
        </w:tc>
        <w:tc>
          <w:tcPr>
            <w:tcW w:w="779" w:type="pct"/>
            <w:vAlign w:val="bottom"/>
          </w:tcPr>
          <w:p w:rsidR="00445CFD" w:rsidRPr="00445CFD" w:rsidRDefault="000422F7" w:rsidP="000422F7">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Pr>
                <w:rFonts w:ascii="Calibri" w:eastAsia="Calibri" w:hAnsi="Calibri" w:cs="Calibri"/>
                <w:sz w:val="18"/>
                <w:szCs w:val="18"/>
              </w:rPr>
              <w:t>Pool for relativities</w:t>
            </w:r>
          </w:p>
        </w:tc>
        <w:tc>
          <w:tcPr>
            <w:tcW w:w="727" w:type="pct"/>
            <w:vAlign w:val="bottom"/>
          </w:tcPr>
          <w:p w:rsidR="00445CFD" w:rsidRPr="00445CFD" w:rsidRDefault="00445CFD" w:rsidP="00445CFD">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c>
          <w:tcPr>
            <w:tcW w:w="695" w:type="pct"/>
            <w:vAlign w:val="bottom"/>
          </w:tcPr>
          <w:p w:rsidR="00445CFD" w:rsidRPr="00445CFD" w:rsidRDefault="00445CFD" w:rsidP="00445CFD">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r>
      <w:tr w:rsidR="00445CFD" w:rsidRPr="00445CFD" w:rsidTr="000422F7">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ACT municipal services</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Payments to assist the ACT to meet the additional municipal costs which arise from Canberra’s role as the national capital, and to compensate the ACT for additional costs resulting from  the national capital planning influences on the provision of water and sewerage services. </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vAlign w:val="bottom"/>
          </w:tcPr>
          <w:p w:rsidR="00445CFD" w:rsidRPr="00445CFD" w:rsidRDefault="00445CFD" w:rsidP="00445CFD">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c>
          <w:tcPr>
            <w:tcW w:w="695" w:type="pct"/>
          </w:tcPr>
          <w:p w:rsidR="00445CFD" w:rsidRPr="00445CFD" w:rsidRDefault="000422F7" w:rsidP="000422F7">
            <w:pPr>
              <w:keepNext/>
              <w:keepLines/>
              <w:tabs>
                <w:tab w:val="left" w:pos="475"/>
                <w:tab w:val="left" w:pos="1440"/>
                <w:tab w:val="left" w:pos="2160"/>
                <w:tab w:val="left" w:pos="2880"/>
              </w:tabs>
              <w:spacing w:before="60" w:after="60" w:line="200" w:lineRule="atLeast"/>
              <w:rPr>
                <w:rFonts w:ascii="Calibri" w:eastAsia="Calibri" w:hAnsi="Calibri" w:cs="Calibri"/>
                <w:sz w:val="18"/>
                <w:szCs w:val="18"/>
              </w:rPr>
            </w:pPr>
            <w:r>
              <w:rPr>
                <w:rFonts w:ascii="Calibri" w:eastAsia="Calibri" w:hAnsi="Calibri" w:cs="Calibri"/>
                <w:sz w:val="18"/>
                <w:szCs w:val="18"/>
              </w:rPr>
              <w:t>Local – needs not assessed</w:t>
            </w: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Reduced royalties </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to Western Australia for the loss of shared offshore petroleum royalty revenue resulting from imposing the crude oil excise on condensate. This arises because crude oil excise payments are a deductible expense for calculating the offshore petroleum royalty.</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Mining revenue and assessed APC</w:t>
            </w:r>
          </w:p>
        </w:tc>
        <w:tc>
          <w:tcPr>
            <w:tcW w:w="727" w:type="pct"/>
            <w:vAlign w:val="bottom"/>
          </w:tcPr>
          <w:p w:rsidR="00445CFD" w:rsidRPr="00445CFD" w:rsidRDefault="00445CFD" w:rsidP="00445CFD">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c>
          <w:tcPr>
            <w:tcW w:w="695" w:type="pct"/>
            <w:vAlign w:val="bottom"/>
          </w:tcPr>
          <w:p w:rsidR="00445CFD" w:rsidRPr="00445CFD" w:rsidRDefault="00445CFD" w:rsidP="00445CFD">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Royalties</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Includes the transfer of two-thirds of </w:t>
            </w:r>
            <w:r w:rsidR="00BA7F4E">
              <w:rPr>
                <w:rFonts w:ascii="Calibri" w:eastAsia="Calibri" w:hAnsi="Calibri" w:cs="Times New Roman"/>
                <w:sz w:val="18"/>
                <w:szCs w:val="18"/>
              </w:rPr>
              <w:t xml:space="preserve">the </w:t>
            </w:r>
            <w:r w:rsidRPr="00445CFD">
              <w:rPr>
                <w:rFonts w:ascii="Calibri" w:eastAsia="Calibri" w:hAnsi="Calibri" w:cs="Times New Roman"/>
                <w:sz w:val="18"/>
                <w:szCs w:val="18"/>
              </w:rPr>
              <w:t>Commonwealth Government’s petroleum royalties from North West Shelf Project to Western Australia; and payment to the Northern Territory in lieu of uranium royalties.</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Mining revenue and assessed APC</w:t>
            </w:r>
          </w:p>
        </w:tc>
        <w:tc>
          <w:tcPr>
            <w:tcW w:w="727" w:type="pct"/>
            <w:vAlign w:val="bottom"/>
          </w:tcPr>
          <w:p w:rsidR="00445CFD" w:rsidRPr="00445CFD" w:rsidRDefault="00445CFD" w:rsidP="00445CFD">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c>
          <w:tcPr>
            <w:tcW w:w="695" w:type="pct"/>
            <w:vAlign w:val="bottom"/>
          </w:tcPr>
          <w:p w:rsidR="00445CFD" w:rsidRPr="00445CFD" w:rsidRDefault="00445CFD" w:rsidP="00445CFD">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Snowy Hydro Ltd — company tax compensation</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To compensate Victoria and New South Wales for company tax payments by Snowy Hydro Ltd. </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Other revenue and assessed EPC</w:t>
            </w:r>
          </w:p>
        </w:tc>
        <w:tc>
          <w:tcPr>
            <w:tcW w:w="727" w:type="pct"/>
            <w:vAlign w:val="bottom"/>
          </w:tcPr>
          <w:p w:rsidR="00445CFD" w:rsidRPr="00445CFD" w:rsidRDefault="00445CFD" w:rsidP="00445CFD">
            <w:pPr>
              <w:spacing w:line="240" w:lineRule="auto"/>
              <w:rPr>
                <w:rFonts w:ascii="Calibri" w:eastAsia="Calibri" w:hAnsi="Calibri" w:cs="Calibri"/>
                <w:sz w:val="18"/>
                <w:szCs w:val="18"/>
              </w:rPr>
            </w:pPr>
          </w:p>
        </w:tc>
        <w:tc>
          <w:tcPr>
            <w:tcW w:w="695" w:type="pct"/>
            <w:vAlign w:val="bottom"/>
          </w:tcPr>
          <w:p w:rsidR="00445CFD" w:rsidRPr="00445CFD" w:rsidRDefault="00445CFD" w:rsidP="00445CFD">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r>
      <w:tr w:rsidR="00445CFD" w:rsidRPr="00445CFD" w:rsidTr="00A5067D">
        <w:trPr>
          <w:cantSplit/>
        </w:trPr>
        <w:tc>
          <w:tcPr>
            <w:tcW w:w="5000" w:type="pct"/>
            <w:gridSpan w:val="6"/>
            <w:vAlign w:val="bottom"/>
          </w:tcPr>
          <w:p w:rsidR="00445CFD" w:rsidRPr="00445CFD" w:rsidRDefault="00445CFD" w:rsidP="00445CFD">
            <w:pPr>
              <w:spacing w:line="240" w:lineRule="auto"/>
              <w:rPr>
                <w:rFonts w:ascii="Calibri" w:eastAsia="Calibri" w:hAnsi="Calibri" w:cs="Times New Roman"/>
                <w:b/>
                <w:sz w:val="18"/>
                <w:szCs w:val="18"/>
              </w:rPr>
            </w:pPr>
            <w:r w:rsidRPr="00445CFD">
              <w:rPr>
                <w:rFonts w:ascii="Calibri" w:eastAsia="Calibri" w:hAnsi="Calibri" w:cs="Times New Roman"/>
                <w:b/>
                <w:sz w:val="18"/>
                <w:szCs w:val="18"/>
              </w:rPr>
              <w:t>HEALTH</w:t>
            </w: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healthcare SPP</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support State healthcare services. </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445CFD" w:rsidRPr="00445CFD" w:rsidRDefault="00445CFD" w:rsidP="00445CFD">
            <w:pPr>
              <w:spacing w:line="240" w:lineRule="auto"/>
              <w:rPr>
                <w:rFonts w:ascii="Calibri" w:eastAsia="Calibri" w:hAnsi="Calibri" w:cs="Times New Roman"/>
                <w:sz w:val="18"/>
                <w:szCs w:val="18"/>
              </w:rPr>
            </w:pPr>
          </w:p>
        </w:tc>
        <w:tc>
          <w:tcPr>
            <w:tcW w:w="695" w:type="pct"/>
          </w:tcPr>
          <w:p w:rsidR="00445CFD" w:rsidRPr="00445CFD" w:rsidRDefault="00445CFD" w:rsidP="00445CFD">
            <w:pPr>
              <w:spacing w:line="240" w:lineRule="auto"/>
              <w:rPr>
                <w:rFonts w:ascii="Calibri" w:eastAsia="Calibri" w:hAnsi="Calibri" w:cs="Times New Roman"/>
                <w:sz w:val="18"/>
                <w:szCs w:val="18"/>
              </w:rPr>
            </w:pP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lastRenderedPageBreak/>
              <w:t>National health reform funding</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This funding replaces the National Healthcare SPP. The majority of the Commonwealth funding for public hospital services is provided as activity based funding, based on an efficient price for hospital services determined by the Independent Hospital Pricing Authority. The funding also includes an explicit component for public health. </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 to 2013-14</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445CFD" w:rsidRPr="00445CFD" w:rsidRDefault="00445CFD" w:rsidP="00445CFD">
            <w:pPr>
              <w:spacing w:line="240" w:lineRule="auto"/>
              <w:rPr>
                <w:rFonts w:ascii="Calibri" w:eastAsia="Calibri" w:hAnsi="Calibri" w:cs="Times New Roman"/>
                <w:sz w:val="18"/>
                <w:szCs w:val="18"/>
              </w:rPr>
            </w:pPr>
          </w:p>
        </w:tc>
        <w:tc>
          <w:tcPr>
            <w:tcW w:w="695" w:type="pct"/>
          </w:tcPr>
          <w:p w:rsidR="00445CFD" w:rsidRPr="00445CFD" w:rsidRDefault="00445CFD" w:rsidP="00445CFD">
            <w:pPr>
              <w:spacing w:line="240" w:lineRule="auto"/>
              <w:rPr>
                <w:rFonts w:ascii="Calibri" w:eastAsia="Calibri" w:hAnsi="Calibri" w:cs="Times New Roman"/>
                <w:sz w:val="18"/>
                <w:szCs w:val="18"/>
              </w:rPr>
            </w:pPr>
          </w:p>
        </w:tc>
      </w:tr>
      <w:tr w:rsidR="00445CFD" w:rsidRPr="00445CFD" w:rsidTr="00A5067D">
        <w:trPr>
          <w:cantSplit/>
        </w:trPr>
        <w:tc>
          <w:tcPr>
            <w:tcW w:w="5000" w:type="pct"/>
            <w:gridSpan w:val="6"/>
            <w:vAlign w:val="bottom"/>
          </w:tcPr>
          <w:p w:rsidR="00445CFD" w:rsidRPr="00445CFD" w:rsidRDefault="00445CFD" w:rsidP="00445CFD">
            <w:pPr>
              <w:keepNext/>
              <w:spacing w:line="240" w:lineRule="auto"/>
              <w:rPr>
                <w:rFonts w:ascii="Calibri" w:eastAsia="Calibri" w:hAnsi="Calibri" w:cs="Calibri"/>
                <w:b/>
                <w:sz w:val="18"/>
                <w:szCs w:val="18"/>
              </w:rPr>
            </w:pPr>
            <w:r w:rsidRPr="00445CFD">
              <w:rPr>
                <w:rFonts w:ascii="Calibri" w:eastAsia="Calibri" w:hAnsi="Calibri" w:cs="Times New Roman"/>
                <w:b/>
                <w:sz w:val="18"/>
                <w:szCs w:val="18"/>
              </w:rPr>
              <w:t>National Partnership Payments</w:t>
            </w:r>
          </w:p>
        </w:tc>
      </w:tr>
      <w:tr w:rsidR="00445CFD" w:rsidRPr="00445CFD" w:rsidTr="00A5067D">
        <w:trPr>
          <w:cantSplit/>
        </w:trPr>
        <w:tc>
          <w:tcPr>
            <w:tcW w:w="5000" w:type="pct"/>
            <w:gridSpan w:val="6"/>
          </w:tcPr>
          <w:p w:rsidR="00445CFD" w:rsidRPr="000422F7" w:rsidRDefault="00445CFD" w:rsidP="00445CFD">
            <w:pPr>
              <w:spacing w:line="240" w:lineRule="auto"/>
              <w:rPr>
                <w:rFonts w:ascii="Calibri" w:eastAsia="Calibri" w:hAnsi="Calibri" w:cs="Times New Roman"/>
                <w:b/>
                <w:i/>
                <w:sz w:val="18"/>
                <w:szCs w:val="18"/>
              </w:rPr>
            </w:pPr>
            <w:r w:rsidRPr="000422F7">
              <w:rPr>
                <w:rFonts w:ascii="Calibri" w:eastAsia="Calibri" w:hAnsi="Calibri" w:cs="Times New Roman"/>
                <w:b/>
                <w:i/>
                <w:sz w:val="18"/>
                <w:szCs w:val="18"/>
              </w:rPr>
              <w:t>National Health Reform</w:t>
            </w:r>
          </w:p>
        </w:tc>
      </w:tr>
      <w:tr w:rsidR="000422F7" w:rsidRPr="00445CFD" w:rsidTr="00A5067D">
        <w:trPr>
          <w:cantSplit/>
        </w:trPr>
        <w:tc>
          <w:tcPr>
            <w:tcW w:w="669" w:type="pct"/>
          </w:tcPr>
          <w:p w:rsidR="000422F7" w:rsidRPr="00445CFD" w:rsidRDefault="000422F7"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Supporting National Health Reform Arrangements  – </w:t>
            </w:r>
            <w:r>
              <w:rPr>
                <w:rFonts w:ascii="Calibri" w:eastAsia="Calibri" w:hAnsi="Calibri" w:cs="Times New Roman"/>
                <w:sz w:val="18"/>
                <w:szCs w:val="18"/>
              </w:rPr>
              <w:t xml:space="preserve"> </w:t>
            </w:r>
            <w:r w:rsidRPr="00445CFD">
              <w:rPr>
                <w:rFonts w:ascii="Calibri" w:eastAsia="Calibri" w:hAnsi="Calibri" w:cs="Times New Roman"/>
                <w:sz w:val="18"/>
                <w:szCs w:val="18"/>
              </w:rPr>
              <w:t>Public hospital system – additional funding</w:t>
            </w:r>
          </w:p>
        </w:tc>
        <w:tc>
          <w:tcPr>
            <w:tcW w:w="1456" w:type="pct"/>
          </w:tcPr>
          <w:p w:rsidR="000422F7" w:rsidRPr="00445CFD" w:rsidRDefault="000422F7" w:rsidP="000422F7">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offset downward adjustments in National Health Reform funding during 2013-14. This funding will increase certainty to Local Hospital Networks from these within-year adjustments.</w:t>
            </w:r>
          </w:p>
        </w:tc>
        <w:tc>
          <w:tcPr>
            <w:tcW w:w="674" w:type="pct"/>
          </w:tcPr>
          <w:p w:rsidR="000422F7" w:rsidRPr="00445CFD" w:rsidRDefault="000422F7" w:rsidP="000422F7">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779" w:type="pct"/>
          </w:tcPr>
          <w:p w:rsidR="000422F7" w:rsidRPr="00445CFD" w:rsidRDefault="000422F7" w:rsidP="000422F7">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0422F7" w:rsidRPr="00445CFD" w:rsidRDefault="000422F7" w:rsidP="00445CFD">
            <w:pPr>
              <w:spacing w:line="240" w:lineRule="auto"/>
              <w:rPr>
                <w:rFonts w:ascii="Calibri" w:eastAsia="Calibri" w:hAnsi="Calibri" w:cs="Times New Roman"/>
                <w:sz w:val="18"/>
                <w:szCs w:val="18"/>
              </w:rPr>
            </w:pPr>
          </w:p>
        </w:tc>
        <w:tc>
          <w:tcPr>
            <w:tcW w:w="695" w:type="pct"/>
          </w:tcPr>
          <w:p w:rsidR="000422F7" w:rsidRPr="00445CFD" w:rsidRDefault="000422F7" w:rsidP="00445CFD">
            <w:pPr>
              <w:rPr>
                <w:rFonts w:ascii="Calibri" w:eastAsia="Calibri" w:hAnsi="Calibri" w:cs="Times New Roman"/>
              </w:rPr>
            </w:pP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Improving public hospital services (IPHS) - Flexible funding for emergency departments, elective surgery and subacute care</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increase hospital capacity and improve services to patients through a flexible funding pool. The funding pool gives the States additional capacity to respond to capital and recurrent cost needs in the public hospital system in relation to emergency departments, elective surgery and subacute care.</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445CFD" w:rsidRPr="00445CFD" w:rsidRDefault="00445CFD" w:rsidP="00445CFD">
            <w:pPr>
              <w:spacing w:line="240" w:lineRule="auto"/>
              <w:rPr>
                <w:rFonts w:ascii="Calibri" w:eastAsia="Calibri" w:hAnsi="Calibri" w:cs="Times New Roman"/>
                <w:sz w:val="18"/>
                <w:szCs w:val="18"/>
              </w:rPr>
            </w:pPr>
          </w:p>
        </w:tc>
        <w:tc>
          <w:tcPr>
            <w:tcW w:w="695" w:type="pct"/>
          </w:tcPr>
          <w:p w:rsidR="00445CFD" w:rsidRPr="00445CFD" w:rsidRDefault="00445CFD" w:rsidP="00445CFD">
            <w:pPr>
              <w:rPr>
                <w:rFonts w:ascii="Calibri" w:eastAsia="Calibri" w:hAnsi="Calibri" w:cs="Times New Roman"/>
              </w:rPr>
            </w:pP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lastRenderedPageBreak/>
              <w:t>IPHS – National emergency access target</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reduce the time taken to treat, admit or discharge patients in public hospital emergency departments as part of a reform to introduce a four hour national emergency access target for emergency department treatment. </w:t>
            </w:r>
          </w:p>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Capital funding — funding for the expansion of emergency departments and associated facilities. </w:t>
            </w:r>
          </w:p>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Facilitation funding — funding to achieve the national emergency access target.</w:t>
            </w:r>
          </w:p>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Reward funding — funding to reward jurisdictions based on their achievement against the national emergency access target as assessed by the COAG Reform Council.</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Capital and facilitation funding — impact; Reward payment — no impact</w:t>
            </w:r>
          </w:p>
        </w:tc>
        <w:tc>
          <w:tcPr>
            <w:tcW w:w="727" w:type="pct"/>
          </w:tcPr>
          <w:p w:rsidR="00445CFD" w:rsidRPr="00445CFD" w:rsidRDefault="00445CFD" w:rsidP="00445CFD">
            <w:pPr>
              <w:spacing w:line="240" w:lineRule="auto"/>
              <w:rPr>
                <w:rFonts w:ascii="Calibri" w:eastAsia="Calibri" w:hAnsi="Calibri" w:cs="Times New Roman"/>
                <w:sz w:val="18"/>
                <w:szCs w:val="18"/>
              </w:rPr>
            </w:pPr>
          </w:p>
        </w:tc>
        <w:tc>
          <w:tcPr>
            <w:tcW w:w="695"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Reward payment — no impact as required by terms of reference</w:t>
            </w: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IPHS – National elective surgery target</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ensure elective surgery patients are seen within clinically recommended times.</w:t>
            </w:r>
          </w:p>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Capital funding — funding for the expansion of elective surgery facilities to ensure that, by the end of 2016, 100% of public hospital elective surgery patients in all urgent categories are treated within the clinically recommended times. </w:t>
            </w:r>
          </w:p>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Facilitation funding — funding to achieve the national elective surgery targets.</w:t>
            </w:r>
          </w:p>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Reward funding — funding to reward jurisdictions based on their achievement against the national target as assed by the COAG Reform Council.</w:t>
            </w:r>
          </w:p>
        </w:tc>
        <w:tc>
          <w:tcPr>
            <w:tcW w:w="674" w:type="pct"/>
          </w:tcPr>
          <w:p w:rsidR="00445CFD" w:rsidRPr="00445CFD" w:rsidRDefault="000422F7" w:rsidP="000422F7">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2011-12 </w:t>
            </w:r>
            <w:r>
              <w:rPr>
                <w:rFonts w:ascii="Calibri" w:eastAsia="Calibri" w:hAnsi="Calibri" w:cs="Times New Roman"/>
                <w:sz w:val="18"/>
                <w:szCs w:val="18"/>
              </w:rPr>
              <w:t>and</w:t>
            </w:r>
            <w:r w:rsidRPr="00445CFD">
              <w:rPr>
                <w:rFonts w:ascii="Calibri" w:eastAsia="Calibri" w:hAnsi="Calibri" w:cs="Times New Roman"/>
                <w:sz w:val="18"/>
                <w:szCs w:val="18"/>
              </w:rPr>
              <w:t xml:space="preserve"> 2013-14</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Capital and facilitation funding — impact; Reward payment — no impact</w:t>
            </w:r>
          </w:p>
        </w:tc>
        <w:tc>
          <w:tcPr>
            <w:tcW w:w="727" w:type="pct"/>
          </w:tcPr>
          <w:p w:rsidR="00445CFD" w:rsidRPr="00445CFD" w:rsidRDefault="00445CFD" w:rsidP="00445CFD">
            <w:pPr>
              <w:spacing w:line="240" w:lineRule="auto"/>
              <w:rPr>
                <w:rFonts w:ascii="Calibri" w:eastAsia="Calibri" w:hAnsi="Calibri" w:cs="Times New Roman"/>
                <w:sz w:val="18"/>
                <w:szCs w:val="18"/>
              </w:rPr>
            </w:pPr>
          </w:p>
        </w:tc>
        <w:tc>
          <w:tcPr>
            <w:tcW w:w="695"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Reward payment — no impact as required by terms of reference</w:t>
            </w: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IPHS – New subacute beds guarantee funding</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for over 1</w:t>
            </w:r>
            <w:r w:rsidR="00BA7F4E">
              <w:rPr>
                <w:rFonts w:ascii="Calibri" w:eastAsia="Calibri" w:hAnsi="Calibri" w:cs="Times New Roman"/>
                <w:sz w:val="18"/>
                <w:szCs w:val="18"/>
              </w:rPr>
              <w:t xml:space="preserve"> </w:t>
            </w:r>
            <w:r w:rsidRPr="00445CFD">
              <w:rPr>
                <w:rFonts w:ascii="Calibri" w:eastAsia="Calibri" w:hAnsi="Calibri" w:cs="Times New Roman"/>
                <w:sz w:val="18"/>
                <w:szCs w:val="18"/>
              </w:rPr>
              <w:t>300 additional beds for subacute services. The States will deliver an agreed number of new subacute beds or equivalent services each year in public hospitals or in community settings. Funding will provide beds and services for palliative care, rehabilitation, psychogeriatric care, geriatric evaluation and management, and subacute mental health care.</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445CFD" w:rsidRPr="00445CFD" w:rsidRDefault="00445CFD" w:rsidP="00445CFD">
            <w:pPr>
              <w:spacing w:line="240" w:lineRule="auto"/>
              <w:rPr>
                <w:rFonts w:ascii="Calibri" w:eastAsia="Calibri" w:hAnsi="Calibri" w:cs="Times New Roman"/>
                <w:sz w:val="18"/>
                <w:szCs w:val="18"/>
              </w:rPr>
            </w:pPr>
          </w:p>
        </w:tc>
        <w:tc>
          <w:tcPr>
            <w:tcW w:w="695" w:type="pct"/>
          </w:tcPr>
          <w:p w:rsidR="00445CFD" w:rsidRPr="00445CFD" w:rsidRDefault="00445CFD" w:rsidP="00445CFD">
            <w:pPr>
              <w:rPr>
                <w:rFonts w:ascii="Calibri" w:eastAsia="Calibri" w:hAnsi="Calibri" w:cs="Times New Roman"/>
              </w:rPr>
            </w:pP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lastRenderedPageBreak/>
              <w:t>Financial assistance for long stay older patients</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over three years to care for people aged 65 or over in public hospitals, who have finished acute and post-acute care and are waiting for </w:t>
            </w:r>
            <w:r w:rsidR="00BA7F4E">
              <w:rPr>
                <w:rFonts w:ascii="Calibri" w:eastAsia="Calibri" w:hAnsi="Calibri" w:cs="Times New Roman"/>
                <w:sz w:val="18"/>
                <w:szCs w:val="18"/>
              </w:rPr>
              <w:t xml:space="preserve">a </w:t>
            </w:r>
            <w:r w:rsidRPr="00445CFD">
              <w:rPr>
                <w:rFonts w:ascii="Calibri" w:eastAsia="Calibri" w:hAnsi="Calibri" w:cs="Times New Roman"/>
                <w:sz w:val="18"/>
                <w:szCs w:val="18"/>
              </w:rPr>
              <w:t>Commonwealth aged care placement.</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445CFD" w:rsidRPr="00445CFD" w:rsidRDefault="00445CFD" w:rsidP="00445CFD">
            <w:pPr>
              <w:spacing w:line="240" w:lineRule="auto"/>
              <w:rPr>
                <w:rFonts w:ascii="Calibri" w:eastAsia="Calibri" w:hAnsi="Calibri" w:cs="Times New Roman"/>
                <w:sz w:val="18"/>
                <w:szCs w:val="18"/>
              </w:rPr>
            </w:pPr>
          </w:p>
        </w:tc>
        <w:tc>
          <w:tcPr>
            <w:tcW w:w="695" w:type="pct"/>
          </w:tcPr>
          <w:p w:rsidR="00445CFD" w:rsidRPr="00445CFD" w:rsidRDefault="00445CFD" w:rsidP="00445CFD">
            <w:pPr>
              <w:rPr>
                <w:rFonts w:ascii="Calibri" w:eastAsia="Calibri" w:hAnsi="Calibri" w:cs="Times New Roman"/>
              </w:rPr>
            </w:pPr>
          </w:p>
        </w:tc>
      </w:tr>
      <w:tr w:rsidR="00445CFD" w:rsidRPr="00445CFD" w:rsidTr="00A5067D">
        <w:trPr>
          <w:cantSplit/>
        </w:trPr>
        <w:tc>
          <w:tcPr>
            <w:tcW w:w="669" w:type="pct"/>
          </w:tcPr>
          <w:p w:rsidR="00445CFD" w:rsidRPr="000422F7" w:rsidRDefault="00445CFD" w:rsidP="00445CFD">
            <w:pPr>
              <w:spacing w:line="240" w:lineRule="auto"/>
              <w:rPr>
                <w:rFonts w:ascii="Calibri" w:eastAsia="Calibri" w:hAnsi="Calibri" w:cs="Times New Roman"/>
                <w:b/>
                <w:i/>
                <w:sz w:val="18"/>
                <w:szCs w:val="18"/>
              </w:rPr>
            </w:pPr>
            <w:r w:rsidRPr="000422F7">
              <w:rPr>
                <w:rFonts w:ascii="Calibri" w:eastAsia="Calibri" w:hAnsi="Calibri" w:cs="Times New Roman"/>
                <w:b/>
                <w:i/>
                <w:sz w:val="18"/>
                <w:szCs w:val="18"/>
              </w:rPr>
              <w:t>Health infrastructure</w:t>
            </w:r>
          </w:p>
        </w:tc>
        <w:tc>
          <w:tcPr>
            <w:tcW w:w="1456" w:type="pct"/>
          </w:tcPr>
          <w:p w:rsidR="00445CFD" w:rsidRPr="000422F7" w:rsidRDefault="00445CFD" w:rsidP="00445CFD">
            <w:pPr>
              <w:spacing w:line="240" w:lineRule="auto"/>
              <w:rPr>
                <w:rFonts w:ascii="Calibri" w:eastAsia="Calibri" w:hAnsi="Calibri" w:cs="Times New Roman"/>
                <w:b/>
                <w:sz w:val="18"/>
                <w:szCs w:val="18"/>
              </w:rPr>
            </w:pPr>
          </w:p>
        </w:tc>
        <w:tc>
          <w:tcPr>
            <w:tcW w:w="674" w:type="pct"/>
          </w:tcPr>
          <w:p w:rsidR="00445CFD" w:rsidRPr="00445CFD" w:rsidRDefault="00445CFD" w:rsidP="00445CFD">
            <w:pPr>
              <w:spacing w:line="240" w:lineRule="auto"/>
              <w:rPr>
                <w:rFonts w:ascii="Calibri" w:eastAsia="Calibri" w:hAnsi="Calibri" w:cs="Times New Roman"/>
                <w:sz w:val="18"/>
                <w:szCs w:val="18"/>
              </w:rPr>
            </w:pPr>
          </w:p>
        </w:tc>
        <w:tc>
          <w:tcPr>
            <w:tcW w:w="779" w:type="pct"/>
          </w:tcPr>
          <w:p w:rsidR="00445CFD" w:rsidRPr="00445CFD" w:rsidRDefault="00445CFD" w:rsidP="00445CFD">
            <w:pPr>
              <w:spacing w:line="240" w:lineRule="auto"/>
              <w:rPr>
                <w:rFonts w:ascii="Calibri" w:eastAsia="Calibri" w:hAnsi="Calibri" w:cs="Times New Roman"/>
                <w:sz w:val="18"/>
                <w:szCs w:val="18"/>
              </w:rPr>
            </w:pPr>
          </w:p>
        </w:tc>
        <w:tc>
          <w:tcPr>
            <w:tcW w:w="727" w:type="pct"/>
          </w:tcPr>
          <w:p w:rsidR="00445CFD" w:rsidRPr="00445CFD" w:rsidRDefault="00445CFD" w:rsidP="00445CFD">
            <w:pPr>
              <w:spacing w:line="240" w:lineRule="auto"/>
              <w:rPr>
                <w:rFonts w:ascii="Calibri" w:eastAsia="Calibri" w:hAnsi="Calibri" w:cs="Times New Roman"/>
                <w:sz w:val="18"/>
                <w:szCs w:val="18"/>
              </w:rPr>
            </w:pPr>
          </w:p>
        </w:tc>
        <w:tc>
          <w:tcPr>
            <w:tcW w:w="695" w:type="pct"/>
          </w:tcPr>
          <w:p w:rsidR="00445CFD" w:rsidRPr="00445CFD" w:rsidRDefault="00445CFD" w:rsidP="00445CFD">
            <w:pPr>
              <w:spacing w:line="240" w:lineRule="auto"/>
              <w:rPr>
                <w:rFonts w:ascii="Calibri" w:eastAsia="Calibri" w:hAnsi="Calibri" w:cs="Times New Roman"/>
                <w:sz w:val="18"/>
                <w:szCs w:val="18"/>
              </w:rPr>
            </w:pP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Health and Hospitals Fund (HHF) — Hospital infrastructure and other projects of national significance</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expand and modernise key public hospitals across Australia to improve hospital care.</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445CFD" w:rsidRPr="00445CFD" w:rsidRDefault="00445CFD" w:rsidP="00445CFD">
            <w:pPr>
              <w:spacing w:line="240" w:lineRule="auto"/>
              <w:rPr>
                <w:rFonts w:ascii="Calibri" w:eastAsia="Calibri" w:hAnsi="Calibri" w:cs="Times New Roman"/>
                <w:sz w:val="18"/>
                <w:szCs w:val="18"/>
              </w:rPr>
            </w:pPr>
          </w:p>
        </w:tc>
        <w:tc>
          <w:tcPr>
            <w:tcW w:w="695" w:type="pct"/>
          </w:tcPr>
          <w:p w:rsidR="00445CFD" w:rsidRPr="00445CFD" w:rsidRDefault="00445CFD" w:rsidP="00445CFD">
            <w:pPr>
              <w:spacing w:line="240" w:lineRule="auto"/>
              <w:rPr>
                <w:rFonts w:ascii="Calibri" w:eastAsia="Calibri" w:hAnsi="Calibri" w:cs="Times New Roman"/>
                <w:sz w:val="18"/>
                <w:szCs w:val="18"/>
              </w:rPr>
            </w:pP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HHF — National cancer system</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support infrastructure to deliver a world class cancer care system in Australia. </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445CFD" w:rsidRPr="00445CFD" w:rsidRDefault="00445CFD" w:rsidP="00445CFD">
            <w:pPr>
              <w:spacing w:line="240" w:lineRule="auto"/>
              <w:rPr>
                <w:rFonts w:ascii="Calibri" w:eastAsia="Calibri" w:hAnsi="Calibri" w:cs="Times New Roman"/>
                <w:sz w:val="18"/>
                <w:szCs w:val="18"/>
              </w:rPr>
            </w:pPr>
          </w:p>
        </w:tc>
        <w:tc>
          <w:tcPr>
            <w:tcW w:w="695" w:type="pct"/>
          </w:tcPr>
          <w:p w:rsidR="00445CFD" w:rsidRPr="00445CFD" w:rsidRDefault="00445CFD" w:rsidP="00445CFD">
            <w:pPr>
              <w:spacing w:line="240" w:lineRule="auto"/>
              <w:rPr>
                <w:rFonts w:ascii="Calibri" w:eastAsia="Calibri" w:hAnsi="Calibri" w:cs="Times New Roman"/>
                <w:sz w:val="18"/>
                <w:szCs w:val="18"/>
              </w:rPr>
            </w:pP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HHF — Regional priority round</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The Commonwealth is delivering the $1.8 billion commitment to Health and Hospitals Fund investment in Regional Australia. Regional Priority funding will improve access to essential health services for Australians living in rural, regional and remote areas. The Commonwealth will also work in partnership with the States to expand and modernise key health infrastructure, including hospitals, across Australia.</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445CFD" w:rsidRPr="00445CFD" w:rsidRDefault="00445CFD" w:rsidP="00445CFD">
            <w:pPr>
              <w:rPr>
                <w:rFonts w:ascii="Calibri" w:eastAsia="Calibri" w:hAnsi="Calibri" w:cs="Times New Roman"/>
              </w:rPr>
            </w:pPr>
          </w:p>
        </w:tc>
        <w:tc>
          <w:tcPr>
            <w:tcW w:w="695" w:type="pct"/>
          </w:tcPr>
          <w:p w:rsidR="00445CFD" w:rsidRPr="00445CFD" w:rsidRDefault="00445CFD" w:rsidP="00445CFD">
            <w:pPr>
              <w:rPr>
                <w:rFonts w:ascii="Calibri" w:eastAsia="Calibri" w:hAnsi="Calibri" w:cs="Times New Roman"/>
              </w:rPr>
            </w:pP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Other Health infrastructure projects</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for the following infrastructure projects: </w:t>
            </w:r>
          </w:p>
          <w:p w:rsidR="00445CFD" w:rsidRPr="00445CFD" w:rsidRDefault="00445CFD"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PET scanners for Royal Hobart Hospital</w:t>
            </w:r>
          </w:p>
          <w:p w:rsidR="00445CFD" w:rsidRPr="00445CFD" w:rsidRDefault="00445CFD"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Westmead Hospital, Sydney</w:t>
            </w:r>
          </w:p>
          <w:p w:rsidR="00445CFD" w:rsidRPr="00445CFD" w:rsidRDefault="00445CFD"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Children’s cancer centre, Adelaide</w:t>
            </w:r>
          </w:p>
          <w:p w:rsidR="00445CFD" w:rsidRPr="00445CFD" w:rsidRDefault="00445CFD"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Cairns Base Hospital chemotherapy cancer initiative</w:t>
            </w:r>
          </w:p>
          <w:p w:rsidR="00445CFD" w:rsidRPr="00445CFD" w:rsidRDefault="00445CFD"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Cairns integrated cancer centre</w:t>
            </w:r>
          </w:p>
          <w:p w:rsidR="00445CFD" w:rsidRPr="00445CFD" w:rsidRDefault="00445CFD"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Women’s and Children’s Hospital in Hobart</w:t>
            </w:r>
          </w:p>
          <w:p w:rsidR="00445CFD" w:rsidRPr="00445CFD" w:rsidRDefault="00445CFD"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Grafton Hospital</w:t>
            </w:r>
          </w:p>
          <w:p w:rsidR="00445CFD" w:rsidRPr="00445CFD" w:rsidRDefault="00445CFD" w:rsidP="00445CFD">
            <w:pPr>
              <w:numPr>
                <w:ilvl w:val="0"/>
                <w:numId w:val="46"/>
              </w:numPr>
              <w:spacing w:after="0" w:line="240" w:lineRule="auto"/>
              <w:ind w:left="284" w:hanging="142"/>
              <w:rPr>
                <w:rFonts w:ascii="Calibri" w:eastAsia="Calibri" w:hAnsi="Calibri" w:cs="Times New Roman"/>
                <w:sz w:val="18"/>
                <w:szCs w:val="18"/>
              </w:rPr>
            </w:pPr>
            <w:proofErr w:type="gramStart"/>
            <w:r w:rsidRPr="00445CFD">
              <w:rPr>
                <w:rFonts w:ascii="Calibri" w:eastAsia="Calibri" w:hAnsi="Calibri" w:cs="Times New Roman"/>
                <w:sz w:val="18"/>
                <w:szCs w:val="18"/>
              </w:rPr>
              <w:t>radiation</w:t>
            </w:r>
            <w:proofErr w:type="gramEnd"/>
            <w:r w:rsidRPr="00445CFD">
              <w:rPr>
                <w:rFonts w:ascii="Calibri" w:eastAsia="Calibri" w:hAnsi="Calibri" w:cs="Times New Roman"/>
                <w:sz w:val="18"/>
                <w:szCs w:val="18"/>
              </w:rPr>
              <w:t xml:space="preserve"> oncology services in north/north-west Tasmania.</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2012-13</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445CFD" w:rsidRPr="00445CFD" w:rsidRDefault="00445CFD" w:rsidP="00445CFD">
            <w:pPr>
              <w:spacing w:line="240" w:lineRule="auto"/>
              <w:rPr>
                <w:rFonts w:ascii="Calibri" w:eastAsia="Calibri" w:hAnsi="Calibri" w:cs="Times New Roman"/>
                <w:sz w:val="18"/>
                <w:szCs w:val="18"/>
              </w:rPr>
            </w:pPr>
          </w:p>
        </w:tc>
        <w:tc>
          <w:tcPr>
            <w:tcW w:w="695" w:type="pct"/>
          </w:tcPr>
          <w:p w:rsidR="00445CFD" w:rsidRPr="00445CFD" w:rsidRDefault="00445CFD" w:rsidP="00445CFD">
            <w:pPr>
              <w:rPr>
                <w:rFonts w:ascii="Calibri" w:eastAsia="Calibri" w:hAnsi="Calibri" w:cs="Times New Roman"/>
              </w:rPr>
            </w:pPr>
          </w:p>
        </w:tc>
      </w:tr>
      <w:tr w:rsidR="00445CFD" w:rsidRPr="00445CFD" w:rsidTr="00A5067D">
        <w:trPr>
          <w:cantSplit/>
        </w:trPr>
        <w:tc>
          <w:tcPr>
            <w:tcW w:w="669" w:type="pct"/>
          </w:tcPr>
          <w:p w:rsidR="00445CFD" w:rsidRPr="000422F7" w:rsidRDefault="00445CFD" w:rsidP="00A5067D">
            <w:pPr>
              <w:pageBreakBefore/>
              <w:spacing w:line="240" w:lineRule="auto"/>
              <w:rPr>
                <w:rFonts w:ascii="Calibri" w:eastAsia="Calibri" w:hAnsi="Calibri" w:cs="Times New Roman"/>
                <w:b/>
                <w:i/>
                <w:sz w:val="18"/>
                <w:szCs w:val="18"/>
              </w:rPr>
            </w:pPr>
            <w:r w:rsidRPr="000422F7">
              <w:rPr>
                <w:rFonts w:ascii="Calibri" w:eastAsia="Calibri" w:hAnsi="Calibri" w:cs="Times New Roman"/>
                <w:b/>
                <w:i/>
                <w:sz w:val="18"/>
                <w:szCs w:val="18"/>
              </w:rPr>
              <w:lastRenderedPageBreak/>
              <w:t>Health services</w:t>
            </w:r>
            <w:r w:rsidR="00A5067D" w:rsidRPr="000422F7">
              <w:rPr>
                <w:rFonts w:ascii="Calibri" w:eastAsia="Calibri" w:hAnsi="Calibri" w:cs="Times New Roman"/>
                <w:b/>
                <w:i/>
                <w:sz w:val="18"/>
                <w:szCs w:val="18"/>
              </w:rPr>
              <w:t xml:space="preserve"> </w:t>
            </w:r>
            <w:r w:rsidRPr="000422F7">
              <w:rPr>
                <w:rFonts w:ascii="Calibri" w:eastAsia="Calibri" w:hAnsi="Calibri" w:cs="Times New Roman"/>
                <w:b/>
                <w:i/>
                <w:sz w:val="18"/>
                <w:szCs w:val="18"/>
              </w:rPr>
              <w:t>(HS)</w:t>
            </w:r>
          </w:p>
        </w:tc>
        <w:tc>
          <w:tcPr>
            <w:tcW w:w="1456" w:type="pct"/>
          </w:tcPr>
          <w:p w:rsidR="00445CFD" w:rsidRPr="00445CFD" w:rsidRDefault="00445CFD" w:rsidP="00445CFD">
            <w:pPr>
              <w:spacing w:line="240" w:lineRule="auto"/>
              <w:rPr>
                <w:rFonts w:ascii="Calibri" w:eastAsia="Calibri" w:hAnsi="Calibri" w:cs="Times New Roman"/>
                <w:sz w:val="18"/>
                <w:szCs w:val="18"/>
              </w:rPr>
            </w:pPr>
          </w:p>
        </w:tc>
        <w:tc>
          <w:tcPr>
            <w:tcW w:w="674" w:type="pct"/>
          </w:tcPr>
          <w:p w:rsidR="00445CFD" w:rsidRPr="00445CFD" w:rsidRDefault="00445CFD" w:rsidP="00445CFD">
            <w:pPr>
              <w:spacing w:line="240" w:lineRule="auto"/>
              <w:rPr>
                <w:rFonts w:ascii="Calibri" w:eastAsia="Calibri" w:hAnsi="Calibri" w:cs="Times New Roman"/>
                <w:sz w:val="18"/>
                <w:szCs w:val="18"/>
              </w:rPr>
            </w:pPr>
          </w:p>
        </w:tc>
        <w:tc>
          <w:tcPr>
            <w:tcW w:w="779" w:type="pct"/>
          </w:tcPr>
          <w:p w:rsidR="00445CFD" w:rsidRPr="00445CFD" w:rsidRDefault="00445CFD" w:rsidP="00445CFD">
            <w:pPr>
              <w:spacing w:line="240" w:lineRule="auto"/>
              <w:rPr>
                <w:rFonts w:ascii="Calibri" w:eastAsia="Calibri" w:hAnsi="Calibri" w:cs="Times New Roman"/>
                <w:sz w:val="18"/>
                <w:szCs w:val="18"/>
              </w:rPr>
            </w:pPr>
          </w:p>
        </w:tc>
        <w:tc>
          <w:tcPr>
            <w:tcW w:w="727" w:type="pct"/>
          </w:tcPr>
          <w:p w:rsidR="00445CFD" w:rsidRPr="00445CFD" w:rsidRDefault="00445CFD" w:rsidP="00445CFD">
            <w:pPr>
              <w:spacing w:line="240" w:lineRule="auto"/>
              <w:rPr>
                <w:rFonts w:ascii="Calibri" w:eastAsia="Calibri" w:hAnsi="Calibri" w:cs="Times New Roman"/>
                <w:sz w:val="18"/>
                <w:szCs w:val="18"/>
              </w:rPr>
            </w:pPr>
          </w:p>
        </w:tc>
        <w:tc>
          <w:tcPr>
            <w:tcW w:w="695" w:type="pct"/>
          </w:tcPr>
          <w:p w:rsidR="00445CFD" w:rsidRPr="00445CFD" w:rsidRDefault="00445CFD" w:rsidP="00445CFD">
            <w:pPr>
              <w:spacing w:line="240" w:lineRule="auto"/>
              <w:rPr>
                <w:rFonts w:ascii="Calibri" w:eastAsia="Calibri" w:hAnsi="Calibri" w:cs="Times New Roman"/>
                <w:sz w:val="18"/>
                <w:szCs w:val="18"/>
              </w:rPr>
            </w:pP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HS — Early intervention pilot program</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under the National Binge Drinking Strategy. The program is implemented by the New South Wales Police Force based on their existing Your Choice model. It provides early intervention and diversion programs for people under 18 who are at risk of developing alcohol-related problems. </w:t>
            </w:r>
          </w:p>
          <w:p w:rsidR="00445CFD" w:rsidRPr="00445CFD" w:rsidRDefault="00445CFD" w:rsidP="00A60600">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was made directly from </w:t>
            </w:r>
            <w:r w:rsidR="00BA7F4E">
              <w:rPr>
                <w:rFonts w:ascii="Calibri" w:eastAsia="Calibri" w:hAnsi="Calibri" w:cs="Times New Roman"/>
                <w:sz w:val="18"/>
                <w:szCs w:val="18"/>
              </w:rPr>
              <w:t xml:space="preserve">the </w:t>
            </w:r>
            <w:r w:rsidRPr="00445CFD">
              <w:rPr>
                <w:rFonts w:ascii="Calibri" w:eastAsia="Calibri" w:hAnsi="Calibri" w:cs="Times New Roman"/>
                <w:sz w:val="18"/>
                <w:szCs w:val="18"/>
              </w:rPr>
              <w:t xml:space="preserve">Commonwealth Department of Health and Ageing </w:t>
            </w:r>
            <w:r w:rsidR="00BA7F4E">
              <w:rPr>
                <w:rFonts w:ascii="Calibri" w:eastAsia="Calibri" w:hAnsi="Calibri" w:cs="Times New Roman"/>
                <w:sz w:val="18"/>
                <w:szCs w:val="18"/>
              </w:rPr>
              <w:t>(</w:t>
            </w:r>
            <w:proofErr w:type="spellStart"/>
            <w:r w:rsidR="00BA7F4E">
              <w:rPr>
                <w:rFonts w:ascii="Calibri" w:eastAsia="Calibri" w:hAnsi="Calibri" w:cs="Times New Roman"/>
                <w:sz w:val="18"/>
                <w:szCs w:val="18"/>
              </w:rPr>
              <w:t>DoHA</w:t>
            </w:r>
            <w:proofErr w:type="spellEnd"/>
            <w:r w:rsidR="00BA7F4E">
              <w:rPr>
                <w:rFonts w:ascii="Calibri" w:eastAsia="Calibri" w:hAnsi="Calibri" w:cs="Times New Roman"/>
                <w:sz w:val="18"/>
                <w:szCs w:val="18"/>
              </w:rPr>
              <w:t xml:space="preserve">) </w:t>
            </w:r>
            <w:r w:rsidRPr="00445CFD">
              <w:rPr>
                <w:rFonts w:ascii="Calibri" w:eastAsia="Calibri" w:hAnsi="Calibri" w:cs="Times New Roman"/>
                <w:sz w:val="18"/>
                <w:szCs w:val="18"/>
              </w:rPr>
              <w:t xml:space="preserve">to individual States, other than New South Wales. In 2010-11, a National </w:t>
            </w:r>
            <w:r w:rsidR="00A60600">
              <w:rPr>
                <w:rFonts w:ascii="Calibri" w:eastAsia="Calibri" w:hAnsi="Calibri" w:cs="Times New Roman"/>
                <w:sz w:val="18"/>
                <w:szCs w:val="18"/>
              </w:rPr>
              <w:t>p</w:t>
            </w:r>
            <w:r w:rsidRPr="00445CFD">
              <w:rPr>
                <w:rFonts w:ascii="Calibri" w:eastAsia="Calibri" w:hAnsi="Calibri" w:cs="Times New Roman"/>
                <w:sz w:val="18"/>
                <w:szCs w:val="18"/>
              </w:rPr>
              <w:t>artnership payment was introduced for New South Wales because they were late in signing up to the program.</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2012-13</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445CFD" w:rsidRPr="00445CFD" w:rsidRDefault="00445CFD" w:rsidP="00445CFD">
            <w:pPr>
              <w:spacing w:line="240" w:lineRule="auto"/>
              <w:rPr>
                <w:rFonts w:ascii="Calibri" w:eastAsia="Calibri" w:hAnsi="Calibri" w:cs="Times New Roman"/>
                <w:sz w:val="18"/>
                <w:szCs w:val="18"/>
              </w:rPr>
            </w:pPr>
          </w:p>
        </w:tc>
        <w:tc>
          <w:tcPr>
            <w:tcW w:w="695"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We would usually treat the payments to all States as impacting on relativities. We could bring these payments in for all States. However, because they are relatively small, it is simpler to treat the payment to New South Wales as having no impact on relativities.</w:t>
            </w: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HS — National antimicrobial utilisation surveillance program (NAUSP)</w:t>
            </w:r>
          </w:p>
        </w:tc>
        <w:tc>
          <w:tcPr>
            <w:tcW w:w="1456" w:type="pct"/>
            <w:vAlign w:val="bottom"/>
          </w:tcPr>
          <w:p w:rsidR="00445CFD" w:rsidRPr="00445CFD" w:rsidRDefault="00445CFD" w:rsidP="00BA7F4E">
            <w:pPr>
              <w:spacing w:line="240" w:lineRule="auto"/>
              <w:rPr>
                <w:rFonts w:ascii="Calibri" w:eastAsia="Calibri" w:hAnsi="Calibri" w:cs="Calibri"/>
                <w:sz w:val="18"/>
                <w:szCs w:val="18"/>
              </w:rPr>
            </w:pPr>
            <w:r w:rsidRPr="00445CFD">
              <w:rPr>
                <w:rFonts w:ascii="Calibri" w:eastAsia="Calibri" w:hAnsi="Calibri" w:cs="Calibri"/>
                <w:sz w:val="18"/>
                <w:szCs w:val="18"/>
              </w:rPr>
              <w:t xml:space="preserve">The NAUSP </w:t>
            </w:r>
            <w:proofErr w:type="gramStart"/>
            <w:r w:rsidRPr="00445CFD">
              <w:rPr>
                <w:rFonts w:ascii="Calibri" w:eastAsia="Calibri" w:hAnsi="Calibri" w:cs="Calibri"/>
                <w:sz w:val="18"/>
                <w:szCs w:val="18"/>
              </w:rPr>
              <w:t>collects,</w:t>
            </w:r>
            <w:proofErr w:type="gramEnd"/>
            <w:r w:rsidRPr="00445CFD">
              <w:rPr>
                <w:rFonts w:ascii="Calibri" w:eastAsia="Calibri" w:hAnsi="Calibri" w:cs="Calibri"/>
                <w:sz w:val="18"/>
                <w:szCs w:val="18"/>
              </w:rPr>
              <w:t xml:space="preserve"> analyses and reports on the inpatient antimicrobial usage data in Australian hospitals to support the development of strategies to minimise antimicrobial resistance. Since its inception in 2004 the program has been fully funded by the Commonwealth </w:t>
            </w:r>
            <w:proofErr w:type="spellStart"/>
            <w:r w:rsidRPr="00445CFD">
              <w:rPr>
                <w:rFonts w:ascii="Calibri" w:eastAsia="Calibri" w:hAnsi="Calibri" w:cs="Calibri"/>
                <w:sz w:val="18"/>
                <w:szCs w:val="18"/>
              </w:rPr>
              <w:t>DoHA</w:t>
            </w:r>
            <w:proofErr w:type="spellEnd"/>
            <w:r w:rsidRPr="00445CFD">
              <w:rPr>
                <w:rFonts w:ascii="Calibri" w:eastAsia="Calibri" w:hAnsi="Calibri" w:cs="Calibri"/>
                <w:sz w:val="18"/>
                <w:szCs w:val="18"/>
              </w:rPr>
              <w:t xml:space="preserve"> directly from its own discretionary funds on a contract basis with SA Health. In 2010-11 NAUSP was introduced to replace the funding provided directly by </w:t>
            </w:r>
            <w:proofErr w:type="spellStart"/>
            <w:r w:rsidRPr="00445CFD">
              <w:rPr>
                <w:rFonts w:ascii="Calibri" w:eastAsia="Calibri" w:hAnsi="Calibri" w:cs="Calibri"/>
                <w:sz w:val="18"/>
                <w:szCs w:val="18"/>
              </w:rPr>
              <w:t>DoHA</w:t>
            </w:r>
            <w:proofErr w:type="spellEnd"/>
            <w:r w:rsidRPr="00445CFD">
              <w:rPr>
                <w:rFonts w:ascii="Calibri" w:eastAsia="Calibri" w:hAnsi="Calibri" w:cs="Calibri"/>
                <w:sz w:val="18"/>
                <w:szCs w:val="18"/>
              </w:rPr>
              <w:t>.</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445CFD" w:rsidRPr="00445CFD" w:rsidRDefault="00445CFD" w:rsidP="00445CFD">
            <w:pPr>
              <w:spacing w:line="240" w:lineRule="auto"/>
              <w:rPr>
                <w:rFonts w:ascii="Calibri" w:eastAsia="Calibri" w:hAnsi="Calibri" w:cs="Times New Roman"/>
                <w:sz w:val="18"/>
                <w:szCs w:val="18"/>
              </w:rPr>
            </w:pPr>
          </w:p>
        </w:tc>
        <w:tc>
          <w:tcPr>
            <w:tcW w:w="695" w:type="pct"/>
          </w:tcPr>
          <w:p w:rsidR="00445CFD" w:rsidRPr="00445CFD" w:rsidRDefault="00636CF4" w:rsidP="00445CFD">
            <w:pPr>
              <w:spacing w:line="240" w:lineRule="auto"/>
              <w:rPr>
                <w:rFonts w:ascii="Calibri" w:eastAsia="Calibri" w:hAnsi="Calibri" w:cs="Times New Roman"/>
                <w:sz w:val="18"/>
                <w:szCs w:val="18"/>
              </w:rPr>
            </w:pPr>
            <w:r>
              <w:rPr>
                <w:rFonts w:ascii="Calibri" w:eastAsia="Calibri" w:hAnsi="Calibri" w:cs="Times New Roman"/>
                <w:sz w:val="18"/>
                <w:szCs w:val="18"/>
              </w:rPr>
              <w:t>Commonwealth purchase – needs not assessed</w:t>
            </w: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HS — Improving health services in Tasmania</w:t>
            </w:r>
            <w:r w:rsidR="00A5067D" w:rsidRPr="00A5067D">
              <w:rPr>
                <w:rFonts w:ascii="Calibri" w:eastAsia="Calibri" w:hAnsi="Calibri" w:cs="Times New Roman"/>
                <w:color w:val="FF0000"/>
                <w:sz w:val="18"/>
                <w:szCs w:val="18"/>
              </w:rPr>
              <w:t>*</w:t>
            </w:r>
          </w:p>
        </w:tc>
        <w:tc>
          <w:tcPr>
            <w:tcW w:w="1456" w:type="pct"/>
            <w:vAlign w:val="bottom"/>
          </w:tcPr>
          <w:p w:rsidR="00445CFD" w:rsidRPr="00445CFD" w:rsidRDefault="00445CFD" w:rsidP="00445CFD">
            <w:pPr>
              <w:spacing w:line="240" w:lineRule="auto"/>
              <w:rPr>
                <w:rFonts w:ascii="Calibri" w:eastAsia="Calibri" w:hAnsi="Calibri" w:cs="Calibri"/>
                <w:sz w:val="18"/>
                <w:szCs w:val="18"/>
              </w:rPr>
            </w:pPr>
            <w:r w:rsidRPr="00445CFD">
              <w:rPr>
                <w:rFonts w:ascii="Calibri" w:eastAsia="Calibri" w:hAnsi="Calibri" w:cs="Calibri"/>
                <w:sz w:val="18"/>
                <w:szCs w:val="18"/>
              </w:rPr>
              <w:t>To address pressures on the Tasmanian health system and improve healthcare outcomes for Tasmanians. Includes the following components:</w:t>
            </w:r>
          </w:p>
          <w:p w:rsidR="00445CFD" w:rsidRPr="00445CFD" w:rsidRDefault="00445CFD"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Better access to community based palliative care services</w:t>
            </w:r>
          </w:p>
          <w:p w:rsidR="00445CFD" w:rsidRPr="00445CFD" w:rsidRDefault="00445CFD"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Cradle Coast connected care clinical repository</w:t>
            </w:r>
          </w:p>
          <w:p w:rsidR="00445CFD" w:rsidRPr="00445CFD" w:rsidRDefault="00445CFD"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Improving patient pathways through clinical and system redesign</w:t>
            </w:r>
          </w:p>
          <w:p w:rsidR="00445CFD" w:rsidRPr="00445CFD" w:rsidRDefault="00445CFD"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Innovative flexible funding for mental health</w:t>
            </w:r>
          </w:p>
          <w:p w:rsidR="00445CFD" w:rsidRPr="00445CFD" w:rsidRDefault="00445CFD"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Reducing elective surgery waiting list</w:t>
            </w:r>
          </w:p>
          <w:p w:rsidR="00445CFD" w:rsidRPr="00445CFD" w:rsidRDefault="00445CFD" w:rsidP="00445CFD">
            <w:pPr>
              <w:numPr>
                <w:ilvl w:val="0"/>
                <w:numId w:val="46"/>
              </w:numPr>
              <w:spacing w:after="0" w:line="240" w:lineRule="auto"/>
              <w:ind w:left="284" w:hanging="142"/>
              <w:rPr>
                <w:rFonts w:ascii="Calibri" w:eastAsia="Calibri" w:hAnsi="Calibri" w:cs="Calibri"/>
                <w:sz w:val="18"/>
                <w:szCs w:val="18"/>
              </w:rPr>
            </w:pPr>
            <w:r w:rsidRPr="00445CFD">
              <w:rPr>
                <w:rFonts w:ascii="Calibri" w:eastAsia="Calibri" w:hAnsi="Calibri" w:cs="Times New Roman"/>
                <w:sz w:val="18"/>
                <w:szCs w:val="18"/>
              </w:rPr>
              <w:t>Walk-in centres in Hobart and Launceston.</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2012-13 to 2013-14 </w:t>
            </w:r>
          </w:p>
        </w:tc>
        <w:tc>
          <w:tcPr>
            <w:tcW w:w="779" w:type="pct"/>
          </w:tcPr>
          <w:p w:rsidR="00445CFD" w:rsidRPr="00A5067D" w:rsidRDefault="00445CFD" w:rsidP="00A5067D">
            <w:pPr>
              <w:pStyle w:val="CGCCWTableText"/>
            </w:pPr>
            <w:r w:rsidRPr="00A5067D">
              <w:t>No impact</w:t>
            </w:r>
          </w:p>
        </w:tc>
        <w:tc>
          <w:tcPr>
            <w:tcW w:w="727" w:type="pct"/>
          </w:tcPr>
          <w:p w:rsidR="00445CFD" w:rsidRPr="00A5067D" w:rsidRDefault="00445CFD" w:rsidP="00A5067D">
            <w:pPr>
              <w:pStyle w:val="CGCCWTableText"/>
            </w:pPr>
          </w:p>
        </w:tc>
        <w:tc>
          <w:tcPr>
            <w:tcW w:w="695" w:type="pct"/>
          </w:tcPr>
          <w:p w:rsidR="00445CFD" w:rsidRPr="00A5067D" w:rsidRDefault="00445CFD" w:rsidP="00A5067D">
            <w:pPr>
              <w:pStyle w:val="CGCCWTableText"/>
            </w:pPr>
            <w:r w:rsidRPr="00A5067D">
              <w:t>Terms of reference requirement</w:t>
            </w:r>
          </w:p>
        </w:tc>
      </w:tr>
      <w:tr w:rsidR="00445CFD" w:rsidRPr="00445CFD" w:rsidTr="00A5067D">
        <w:trPr>
          <w:cantSplit/>
        </w:trPr>
        <w:tc>
          <w:tcPr>
            <w:tcW w:w="669" w:type="pct"/>
          </w:tcPr>
          <w:p w:rsidR="00445CFD" w:rsidRPr="00445CFD" w:rsidRDefault="00445CFD" w:rsidP="00A5067D">
            <w:pPr>
              <w:pStyle w:val="CGCCWTableText"/>
            </w:pPr>
            <w:r w:rsidRPr="00445CFD">
              <w:lastRenderedPageBreak/>
              <w:t xml:space="preserve">HS — Other health services  </w:t>
            </w:r>
          </w:p>
        </w:tc>
        <w:tc>
          <w:tcPr>
            <w:tcW w:w="1456" w:type="pct"/>
            <w:vAlign w:val="bottom"/>
          </w:tcPr>
          <w:p w:rsidR="00445CFD" w:rsidRPr="00445CFD" w:rsidRDefault="00445CFD" w:rsidP="00445CFD">
            <w:pPr>
              <w:spacing w:line="240" w:lineRule="auto"/>
              <w:rPr>
                <w:rFonts w:ascii="Calibri" w:eastAsia="Calibri" w:hAnsi="Calibri" w:cs="Calibri"/>
                <w:sz w:val="18"/>
                <w:szCs w:val="18"/>
              </w:rPr>
            </w:pPr>
            <w:r w:rsidRPr="00445CFD">
              <w:rPr>
                <w:rFonts w:ascii="Calibri" w:eastAsia="Calibri" w:hAnsi="Calibri" w:cs="Calibri"/>
                <w:sz w:val="18"/>
                <w:szCs w:val="18"/>
              </w:rPr>
              <w:t xml:space="preserve">Consist of payments for: </w:t>
            </w:r>
          </w:p>
          <w:p w:rsidR="00445CFD" w:rsidRPr="00445CFD" w:rsidRDefault="00445CFD" w:rsidP="00445CFD">
            <w:pPr>
              <w:numPr>
                <w:ilvl w:val="0"/>
                <w:numId w:val="46"/>
              </w:numPr>
              <w:spacing w:after="0" w:line="240" w:lineRule="auto"/>
              <w:ind w:left="284" w:hanging="142"/>
              <w:rPr>
                <w:rFonts w:ascii="Calibri" w:eastAsia="Calibri" w:hAnsi="Calibri" w:cs="Times New Roman"/>
                <w:sz w:val="18"/>
                <w:szCs w:val="18"/>
              </w:rPr>
            </w:pPr>
            <w:proofErr w:type="spellStart"/>
            <w:r w:rsidRPr="00445CFD">
              <w:rPr>
                <w:rFonts w:ascii="Calibri" w:eastAsia="Calibri" w:hAnsi="Calibri" w:cs="Times New Roman"/>
                <w:sz w:val="18"/>
                <w:szCs w:val="18"/>
              </w:rPr>
              <w:t>BreastScreen</w:t>
            </w:r>
            <w:proofErr w:type="spellEnd"/>
            <w:r w:rsidRPr="00445CFD">
              <w:rPr>
                <w:rFonts w:ascii="Calibri" w:eastAsia="Calibri" w:hAnsi="Calibri" w:cs="Times New Roman"/>
                <w:sz w:val="18"/>
                <w:szCs w:val="18"/>
              </w:rPr>
              <w:t xml:space="preserve"> Australia radiography workforce initiatives</w:t>
            </w:r>
          </w:p>
          <w:p w:rsidR="00445CFD" w:rsidRPr="00445CFD" w:rsidRDefault="00445CFD"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COAG long stay older patients initiative</w:t>
            </w:r>
          </w:p>
          <w:p w:rsidR="00445CFD" w:rsidRPr="00445CFD" w:rsidRDefault="00445CFD"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 xml:space="preserve">Expansion of the </w:t>
            </w:r>
            <w:proofErr w:type="spellStart"/>
            <w:r w:rsidRPr="00445CFD">
              <w:rPr>
                <w:rFonts w:ascii="Calibri" w:eastAsia="Calibri" w:hAnsi="Calibri" w:cs="Times New Roman"/>
                <w:sz w:val="18"/>
                <w:szCs w:val="18"/>
              </w:rPr>
              <w:t>BreastScreen</w:t>
            </w:r>
            <w:proofErr w:type="spellEnd"/>
            <w:r w:rsidRPr="00445CFD">
              <w:rPr>
                <w:rFonts w:ascii="Calibri" w:eastAsia="Calibri" w:hAnsi="Calibri" w:cs="Times New Roman"/>
                <w:sz w:val="18"/>
                <w:szCs w:val="18"/>
              </w:rPr>
              <w:t xml:space="preserve"> Australia program</w:t>
            </w:r>
          </w:p>
          <w:p w:rsidR="00445CFD" w:rsidRPr="00445CFD" w:rsidRDefault="00445CFD"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Healthcare grants for the Torres Strait</w:t>
            </w:r>
            <w:r w:rsidRPr="00445CFD">
              <w:rPr>
                <w:rFonts w:ascii="Calibri" w:eastAsia="Calibri" w:hAnsi="Calibri" w:cs="Times New Roman"/>
                <w:color w:val="FF0000"/>
                <w:sz w:val="18"/>
                <w:szCs w:val="18"/>
              </w:rPr>
              <w:t>*</w:t>
            </w:r>
          </w:p>
          <w:p w:rsidR="00445CFD" w:rsidRPr="00445CFD" w:rsidRDefault="00445CFD"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Healthy kids health checks</w:t>
            </w:r>
            <w:r w:rsidR="00C57117">
              <w:rPr>
                <w:rFonts w:ascii="Calibri" w:eastAsia="Calibri" w:hAnsi="Calibri" w:cs="Times New Roman"/>
                <w:color w:val="FF0000"/>
                <w:sz w:val="18"/>
                <w:szCs w:val="18"/>
              </w:rPr>
              <w:t>#</w:t>
            </w:r>
          </w:p>
          <w:p w:rsidR="00445CFD" w:rsidRPr="00445CFD" w:rsidRDefault="00445CFD"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Northern Territory medical school — funding contribution</w:t>
            </w:r>
          </w:p>
          <w:p w:rsidR="00445CFD" w:rsidRPr="00445CFD" w:rsidRDefault="00445CFD"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National bowel cancer screening program</w:t>
            </w:r>
          </w:p>
          <w:p w:rsidR="00445CFD" w:rsidRPr="00445CFD" w:rsidRDefault="00445CFD"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National perinatal depression initiative</w:t>
            </w:r>
          </w:p>
          <w:p w:rsidR="00445CFD" w:rsidRPr="00445CFD" w:rsidRDefault="00445CFD"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National public health – Human quarantine services.</w:t>
            </w:r>
          </w:p>
          <w:p w:rsidR="00445CFD" w:rsidRPr="00445CFD" w:rsidRDefault="00445CFD" w:rsidP="00445CFD">
            <w:pPr>
              <w:numPr>
                <w:ilvl w:val="0"/>
                <w:numId w:val="46"/>
              </w:numPr>
              <w:spacing w:after="0" w:line="240" w:lineRule="auto"/>
              <w:ind w:left="284" w:hanging="142"/>
              <w:rPr>
                <w:rFonts w:ascii="Calibri" w:eastAsia="Calibri" w:hAnsi="Calibri" w:cs="Times New Roman"/>
                <w:sz w:val="18"/>
                <w:szCs w:val="18"/>
              </w:rPr>
            </w:pPr>
            <w:proofErr w:type="spellStart"/>
            <w:r w:rsidRPr="00445CFD">
              <w:rPr>
                <w:rFonts w:ascii="Calibri" w:eastAsia="Calibri" w:hAnsi="Calibri" w:cs="Times New Roman"/>
                <w:sz w:val="18"/>
                <w:szCs w:val="18"/>
              </w:rPr>
              <w:t>OzFoodNet</w:t>
            </w:r>
            <w:proofErr w:type="spellEnd"/>
          </w:p>
          <w:p w:rsidR="00445CFD" w:rsidRPr="00445CFD" w:rsidRDefault="00445CFD"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Royal Darwin Hospital — equipped, prepared and ready</w:t>
            </w:r>
            <w:r w:rsidRPr="00445CFD">
              <w:rPr>
                <w:rFonts w:ascii="Calibri" w:eastAsia="Calibri" w:hAnsi="Calibri" w:cs="Times New Roman"/>
                <w:color w:val="FF0000"/>
                <w:sz w:val="18"/>
                <w:szCs w:val="18"/>
              </w:rPr>
              <w:t>*</w:t>
            </w:r>
          </w:p>
          <w:p w:rsidR="00445CFD" w:rsidRPr="00445CFD" w:rsidRDefault="00445CFD"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Torres Strait Islander health protection strategy — mosquito control</w:t>
            </w:r>
          </w:p>
          <w:p w:rsidR="00445CFD" w:rsidRPr="00445CFD" w:rsidRDefault="00445CFD"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Vaccine-preventable diseases surveillance</w:t>
            </w:r>
          </w:p>
          <w:p w:rsidR="00445CFD" w:rsidRPr="00445CFD" w:rsidRDefault="00445CFD" w:rsidP="00445CFD">
            <w:pPr>
              <w:numPr>
                <w:ilvl w:val="0"/>
                <w:numId w:val="46"/>
              </w:numPr>
              <w:spacing w:after="0" w:line="240" w:lineRule="auto"/>
              <w:ind w:left="284" w:hanging="142"/>
              <w:rPr>
                <w:rFonts w:ascii="Calibri" w:eastAsia="Calibri" w:hAnsi="Calibri" w:cs="Calibri"/>
                <w:sz w:val="18"/>
                <w:szCs w:val="18"/>
              </w:rPr>
            </w:pPr>
            <w:r w:rsidRPr="00445CFD">
              <w:rPr>
                <w:rFonts w:ascii="Calibri" w:eastAsia="Calibri" w:hAnsi="Calibri" w:cs="Times New Roman"/>
                <w:sz w:val="18"/>
                <w:szCs w:val="18"/>
              </w:rPr>
              <w:t>Victorian cytology service</w:t>
            </w:r>
            <w:r w:rsidRPr="00445CFD">
              <w:rPr>
                <w:rFonts w:ascii="Calibri" w:eastAsia="Calibri" w:hAnsi="Calibri" w:cs="Times New Roman"/>
                <w:color w:val="FF0000"/>
                <w:sz w:val="18"/>
                <w:szCs w:val="18"/>
              </w:rPr>
              <w:t>*</w:t>
            </w:r>
            <w:r w:rsidRPr="00445CFD">
              <w:rPr>
                <w:rFonts w:ascii="Calibri" w:eastAsia="Calibri" w:hAnsi="Calibri" w:cs="Times New Roman"/>
                <w:sz w:val="18"/>
                <w:szCs w:val="18"/>
              </w:rPr>
              <w:t>.</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2011-12 to 2013-14 </w:t>
            </w:r>
          </w:p>
        </w:tc>
        <w:tc>
          <w:tcPr>
            <w:tcW w:w="779" w:type="pct"/>
          </w:tcPr>
          <w:p w:rsidR="00445CFD" w:rsidRPr="00A5067D" w:rsidRDefault="00445CFD" w:rsidP="00D20698">
            <w:pPr>
              <w:pStyle w:val="CGCCWTableText"/>
            </w:pPr>
            <w:r w:rsidRPr="00A5067D">
              <w:t>Healthcare grants for the Torres Strait, Royal Darwin Hospital — equipped, prepared and ready and Victorian cytology services</w:t>
            </w:r>
            <w:r w:rsidR="00D921E3">
              <w:t>, Human quarantine</w:t>
            </w:r>
            <w:r w:rsidRPr="00A5067D">
              <w:t xml:space="preserve"> — no impact.</w:t>
            </w:r>
            <w:r w:rsidR="00D20698">
              <w:t xml:space="preserve"> </w:t>
            </w:r>
            <w:r w:rsidR="00B71A91">
              <w:t xml:space="preserve">Others – impact </w:t>
            </w:r>
          </w:p>
        </w:tc>
        <w:tc>
          <w:tcPr>
            <w:tcW w:w="727" w:type="pct"/>
          </w:tcPr>
          <w:p w:rsidR="00445CFD" w:rsidRPr="00A5067D" w:rsidRDefault="00445CFD" w:rsidP="00A5067D">
            <w:pPr>
              <w:pStyle w:val="CGCCWTableText"/>
            </w:pPr>
          </w:p>
        </w:tc>
        <w:tc>
          <w:tcPr>
            <w:tcW w:w="695" w:type="pct"/>
          </w:tcPr>
          <w:p w:rsidR="00445CFD" w:rsidRPr="00A5067D" w:rsidRDefault="00445CFD" w:rsidP="00A5067D">
            <w:pPr>
              <w:pStyle w:val="CGCCWTableText"/>
            </w:pPr>
            <w:r w:rsidRPr="00A5067D">
              <w:t>No impact for Healthcare grants for the Torres Strait, Royal Darwin Hospital — equipped, prepared and ready and Victorian cytology services as required by terms of reference</w:t>
            </w:r>
            <w:r w:rsidR="00D921E3">
              <w:t>. No impact for Human quarantine – Commonwealth purchase and needs not assessed.</w:t>
            </w:r>
          </w:p>
        </w:tc>
      </w:tr>
      <w:tr w:rsidR="00445CFD" w:rsidRPr="00445CFD" w:rsidTr="00A5067D">
        <w:trPr>
          <w:cantSplit/>
        </w:trPr>
        <w:tc>
          <w:tcPr>
            <w:tcW w:w="5000" w:type="pct"/>
            <w:gridSpan w:val="6"/>
            <w:vAlign w:val="bottom"/>
          </w:tcPr>
          <w:p w:rsidR="00445CFD" w:rsidRPr="000422F7" w:rsidRDefault="00445CFD" w:rsidP="00445CFD">
            <w:pPr>
              <w:spacing w:line="240" w:lineRule="auto"/>
              <w:rPr>
                <w:rFonts w:ascii="Calibri" w:eastAsia="Calibri" w:hAnsi="Calibri" w:cs="Calibri"/>
                <w:b/>
                <w:sz w:val="18"/>
                <w:szCs w:val="18"/>
              </w:rPr>
            </w:pPr>
            <w:r w:rsidRPr="000422F7">
              <w:rPr>
                <w:rFonts w:ascii="Calibri" w:eastAsia="Calibri" w:hAnsi="Calibri" w:cs="Calibri"/>
                <w:b/>
                <w:i/>
                <w:sz w:val="18"/>
                <w:szCs w:val="18"/>
              </w:rPr>
              <w:t>Indigenous health (IH)</w:t>
            </w: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IH — Closing the Gap in the NT — Indigenous health and related services</w:t>
            </w:r>
            <w:r w:rsidRPr="00445CFD">
              <w:rPr>
                <w:rFonts w:ascii="Calibri" w:eastAsia="Calibri" w:hAnsi="Calibri" w:cs="Times New Roman"/>
                <w:color w:val="FF0000"/>
                <w:sz w:val="18"/>
                <w:szCs w:val="18"/>
              </w:rPr>
              <w:t>*</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improve access to effective primary health care services in partnership with the NT Government, Aboriginal Medical Services Alliance NT, and through consultation with other key stakeholders.</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2012-13</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445CFD" w:rsidRPr="00445CFD" w:rsidRDefault="00445CFD" w:rsidP="00445CFD">
            <w:pPr>
              <w:spacing w:line="240" w:lineRule="auto"/>
              <w:rPr>
                <w:rFonts w:ascii="Calibri" w:eastAsia="Calibri" w:hAnsi="Calibri" w:cs="Times New Roman"/>
                <w:sz w:val="18"/>
                <w:szCs w:val="18"/>
              </w:rPr>
            </w:pPr>
          </w:p>
        </w:tc>
        <w:tc>
          <w:tcPr>
            <w:tcW w:w="695"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lastRenderedPageBreak/>
              <w:t>IH — Stronger futures in the Northern Territory — health components</w:t>
            </w:r>
            <w:r w:rsidRPr="00445CFD">
              <w:rPr>
                <w:rFonts w:ascii="Calibri" w:eastAsia="Calibri" w:hAnsi="Calibri" w:cs="Times New Roman"/>
                <w:color w:val="FF0000"/>
                <w:sz w:val="18"/>
                <w:szCs w:val="18"/>
              </w:rPr>
              <w:t>*</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Payments include:</w:t>
            </w:r>
          </w:p>
          <w:p w:rsidR="00445CFD" w:rsidRPr="00445CFD" w:rsidRDefault="00445CFD"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Hearing health services — for integrated hearing health services with the capacity to reach children in remote communities in the NT.</w:t>
            </w:r>
          </w:p>
          <w:p w:rsidR="00445CFD" w:rsidRPr="00445CFD" w:rsidRDefault="00445CFD"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Mobile Outreach service plus — to ensure Aboriginal children and their families living in remote areas of the NT who are affected by trauma associated with child abuse and neglect are provided with counselling and support.</w:t>
            </w:r>
          </w:p>
          <w:p w:rsidR="00445CFD" w:rsidRPr="00445CFD" w:rsidRDefault="00445CFD"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Oral health services — for integrated oral health program</w:t>
            </w:r>
            <w:r w:rsidR="00DF3E5E">
              <w:rPr>
                <w:rFonts w:ascii="Calibri" w:eastAsia="Calibri" w:hAnsi="Calibri" w:cs="Times New Roman"/>
                <w:sz w:val="18"/>
                <w:szCs w:val="18"/>
              </w:rPr>
              <w:t>s</w:t>
            </w:r>
            <w:r w:rsidRPr="00445CFD">
              <w:rPr>
                <w:rFonts w:ascii="Calibri" w:eastAsia="Calibri" w:hAnsi="Calibri" w:cs="Times New Roman"/>
                <w:sz w:val="18"/>
                <w:szCs w:val="18"/>
              </w:rPr>
              <w:t xml:space="preserve"> for Aboriginal children in communities in the NT.</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 to 2013-14</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445CFD" w:rsidRPr="00445CFD" w:rsidRDefault="00445CFD" w:rsidP="00445CFD">
            <w:pPr>
              <w:spacing w:line="240" w:lineRule="auto"/>
              <w:rPr>
                <w:rFonts w:ascii="Calibri" w:eastAsia="Calibri" w:hAnsi="Calibri" w:cs="Times New Roman"/>
                <w:sz w:val="18"/>
                <w:szCs w:val="18"/>
              </w:rPr>
            </w:pPr>
          </w:p>
        </w:tc>
        <w:tc>
          <w:tcPr>
            <w:tcW w:w="695"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IH — Health infrastructure — Indigenous mobile dental program</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Payments under </w:t>
            </w:r>
            <w:r w:rsidR="00DF3E5E">
              <w:rPr>
                <w:rFonts w:ascii="Calibri" w:eastAsia="Calibri" w:hAnsi="Calibri" w:cs="Times New Roman"/>
                <w:sz w:val="18"/>
                <w:szCs w:val="18"/>
              </w:rPr>
              <w:t xml:space="preserve">the </w:t>
            </w:r>
            <w:r w:rsidRPr="00445CFD">
              <w:rPr>
                <w:rFonts w:ascii="Calibri" w:eastAsia="Calibri" w:hAnsi="Calibri" w:cs="Times New Roman"/>
                <w:sz w:val="18"/>
                <w:szCs w:val="18"/>
              </w:rPr>
              <w:t>Indigenous mobile dental program in remote NT communities</w:t>
            </w:r>
            <w:r w:rsidR="00DF3E5E">
              <w:rPr>
                <w:rFonts w:ascii="Calibri" w:eastAsia="Calibri" w:hAnsi="Calibri" w:cs="Times New Roman"/>
                <w:sz w:val="18"/>
                <w:szCs w:val="18"/>
              </w:rPr>
              <w:t>.</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445CFD" w:rsidRPr="00445CFD" w:rsidRDefault="00445CFD" w:rsidP="00445CFD">
            <w:pPr>
              <w:spacing w:line="240" w:lineRule="auto"/>
              <w:rPr>
                <w:rFonts w:ascii="Calibri" w:eastAsia="Calibri" w:hAnsi="Calibri" w:cs="Times New Roman"/>
                <w:sz w:val="18"/>
                <w:szCs w:val="18"/>
              </w:rPr>
            </w:pPr>
          </w:p>
        </w:tc>
        <w:tc>
          <w:tcPr>
            <w:tcW w:w="695" w:type="pct"/>
          </w:tcPr>
          <w:p w:rsidR="00445CFD" w:rsidRPr="00445CFD" w:rsidRDefault="00445CFD" w:rsidP="00445CFD">
            <w:pPr>
              <w:spacing w:line="240" w:lineRule="auto"/>
              <w:rPr>
                <w:rFonts w:ascii="Calibri" w:eastAsia="Calibri" w:hAnsi="Calibri" w:cs="Times New Roman"/>
                <w:sz w:val="18"/>
                <w:szCs w:val="18"/>
              </w:rPr>
            </w:pP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IH — Health services — sexual assault counselling in remote NT areas</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as part of the Mobile Outreach Service Plus. This program provides culturally safe counselling and other support to Aboriginal children and their families and communities in remote areas of the NT, who are experiencing trauma related to any form of child abuse, including sexual assault.</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2012-13</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vAlign w:val="bottom"/>
          </w:tcPr>
          <w:p w:rsidR="00445CFD" w:rsidRPr="00445CFD" w:rsidRDefault="00445CFD" w:rsidP="00445CFD">
            <w:pPr>
              <w:spacing w:line="240" w:lineRule="auto"/>
              <w:rPr>
                <w:rFonts w:ascii="Calibri" w:eastAsia="Calibri" w:hAnsi="Calibri" w:cs="Calibri"/>
                <w:sz w:val="18"/>
                <w:szCs w:val="18"/>
              </w:rPr>
            </w:pPr>
          </w:p>
        </w:tc>
        <w:tc>
          <w:tcPr>
            <w:tcW w:w="695" w:type="pct"/>
            <w:vAlign w:val="bottom"/>
          </w:tcPr>
          <w:p w:rsidR="00445CFD" w:rsidRPr="00445CFD" w:rsidRDefault="00445CFD" w:rsidP="00445CFD">
            <w:pPr>
              <w:spacing w:line="240" w:lineRule="auto"/>
              <w:rPr>
                <w:rFonts w:ascii="Calibri" w:eastAsia="Calibri" w:hAnsi="Calibri" w:cs="Calibri"/>
                <w:sz w:val="18"/>
                <w:szCs w:val="18"/>
              </w:rPr>
            </w:pP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IH — Improving ear health services for Indigenous children</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the delivery of additional surgical services, clinical leadership programs and ear health services for some States.</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vAlign w:val="bottom"/>
          </w:tcPr>
          <w:p w:rsidR="00445CFD" w:rsidRPr="00445CFD" w:rsidRDefault="00445CFD" w:rsidP="00445CFD">
            <w:pPr>
              <w:spacing w:line="240" w:lineRule="auto"/>
              <w:rPr>
                <w:rFonts w:ascii="Calibri" w:eastAsia="Calibri" w:hAnsi="Calibri" w:cs="Calibri"/>
                <w:sz w:val="18"/>
                <w:szCs w:val="18"/>
              </w:rPr>
            </w:pPr>
          </w:p>
        </w:tc>
        <w:tc>
          <w:tcPr>
            <w:tcW w:w="695" w:type="pct"/>
            <w:vAlign w:val="bottom"/>
          </w:tcPr>
          <w:p w:rsidR="00445CFD" w:rsidRPr="00445CFD" w:rsidRDefault="00445CFD" w:rsidP="00445CFD">
            <w:pPr>
              <w:spacing w:line="240" w:lineRule="auto"/>
              <w:rPr>
                <w:rFonts w:ascii="Calibri" w:eastAsia="Calibri" w:hAnsi="Calibri" w:cs="Calibri"/>
                <w:sz w:val="18"/>
                <w:szCs w:val="18"/>
              </w:rPr>
            </w:pP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IH — Improving trachoma control services for Indigenous Australians</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for the continued expansion of trachoma control activities in jurisdictions where trachoma, an infectious disease which can lead to blindness, is endemic. Funding is also being provided to jurisdictions where trachoma has been funded previously, to determine whether full trachoma control programs are required for those jurisdictions.</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vAlign w:val="bottom"/>
          </w:tcPr>
          <w:p w:rsidR="00445CFD" w:rsidRPr="00445CFD" w:rsidRDefault="00445CFD" w:rsidP="00445CFD">
            <w:pPr>
              <w:spacing w:line="240" w:lineRule="auto"/>
              <w:rPr>
                <w:rFonts w:ascii="Calibri" w:eastAsia="Calibri" w:hAnsi="Calibri" w:cs="Calibri"/>
                <w:sz w:val="18"/>
                <w:szCs w:val="18"/>
              </w:rPr>
            </w:pPr>
          </w:p>
        </w:tc>
        <w:tc>
          <w:tcPr>
            <w:tcW w:w="695" w:type="pct"/>
            <w:vAlign w:val="bottom"/>
          </w:tcPr>
          <w:p w:rsidR="00445CFD" w:rsidRPr="00445CFD" w:rsidRDefault="00445CFD" w:rsidP="00445CFD">
            <w:pPr>
              <w:spacing w:line="240" w:lineRule="auto"/>
              <w:rPr>
                <w:rFonts w:ascii="Calibri" w:eastAsia="Calibri" w:hAnsi="Calibri" w:cs="Calibri"/>
                <w:sz w:val="18"/>
                <w:szCs w:val="18"/>
              </w:rPr>
            </w:pP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lastRenderedPageBreak/>
              <w:t>IH — Indigenous early childhood development — antenatal and reproductive health</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improve antenatal care, teenage sexual and reproductive health, and pre-pregnancy care, as well as building linkage</w:t>
            </w:r>
            <w:r w:rsidR="00DF3E5E">
              <w:rPr>
                <w:rFonts w:ascii="Calibri" w:eastAsia="Calibri" w:hAnsi="Calibri" w:cs="Times New Roman"/>
                <w:sz w:val="18"/>
                <w:szCs w:val="18"/>
              </w:rPr>
              <w:t>s</w:t>
            </w:r>
            <w:r w:rsidRPr="00445CFD">
              <w:rPr>
                <w:rFonts w:ascii="Calibri" w:eastAsia="Calibri" w:hAnsi="Calibri" w:cs="Times New Roman"/>
                <w:sz w:val="18"/>
                <w:szCs w:val="18"/>
              </w:rPr>
              <w:t xml:space="preserve"> with existing child and maternal health programs to increase the uptake of these services.</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445CFD" w:rsidRPr="00445CFD" w:rsidRDefault="00445CFD" w:rsidP="00445CFD">
            <w:pPr>
              <w:spacing w:line="240" w:lineRule="auto"/>
              <w:rPr>
                <w:rFonts w:ascii="Calibri" w:eastAsia="Calibri" w:hAnsi="Calibri" w:cs="Times New Roman"/>
                <w:sz w:val="18"/>
                <w:szCs w:val="18"/>
              </w:rPr>
            </w:pPr>
          </w:p>
        </w:tc>
        <w:tc>
          <w:tcPr>
            <w:tcW w:w="695" w:type="pct"/>
          </w:tcPr>
          <w:p w:rsidR="00445CFD" w:rsidRPr="00445CFD" w:rsidRDefault="00445CFD" w:rsidP="00445CFD">
            <w:pPr>
              <w:spacing w:line="240" w:lineRule="auto"/>
              <w:rPr>
                <w:rFonts w:ascii="Calibri" w:eastAsia="Calibri" w:hAnsi="Calibri" w:cs="Times New Roman"/>
                <w:sz w:val="18"/>
                <w:szCs w:val="18"/>
              </w:rPr>
            </w:pP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IH — Reducing acute rheumatic heart fever among Indigenous children</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register and control programs for acute rheumatic fever and rheumatic heart disease in Indigenous children.</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445CFD" w:rsidRPr="00445CFD" w:rsidRDefault="00445CFD" w:rsidP="00445CFD">
            <w:pPr>
              <w:spacing w:line="240" w:lineRule="auto"/>
              <w:rPr>
                <w:rFonts w:ascii="Calibri" w:eastAsia="Calibri" w:hAnsi="Calibri" w:cs="Times New Roman"/>
                <w:sz w:val="18"/>
                <w:szCs w:val="18"/>
              </w:rPr>
            </w:pPr>
          </w:p>
        </w:tc>
        <w:tc>
          <w:tcPr>
            <w:tcW w:w="695" w:type="pct"/>
          </w:tcPr>
          <w:p w:rsidR="00445CFD" w:rsidRPr="00445CFD" w:rsidRDefault="00445CFD" w:rsidP="00445CFD">
            <w:pPr>
              <w:spacing w:line="240" w:lineRule="auto"/>
              <w:rPr>
                <w:rFonts w:ascii="Calibri" w:eastAsia="Calibri" w:hAnsi="Calibri" w:cs="Times New Roman"/>
                <w:sz w:val="18"/>
                <w:szCs w:val="18"/>
              </w:rPr>
            </w:pP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IH — Renal dialysis services in Central Australia</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contribute to the delivery of renal dialysis and support service in Central Australia to improve access to renal services to Indigenous Australians.</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 to 2013-14</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445CFD" w:rsidRPr="00445CFD" w:rsidRDefault="00445CFD" w:rsidP="00445CFD">
            <w:pPr>
              <w:spacing w:line="240" w:lineRule="auto"/>
              <w:rPr>
                <w:rFonts w:ascii="Calibri" w:eastAsia="Calibri" w:hAnsi="Calibri" w:cs="Times New Roman"/>
                <w:sz w:val="18"/>
                <w:szCs w:val="18"/>
              </w:rPr>
            </w:pPr>
          </w:p>
        </w:tc>
        <w:tc>
          <w:tcPr>
            <w:tcW w:w="695" w:type="pct"/>
          </w:tcPr>
          <w:p w:rsidR="00445CFD" w:rsidRPr="00445CFD" w:rsidRDefault="00445CFD" w:rsidP="00445CFD">
            <w:pPr>
              <w:spacing w:line="240" w:lineRule="auto"/>
              <w:rPr>
                <w:rFonts w:ascii="Calibri" w:eastAsia="Calibri" w:hAnsi="Calibri" w:cs="Times New Roman"/>
                <w:sz w:val="18"/>
                <w:szCs w:val="18"/>
              </w:rPr>
            </w:pP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IH —Satellite renal dialysis facilities in remote Northern Territory communities</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for satellite renal dialysis facilities in remote NT communities.</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vAlign w:val="bottom"/>
          </w:tcPr>
          <w:p w:rsidR="00445CFD" w:rsidRPr="00445CFD" w:rsidRDefault="00445CFD" w:rsidP="00445CFD">
            <w:pPr>
              <w:spacing w:line="240" w:lineRule="auto"/>
              <w:rPr>
                <w:rFonts w:ascii="Calibri" w:eastAsia="Calibri" w:hAnsi="Calibri" w:cs="Calibri"/>
                <w:sz w:val="18"/>
                <w:szCs w:val="18"/>
              </w:rPr>
            </w:pPr>
          </w:p>
        </w:tc>
        <w:tc>
          <w:tcPr>
            <w:tcW w:w="695" w:type="pct"/>
            <w:vAlign w:val="bottom"/>
          </w:tcPr>
          <w:p w:rsidR="00445CFD" w:rsidRPr="00445CFD" w:rsidRDefault="00445CFD" w:rsidP="00445CFD">
            <w:pPr>
              <w:spacing w:line="240" w:lineRule="auto"/>
              <w:rPr>
                <w:rFonts w:ascii="Calibri" w:eastAsia="Calibri" w:hAnsi="Calibri" w:cs="Calibri"/>
                <w:sz w:val="18"/>
                <w:szCs w:val="18"/>
              </w:rPr>
            </w:pP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IH — Torres Strait health protection strategy — Saibai Island health clinic</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provide additional staff for the treatment of communicable diseases at the health care clinic on Saibai Island, and development and implementation of a culturally appropriate sexual health education campaign for people in the Torres Strait.</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vAlign w:val="bottom"/>
          </w:tcPr>
          <w:p w:rsidR="00445CFD" w:rsidRPr="00445CFD" w:rsidRDefault="00445CFD" w:rsidP="00445CFD">
            <w:pPr>
              <w:spacing w:line="240" w:lineRule="auto"/>
              <w:rPr>
                <w:rFonts w:ascii="Calibri" w:eastAsia="Calibri" w:hAnsi="Calibri" w:cs="Calibri"/>
                <w:sz w:val="18"/>
                <w:szCs w:val="18"/>
              </w:rPr>
            </w:pPr>
          </w:p>
        </w:tc>
        <w:tc>
          <w:tcPr>
            <w:tcW w:w="695" w:type="pct"/>
            <w:vAlign w:val="bottom"/>
          </w:tcPr>
          <w:p w:rsidR="00445CFD" w:rsidRPr="00445CFD" w:rsidRDefault="00445CFD" w:rsidP="00445CFD">
            <w:pPr>
              <w:spacing w:line="240" w:lineRule="auto"/>
              <w:rPr>
                <w:rFonts w:ascii="Calibri" w:eastAsia="Calibri" w:hAnsi="Calibri" w:cs="Calibri"/>
                <w:sz w:val="18"/>
                <w:szCs w:val="18"/>
              </w:rPr>
            </w:pPr>
          </w:p>
        </w:tc>
      </w:tr>
      <w:tr w:rsidR="00445CFD" w:rsidRPr="00445CFD" w:rsidTr="00A5067D">
        <w:trPr>
          <w:cantSplit/>
        </w:trPr>
        <w:tc>
          <w:tcPr>
            <w:tcW w:w="5000" w:type="pct"/>
            <w:gridSpan w:val="6"/>
            <w:vAlign w:val="bottom"/>
          </w:tcPr>
          <w:p w:rsidR="00445CFD" w:rsidRPr="000422F7" w:rsidRDefault="00445CFD" w:rsidP="00445CFD">
            <w:pPr>
              <w:spacing w:line="240" w:lineRule="auto"/>
              <w:rPr>
                <w:rFonts w:ascii="Calibri" w:eastAsia="Calibri" w:hAnsi="Calibri" w:cs="Calibri"/>
                <w:b/>
                <w:sz w:val="18"/>
                <w:szCs w:val="18"/>
              </w:rPr>
            </w:pPr>
            <w:r w:rsidRPr="000422F7">
              <w:rPr>
                <w:rFonts w:ascii="Calibri" w:eastAsia="Calibri" w:hAnsi="Calibri" w:cs="Calibri"/>
                <w:b/>
                <w:i/>
                <w:sz w:val="18"/>
                <w:szCs w:val="18"/>
              </w:rPr>
              <w:t>Mental health (MH)</w:t>
            </w:r>
          </w:p>
        </w:tc>
      </w:tr>
      <w:tr w:rsidR="00445CFD" w:rsidRPr="00445CFD" w:rsidTr="00A5067D">
        <w:trPr>
          <w:cantSplit/>
        </w:trPr>
        <w:tc>
          <w:tcPr>
            <w:tcW w:w="669" w:type="pct"/>
          </w:tcPr>
          <w:p w:rsidR="00445CFD" w:rsidRPr="00D20698" w:rsidRDefault="00445CFD" w:rsidP="00445CFD">
            <w:pPr>
              <w:spacing w:line="240" w:lineRule="auto"/>
              <w:rPr>
                <w:rFonts w:ascii="Calibri" w:eastAsia="Calibri" w:hAnsi="Calibri" w:cs="Times New Roman"/>
                <w:sz w:val="18"/>
                <w:szCs w:val="18"/>
              </w:rPr>
            </w:pPr>
            <w:r w:rsidRPr="00D20698">
              <w:rPr>
                <w:rFonts w:ascii="Calibri" w:eastAsia="Calibri" w:hAnsi="Calibri" w:cs="Times New Roman"/>
                <w:sz w:val="18"/>
                <w:szCs w:val="18"/>
              </w:rPr>
              <w:t>MH — Supporting national mental health reform</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deliver improved health, social, economic and housing outcome for people with severe and persistent mental illness by addressing service gaps and preventing ongoing cycling through State mental health systems.</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vAlign w:val="bottom"/>
          </w:tcPr>
          <w:p w:rsidR="00445CFD" w:rsidRPr="00445CFD" w:rsidRDefault="00445CFD" w:rsidP="00445CFD">
            <w:pPr>
              <w:spacing w:line="240" w:lineRule="auto"/>
              <w:rPr>
                <w:rFonts w:ascii="Calibri" w:eastAsia="Calibri" w:hAnsi="Calibri" w:cs="Calibri"/>
                <w:sz w:val="18"/>
                <w:szCs w:val="18"/>
              </w:rPr>
            </w:pPr>
          </w:p>
        </w:tc>
        <w:tc>
          <w:tcPr>
            <w:tcW w:w="695" w:type="pct"/>
            <w:vAlign w:val="bottom"/>
          </w:tcPr>
          <w:p w:rsidR="00445CFD" w:rsidRPr="00445CFD" w:rsidRDefault="00445CFD" w:rsidP="00445CFD">
            <w:pPr>
              <w:spacing w:line="240" w:lineRule="auto"/>
              <w:rPr>
                <w:rFonts w:ascii="Calibri" w:eastAsia="Calibri" w:hAnsi="Calibri" w:cs="Calibri"/>
                <w:sz w:val="18"/>
                <w:szCs w:val="18"/>
              </w:rPr>
            </w:pPr>
          </w:p>
        </w:tc>
      </w:tr>
      <w:tr w:rsidR="00445CFD" w:rsidRPr="00445CFD" w:rsidTr="00A5067D">
        <w:trPr>
          <w:cantSplit/>
        </w:trPr>
        <w:tc>
          <w:tcPr>
            <w:tcW w:w="5000" w:type="pct"/>
            <w:gridSpan w:val="6"/>
            <w:vAlign w:val="bottom"/>
          </w:tcPr>
          <w:p w:rsidR="00445CFD" w:rsidRPr="000422F7" w:rsidRDefault="00445CFD" w:rsidP="00445CFD">
            <w:pPr>
              <w:spacing w:line="240" w:lineRule="auto"/>
              <w:rPr>
                <w:rFonts w:ascii="Calibri" w:eastAsia="Calibri" w:hAnsi="Calibri" w:cs="Calibri"/>
                <w:b/>
                <w:sz w:val="18"/>
                <w:szCs w:val="18"/>
              </w:rPr>
            </w:pPr>
            <w:r w:rsidRPr="000422F7">
              <w:rPr>
                <w:rFonts w:ascii="Calibri" w:eastAsia="Calibri" w:hAnsi="Calibri" w:cs="Calibri"/>
                <w:b/>
                <w:i/>
                <w:sz w:val="18"/>
                <w:szCs w:val="18"/>
              </w:rPr>
              <w:t>Preventative</w:t>
            </w:r>
            <w:r w:rsidRPr="000422F7">
              <w:rPr>
                <w:rFonts w:ascii="Calibri" w:eastAsia="Calibri" w:hAnsi="Calibri" w:cs="Calibri"/>
                <w:b/>
                <w:sz w:val="18"/>
                <w:szCs w:val="18"/>
              </w:rPr>
              <w:t xml:space="preserve"> </w:t>
            </w:r>
            <w:r w:rsidRPr="00D20698">
              <w:rPr>
                <w:rFonts w:ascii="Calibri" w:eastAsia="Calibri" w:hAnsi="Calibri" w:cs="Calibri"/>
                <w:b/>
                <w:i/>
                <w:sz w:val="18"/>
                <w:szCs w:val="18"/>
              </w:rPr>
              <w:t>health (PH)</w:t>
            </w: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PH — Enabling infrastructure </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is provided for State based surveillance activities covering nutrition and physical activity measures consistent with national protocols.</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2012-13</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445CFD" w:rsidRPr="00445CFD" w:rsidRDefault="00445CFD" w:rsidP="00445CFD">
            <w:pPr>
              <w:spacing w:line="240" w:lineRule="auto"/>
              <w:rPr>
                <w:rFonts w:ascii="Calibri" w:eastAsia="Calibri" w:hAnsi="Calibri" w:cs="Times New Roman"/>
                <w:sz w:val="18"/>
                <w:szCs w:val="18"/>
              </w:rPr>
            </w:pPr>
          </w:p>
        </w:tc>
        <w:tc>
          <w:tcPr>
            <w:tcW w:w="695" w:type="pct"/>
          </w:tcPr>
          <w:p w:rsidR="00445CFD" w:rsidRPr="00445CFD" w:rsidRDefault="00445CFD" w:rsidP="00445CFD">
            <w:pPr>
              <w:spacing w:line="240" w:lineRule="auto"/>
              <w:rPr>
                <w:rFonts w:ascii="Calibri" w:eastAsia="Calibri" w:hAnsi="Calibri" w:cs="Times New Roman"/>
                <w:sz w:val="18"/>
                <w:szCs w:val="18"/>
              </w:rPr>
            </w:pP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lastRenderedPageBreak/>
              <w:t>PH – Healthy children</w:t>
            </w:r>
          </w:p>
        </w:tc>
        <w:tc>
          <w:tcPr>
            <w:tcW w:w="1456" w:type="pct"/>
          </w:tcPr>
          <w:p w:rsid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Facilitation funding for children </w:t>
            </w:r>
            <w:proofErr w:type="gramStart"/>
            <w:r w:rsidRPr="00445CFD">
              <w:rPr>
                <w:rFonts w:ascii="Calibri" w:eastAsia="Calibri" w:hAnsi="Calibri" w:cs="Times New Roman"/>
                <w:sz w:val="18"/>
                <w:szCs w:val="18"/>
              </w:rPr>
              <w:t>under</w:t>
            </w:r>
            <w:proofErr w:type="gramEnd"/>
            <w:r w:rsidRPr="00445CFD">
              <w:rPr>
                <w:rFonts w:ascii="Calibri" w:eastAsia="Calibri" w:hAnsi="Calibri" w:cs="Times New Roman"/>
                <w:sz w:val="18"/>
                <w:szCs w:val="18"/>
              </w:rPr>
              <w:t xml:space="preserve"> 16 to increase levels of physical activity and improve the intake of fruit and vegetables in settings such as child centres, preschools and schools.</w:t>
            </w:r>
            <w:r w:rsidR="000422F7">
              <w:rPr>
                <w:rFonts w:ascii="Calibri" w:eastAsia="Calibri" w:hAnsi="Calibri" w:cs="Times New Roman"/>
                <w:sz w:val="18"/>
                <w:szCs w:val="18"/>
              </w:rPr>
              <w:t xml:space="preserve"> </w:t>
            </w:r>
          </w:p>
          <w:p w:rsidR="000422F7" w:rsidRPr="00445CFD" w:rsidRDefault="000422F7" w:rsidP="000422F7">
            <w:pPr>
              <w:pStyle w:val="CGCCWTableText"/>
            </w:pPr>
            <w:r w:rsidRPr="000422F7">
              <w:t>Reward funding will be provided upon the achievement of agreed performance benchmarks.</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Reward payments — no impact; Others — impact</w:t>
            </w:r>
          </w:p>
        </w:tc>
        <w:tc>
          <w:tcPr>
            <w:tcW w:w="727" w:type="pct"/>
          </w:tcPr>
          <w:p w:rsidR="00445CFD" w:rsidRPr="00445CFD" w:rsidRDefault="00445CFD" w:rsidP="00445CFD">
            <w:pPr>
              <w:spacing w:line="240" w:lineRule="auto"/>
              <w:rPr>
                <w:rFonts w:ascii="Calibri" w:eastAsia="Calibri" w:hAnsi="Calibri" w:cs="Times New Roman"/>
                <w:sz w:val="18"/>
                <w:szCs w:val="18"/>
              </w:rPr>
            </w:pPr>
          </w:p>
        </w:tc>
        <w:tc>
          <w:tcPr>
            <w:tcW w:w="695"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Reward payment — no impact as required by terms of reference</w:t>
            </w: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PH – healthy communities</w:t>
            </w:r>
            <w:r w:rsidR="00C57117">
              <w:rPr>
                <w:rFonts w:ascii="Calibri" w:eastAsia="Calibri" w:hAnsi="Calibri" w:cs="Times New Roman"/>
                <w:color w:val="FF0000"/>
                <w:sz w:val="18"/>
                <w:szCs w:val="18"/>
              </w:rPr>
              <w:t>##</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direct to local governments to support 92 local areas nationally for community based healthy life-style programs to improve physical activity and healthy eating and healthy weight activities for people not in the workforce in socially and economically disadvantaged areas, as well as those looking for employment and carers.</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445CFD" w:rsidRPr="00445CFD" w:rsidRDefault="00445CFD" w:rsidP="00445CFD">
            <w:pPr>
              <w:spacing w:line="240" w:lineRule="auto"/>
              <w:rPr>
                <w:rFonts w:ascii="Calibri" w:eastAsia="Calibri" w:hAnsi="Calibri" w:cs="Times New Roman"/>
                <w:sz w:val="18"/>
                <w:szCs w:val="18"/>
              </w:rPr>
            </w:pPr>
          </w:p>
        </w:tc>
        <w:tc>
          <w:tcPr>
            <w:tcW w:w="695"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Local — needs not assessed </w:t>
            </w: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PH – healthy workers</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workplace health programs that focus on decreasing rates of overweight</w:t>
            </w:r>
            <w:r w:rsidR="00DF3E5E">
              <w:rPr>
                <w:rFonts w:ascii="Calibri" w:eastAsia="Calibri" w:hAnsi="Calibri" w:cs="Times New Roman"/>
                <w:sz w:val="18"/>
                <w:szCs w:val="18"/>
              </w:rPr>
              <w:t>ness</w:t>
            </w:r>
            <w:r w:rsidRPr="00445CFD">
              <w:rPr>
                <w:rFonts w:ascii="Calibri" w:eastAsia="Calibri" w:hAnsi="Calibri" w:cs="Times New Roman"/>
                <w:sz w:val="18"/>
                <w:szCs w:val="18"/>
              </w:rPr>
              <w:t xml:space="preserve"> and obesity, increasing levels of physical activity and intake of fruit and vegetables, smoking cessation and reducing harmful levels of alcohol consumption. Reward funding will be provided to States upon the achievement of agreed performance benchmarks.</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Reward payments — no impact; Others — impact</w:t>
            </w:r>
          </w:p>
        </w:tc>
        <w:tc>
          <w:tcPr>
            <w:tcW w:w="727" w:type="pct"/>
          </w:tcPr>
          <w:p w:rsidR="00445CFD" w:rsidRPr="00445CFD" w:rsidRDefault="00445CFD" w:rsidP="00445CFD">
            <w:pPr>
              <w:spacing w:line="240" w:lineRule="auto"/>
              <w:rPr>
                <w:rFonts w:ascii="Calibri" w:eastAsia="Calibri" w:hAnsi="Calibri" w:cs="Times New Roman"/>
                <w:sz w:val="18"/>
                <w:szCs w:val="18"/>
              </w:rPr>
            </w:pPr>
          </w:p>
        </w:tc>
        <w:tc>
          <w:tcPr>
            <w:tcW w:w="695"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Reward payment — no impact as required by terms of reference</w:t>
            </w: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PH — Social marketing</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develop social marketing campaigns that extend and complement the Australian Better Health Initiative and reinforce local activities on preventive health.</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2012-13</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vAlign w:val="bottom"/>
          </w:tcPr>
          <w:p w:rsidR="00445CFD" w:rsidRPr="00445CFD" w:rsidRDefault="00445CFD" w:rsidP="00445CFD">
            <w:pPr>
              <w:spacing w:line="240" w:lineRule="auto"/>
              <w:rPr>
                <w:rFonts w:ascii="Calibri" w:eastAsia="Calibri" w:hAnsi="Calibri" w:cs="Calibri"/>
                <w:sz w:val="18"/>
                <w:szCs w:val="18"/>
              </w:rPr>
            </w:pPr>
          </w:p>
        </w:tc>
        <w:tc>
          <w:tcPr>
            <w:tcW w:w="695" w:type="pct"/>
            <w:vAlign w:val="bottom"/>
          </w:tcPr>
          <w:p w:rsidR="00445CFD" w:rsidRPr="00445CFD" w:rsidRDefault="00445CFD" w:rsidP="00445CFD">
            <w:pPr>
              <w:spacing w:line="240" w:lineRule="auto"/>
              <w:rPr>
                <w:rFonts w:ascii="Calibri" w:eastAsia="Calibri" w:hAnsi="Calibri" w:cs="Calibri"/>
                <w:sz w:val="18"/>
                <w:szCs w:val="18"/>
              </w:rPr>
            </w:pPr>
          </w:p>
        </w:tc>
      </w:tr>
      <w:tr w:rsidR="00445CFD" w:rsidRPr="00445CFD" w:rsidTr="00A5067D">
        <w:trPr>
          <w:cantSplit/>
        </w:trPr>
        <w:tc>
          <w:tcPr>
            <w:tcW w:w="5000" w:type="pct"/>
            <w:gridSpan w:val="6"/>
            <w:vAlign w:val="bottom"/>
          </w:tcPr>
          <w:p w:rsidR="00445CFD" w:rsidRPr="00D20698" w:rsidRDefault="00445CFD" w:rsidP="00445CFD">
            <w:pPr>
              <w:spacing w:line="240" w:lineRule="auto"/>
              <w:rPr>
                <w:rFonts w:ascii="Calibri" w:eastAsia="Calibri" w:hAnsi="Calibri" w:cs="Times New Roman"/>
                <w:b/>
                <w:sz w:val="18"/>
                <w:szCs w:val="18"/>
              </w:rPr>
            </w:pPr>
            <w:r w:rsidRPr="00D20698">
              <w:rPr>
                <w:rFonts w:ascii="Calibri" w:eastAsia="Calibri" w:hAnsi="Calibri" w:cs="Times New Roman"/>
                <w:b/>
                <w:sz w:val="18"/>
                <w:szCs w:val="18"/>
              </w:rPr>
              <w:t>Other Health National partnership payments</w:t>
            </w:r>
          </w:p>
        </w:tc>
      </w:tr>
      <w:tr w:rsidR="00445CFD" w:rsidRPr="00445CFD" w:rsidTr="00A5067D">
        <w:trPr>
          <w:cantSplit/>
        </w:trPr>
        <w:tc>
          <w:tcPr>
            <w:tcW w:w="669" w:type="pct"/>
          </w:tcPr>
          <w:p w:rsidR="00445CFD" w:rsidRPr="00C57117" w:rsidRDefault="00445CFD" w:rsidP="00445CFD">
            <w:pPr>
              <w:spacing w:line="240" w:lineRule="auto"/>
              <w:rPr>
                <w:rFonts w:ascii="Calibri" w:eastAsia="Calibri" w:hAnsi="Calibri" w:cs="Times New Roman"/>
                <w:color w:val="FF0000"/>
                <w:sz w:val="18"/>
                <w:szCs w:val="18"/>
              </w:rPr>
            </w:pPr>
            <w:r w:rsidRPr="00445CFD">
              <w:rPr>
                <w:rFonts w:ascii="Calibri" w:eastAsia="Calibri" w:hAnsi="Calibri" w:cs="Times New Roman"/>
                <w:sz w:val="18"/>
                <w:szCs w:val="18"/>
              </w:rPr>
              <w:t>East Kimberley development package – health related projects</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for health infrastructure projects. Priorities under the package include primary and preventive health care, drug and alcohol services, short term patient accommodation, </w:t>
            </w:r>
            <w:proofErr w:type="gramStart"/>
            <w:r w:rsidRPr="00445CFD">
              <w:rPr>
                <w:rFonts w:ascii="Calibri" w:eastAsia="Calibri" w:hAnsi="Calibri" w:cs="Times New Roman"/>
                <w:sz w:val="18"/>
                <w:szCs w:val="18"/>
              </w:rPr>
              <w:t>housing</w:t>
            </w:r>
            <w:proofErr w:type="gramEnd"/>
            <w:r w:rsidRPr="00445CFD">
              <w:rPr>
                <w:rFonts w:ascii="Calibri" w:eastAsia="Calibri" w:hAnsi="Calibri" w:cs="Times New Roman"/>
                <w:sz w:val="18"/>
                <w:szCs w:val="18"/>
              </w:rPr>
              <w:t xml:space="preserve"> for health service providers, improvements to remote clinics, aged care facilities and environmental health measures. </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2012-13</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Payments for environment health measures and aged care facilities - No impact</w:t>
            </w:r>
          </w:p>
        </w:tc>
        <w:tc>
          <w:tcPr>
            <w:tcW w:w="727" w:type="pct"/>
          </w:tcPr>
          <w:p w:rsidR="00445CFD" w:rsidRPr="00445CFD" w:rsidRDefault="00445CFD" w:rsidP="00445CFD">
            <w:pPr>
              <w:rPr>
                <w:rFonts w:ascii="Calibri" w:eastAsia="Calibri" w:hAnsi="Calibri" w:cs="Times New Roman"/>
              </w:rPr>
            </w:pPr>
          </w:p>
        </w:tc>
        <w:tc>
          <w:tcPr>
            <w:tcW w:w="695"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Commonwealth</w:t>
            </w:r>
            <w:r w:rsidR="00636CF4">
              <w:rPr>
                <w:rFonts w:ascii="Calibri" w:eastAsia="Calibri" w:hAnsi="Calibri" w:cs="Times New Roman"/>
                <w:sz w:val="18"/>
                <w:szCs w:val="18"/>
              </w:rPr>
              <w:t xml:space="preserve"> purchase — needs not assessed</w:t>
            </w: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lastRenderedPageBreak/>
              <w:t>Elective surgery waiting list reduction plan</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To provide for systemic improvements such as </w:t>
            </w:r>
            <w:r w:rsidR="00DF3E5E">
              <w:rPr>
                <w:rFonts w:ascii="Calibri" w:eastAsia="Calibri" w:hAnsi="Calibri" w:cs="Times New Roman"/>
                <w:sz w:val="18"/>
                <w:szCs w:val="18"/>
              </w:rPr>
              <w:t xml:space="preserve">the </w:t>
            </w:r>
            <w:r w:rsidRPr="00445CFD">
              <w:rPr>
                <w:rFonts w:ascii="Calibri" w:eastAsia="Calibri" w:hAnsi="Calibri" w:cs="Times New Roman"/>
                <w:sz w:val="18"/>
                <w:szCs w:val="18"/>
              </w:rPr>
              <w:t>construction of additional operating theatres and the purchase of new surgical equipment to improve long-term elective surgery performance.</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vAlign w:val="bottom"/>
          </w:tcPr>
          <w:p w:rsidR="00445CFD" w:rsidRPr="00445CFD" w:rsidRDefault="00445CFD" w:rsidP="00445CFD">
            <w:pPr>
              <w:spacing w:line="240" w:lineRule="auto"/>
              <w:rPr>
                <w:rFonts w:ascii="Calibri" w:eastAsia="Calibri" w:hAnsi="Calibri" w:cs="Calibri"/>
                <w:sz w:val="18"/>
                <w:szCs w:val="18"/>
              </w:rPr>
            </w:pPr>
          </w:p>
        </w:tc>
        <w:tc>
          <w:tcPr>
            <w:tcW w:w="695" w:type="pct"/>
            <w:vAlign w:val="bottom"/>
          </w:tcPr>
          <w:p w:rsidR="00445CFD" w:rsidRPr="00445CFD" w:rsidRDefault="00445CFD" w:rsidP="00445CFD">
            <w:pPr>
              <w:spacing w:line="240" w:lineRule="auto"/>
              <w:rPr>
                <w:rFonts w:ascii="Calibri" w:eastAsia="Calibri" w:hAnsi="Calibri" w:cs="Calibri"/>
                <w:sz w:val="18"/>
                <w:szCs w:val="18"/>
              </w:rPr>
            </w:pP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Essential vaccines (vaccine purchase)</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for the purchase of essential vaccines, which have not yet transitioned to </w:t>
            </w:r>
            <w:proofErr w:type="gramStart"/>
            <w:r w:rsidRPr="00445CFD">
              <w:rPr>
                <w:rFonts w:ascii="Calibri" w:eastAsia="Calibri" w:hAnsi="Calibri" w:cs="Times New Roman"/>
                <w:sz w:val="18"/>
                <w:szCs w:val="18"/>
              </w:rPr>
              <w:t>centralised</w:t>
            </w:r>
            <w:proofErr w:type="gramEnd"/>
            <w:r w:rsidRPr="00445CFD">
              <w:rPr>
                <w:rFonts w:ascii="Calibri" w:eastAsia="Calibri" w:hAnsi="Calibri" w:cs="Times New Roman"/>
                <w:sz w:val="18"/>
                <w:szCs w:val="18"/>
              </w:rPr>
              <w:t xml:space="preserve"> purchasing arrangements, for eligible individuals under the National Immunisation Program.</w:t>
            </w:r>
          </w:p>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Reward funding will be provided to the States for achieving performance benchmarks that maintain or increase vaccine coverage amongst Indigenous Australians and four year olds as well as in low coverage areas, and maintain or decrease vaccine wastage and leakage.</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445CFD" w:rsidRPr="00445CFD" w:rsidRDefault="00445CFD" w:rsidP="00445CFD">
            <w:pPr>
              <w:spacing w:line="240" w:lineRule="auto"/>
              <w:rPr>
                <w:rFonts w:ascii="Calibri" w:eastAsia="Calibri" w:hAnsi="Calibri" w:cs="Times New Roman"/>
                <w:sz w:val="18"/>
                <w:szCs w:val="18"/>
              </w:rPr>
            </w:pPr>
          </w:p>
        </w:tc>
        <w:tc>
          <w:tcPr>
            <w:tcW w:w="695" w:type="pct"/>
          </w:tcPr>
          <w:p w:rsidR="00445CFD" w:rsidRPr="00445CFD" w:rsidRDefault="00445CFD" w:rsidP="00636CF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sidR="00636CF4">
              <w:rPr>
                <w:rFonts w:ascii="Calibri" w:eastAsia="Calibri" w:hAnsi="Calibri" w:cs="Times New Roman"/>
                <w:sz w:val="18"/>
                <w:szCs w:val="18"/>
              </w:rPr>
              <w:t>purchase – needs not assessed</w:t>
            </w:r>
          </w:p>
        </w:tc>
      </w:tr>
      <w:tr w:rsidR="00445CFD" w:rsidRPr="00445CFD" w:rsidTr="00A5067D">
        <w:trPr>
          <w:cantSplit/>
        </w:trPr>
        <w:tc>
          <w:tcPr>
            <w:tcW w:w="66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Hospital and health workforce reform — activity based funding</w:t>
            </w:r>
          </w:p>
        </w:tc>
        <w:tc>
          <w:tcPr>
            <w:tcW w:w="1456"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the implementation of activity based funding for Australia’s public hospital system, enhance health workforce capability and supply, increase the volume and quality of subacute care services, and improve the operations of emergency departments.</w:t>
            </w:r>
          </w:p>
        </w:tc>
        <w:tc>
          <w:tcPr>
            <w:tcW w:w="674"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2012-13</w:t>
            </w:r>
          </w:p>
        </w:tc>
        <w:tc>
          <w:tcPr>
            <w:tcW w:w="779" w:type="pct"/>
          </w:tcPr>
          <w:p w:rsidR="00445CFD" w:rsidRPr="00445CFD" w:rsidRDefault="00445CFD"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445CFD" w:rsidRPr="00445CFD" w:rsidRDefault="00445CFD" w:rsidP="00445CFD">
            <w:pPr>
              <w:spacing w:line="240" w:lineRule="auto"/>
              <w:rPr>
                <w:rFonts w:ascii="Calibri" w:eastAsia="Calibri" w:hAnsi="Calibri" w:cs="Times New Roman"/>
                <w:sz w:val="18"/>
                <w:szCs w:val="18"/>
              </w:rPr>
            </w:pPr>
          </w:p>
        </w:tc>
        <w:tc>
          <w:tcPr>
            <w:tcW w:w="695" w:type="pct"/>
          </w:tcPr>
          <w:p w:rsidR="00445CFD" w:rsidRPr="00445CFD" w:rsidRDefault="00445CFD" w:rsidP="00445CFD">
            <w:pPr>
              <w:spacing w:line="240" w:lineRule="auto"/>
              <w:rPr>
                <w:rFonts w:ascii="Calibri" w:eastAsia="Calibri" w:hAnsi="Calibri" w:cs="Times New Roman"/>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coronial information system</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the ongoing administration, maintenance and improvement of Australia’s national database of coronial data.</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636CF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purchase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Treating more public dental patients</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assist in the treatment of up to 400</w:t>
            </w:r>
            <w:r w:rsidR="00DF3E5E">
              <w:rPr>
                <w:rFonts w:ascii="Calibri" w:eastAsia="Calibri" w:hAnsi="Calibri" w:cs="Times New Roman"/>
                <w:sz w:val="18"/>
                <w:szCs w:val="18"/>
              </w:rPr>
              <w:t xml:space="preserve"> </w:t>
            </w:r>
            <w:r w:rsidRPr="00445CFD">
              <w:rPr>
                <w:rFonts w:ascii="Calibri" w:eastAsia="Calibri" w:hAnsi="Calibri" w:cs="Times New Roman"/>
                <w:sz w:val="18"/>
                <w:szCs w:val="18"/>
              </w:rPr>
              <w:t>000 people on public dental waiting lists, with a particular focus on Indigenous patients, high risk patients and those from rural areas.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p>
        </w:tc>
      </w:tr>
      <w:tr w:rsidR="00636CF4" w:rsidRPr="00445CFD" w:rsidTr="00A5067D">
        <w:trPr>
          <w:cantSplit/>
        </w:trPr>
        <w:tc>
          <w:tcPr>
            <w:tcW w:w="5000" w:type="pct"/>
            <w:gridSpan w:val="6"/>
            <w:vAlign w:val="bottom"/>
          </w:tcPr>
          <w:p w:rsidR="00636CF4" w:rsidRPr="00445CFD" w:rsidRDefault="00636CF4" w:rsidP="00445CFD">
            <w:pPr>
              <w:spacing w:line="240" w:lineRule="auto"/>
              <w:rPr>
                <w:rFonts w:ascii="Calibri" w:eastAsia="Calibri" w:hAnsi="Calibri" w:cs="Times New Roman"/>
                <w:b/>
                <w:sz w:val="18"/>
                <w:szCs w:val="18"/>
              </w:rPr>
            </w:pPr>
            <w:r w:rsidRPr="00445CFD">
              <w:rPr>
                <w:rFonts w:ascii="Calibri" w:eastAsia="Calibri" w:hAnsi="Calibri" w:cs="Times New Roman"/>
                <w:b/>
                <w:sz w:val="18"/>
                <w:szCs w:val="18"/>
              </w:rPr>
              <w:t>EDUCATION</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Schools SPP</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support government and non-government schools education. The SPP finished in December 2013 and </w:t>
            </w:r>
            <w:r w:rsidR="00DF3E5E">
              <w:rPr>
                <w:rFonts w:ascii="Calibri" w:eastAsia="Calibri" w:hAnsi="Calibri" w:cs="Times New Roman"/>
                <w:sz w:val="18"/>
                <w:szCs w:val="18"/>
              </w:rPr>
              <w:t xml:space="preserve">will </w:t>
            </w:r>
            <w:r w:rsidRPr="00445CFD">
              <w:rPr>
                <w:rFonts w:ascii="Calibri" w:eastAsia="Calibri" w:hAnsi="Calibri" w:cs="Times New Roman"/>
                <w:sz w:val="18"/>
                <w:szCs w:val="18"/>
              </w:rPr>
              <w:t>be replaced by the Student</w:t>
            </w:r>
            <w:r w:rsidR="00DF3E5E">
              <w:rPr>
                <w:rFonts w:ascii="Calibri" w:eastAsia="Calibri" w:hAnsi="Calibri" w:cs="Times New Roman"/>
                <w:sz w:val="18"/>
                <w:szCs w:val="18"/>
              </w:rPr>
              <w:t>s</w:t>
            </w:r>
            <w:r w:rsidRPr="00445CFD">
              <w:rPr>
                <w:rFonts w:ascii="Calibri" w:eastAsia="Calibri" w:hAnsi="Calibri" w:cs="Times New Roman"/>
                <w:sz w:val="18"/>
                <w:szCs w:val="18"/>
              </w:rPr>
              <w:t xml:space="preserve"> First program from January 2014.</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Government – Impact</w:t>
            </w:r>
          </w:p>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Non-government</w:t>
            </w:r>
            <w:r>
              <w:rPr>
                <w:rFonts w:ascii="Calibri" w:eastAsia="Calibri" w:hAnsi="Calibri" w:cs="Times New Roman"/>
                <w:color w:val="FF0000"/>
                <w:sz w:val="18"/>
                <w:szCs w:val="18"/>
              </w:rPr>
              <w:t>#</w:t>
            </w:r>
            <w:r w:rsidRPr="00445CFD">
              <w:rPr>
                <w:rFonts w:ascii="Calibri" w:eastAsia="Calibri" w:hAnsi="Calibri" w:cs="Times New Roman"/>
                <w:sz w:val="18"/>
                <w:szCs w:val="18"/>
              </w:rPr>
              <w:t xml:space="preserve"> – 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Non-government schools — States act as an intermediary and needs are not assessed</w:t>
            </w:r>
          </w:p>
        </w:tc>
      </w:tr>
      <w:tr w:rsidR="00636CF4" w:rsidRPr="00445CFD" w:rsidTr="000422F7">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lastRenderedPageBreak/>
              <w:t>Students First funding</w:t>
            </w:r>
          </w:p>
        </w:tc>
        <w:tc>
          <w:tcPr>
            <w:tcW w:w="1456" w:type="pct"/>
            <w:vAlign w:val="bottom"/>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Students First funding replaced the National Schools SPP and various schools-related NP</w:t>
            </w:r>
            <w:r w:rsidR="00DF3E5E">
              <w:rPr>
                <w:rFonts w:ascii="Calibri" w:eastAsia="Calibri" w:hAnsi="Calibri" w:cs="Times New Roman"/>
                <w:sz w:val="18"/>
                <w:szCs w:val="18"/>
              </w:rPr>
              <w:t>Ps</w:t>
            </w:r>
            <w:r w:rsidRPr="00445CFD">
              <w:rPr>
                <w:rFonts w:ascii="Calibri" w:eastAsia="Calibri" w:hAnsi="Calibri" w:cs="Times New Roman"/>
                <w:sz w:val="18"/>
                <w:szCs w:val="18"/>
              </w:rPr>
              <w:t xml:space="preserve"> (Rewards for great teachers, Smarter schools – low socio-economic status school communities, Empowering local schools) from January 2014. </w:t>
            </w:r>
          </w:p>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It includes recurrent funding for government and non-government schools, capital funding and special circumstances funding for non-government schools and funding for non-government representative bodies.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779" w:type="pct"/>
          </w:tcPr>
          <w:p w:rsidR="00636CF4" w:rsidRPr="00445CFD" w:rsidRDefault="00636CF4" w:rsidP="000422F7">
            <w:pPr>
              <w:pStyle w:val="CGCCWTableText"/>
            </w:pPr>
            <w:r w:rsidRPr="00445CFD">
              <w:t>Government – Impact</w:t>
            </w:r>
          </w:p>
          <w:p w:rsidR="00636CF4" w:rsidRPr="00445CFD" w:rsidRDefault="00636CF4" w:rsidP="000422F7">
            <w:pPr>
              <w:pStyle w:val="CGCCWTableText"/>
              <w:rPr>
                <w:rFonts w:cs="Calibri"/>
              </w:rPr>
            </w:pPr>
            <w:r w:rsidRPr="00445CFD">
              <w:t>Non-government</w:t>
            </w:r>
            <w:r>
              <w:rPr>
                <w:color w:val="FF0000"/>
              </w:rPr>
              <w:t>#</w:t>
            </w:r>
            <w:r w:rsidRPr="00445CFD">
              <w:t xml:space="preserve"> – No impact</w:t>
            </w:r>
          </w:p>
        </w:tc>
        <w:tc>
          <w:tcPr>
            <w:tcW w:w="727" w:type="pct"/>
          </w:tcPr>
          <w:p w:rsidR="00636CF4" w:rsidRPr="00445CFD" w:rsidRDefault="00636CF4" w:rsidP="000422F7">
            <w:pPr>
              <w:pStyle w:val="CGCCWTableText"/>
              <w:rPr>
                <w:rFonts w:cs="Calibri"/>
              </w:rPr>
            </w:pPr>
          </w:p>
        </w:tc>
        <w:tc>
          <w:tcPr>
            <w:tcW w:w="695" w:type="pct"/>
          </w:tcPr>
          <w:p w:rsidR="00636CF4" w:rsidRPr="00445CFD" w:rsidRDefault="00636CF4" w:rsidP="000422F7">
            <w:pPr>
              <w:pStyle w:val="CGCCWTableText"/>
            </w:pPr>
            <w:r w:rsidRPr="00445CFD">
              <w:t>Non-government schools — States act as an intermediary and needs are not assessed</w:t>
            </w:r>
          </w:p>
        </w:tc>
      </w:tr>
      <w:tr w:rsidR="00636CF4" w:rsidRPr="00445CFD" w:rsidTr="00A5067D">
        <w:trPr>
          <w:cantSplit/>
        </w:trPr>
        <w:tc>
          <w:tcPr>
            <w:tcW w:w="669" w:type="pct"/>
            <w:vAlign w:val="bottom"/>
          </w:tcPr>
          <w:p w:rsidR="00636CF4" w:rsidRPr="00445CFD" w:rsidRDefault="00636CF4" w:rsidP="00586726">
            <w:pPr>
              <w:widowControl w:val="0"/>
              <w:tabs>
                <w:tab w:val="left" w:pos="142"/>
                <w:tab w:val="left" w:pos="284"/>
                <w:tab w:val="left" w:pos="425"/>
                <w:tab w:val="left" w:pos="709"/>
                <w:tab w:val="left" w:pos="851"/>
              </w:tabs>
              <w:spacing w:before="60" w:after="60" w:line="200" w:lineRule="atLeast"/>
              <w:ind w:left="142" w:hanging="142"/>
              <w:rPr>
                <w:rFonts w:ascii="Calibri" w:eastAsia="Calibri" w:hAnsi="Calibri" w:cs="Calibri"/>
                <w:sz w:val="18"/>
                <w:szCs w:val="18"/>
              </w:rPr>
            </w:pPr>
          </w:p>
        </w:tc>
        <w:tc>
          <w:tcPr>
            <w:tcW w:w="1456" w:type="pct"/>
            <w:vAlign w:val="bottom"/>
          </w:tcPr>
          <w:p w:rsidR="00636CF4" w:rsidRPr="00445CFD" w:rsidRDefault="00636CF4" w:rsidP="000422F7">
            <w:pPr>
              <w:pStyle w:val="CGCCWTableText"/>
              <w:spacing w:after="0"/>
            </w:pPr>
            <w:r w:rsidRPr="00445CFD">
              <w:t>Rewards for great teachers</w:t>
            </w:r>
          </w:p>
          <w:p w:rsidR="00636CF4" w:rsidRPr="00445CFD" w:rsidRDefault="00636CF4"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Funding to support education authorities to align their current approaches to performance management with the Australian Teacher Performance and Development Framework and enable the payment of bonuses to teachers who achieve certification at the highest levels of standards. Ceased on 31 December 2013 and was redirected to Student</w:t>
            </w:r>
            <w:r w:rsidR="00DF3E5E">
              <w:rPr>
                <w:rFonts w:ascii="Calibri" w:eastAsia="Calibri" w:hAnsi="Calibri" w:cs="Times New Roman"/>
                <w:sz w:val="18"/>
                <w:szCs w:val="18"/>
              </w:rPr>
              <w:t>s</w:t>
            </w:r>
            <w:r w:rsidRPr="00445CFD">
              <w:rPr>
                <w:rFonts w:ascii="Calibri" w:eastAsia="Calibri" w:hAnsi="Calibri" w:cs="Times New Roman"/>
                <w:sz w:val="18"/>
                <w:szCs w:val="18"/>
              </w:rPr>
              <w:t xml:space="preserve"> First funding.</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2012-13</w:t>
            </w:r>
          </w:p>
        </w:tc>
        <w:tc>
          <w:tcPr>
            <w:tcW w:w="779" w:type="pct"/>
            <w:vAlign w:val="bottom"/>
          </w:tcPr>
          <w:p w:rsidR="00636CF4" w:rsidRPr="00445CFD" w:rsidRDefault="00636CF4" w:rsidP="00445CFD">
            <w:pPr>
              <w:spacing w:line="240" w:lineRule="auto"/>
              <w:rPr>
                <w:rFonts w:ascii="Calibri" w:eastAsia="Calibri" w:hAnsi="Calibri" w:cs="Times New Roman"/>
                <w:sz w:val="18"/>
                <w:szCs w:val="18"/>
              </w:rPr>
            </w:pPr>
          </w:p>
        </w:tc>
        <w:tc>
          <w:tcPr>
            <w:tcW w:w="727" w:type="pct"/>
            <w:vAlign w:val="bottom"/>
          </w:tcPr>
          <w:p w:rsidR="00636CF4" w:rsidRPr="00445CFD" w:rsidRDefault="00636CF4" w:rsidP="00445CFD">
            <w:pPr>
              <w:spacing w:line="240" w:lineRule="auto"/>
              <w:rPr>
                <w:rFonts w:ascii="Calibri" w:eastAsia="Calibri" w:hAnsi="Calibri" w:cs="Times New Roman"/>
                <w:sz w:val="18"/>
                <w:szCs w:val="18"/>
              </w:rPr>
            </w:pPr>
          </w:p>
        </w:tc>
        <w:tc>
          <w:tcPr>
            <w:tcW w:w="695" w:type="pct"/>
            <w:vAlign w:val="bottom"/>
          </w:tcPr>
          <w:p w:rsidR="00636CF4" w:rsidRPr="00445CFD" w:rsidRDefault="00636CF4" w:rsidP="00445CFD">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r>
      <w:tr w:rsidR="00636CF4" w:rsidRPr="00445CFD" w:rsidTr="00A5067D">
        <w:trPr>
          <w:cantSplit/>
        </w:trPr>
        <w:tc>
          <w:tcPr>
            <w:tcW w:w="669" w:type="pct"/>
            <w:vAlign w:val="bottom"/>
          </w:tcPr>
          <w:p w:rsidR="00636CF4" w:rsidRPr="00445CFD" w:rsidRDefault="00636CF4" w:rsidP="00586726">
            <w:pPr>
              <w:widowControl w:val="0"/>
              <w:tabs>
                <w:tab w:val="left" w:pos="142"/>
                <w:tab w:val="left" w:pos="284"/>
                <w:tab w:val="left" w:pos="425"/>
                <w:tab w:val="left" w:pos="709"/>
                <w:tab w:val="left" w:pos="851"/>
              </w:tabs>
              <w:spacing w:before="60" w:after="60" w:line="200" w:lineRule="atLeast"/>
              <w:ind w:left="142" w:hanging="142"/>
              <w:rPr>
                <w:rFonts w:ascii="Calibri" w:eastAsia="Calibri" w:hAnsi="Calibri" w:cs="Calibri"/>
                <w:sz w:val="18"/>
                <w:szCs w:val="18"/>
              </w:rPr>
            </w:pPr>
          </w:p>
        </w:tc>
        <w:tc>
          <w:tcPr>
            <w:tcW w:w="1456" w:type="pct"/>
            <w:vAlign w:val="bottom"/>
          </w:tcPr>
          <w:p w:rsidR="00636CF4" w:rsidRPr="00445CFD" w:rsidRDefault="00636CF4" w:rsidP="000422F7">
            <w:pPr>
              <w:pStyle w:val="CGCCWTableText"/>
              <w:spacing w:after="0"/>
            </w:pPr>
            <w:r w:rsidRPr="00445CFD">
              <w:t>Empowering local schools</w:t>
            </w:r>
          </w:p>
          <w:p w:rsidR="00636CF4" w:rsidRPr="00445CFD" w:rsidRDefault="00636CF4"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Funding to empower participating schools to make decisions at a local level to better respond to the needs of students and the local school community. Ceased and was redirected to Student</w:t>
            </w:r>
            <w:r w:rsidR="00DF3E5E">
              <w:rPr>
                <w:rFonts w:ascii="Calibri" w:eastAsia="Calibri" w:hAnsi="Calibri" w:cs="Times New Roman"/>
                <w:sz w:val="18"/>
                <w:szCs w:val="18"/>
              </w:rPr>
              <w:t>s</w:t>
            </w:r>
            <w:r w:rsidRPr="00445CFD">
              <w:rPr>
                <w:rFonts w:ascii="Calibri" w:eastAsia="Calibri" w:hAnsi="Calibri" w:cs="Times New Roman"/>
                <w:sz w:val="18"/>
                <w:szCs w:val="18"/>
              </w:rPr>
              <w:t xml:space="preserve"> First funding.</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2011-12 </w:t>
            </w:r>
          </w:p>
        </w:tc>
        <w:tc>
          <w:tcPr>
            <w:tcW w:w="779" w:type="pct"/>
            <w:vAlign w:val="bottom"/>
          </w:tcPr>
          <w:p w:rsidR="00636CF4" w:rsidRPr="00445CFD" w:rsidRDefault="00636CF4" w:rsidP="00445CFD">
            <w:pPr>
              <w:spacing w:line="240" w:lineRule="auto"/>
              <w:rPr>
                <w:rFonts w:ascii="Calibri" w:eastAsia="Calibri" w:hAnsi="Calibri" w:cs="Times New Roman"/>
                <w:sz w:val="18"/>
                <w:szCs w:val="18"/>
              </w:rPr>
            </w:pPr>
          </w:p>
        </w:tc>
        <w:tc>
          <w:tcPr>
            <w:tcW w:w="727" w:type="pct"/>
            <w:vAlign w:val="bottom"/>
          </w:tcPr>
          <w:p w:rsidR="00636CF4" w:rsidRPr="00445CFD" w:rsidRDefault="00636CF4" w:rsidP="00445CFD">
            <w:pPr>
              <w:spacing w:line="240" w:lineRule="auto"/>
              <w:rPr>
                <w:rFonts w:ascii="Calibri" w:eastAsia="Calibri" w:hAnsi="Calibri" w:cs="Times New Roman"/>
                <w:sz w:val="18"/>
                <w:szCs w:val="18"/>
              </w:rPr>
            </w:pPr>
          </w:p>
        </w:tc>
        <w:tc>
          <w:tcPr>
            <w:tcW w:w="695" w:type="pct"/>
            <w:vAlign w:val="bottom"/>
          </w:tcPr>
          <w:p w:rsidR="00636CF4" w:rsidRPr="00445CFD" w:rsidRDefault="00636CF4" w:rsidP="00445CFD">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r>
      <w:tr w:rsidR="00636CF4" w:rsidRPr="00445CFD" w:rsidTr="00A5067D">
        <w:trPr>
          <w:cantSplit/>
        </w:trPr>
        <w:tc>
          <w:tcPr>
            <w:tcW w:w="669" w:type="pct"/>
            <w:vAlign w:val="bottom"/>
          </w:tcPr>
          <w:p w:rsidR="00636CF4" w:rsidRPr="00445CFD" w:rsidRDefault="00636CF4" w:rsidP="00586726">
            <w:pPr>
              <w:widowControl w:val="0"/>
              <w:tabs>
                <w:tab w:val="left" w:pos="142"/>
                <w:tab w:val="left" w:pos="284"/>
                <w:tab w:val="left" w:pos="425"/>
                <w:tab w:val="left" w:pos="709"/>
                <w:tab w:val="left" w:pos="851"/>
              </w:tabs>
              <w:spacing w:before="60" w:after="60" w:line="200" w:lineRule="atLeast"/>
              <w:ind w:left="142" w:hanging="142"/>
              <w:rPr>
                <w:rFonts w:ascii="Calibri" w:eastAsia="Calibri" w:hAnsi="Calibri" w:cs="Calibri"/>
                <w:sz w:val="18"/>
                <w:szCs w:val="18"/>
              </w:rPr>
            </w:pPr>
          </w:p>
        </w:tc>
        <w:tc>
          <w:tcPr>
            <w:tcW w:w="1456" w:type="pct"/>
            <w:vAlign w:val="bottom"/>
          </w:tcPr>
          <w:p w:rsidR="00636CF4" w:rsidRPr="00445CFD" w:rsidRDefault="00636CF4" w:rsidP="00026584">
            <w:pPr>
              <w:spacing w:after="0" w:line="240" w:lineRule="auto"/>
              <w:rPr>
                <w:rFonts w:ascii="Calibri" w:eastAsia="Calibri" w:hAnsi="Calibri" w:cs="Times New Roman"/>
                <w:sz w:val="18"/>
                <w:szCs w:val="18"/>
              </w:rPr>
            </w:pPr>
            <w:r w:rsidRPr="00445CFD">
              <w:rPr>
                <w:rFonts w:ascii="Calibri" w:eastAsia="Calibri" w:hAnsi="Calibri" w:cs="Times New Roman"/>
                <w:sz w:val="18"/>
                <w:szCs w:val="18"/>
              </w:rPr>
              <w:t>Smarter schools - low socio-economic status school communities</w:t>
            </w:r>
          </w:p>
          <w:p w:rsidR="00636CF4" w:rsidRPr="00445CFD" w:rsidRDefault="00636CF4"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Funding to improve education outcomes in low socio economic status (SES) communities. The NP contributes to COAG's social inclusion and Indigenous disadvantage agendas through the identification of reforms and models of service delivery that achieve improved educational outcomes for low SES school communities. Ceased on 31 December 2013 and was redirected to Student First funding.</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2012-13</w:t>
            </w:r>
          </w:p>
        </w:tc>
        <w:tc>
          <w:tcPr>
            <w:tcW w:w="779" w:type="pct"/>
            <w:vAlign w:val="bottom"/>
          </w:tcPr>
          <w:p w:rsidR="00636CF4" w:rsidRPr="00445CFD" w:rsidRDefault="00636CF4" w:rsidP="00445CFD">
            <w:pPr>
              <w:spacing w:line="240" w:lineRule="auto"/>
              <w:rPr>
                <w:rFonts w:ascii="Calibri" w:eastAsia="Calibri" w:hAnsi="Calibri" w:cs="Times New Roman"/>
                <w:sz w:val="18"/>
                <w:szCs w:val="18"/>
              </w:rPr>
            </w:pPr>
          </w:p>
        </w:tc>
        <w:tc>
          <w:tcPr>
            <w:tcW w:w="727" w:type="pct"/>
            <w:vAlign w:val="bottom"/>
          </w:tcPr>
          <w:p w:rsidR="00636CF4" w:rsidRPr="00445CFD" w:rsidRDefault="00636CF4" w:rsidP="00445CFD">
            <w:pPr>
              <w:spacing w:line="240" w:lineRule="auto"/>
              <w:rPr>
                <w:rFonts w:ascii="Calibri" w:eastAsia="Calibri" w:hAnsi="Calibri" w:cs="Times New Roman"/>
                <w:sz w:val="18"/>
                <w:szCs w:val="18"/>
              </w:rPr>
            </w:pPr>
          </w:p>
        </w:tc>
        <w:tc>
          <w:tcPr>
            <w:tcW w:w="695" w:type="pct"/>
            <w:vAlign w:val="bottom"/>
          </w:tcPr>
          <w:p w:rsidR="00636CF4" w:rsidRPr="00445CFD" w:rsidRDefault="00636CF4" w:rsidP="00445CFD">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r>
      <w:tr w:rsidR="00636CF4" w:rsidRPr="00445CFD" w:rsidTr="00A5067D">
        <w:trPr>
          <w:cantSplit/>
        </w:trPr>
        <w:tc>
          <w:tcPr>
            <w:tcW w:w="5000" w:type="pct"/>
            <w:gridSpan w:val="6"/>
            <w:vAlign w:val="bottom"/>
          </w:tcPr>
          <w:p w:rsidR="00636CF4" w:rsidRPr="00445CFD" w:rsidRDefault="00636CF4" w:rsidP="00586726">
            <w:pPr>
              <w:spacing w:line="240" w:lineRule="auto"/>
              <w:rPr>
                <w:rFonts w:ascii="Calibri" w:eastAsia="Calibri" w:hAnsi="Calibri" w:cs="Times New Roman"/>
                <w:b/>
                <w:sz w:val="18"/>
                <w:szCs w:val="18"/>
              </w:rPr>
            </w:pPr>
            <w:r w:rsidRPr="00445CFD">
              <w:rPr>
                <w:rFonts w:ascii="Calibri" w:eastAsia="Calibri" w:hAnsi="Calibri" w:cs="Times New Roman"/>
                <w:b/>
                <w:sz w:val="18"/>
                <w:szCs w:val="18"/>
              </w:rPr>
              <w:lastRenderedPageBreak/>
              <w:t>National Partnership Payments</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Closing the Gap in</w:t>
            </w:r>
            <w:r>
              <w:rPr>
                <w:rFonts w:ascii="Calibri" w:eastAsia="Calibri" w:hAnsi="Calibri" w:cs="Times New Roman"/>
                <w:sz w:val="18"/>
                <w:szCs w:val="18"/>
              </w:rPr>
              <w:t xml:space="preserve"> the NT  - Indigenous education</w:t>
            </w:r>
            <w:r w:rsidRPr="00A5067D">
              <w:rPr>
                <w:rFonts w:ascii="Calibri" w:eastAsia="Calibri" w:hAnsi="Calibri" w:cs="Times New Roman"/>
                <w:color w:val="FF0000"/>
                <w:sz w:val="18"/>
                <w:szCs w:val="18"/>
              </w:rPr>
              <w:t>*</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the construction of up to 22 additional teacher houses in NT Emergency Response (NTER) communities, improve teacher quality and foster better outcomes and support remote schools.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r w:rsidR="00636CF4" w:rsidRPr="00445CFD" w:rsidTr="00A5067D">
        <w:trPr>
          <w:cantSplit/>
        </w:trPr>
        <w:tc>
          <w:tcPr>
            <w:tcW w:w="669" w:type="pct"/>
          </w:tcPr>
          <w:p w:rsidR="00636CF4" w:rsidRPr="007F4002" w:rsidRDefault="00636CF4" w:rsidP="00026584">
            <w:pPr>
              <w:pStyle w:val="CGCCWTableText"/>
            </w:pPr>
            <w:r w:rsidRPr="007F4002">
              <w:t>Stronger futures in the Northern Territory —education components</w:t>
            </w:r>
            <w:r w:rsidRPr="00026584">
              <w:rPr>
                <w:color w:val="FF0000"/>
              </w:rPr>
              <w:t>*</w:t>
            </w:r>
          </w:p>
        </w:tc>
        <w:tc>
          <w:tcPr>
            <w:tcW w:w="1456" w:type="pct"/>
          </w:tcPr>
          <w:p w:rsidR="00636CF4" w:rsidRPr="00026584" w:rsidRDefault="00636CF4" w:rsidP="00026584">
            <w:pPr>
              <w:spacing w:after="0" w:line="240" w:lineRule="auto"/>
              <w:rPr>
                <w:rFonts w:ascii="Calibri" w:eastAsia="Calibri" w:hAnsi="Calibri" w:cs="Times New Roman"/>
                <w:sz w:val="18"/>
                <w:szCs w:val="18"/>
              </w:rPr>
            </w:pPr>
            <w:r w:rsidRPr="00026584">
              <w:rPr>
                <w:rFonts w:ascii="Calibri" w:eastAsia="Calibri" w:hAnsi="Calibri" w:cs="Times New Roman"/>
                <w:sz w:val="18"/>
                <w:szCs w:val="18"/>
              </w:rPr>
              <w:t>Payments include:</w:t>
            </w:r>
          </w:p>
          <w:p w:rsidR="00636CF4" w:rsidRPr="00026584" w:rsidRDefault="00636CF4" w:rsidP="00026584">
            <w:pPr>
              <w:numPr>
                <w:ilvl w:val="0"/>
                <w:numId w:val="46"/>
              </w:numPr>
              <w:spacing w:after="0" w:line="240" w:lineRule="auto"/>
              <w:ind w:left="284" w:hanging="142"/>
              <w:rPr>
                <w:rFonts w:ascii="Calibri" w:eastAsia="Calibri" w:hAnsi="Calibri" w:cs="Times New Roman"/>
                <w:sz w:val="18"/>
                <w:szCs w:val="18"/>
              </w:rPr>
            </w:pPr>
            <w:r w:rsidRPr="00026584">
              <w:rPr>
                <w:rFonts w:ascii="Calibri" w:eastAsia="Calibri" w:hAnsi="Calibri" w:cs="Times New Roman"/>
                <w:sz w:val="18"/>
                <w:szCs w:val="18"/>
              </w:rPr>
              <w:t>Building a quality school workforce — supports urgent improvement of schooling outcomes to Indigenous children and comprises three components: additional teachers, quality teaching and teacher housing.</w:t>
            </w:r>
          </w:p>
          <w:p w:rsidR="00636CF4" w:rsidRPr="007F4002" w:rsidRDefault="00636CF4" w:rsidP="00026584">
            <w:pPr>
              <w:numPr>
                <w:ilvl w:val="0"/>
                <w:numId w:val="46"/>
              </w:numPr>
              <w:spacing w:after="0" w:line="240" w:lineRule="auto"/>
              <w:ind w:left="284" w:hanging="142"/>
            </w:pPr>
            <w:r w:rsidRPr="00026584">
              <w:rPr>
                <w:rFonts w:ascii="Calibri" w:eastAsia="Calibri" w:hAnsi="Calibri" w:cs="Times New Roman"/>
                <w:sz w:val="18"/>
                <w:szCs w:val="18"/>
              </w:rPr>
              <w:t>Expansion of the school enrolment and attendance measure — to use the income support payment system as a way to connect schools and families where children are not enrolled in or attending school.</w:t>
            </w:r>
          </w:p>
        </w:tc>
        <w:tc>
          <w:tcPr>
            <w:tcW w:w="674" w:type="pct"/>
          </w:tcPr>
          <w:p w:rsidR="00636CF4" w:rsidRPr="00FD50A1" w:rsidRDefault="00636CF4" w:rsidP="00026584">
            <w:pPr>
              <w:pStyle w:val="CGCCWTableText"/>
            </w:pPr>
            <w:r w:rsidRPr="00FD50A1">
              <w:t>2012-13 to 2013-14</w:t>
            </w:r>
          </w:p>
        </w:tc>
        <w:tc>
          <w:tcPr>
            <w:tcW w:w="779" w:type="pct"/>
          </w:tcPr>
          <w:p w:rsidR="00636CF4" w:rsidRPr="00FD50A1" w:rsidRDefault="00636CF4" w:rsidP="00026584">
            <w:pPr>
              <w:pStyle w:val="CGCCWTableText"/>
            </w:pPr>
            <w:r w:rsidRPr="00FD50A1">
              <w:t>No impact</w:t>
            </w:r>
          </w:p>
        </w:tc>
        <w:tc>
          <w:tcPr>
            <w:tcW w:w="727" w:type="pct"/>
          </w:tcPr>
          <w:p w:rsidR="00636CF4" w:rsidRPr="00FD50A1" w:rsidRDefault="00636CF4" w:rsidP="00026584">
            <w:pPr>
              <w:pStyle w:val="CGCCWTableText"/>
            </w:pPr>
          </w:p>
        </w:tc>
        <w:tc>
          <w:tcPr>
            <w:tcW w:w="695" w:type="pct"/>
          </w:tcPr>
          <w:p w:rsidR="00636CF4" w:rsidRDefault="00636CF4" w:rsidP="00026584">
            <w:pPr>
              <w:pStyle w:val="CGCCWTableText"/>
            </w:pPr>
            <w:r w:rsidRPr="00FD50A1">
              <w:t>Terms of reference requirement</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Digital Education Revolution</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prepare students for education, training and to live and work in a digital world. The National Secondary School Computer Fund (NSSCF) and associated on-costs are the major funding elements under the NP.  The NSSCF helps schools to provide new computers and other information and communication technology (ICT) equipment for students in Years 9 to 12, </w:t>
            </w:r>
            <w:r w:rsidR="00DF3E5E">
              <w:rPr>
                <w:rFonts w:ascii="Calibri" w:eastAsia="Calibri" w:hAnsi="Calibri" w:cs="Times New Roman"/>
                <w:sz w:val="18"/>
                <w:szCs w:val="18"/>
              </w:rPr>
              <w:t xml:space="preserve">and </w:t>
            </w:r>
            <w:r w:rsidRPr="00445CFD">
              <w:rPr>
                <w:rFonts w:ascii="Calibri" w:eastAsia="Calibri" w:hAnsi="Calibri" w:cs="Times New Roman"/>
                <w:sz w:val="18"/>
                <w:szCs w:val="18"/>
              </w:rPr>
              <w:t>necessary infrastructure to support the installation and maintenance of the additional ICT.</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2012-13</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Government – Impact</w:t>
            </w:r>
          </w:p>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Non-government</w:t>
            </w:r>
            <w:r>
              <w:rPr>
                <w:rFonts w:ascii="Calibri" w:eastAsia="Calibri" w:hAnsi="Calibri" w:cs="Times New Roman"/>
                <w:color w:val="FF0000"/>
                <w:sz w:val="18"/>
                <w:szCs w:val="18"/>
              </w:rPr>
              <w:t>#</w:t>
            </w:r>
            <w:r w:rsidRPr="00445CFD">
              <w:rPr>
                <w:rFonts w:ascii="Calibri" w:eastAsia="Calibri" w:hAnsi="Calibri" w:cs="Times New Roman"/>
                <w:sz w:val="18"/>
                <w:szCs w:val="18"/>
              </w:rPr>
              <w:t xml:space="preserve"> – 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Non-government schools — States act as an intermediary and needs are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Early childhood education – universal access to early education</w:t>
            </w:r>
            <w:r w:rsidRPr="00C57117">
              <w:rPr>
                <w:rFonts w:ascii="Calibri" w:eastAsia="Calibri" w:hAnsi="Calibri" w:cs="Times New Roman"/>
                <w:color w:val="FF0000"/>
                <w:sz w:val="18"/>
                <w:szCs w:val="18"/>
              </w:rPr>
              <w:t>#</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with the objective that children have access to affordable, quality early childhood education in the year before formal schooling, with a focus on Indigenous communities. This program is delivered by degree</w:t>
            </w:r>
            <w:r w:rsidR="00DF3E5E">
              <w:rPr>
                <w:rFonts w:ascii="Calibri" w:eastAsia="Calibri" w:hAnsi="Calibri" w:cs="Times New Roman"/>
                <w:sz w:val="18"/>
                <w:szCs w:val="18"/>
              </w:rPr>
              <w:t>-</w:t>
            </w:r>
            <w:r w:rsidRPr="00445CFD">
              <w:rPr>
                <w:rFonts w:ascii="Calibri" w:eastAsia="Calibri" w:hAnsi="Calibri" w:cs="Times New Roman"/>
                <w:sz w:val="18"/>
                <w:szCs w:val="18"/>
              </w:rPr>
              <w:t>qualified early childhood teachers for at least 600 hours a year.</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vAlign w:val="bottom"/>
          </w:tcPr>
          <w:p w:rsidR="00636CF4" w:rsidRPr="00445CFD" w:rsidRDefault="00636CF4" w:rsidP="00445CFD">
            <w:pPr>
              <w:spacing w:line="240" w:lineRule="auto"/>
              <w:rPr>
                <w:rFonts w:ascii="Calibri" w:eastAsia="Calibri" w:hAnsi="Calibri" w:cs="Calibri"/>
                <w:sz w:val="18"/>
                <w:szCs w:val="18"/>
              </w:rPr>
            </w:pPr>
          </w:p>
        </w:tc>
        <w:tc>
          <w:tcPr>
            <w:tcW w:w="695" w:type="pct"/>
            <w:vAlign w:val="bottom"/>
          </w:tcPr>
          <w:p w:rsidR="00636CF4" w:rsidRPr="00445CFD" w:rsidRDefault="00636CF4" w:rsidP="00445CFD">
            <w:pPr>
              <w:spacing w:line="240" w:lineRule="auto"/>
              <w:rPr>
                <w:rFonts w:ascii="Calibri" w:eastAsia="Calibri" w:hAnsi="Calibri" w:cs="Calibri"/>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lastRenderedPageBreak/>
              <w:t>East Kimberley development package – education related payments</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for education and training infrastructure projects. Priorities include early childhood development, primary and secondary schooling, post-secondary education and training, and community meeting facilities in remote locations.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2012-13</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vAlign w:val="bottom"/>
          </w:tcPr>
          <w:p w:rsidR="00636CF4" w:rsidRPr="00445CFD" w:rsidRDefault="00636CF4" w:rsidP="00445CFD">
            <w:pPr>
              <w:spacing w:line="240" w:lineRule="auto"/>
              <w:rPr>
                <w:rFonts w:ascii="Calibri" w:eastAsia="Calibri" w:hAnsi="Calibri" w:cs="Calibri"/>
                <w:sz w:val="18"/>
                <w:szCs w:val="18"/>
              </w:rPr>
            </w:pPr>
          </w:p>
        </w:tc>
        <w:tc>
          <w:tcPr>
            <w:tcW w:w="695" w:type="pct"/>
            <w:vAlign w:val="bottom"/>
          </w:tcPr>
          <w:p w:rsidR="00636CF4" w:rsidRPr="00445CFD" w:rsidRDefault="00636CF4" w:rsidP="00445CFD">
            <w:pPr>
              <w:spacing w:line="240" w:lineRule="auto"/>
              <w:rPr>
                <w:rFonts w:ascii="Calibri" w:eastAsia="Calibri" w:hAnsi="Calibri" w:cs="Calibri"/>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Fort Street High school – noise insulation</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to New South Wales to provide aircraft noise insulation works at the Fort Street High School in the State. The work is managed by New South Wales and will be done in conjunction with on-campus works associated with Building the Education Revolution Program.</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w:t>
            </w:r>
            <w:r w:rsidRPr="00445CFD">
              <w:rPr>
                <w:rFonts w:ascii="Calibri" w:eastAsia="Calibri" w:hAnsi="Calibri" w:cs="Times New Roman"/>
                <w:sz w:val="18"/>
                <w:szCs w:val="18"/>
              </w:rPr>
              <w:tab/>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636CF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purchase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Helping our kids understand finances –professional learning </w:t>
            </w:r>
            <w:proofErr w:type="spellStart"/>
            <w:r w:rsidRPr="00445CFD">
              <w:rPr>
                <w:rFonts w:ascii="Calibri" w:eastAsia="Calibri" w:hAnsi="Calibri" w:cs="Times New Roman"/>
                <w:sz w:val="18"/>
                <w:szCs w:val="18"/>
              </w:rPr>
              <w:t>MoneySmartSchool</w:t>
            </w:r>
            <w:proofErr w:type="spellEnd"/>
            <w:r w:rsidRPr="00445CFD">
              <w:rPr>
                <w:rFonts w:ascii="Calibri" w:eastAsia="Calibri" w:hAnsi="Calibri" w:cs="Times New Roman"/>
                <w:sz w:val="18"/>
                <w:szCs w:val="18"/>
              </w:rPr>
              <w:t xml:space="preserve"> </w:t>
            </w:r>
            <w:proofErr w:type="spellStart"/>
            <w:r w:rsidRPr="00445CFD">
              <w:rPr>
                <w:rFonts w:ascii="Calibri" w:eastAsia="Calibri" w:hAnsi="Calibri" w:cs="Times New Roman"/>
                <w:sz w:val="18"/>
                <w:szCs w:val="18"/>
              </w:rPr>
              <w:t>MoneySmart</w:t>
            </w:r>
            <w:proofErr w:type="spellEnd"/>
            <w:r w:rsidRPr="00445CFD">
              <w:rPr>
                <w:rFonts w:ascii="Calibri" w:eastAsia="Calibri" w:hAnsi="Calibri" w:cs="Times New Roman"/>
                <w:sz w:val="18"/>
                <w:szCs w:val="18"/>
              </w:rPr>
              <w:t xml:space="preserve"> teaching</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the delivery of face-to-face professional learning to teachers in primary and secondary schools and the development of teacher support materials, to improve financial literacy in schools.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Improving literacy and numeracy</w:t>
            </w:r>
          </w:p>
        </w:tc>
        <w:tc>
          <w:tcPr>
            <w:tcW w:w="1456" w:type="pct"/>
          </w:tcPr>
          <w:p w:rsidR="00636CF4" w:rsidRDefault="00636CF4" w:rsidP="00026584">
            <w:pPr>
              <w:pStyle w:val="CGCCWTableText"/>
            </w:pPr>
            <w:r w:rsidRPr="00445CFD">
              <w:t xml:space="preserve">Funding to improve literacy and numeracy, with a priority focus on primary-aged students at risk of falling behind, including Indigenous students and students from disadvantaged backgrounds. </w:t>
            </w:r>
          </w:p>
          <w:p w:rsidR="00636CF4" w:rsidRPr="00445CFD" w:rsidRDefault="00636CF4" w:rsidP="00026584">
            <w:pPr>
              <w:pStyle w:val="CGCCWTableText"/>
            </w:pPr>
            <w:r w:rsidRPr="00026584">
              <w:t>The NP aims to sustain the momentum of the NP on Smarter Schools – Literacy and Numeracy, which concluded in Dec 2012.</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Government – Impact</w:t>
            </w:r>
          </w:p>
          <w:p w:rsidR="00636CF4" w:rsidRPr="00445CFD" w:rsidRDefault="00636CF4" w:rsidP="00445CFD">
            <w:pPr>
              <w:spacing w:line="240" w:lineRule="auto"/>
              <w:rPr>
                <w:rFonts w:ascii="Calibri" w:eastAsia="Calibri" w:hAnsi="Calibri" w:cs="Calibri"/>
                <w:sz w:val="18"/>
                <w:szCs w:val="18"/>
              </w:rPr>
            </w:pPr>
            <w:r>
              <w:rPr>
                <w:rFonts w:ascii="Calibri" w:eastAsia="Calibri" w:hAnsi="Calibri" w:cs="Times New Roman"/>
                <w:sz w:val="18"/>
                <w:szCs w:val="18"/>
              </w:rPr>
              <w:t xml:space="preserve">Government reward payments and </w:t>
            </w:r>
            <w:r w:rsidRPr="00445CFD">
              <w:rPr>
                <w:rFonts w:ascii="Calibri" w:eastAsia="Calibri" w:hAnsi="Calibri" w:cs="Times New Roman"/>
                <w:sz w:val="18"/>
                <w:szCs w:val="18"/>
              </w:rPr>
              <w:t>Non-government</w:t>
            </w:r>
            <w:r>
              <w:rPr>
                <w:rFonts w:ascii="Calibri" w:eastAsia="Calibri" w:hAnsi="Calibri" w:cs="Times New Roman"/>
                <w:color w:val="FF0000"/>
                <w:sz w:val="18"/>
                <w:szCs w:val="18"/>
              </w:rPr>
              <w:t>#</w:t>
            </w:r>
            <w:r w:rsidRPr="00445CFD">
              <w:rPr>
                <w:rFonts w:ascii="Calibri" w:eastAsia="Calibri" w:hAnsi="Calibri" w:cs="Times New Roman"/>
                <w:sz w:val="18"/>
                <w:szCs w:val="18"/>
              </w:rPr>
              <w:t xml:space="preserve"> – No impact</w:t>
            </w:r>
          </w:p>
        </w:tc>
        <w:tc>
          <w:tcPr>
            <w:tcW w:w="727" w:type="pct"/>
            <w:vAlign w:val="bottom"/>
          </w:tcPr>
          <w:p w:rsidR="00636CF4" w:rsidRPr="00445CFD" w:rsidRDefault="00636CF4" w:rsidP="00445CFD">
            <w:pPr>
              <w:spacing w:line="240" w:lineRule="auto"/>
              <w:rPr>
                <w:rFonts w:ascii="Calibri" w:eastAsia="Calibri" w:hAnsi="Calibri" w:cs="Calibri"/>
                <w:sz w:val="18"/>
                <w:szCs w:val="18"/>
              </w:rPr>
            </w:pPr>
          </w:p>
        </w:tc>
        <w:tc>
          <w:tcPr>
            <w:tcW w:w="695" w:type="pct"/>
            <w:vAlign w:val="bottom"/>
          </w:tcPr>
          <w:p w:rsidR="00636CF4" w:rsidRPr="00445CFD" w:rsidRDefault="00636CF4" w:rsidP="00445CFD">
            <w:pPr>
              <w:spacing w:line="240" w:lineRule="auto"/>
              <w:rPr>
                <w:rFonts w:ascii="Calibri" w:eastAsia="Calibri" w:hAnsi="Calibri" w:cs="Calibri"/>
                <w:sz w:val="18"/>
                <w:szCs w:val="18"/>
              </w:rPr>
            </w:pPr>
            <w:r w:rsidRPr="00445CFD">
              <w:rPr>
                <w:rFonts w:ascii="Calibri" w:eastAsia="Calibri" w:hAnsi="Calibri" w:cs="Calibri"/>
                <w:sz w:val="18"/>
                <w:szCs w:val="18"/>
              </w:rPr>
              <w:t>Non-government schools — States act as an intermediary and needs are not assessed;</w:t>
            </w:r>
          </w:p>
          <w:p w:rsidR="00636CF4" w:rsidRPr="00445CFD" w:rsidRDefault="00636CF4" w:rsidP="00445CFD">
            <w:pPr>
              <w:spacing w:line="240" w:lineRule="auto"/>
              <w:rPr>
                <w:rFonts w:ascii="Calibri" w:eastAsia="Calibri" w:hAnsi="Calibri" w:cs="Calibri"/>
                <w:sz w:val="18"/>
                <w:szCs w:val="18"/>
              </w:rPr>
            </w:pPr>
            <w:r w:rsidRPr="00445CFD">
              <w:rPr>
                <w:rFonts w:ascii="Calibri" w:eastAsia="Calibri" w:hAnsi="Calibri" w:cs="Calibri"/>
                <w:sz w:val="18"/>
                <w:szCs w:val="18"/>
              </w:rPr>
              <w:t>Reward payments —terms of reference requirement</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Independent public schools</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increased autonomy in around 1 500 government schools, including through greater engagement of parents and local communities in school decision making and the provision of professional development for principals, school leaders and school communities.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vAlign w:val="bottom"/>
          </w:tcPr>
          <w:p w:rsidR="00636CF4" w:rsidRPr="00445CFD" w:rsidRDefault="00636CF4" w:rsidP="00445CFD">
            <w:pPr>
              <w:spacing w:line="240" w:lineRule="auto"/>
              <w:rPr>
                <w:rFonts w:ascii="Calibri" w:eastAsia="Calibri" w:hAnsi="Calibri" w:cs="Calibri"/>
                <w:sz w:val="18"/>
                <w:szCs w:val="18"/>
              </w:rPr>
            </w:pPr>
          </w:p>
        </w:tc>
        <w:tc>
          <w:tcPr>
            <w:tcW w:w="695" w:type="pct"/>
            <w:vAlign w:val="bottom"/>
          </w:tcPr>
          <w:p w:rsidR="00636CF4" w:rsidRPr="00445CFD" w:rsidRDefault="00636CF4" w:rsidP="00445CFD">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lastRenderedPageBreak/>
              <w:t>Indigenous early childhood development — education – children and family centres</w:t>
            </w:r>
          </w:p>
        </w:tc>
        <w:tc>
          <w:tcPr>
            <w:tcW w:w="1456" w:type="pct"/>
          </w:tcPr>
          <w:p w:rsidR="00636CF4" w:rsidRDefault="00636CF4" w:rsidP="00026584">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reduce the gap in development between Indigenous and non</w:t>
            </w:r>
            <w:r>
              <w:rPr>
                <w:rFonts w:ascii="Calibri" w:eastAsia="Calibri" w:hAnsi="Calibri" w:cs="Times New Roman"/>
                <w:sz w:val="18"/>
                <w:szCs w:val="18"/>
              </w:rPr>
              <w:t>-</w:t>
            </w:r>
            <w:r w:rsidRPr="00445CFD">
              <w:rPr>
                <w:rFonts w:ascii="Calibri" w:eastAsia="Calibri" w:hAnsi="Calibri" w:cs="Times New Roman"/>
                <w:sz w:val="18"/>
                <w:szCs w:val="18"/>
              </w:rPr>
              <w:t>Indigenous children by improving access to early childhood education.</w:t>
            </w:r>
          </w:p>
          <w:p w:rsidR="00636CF4" w:rsidRPr="00445CFD" w:rsidRDefault="00636CF4" w:rsidP="00026584">
            <w:pPr>
              <w:pStyle w:val="CGCCWTableText"/>
            </w:pPr>
            <w:r w:rsidRPr="00026584">
              <w:t>Includes the establishment of 38 children and family centres across Australia by 2014, which will deliver integrated services, including early learning, children and family support programs.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vAlign w:val="bottom"/>
          </w:tcPr>
          <w:p w:rsidR="00636CF4" w:rsidRPr="00445CFD" w:rsidRDefault="00636CF4" w:rsidP="00445CFD">
            <w:pPr>
              <w:spacing w:line="240" w:lineRule="auto"/>
              <w:rPr>
                <w:rFonts w:ascii="Calibri" w:eastAsia="Calibri" w:hAnsi="Calibri" w:cs="Calibri"/>
                <w:sz w:val="18"/>
                <w:szCs w:val="18"/>
              </w:rPr>
            </w:pPr>
          </w:p>
        </w:tc>
        <w:tc>
          <w:tcPr>
            <w:tcW w:w="695" w:type="pct"/>
            <w:vAlign w:val="bottom"/>
          </w:tcPr>
          <w:p w:rsidR="00636CF4" w:rsidRPr="00445CFD" w:rsidRDefault="00636CF4" w:rsidP="00445CFD">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Investing in focus schools</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government and non-government education providers to accelerate their implementation of agreed actions in some 200 selected Focus schools that have previously received little or no benefit through other Australian government funded initiatives and reforms.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Government – Impact</w:t>
            </w:r>
          </w:p>
          <w:p w:rsidR="00636CF4" w:rsidRPr="00445CFD" w:rsidRDefault="00636CF4" w:rsidP="00445CFD">
            <w:pPr>
              <w:spacing w:line="240" w:lineRule="auto"/>
              <w:rPr>
                <w:rFonts w:ascii="Calibri" w:eastAsia="Calibri" w:hAnsi="Calibri" w:cs="Calibri"/>
                <w:sz w:val="18"/>
                <w:szCs w:val="18"/>
              </w:rPr>
            </w:pPr>
            <w:r w:rsidRPr="00445CFD">
              <w:rPr>
                <w:rFonts w:ascii="Calibri" w:eastAsia="Calibri" w:hAnsi="Calibri" w:cs="Times New Roman"/>
                <w:sz w:val="18"/>
                <w:szCs w:val="18"/>
              </w:rPr>
              <w:t>Non-government</w:t>
            </w:r>
            <w:r>
              <w:rPr>
                <w:rFonts w:ascii="Calibri" w:eastAsia="Calibri" w:hAnsi="Calibri" w:cs="Times New Roman"/>
                <w:color w:val="FF0000"/>
                <w:sz w:val="18"/>
                <w:szCs w:val="18"/>
              </w:rPr>
              <w:t>#</w:t>
            </w:r>
            <w:r w:rsidRPr="00445CFD">
              <w:rPr>
                <w:rFonts w:ascii="Calibri" w:eastAsia="Calibri" w:hAnsi="Calibri" w:cs="Times New Roman"/>
                <w:sz w:val="18"/>
                <w:szCs w:val="18"/>
              </w:rPr>
              <w:t xml:space="preserve"> – No impact</w:t>
            </w:r>
          </w:p>
        </w:tc>
        <w:tc>
          <w:tcPr>
            <w:tcW w:w="727" w:type="pct"/>
            <w:vAlign w:val="bottom"/>
          </w:tcPr>
          <w:p w:rsidR="00636CF4" w:rsidRPr="00445CFD" w:rsidRDefault="00636CF4" w:rsidP="00445CFD">
            <w:pPr>
              <w:spacing w:line="240" w:lineRule="auto"/>
              <w:rPr>
                <w:rFonts w:ascii="Calibri" w:eastAsia="Calibri" w:hAnsi="Calibri" w:cs="Calibri"/>
                <w:sz w:val="18"/>
                <w:szCs w:val="18"/>
              </w:rPr>
            </w:pPr>
          </w:p>
        </w:tc>
        <w:tc>
          <w:tcPr>
            <w:tcW w:w="695" w:type="pct"/>
          </w:tcPr>
          <w:p w:rsidR="00636CF4" w:rsidRPr="00445CFD" w:rsidRDefault="00636CF4" w:rsidP="00445CFD">
            <w:pPr>
              <w:spacing w:line="240" w:lineRule="auto"/>
              <w:rPr>
                <w:rFonts w:ascii="Calibri" w:eastAsia="Calibri" w:hAnsi="Calibri" w:cs="Calibri"/>
                <w:sz w:val="18"/>
                <w:szCs w:val="18"/>
              </w:rPr>
            </w:pPr>
            <w:r w:rsidRPr="00445CFD">
              <w:rPr>
                <w:rFonts w:ascii="Calibri" w:eastAsia="Calibri" w:hAnsi="Calibri" w:cs="Calibri"/>
                <w:sz w:val="18"/>
                <w:szCs w:val="18"/>
              </w:rPr>
              <w:t>Non-government schools — States act as an intermediary and needs are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More support for students with disabilities</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Provision of targeted assistance to teachers and schools to support students with disabilities. </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Needs not assessed</w:t>
            </w:r>
          </w:p>
        </w:tc>
      </w:tr>
      <w:tr w:rsidR="00636CF4" w:rsidRPr="00445CFD" w:rsidTr="00026584">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 building and jobs plan — Building the education revolution</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provide economic stimulus through the rapid construction and refurbishment of school infrastructure, and build learning environments to help children, families and communities participate in activities that support achievement, develop learning potential and bring communities together.</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Government – Impact</w:t>
            </w:r>
          </w:p>
          <w:p w:rsidR="00636CF4" w:rsidRPr="00445CFD" w:rsidRDefault="00636CF4" w:rsidP="00445CFD">
            <w:pPr>
              <w:spacing w:line="240" w:lineRule="auto"/>
              <w:rPr>
                <w:rFonts w:ascii="Calibri" w:eastAsia="Calibri" w:hAnsi="Calibri" w:cs="Calibri"/>
                <w:sz w:val="18"/>
                <w:szCs w:val="18"/>
              </w:rPr>
            </w:pPr>
            <w:r w:rsidRPr="00445CFD">
              <w:rPr>
                <w:rFonts w:ascii="Calibri" w:eastAsia="Calibri" w:hAnsi="Calibri" w:cs="Times New Roman"/>
                <w:sz w:val="18"/>
                <w:szCs w:val="18"/>
              </w:rPr>
              <w:t>Non-government</w:t>
            </w:r>
            <w:r>
              <w:rPr>
                <w:rFonts w:ascii="Calibri" w:eastAsia="Calibri" w:hAnsi="Calibri" w:cs="Times New Roman"/>
                <w:color w:val="FF0000"/>
                <w:sz w:val="18"/>
                <w:szCs w:val="18"/>
              </w:rPr>
              <w:t>#</w:t>
            </w:r>
            <w:r w:rsidRPr="00445CFD">
              <w:rPr>
                <w:rFonts w:ascii="Calibri" w:eastAsia="Calibri" w:hAnsi="Calibri" w:cs="Times New Roman"/>
                <w:sz w:val="18"/>
                <w:szCs w:val="18"/>
              </w:rPr>
              <w:t xml:space="preserve"> – No impact</w:t>
            </w:r>
          </w:p>
        </w:tc>
        <w:tc>
          <w:tcPr>
            <w:tcW w:w="727" w:type="pct"/>
            <w:vAlign w:val="bottom"/>
          </w:tcPr>
          <w:p w:rsidR="00636CF4" w:rsidRPr="00445CFD" w:rsidRDefault="00636CF4" w:rsidP="00445CFD">
            <w:pPr>
              <w:spacing w:line="240" w:lineRule="auto"/>
              <w:rPr>
                <w:rFonts w:ascii="Calibri" w:eastAsia="Calibri" w:hAnsi="Calibri" w:cs="Calibri"/>
                <w:sz w:val="18"/>
                <w:szCs w:val="18"/>
              </w:rPr>
            </w:pPr>
          </w:p>
        </w:tc>
        <w:tc>
          <w:tcPr>
            <w:tcW w:w="695" w:type="pct"/>
          </w:tcPr>
          <w:p w:rsidR="00636CF4" w:rsidRPr="00445CFD" w:rsidRDefault="00636CF4" w:rsidP="00026584">
            <w:pPr>
              <w:spacing w:line="240" w:lineRule="auto"/>
              <w:rPr>
                <w:rFonts w:ascii="Calibri" w:eastAsia="Calibri" w:hAnsi="Calibri" w:cs="Calibri"/>
                <w:sz w:val="18"/>
                <w:szCs w:val="18"/>
              </w:rPr>
            </w:pPr>
            <w:r w:rsidRPr="00445CFD">
              <w:rPr>
                <w:rFonts w:ascii="Calibri" w:eastAsia="Calibri" w:hAnsi="Calibri" w:cs="Calibri"/>
                <w:sz w:val="18"/>
                <w:szCs w:val="18"/>
              </w:rPr>
              <w:t>Non-government schools — States act as an intermediary and needs are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quality agenda for early childhood education and care</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deliver an integrated and unified national regulatory system for early childhood education and care, and reduce the regulatory burden on service providers. </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vAlign w:val="bottom"/>
          </w:tcPr>
          <w:p w:rsidR="00636CF4" w:rsidRPr="00445CFD" w:rsidRDefault="00636CF4" w:rsidP="00445CFD">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c>
          <w:tcPr>
            <w:tcW w:w="695" w:type="pct"/>
            <w:vAlign w:val="bottom"/>
          </w:tcPr>
          <w:p w:rsidR="00636CF4" w:rsidRPr="00445CFD" w:rsidRDefault="00636CF4" w:rsidP="00445CFD">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solar schools program</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to install solar and other renewable power systems, solar hot water systems, rainwater tanks and a range of energy efficiency measures in schools.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Government – Impact</w:t>
            </w:r>
          </w:p>
          <w:p w:rsidR="00636CF4" w:rsidRPr="00445CFD" w:rsidRDefault="00636CF4" w:rsidP="00445CFD">
            <w:pPr>
              <w:spacing w:line="240" w:lineRule="auto"/>
              <w:rPr>
                <w:rFonts w:ascii="Calibri" w:eastAsia="Calibri" w:hAnsi="Calibri" w:cs="Calibri"/>
                <w:sz w:val="18"/>
                <w:szCs w:val="18"/>
              </w:rPr>
            </w:pPr>
            <w:r w:rsidRPr="00445CFD">
              <w:rPr>
                <w:rFonts w:ascii="Calibri" w:eastAsia="Calibri" w:hAnsi="Calibri" w:cs="Times New Roman"/>
                <w:sz w:val="18"/>
                <w:szCs w:val="18"/>
              </w:rPr>
              <w:t>Non-government</w:t>
            </w:r>
            <w:r>
              <w:rPr>
                <w:rFonts w:ascii="Calibri" w:eastAsia="Calibri" w:hAnsi="Calibri" w:cs="Times New Roman"/>
                <w:color w:val="FF0000"/>
                <w:sz w:val="18"/>
                <w:szCs w:val="18"/>
              </w:rPr>
              <w:t>#</w:t>
            </w:r>
            <w:r w:rsidRPr="00445CFD">
              <w:rPr>
                <w:rFonts w:ascii="Calibri" w:eastAsia="Calibri" w:hAnsi="Calibri" w:cs="Times New Roman"/>
                <w:sz w:val="18"/>
                <w:szCs w:val="18"/>
              </w:rPr>
              <w:t xml:space="preserve"> – No impact</w:t>
            </w:r>
          </w:p>
        </w:tc>
        <w:tc>
          <w:tcPr>
            <w:tcW w:w="727" w:type="pct"/>
            <w:vAlign w:val="bottom"/>
          </w:tcPr>
          <w:p w:rsidR="00636CF4" w:rsidRPr="00445CFD" w:rsidRDefault="00636CF4" w:rsidP="00445CFD">
            <w:pPr>
              <w:spacing w:line="240" w:lineRule="auto"/>
              <w:rPr>
                <w:rFonts w:ascii="Calibri" w:eastAsia="Calibri" w:hAnsi="Calibri" w:cs="Calibri"/>
                <w:sz w:val="18"/>
                <w:szCs w:val="18"/>
              </w:rPr>
            </w:pPr>
          </w:p>
        </w:tc>
        <w:tc>
          <w:tcPr>
            <w:tcW w:w="695" w:type="pct"/>
            <w:vAlign w:val="bottom"/>
          </w:tcPr>
          <w:p w:rsidR="00636CF4" w:rsidRPr="00445CFD" w:rsidRDefault="00636CF4" w:rsidP="00445CFD">
            <w:pPr>
              <w:spacing w:line="240" w:lineRule="auto"/>
              <w:rPr>
                <w:rFonts w:ascii="Calibri" w:eastAsia="Calibri" w:hAnsi="Calibri" w:cs="Calibri"/>
                <w:sz w:val="18"/>
                <w:szCs w:val="18"/>
              </w:rPr>
            </w:pPr>
            <w:r w:rsidRPr="00445CFD">
              <w:rPr>
                <w:rFonts w:ascii="Calibri" w:eastAsia="Calibri" w:hAnsi="Calibri" w:cs="Calibri"/>
                <w:sz w:val="18"/>
                <w:szCs w:val="18"/>
              </w:rPr>
              <w:t>Non-government schools — States act as an intermediary and needs are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School pathways program</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Payment to South Australia and Western Australia with a focus on providing a career path for young people wanting to enter the defence industry. </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636CF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purchase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lastRenderedPageBreak/>
              <w:t>Secure schools program</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assist government and non-government schools at-risk of social, religious or ethnically motivated crimes to meet their particular security needs by providing security-related infrastructure such as fencing, lighting and CCTV.</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Smarter schools - Improving teacher quality</w:t>
            </w:r>
          </w:p>
        </w:tc>
        <w:tc>
          <w:tcPr>
            <w:tcW w:w="1456" w:type="pct"/>
          </w:tcPr>
          <w:p w:rsidR="00636CF4" w:rsidRPr="00445CFD" w:rsidRDefault="00636CF4" w:rsidP="00DF3E5E">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To facilitate and reward ambitious, national significant and sustainable reforms to attract, train, place, develop and retain quality teachers and leaders in schools. These reforms provide a platform for raising student performance and support other school reforms targeting low </w:t>
            </w:r>
            <w:r w:rsidR="00DF3E5E">
              <w:rPr>
                <w:rFonts w:ascii="Calibri" w:eastAsia="Calibri" w:hAnsi="Calibri" w:cs="Times New Roman"/>
                <w:sz w:val="18"/>
                <w:szCs w:val="18"/>
              </w:rPr>
              <w:t>SES</w:t>
            </w:r>
            <w:r w:rsidRPr="00445CFD">
              <w:rPr>
                <w:rFonts w:ascii="Calibri" w:eastAsia="Calibri" w:hAnsi="Calibri" w:cs="Times New Roman"/>
                <w:sz w:val="18"/>
                <w:szCs w:val="18"/>
              </w:rPr>
              <w:t xml:space="preserve"> school communities and literacy and numeracy outcomes.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Government – Impact</w:t>
            </w:r>
          </w:p>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Reward payments and Non-government – 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Non-government schools — States act as an intermediary and needs are not assessed Reward payments —terms of reference requirement</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Trade training centres in schools</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for the provision of facilities to enhance vocational education opportunities for students in years 9 to 12 in every school. Funds are available for major capital works, upgrade or refurbishment of existing facilities and/or industry standard equipment.</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Government – Impact</w:t>
            </w:r>
          </w:p>
          <w:p w:rsidR="00636CF4" w:rsidRPr="00445CFD" w:rsidRDefault="00636CF4" w:rsidP="00445CFD">
            <w:pPr>
              <w:spacing w:line="240" w:lineRule="auto"/>
              <w:rPr>
                <w:rFonts w:ascii="Calibri" w:eastAsia="Calibri" w:hAnsi="Calibri" w:cs="Calibri"/>
                <w:sz w:val="18"/>
                <w:szCs w:val="18"/>
              </w:rPr>
            </w:pPr>
            <w:r w:rsidRPr="00445CFD">
              <w:rPr>
                <w:rFonts w:ascii="Calibri" w:eastAsia="Calibri" w:hAnsi="Calibri" w:cs="Times New Roman"/>
                <w:sz w:val="18"/>
                <w:szCs w:val="18"/>
              </w:rPr>
              <w:t>Non-government</w:t>
            </w:r>
            <w:r>
              <w:rPr>
                <w:rFonts w:ascii="Calibri" w:eastAsia="Calibri" w:hAnsi="Calibri" w:cs="Times New Roman"/>
                <w:color w:val="FF0000"/>
                <w:sz w:val="18"/>
                <w:szCs w:val="18"/>
              </w:rPr>
              <w:t>#</w:t>
            </w:r>
            <w:r w:rsidRPr="00445CFD">
              <w:rPr>
                <w:rFonts w:ascii="Calibri" w:eastAsia="Calibri" w:hAnsi="Calibri" w:cs="Times New Roman"/>
                <w:sz w:val="18"/>
                <w:szCs w:val="18"/>
              </w:rPr>
              <w:t xml:space="preserve"> – No impact</w:t>
            </w:r>
          </w:p>
        </w:tc>
        <w:tc>
          <w:tcPr>
            <w:tcW w:w="727" w:type="pct"/>
            <w:vAlign w:val="bottom"/>
          </w:tcPr>
          <w:p w:rsidR="00636CF4" w:rsidRPr="00445CFD" w:rsidRDefault="00636CF4" w:rsidP="00445CFD">
            <w:pPr>
              <w:spacing w:line="240" w:lineRule="auto"/>
              <w:rPr>
                <w:rFonts w:ascii="Calibri" w:eastAsia="Calibri" w:hAnsi="Calibri" w:cs="Calibri"/>
                <w:sz w:val="18"/>
                <w:szCs w:val="18"/>
              </w:rPr>
            </w:pPr>
          </w:p>
        </w:tc>
        <w:tc>
          <w:tcPr>
            <w:tcW w:w="695" w:type="pct"/>
          </w:tcPr>
          <w:p w:rsidR="00636CF4" w:rsidRPr="00445CFD" w:rsidRDefault="00636CF4" w:rsidP="00445CFD">
            <w:pPr>
              <w:spacing w:line="240" w:lineRule="auto"/>
              <w:rPr>
                <w:rFonts w:ascii="Calibri" w:eastAsia="Calibri" w:hAnsi="Calibri" w:cs="Calibri"/>
                <w:sz w:val="18"/>
                <w:szCs w:val="18"/>
              </w:rPr>
            </w:pPr>
            <w:r w:rsidRPr="00445CFD">
              <w:rPr>
                <w:rFonts w:ascii="Calibri" w:eastAsia="Calibri" w:hAnsi="Calibri" w:cs="Calibri"/>
                <w:sz w:val="18"/>
                <w:szCs w:val="18"/>
              </w:rPr>
              <w:t>Non-government schools — States act as an intermediary and needs are not assessed</w:t>
            </w:r>
          </w:p>
        </w:tc>
      </w:tr>
      <w:tr w:rsidR="00636CF4" w:rsidRPr="00445CFD" w:rsidTr="00A5067D">
        <w:trPr>
          <w:cantSplit/>
        </w:trPr>
        <w:tc>
          <w:tcPr>
            <w:tcW w:w="669" w:type="pct"/>
            <w:vAlign w:val="bottom"/>
          </w:tcPr>
          <w:p w:rsidR="00636CF4" w:rsidRPr="00445CFD" w:rsidRDefault="00636CF4" w:rsidP="00445CFD">
            <w:pPr>
              <w:keepNext/>
              <w:keepLines/>
              <w:tabs>
                <w:tab w:val="left" w:pos="142"/>
                <w:tab w:val="left" w:pos="284"/>
                <w:tab w:val="left" w:pos="425"/>
                <w:tab w:val="left" w:pos="709"/>
                <w:tab w:val="left" w:pos="851"/>
              </w:tabs>
              <w:spacing w:before="60" w:after="60" w:line="200" w:lineRule="atLeast"/>
              <w:ind w:left="142" w:hanging="142"/>
              <w:rPr>
                <w:rFonts w:ascii="Calibri" w:eastAsia="Calibri" w:hAnsi="Calibri" w:cs="Calibri"/>
                <w:b/>
                <w:sz w:val="18"/>
                <w:szCs w:val="18"/>
              </w:rPr>
            </w:pPr>
            <w:r w:rsidRPr="00445CFD">
              <w:rPr>
                <w:rFonts w:ascii="Calibri" w:eastAsia="Calibri" w:hAnsi="Calibri" w:cs="Calibri"/>
                <w:b/>
                <w:sz w:val="18"/>
                <w:szCs w:val="18"/>
              </w:rPr>
              <w:t>SKILLS SERVICES</w:t>
            </w:r>
          </w:p>
        </w:tc>
        <w:tc>
          <w:tcPr>
            <w:tcW w:w="1456" w:type="pct"/>
            <w:vAlign w:val="bottom"/>
          </w:tcPr>
          <w:p w:rsidR="00636CF4" w:rsidRPr="00445CFD" w:rsidRDefault="00636CF4" w:rsidP="00445CFD">
            <w:pPr>
              <w:keepNext/>
              <w:keepLines/>
              <w:tabs>
                <w:tab w:val="left" w:pos="475"/>
                <w:tab w:val="left" w:pos="1440"/>
                <w:tab w:val="left" w:pos="2160"/>
                <w:tab w:val="left" w:pos="2880"/>
              </w:tabs>
              <w:spacing w:before="60" w:after="60" w:line="200" w:lineRule="atLeast"/>
              <w:jc w:val="right"/>
              <w:rPr>
                <w:rFonts w:ascii="Calibri" w:eastAsia="Calibri" w:hAnsi="Calibri" w:cs="Calibri"/>
                <w:b/>
                <w:sz w:val="18"/>
                <w:szCs w:val="18"/>
              </w:rPr>
            </w:pPr>
          </w:p>
        </w:tc>
        <w:tc>
          <w:tcPr>
            <w:tcW w:w="674" w:type="pct"/>
            <w:vAlign w:val="bottom"/>
          </w:tcPr>
          <w:p w:rsidR="00636CF4" w:rsidRPr="00445CFD" w:rsidRDefault="00636CF4" w:rsidP="00445CFD">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c>
          <w:tcPr>
            <w:tcW w:w="779" w:type="pct"/>
            <w:vAlign w:val="bottom"/>
          </w:tcPr>
          <w:p w:rsidR="00636CF4" w:rsidRPr="00445CFD" w:rsidRDefault="00636CF4" w:rsidP="00445CFD">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c>
          <w:tcPr>
            <w:tcW w:w="727" w:type="pct"/>
            <w:vAlign w:val="bottom"/>
          </w:tcPr>
          <w:p w:rsidR="00636CF4" w:rsidRPr="00445CFD" w:rsidRDefault="00636CF4" w:rsidP="00445CFD">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c>
          <w:tcPr>
            <w:tcW w:w="695" w:type="pct"/>
            <w:vAlign w:val="bottom"/>
          </w:tcPr>
          <w:p w:rsidR="00636CF4" w:rsidRPr="00445CFD" w:rsidRDefault="00636CF4" w:rsidP="00445CFD">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skills and workforce development SPP</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work towards increasing the skill levels of all Australians, including Indigenous Australians.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vAlign w:val="bottom"/>
          </w:tcPr>
          <w:p w:rsidR="00636CF4" w:rsidRPr="00445CFD" w:rsidRDefault="00636CF4" w:rsidP="00445CFD">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c>
          <w:tcPr>
            <w:tcW w:w="695" w:type="pct"/>
            <w:vAlign w:val="bottom"/>
          </w:tcPr>
          <w:p w:rsidR="00636CF4" w:rsidRPr="00445CFD" w:rsidRDefault="00636CF4" w:rsidP="00445CFD">
            <w:pPr>
              <w:keepNext/>
              <w:keepLines/>
              <w:tabs>
                <w:tab w:val="left" w:pos="475"/>
                <w:tab w:val="left" w:pos="1440"/>
                <w:tab w:val="left" w:pos="2160"/>
                <w:tab w:val="left" w:pos="2880"/>
              </w:tabs>
              <w:spacing w:before="60" w:after="60" w:line="200" w:lineRule="atLeast"/>
              <w:jc w:val="right"/>
              <w:rPr>
                <w:rFonts w:ascii="Calibri" w:eastAsia="Calibri" w:hAnsi="Calibri" w:cs="Calibri"/>
                <w:sz w:val="18"/>
                <w:szCs w:val="18"/>
              </w:rPr>
            </w:pPr>
          </w:p>
        </w:tc>
      </w:tr>
      <w:tr w:rsidR="00636CF4" w:rsidRPr="00445CFD" w:rsidTr="00A5067D">
        <w:trPr>
          <w:cantSplit/>
        </w:trPr>
        <w:tc>
          <w:tcPr>
            <w:tcW w:w="5000" w:type="pct"/>
            <w:gridSpan w:val="6"/>
          </w:tcPr>
          <w:p w:rsidR="00636CF4" w:rsidRPr="00445CFD" w:rsidRDefault="00636CF4" w:rsidP="00445CFD">
            <w:pPr>
              <w:keepNext/>
              <w:keepLines/>
              <w:tabs>
                <w:tab w:val="left" w:pos="475"/>
                <w:tab w:val="left" w:pos="1440"/>
                <w:tab w:val="left" w:pos="2160"/>
                <w:tab w:val="left" w:pos="2880"/>
              </w:tabs>
              <w:spacing w:before="60" w:after="60" w:line="200" w:lineRule="atLeast"/>
              <w:rPr>
                <w:rFonts w:ascii="Calibri" w:eastAsia="Calibri" w:hAnsi="Calibri" w:cs="Calibri"/>
                <w:b/>
                <w:sz w:val="18"/>
                <w:szCs w:val="18"/>
              </w:rPr>
            </w:pPr>
            <w:r w:rsidRPr="00445CFD">
              <w:rPr>
                <w:rFonts w:ascii="Calibri" w:eastAsia="Calibri" w:hAnsi="Calibri" w:cs="Calibri"/>
                <w:b/>
                <w:sz w:val="18"/>
                <w:szCs w:val="18"/>
              </w:rPr>
              <w:lastRenderedPageBreak/>
              <w:t>National Partnership Payments</w:t>
            </w:r>
          </w:p>
        </w:tc>
      </w:tr>
      <w:tr w:rsidR="00636CF4" w:rsidRPr="00445CFD" w:rsidTr="00A5067D">
        <w:trPr>
          <w:cantSplit/>
        </w:trPr>
        <w:tc>
          <w:tcPr>
            <w:tcW w:w="5000" w:type="pct"/>
            <w:gridSpan w:val="6"/>
          </w:tcPr>
          <w:p w:rsidR="00636CF4" w:rsidRPr="00026584" w:rsidRDefault="00636CF4" w:rsidP="00445CFD">
            <w:pPr>
              <w:keepNext/>
              <w:keepLines/>
              <w:tabs>
                <w:tab w:val="left" w:pos="475"/>
                <w:tab w:val="left" w:pos="1440"/>
                <w:tab w:val="left" w:pos="2160"/>
                <w:tab w:val="left" w:pos="2880"/>
              </w:tabs>
              <w:spacing w:before="60" w:after="60" w:line="200" w:lineRule="atLeast"/>
              <w:rPr>
                <w:rFonts w:ascii="Calibri" w:eastAsia="Calibri" w:hAnsi="Calibri" w:cs="Calibri"/>
                <w:b/>
                <w:i/>
                <w:sz w:val="18"/>
                <w:szCs w:val="18"/>
              </w:rPr>
            </w:pPr>
            <w:r w:rsidRPr="00026584">
              <w:rPr>
                <w:rFonts w:ascii="Calibri" w:eastAsia="Calibri" w:hAnsi="Calibri" w:cs="Calibri"/>
                <w:b/>
                <w:i/>
                <w:sz w:val="18"/>
                <w:szCs w:val="18"/>
              </w:rPr>
              <w:t>Building Australia’s future workforce (BAFW)</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BAFW — Skills reform</w:t>
            </w:r>
          </w:p>
        </w:tc>
        <w:tc>
          <w:tcPr>
            <w:tcW w:w="1456" w:type="pct"/>
            <w:vAlign w:val="bottom"/>
          </w:tcPr>
          <w:p w:rsidR="00636CF4" w:rsidRPr="00445CFD" w:rsidRDefault="00636CF4" w:rsidP="00026584">
            <w:pPr>
              <w:spacing w:after="0" w:line="240" w:lineRule="auto"/>
              <w:rPr>
                <w:rFonts w:ascii="Calibri" w:eastAsia="Calibri" w:hAnsi="Calibri" w:cs="Times New Roman"/>
                <w:sz w:val="18"/>
                <w:szCs w:val="18"/>
              </w:rPr>
            </w:pPr>
            <w:r w:rsidRPr="00445CFD">
              <w:rPr>
                <w:rFonts w:ascii="Calibri" w:eastAsia="Calibri" w:hAnsi="Calibri" w:cs="Times New Roman"/>
                <w:sz w:val="18"/>
                <w:szCs w:val="18"/>
              </w:rPr>
              <w:t>Funding for reforms of the vocational education training (VET) sector. Aims to create:</w:t>
            </w:r>
          </w:p>
          <w:p w:rsidR="00636CF4" w:rsidRPr="00445CFD" w:rsidRDefault="00636CF4"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accessible training for working-age Australians and in particular, a more equitable training system, which provides greater opportunities for participating in education and training</w:t>
            </w:r>
          </w:p>
          <w:p w:rsidR="00636CF4" w:rsidRPr="00445CFD" w:rsidRDefault="00636CF4"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a transparent VET sector, which enables better understanding of the VET activity in each State</w:t>
            </w:r>
          </w:p>
          <w:p w:rsidR="00636CF4" w:rsidRPr="00445CFD" w:rsidRDefault="00636CF4"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a higher quality VET sector, which delivers learning experience and qualifications that are relevant to individuals, employers and industry</w:t>
            </w:r>
          </w:p>
          <w:p w:rsidR="00636CF4" w:rsidRPr="00445CFD" w:rsidRDefault="00636CF4" w:rsidP="00445CFD">
            <w:pPr>
              <w:numPr>
                <w:ilvl w:val="0"/>
                <w:numId w:val="46"/>
              </w:numPr>
              <w:spacing w:after="0" w:line="240" w:lineRule="auto"/>
              <w:ind w:left="284" w:hanging="142"/>
              <w:rPr>
                <w:rFonts w:ascii="Calibri" w:eastAsia="Calibri" w:hAnsi="Calibri" w:cs="Times New Roman"/>
                <w:sz w:val="18"/>
                <w:szCs w:val="18"/>
              </w:rPr>
            </w:pPr>
            <w:proofErr w:type="gramStart"/>
            <w:r w:rsidRPr="00445CFD">
              <w:rPr>
                <w:rFonts w:ascii="Calibri" w:eastAsia="Calibri" w:hAnsi="Calibri" w:cs="Times New Roman"/>
                <w:sz w:val="18"/>
                <w:szCs w:val="18"/>
              </w:rPr>
              <w:t>a</w:t>
            </w:r>
            <w:proofErr w:type="gramEnd"/>
            <w:r w:rsidRPr="00445CFD">
              <w:rPr>
                <w:rFonts w:ascii="Calibri" w:eastAsia="Calibri" w:hAnsi="Calibri" w:cs="Times New Roman"/>
                <w:sz w:val="18"/>
                <w:szCs w:val="18"/>
              </w:rPr>
              <w:t xml:space="preserve"> more efficient VET sector which is responsive to the needs  of students, employers and industry.</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636CF4" w:rsidRPr="00445CFD" w:rsidRDefault="00636CF4" w:rsidP="00445CFD">
            <w:pPr>
              <w:spacing w:line="240" w:lineRule="auto"/>
              <w:rPr>
                <w:rFonts w:ascii="Calibri" w:eastAsia="Calibri" w:hAnsi="Calibri" w:cs="Calibri"/>
                <w:sz w:val="18"/>
                <w:szCs w:val="18"/>
              </w:rPr>
            </w:pPr>
          </w:p>
        </w:tc>
        <w:tc>
          <w:tcPr>
            <w:tcW w:w="695" w:type="pct"/>
          </w:tcPr>
          <w:p w:rsidR="00636CF4" w:rsidRPr="00445CFD" w:rsidRDefault="00636CF4" w:rsidP="00445CFD">
            <w:pPr>
              <w:spacing w:line="240" w:lineRule="auto"/>
              <w:rPr>
                <w:rFonts w:ascii="Calibri" w:eastAsia="Calibri" w:hAnsi="Calibri" w:cs="Calibri"/>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BAFW — training places for single and teen parents</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for the provision of training places at the Certificate II level or above, for single or teen parents affected by changes to parenting payment that comes in effect on 1 January 2013.</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636CF4" w:rsidRPr="00445CFD" w:rsidRDefault="00636CF4" w:rsidP="00445CFD">
            <w:pPr>
              <w:spacing w:line="240" w:lineRule="auto"/>
              <w:rPr>
                <w:rFonts w:ascii="Calibri" w:eastAsia="Calibri" w:hAnsi="Calibri" w:cs="Calibri"/>
                <w:sz w:val="18"/>
                <w:szCs w:val="18"/>
              </w:rPr>
            </w:pPr>
          </w:p>
        </w:tc>
        <w:tc>
          <w:tcPr>
            <w:tcW w:w="695" w:type="pct"/>
          </w:tcPr>
          <w:p w:rsidR="00636CF4" w:rsidRPr="00445CFD" w:rsidRDefault="00636CF4" w:rsidP="00445CFD">
            <w:pPr>
              <w:spacing w:line="240" w:lineRule="auto"/>
              <w:rPr>
                <w:rFonts w:ascii="Calibri" w:eastAsia="Calibri" w:hAnsi="Calibri" w:cs="Calibri"/>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Commonwealth/ State and Territory joint group training</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To support group training organisations to deliver strategies and initiatives to improve Australian apprenticeship commencements and completions. </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636CF4" w:rsidRPr="00445CFD" w:rsidRDefault="00636CF4" w:rsidP="00445CFD">
            <w:pPr>
              <w:spacing w:line="240" w:lineRule="auto"/>
              <w:rPr>
                <w:rFonts w:ascii="Calibri" w:eastAsia="Calibri" w:hAnsi="Calibri" w:cs="Calibri"/>
                <w:sz w:val="18"/>
                <w:szCs w:val="18"/>
              </w:rPr>
            </w:pPr>
          </w:p>
        </w:tc>
        <w:tc>
          <w:tcPr>
            <w:tcW w:w="695" w:type="pct"/>
          </w:tcPr>
          <w:p w:rsidR="00636CF4" w:rsidRPr="00445CFD" w:rsidRDefault="00636CF4" w:rsidP="00445CFD">
            <w:pPr>
              <w:spacing w:line="240" w:lineRule="auto"/>
              <w:rPr>
                <w:rFonts w:ascii="Calibri" w:eastAsia="Calibri" w:hAnsi="Calibri" w:cs="Calibri"/>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Education investment fund</w:t>
            </w:r>
          </w:p>
        </w:tc>
        <w:tc>
          <w:tcPr>
            <w:tcW w:w="1456" w:type="pct"/>
          </w:tcPr>
          <w:p w:rsidR="00636CF4"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Payments to New South Wales and Western Australia to support the development of infrastructure for higher education, research and VET institutions to improve Australia’s tertiary education, research and skills capacities.</w:t>
            </w:r>
          </w:p>
          <w:p w:rsidR="00636CF4" w:rsidRPr="00445CFD" w:rsidRDefault="00636CF4" w:rsidP="00026584">
            <w:pPr>
              <w:pStyle w:val="CGCCWTableText"/>
            </w:pPr>
            <w:r w:rsidRPr="00026584">
              <w:t>VET providers must be a registered training organisation (RTO) to be eligible for the funding. The administrative arrangements in New South Wales and Western Australia are such that the State is a RTO and is eligible to receive funding. In other States, payments go directly to RTOs.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2012-13</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For the majority of States, payments are made directly to service providers which do not reduce or increase State needs. The administrative arrangements in NSW and WA should not affect their relativities</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lastRenderedPageBreak/>
              <w:t>Industry and Indigenous skills centre</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To support industry and/or Indigenous community organisations for the purchase, construction, fit out or refurbishment of facilities intended for the delivery of vocational education and training. The funding is not intended to be available to Technical and Further Education </w:t>
            </w:r>
            <w:r w:rsidR="00DF3E5E">
              <w:rPr>
                <w:rFonts w:ascii="Calibri" w:eastAsia="Calibri" w:hAnsi="Calibri" w:cs="Times New Roman"/>
                <w:sz w:val="18"/>
                <w:szCs w:val="18"/>
              </w:rPr>
              <w:t xml:space="preserve">(TAFE) </w:t>
            </w:r>
            <w:r w:rsidRPr="00445CFD">
              <w:rPr>
                <w:rFonts w:ascii="Calibri" w:eastAsia="Calibri" w:hAnsi="Calibri" w:cs="Times New Roman"/>
                <w:sz w:val="18"/>
                <w:szCs w:val="18"/>
              </w:rPr>
              <w:t>institutions.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Industry and/or Indigenous community organisations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Natural Disaster Queensland – community work placements</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provide jobs for local displaced residents for up to six months to assist with the reconstruction of public and community infrastructure. Projects are in flood and cyclone affected areas throughout Queensland with a focus on areas of greatest need.</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636CF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purchase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Productivity places program</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reduce skills shortages and increase the productivity of industry and enterprises. The Commonwealth provides data to Skills Australia to assist in identifying industries, occupations and regions with skill shortages. 50/40/10 cost sharing across Commonwealth, States and private sources.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TAFE fee waivers for childcare qualifications</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remove course fees for child care diplomas and advanced diplomas, delivered by a TAFE institute or other training providers. </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636CF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purchase – needs not assessed</w:t>
            </w:r>
          </w:p>
        </w:tc>
      </w:tr>
      <w:tr w:rsidR="00636CF4" w:rsidRPr="00445CFD" w:rsidTr="00A5067D">
        <w:trPr>
          <w:cantSplit/>
        </w:trPr>
        <w:tc>
          <w:tcPr>
            <w:tcW w:w="669" w:type="pct"/>
          </w:tcPr>
          <w:p w:rsidR="00636CF4" w:rsidRPr="00445CFD" w:rsidRDefault="00636CF4" w:rsidP="00AD01BF">
            <w:pPr>
              <w:keepNext/>
              <w:spacing w:line="240" w:lineRule="auto"/>
              <w:rPr>
                <w:rFonts w:ascii="Calibri" w:eastAsia="Calibri" w:hAnsi="Calibri" w:cs="Times New Roman"/>
                <w:sz w:val="18"/>
                <w:szCs w:val="18"/>
              </w:rPr>
            </w:pPr>
            <w:r w:rsidRPr="00445CFD">
              <w:rPr>
                <w:rFonts w:ascii="Calibri" w:eastAsia="Calibri" w:hAnsi="Calibri" w:cs="Times New Roman"/>
                <w:sz w:val="18"/>
                <w:szCs w:val="18"/>
              </w:rPr>
              <w:lastRenderedPageBreak/>
              <w:t xml:space="preserve">Youth attainment and transitions </w:t>
            </w:r>
          </w:p>
        </w:tc>
        <w:tc>
          <w:tcPr>
            <w:tcW w:w="1456" w:type="pct"/>
          </w:tcPr>
          <w:p w:rsidR="00636CF4" w:rsidRPr="00445CFD" w:rsidRDefault="00636CF4" w:rsidP="00AD01BF">
            <w:pPr>
              <w:keepNext/>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the achievement of a national Year 12 /equivalent rate of 90% by 2015, and to halve the gap in Indigenous Year 12/equivalent by 2020. It has:</w:t>
            </w:r>
          </w:p>
          <w:p w:rsidR="00636CF4" w:rsidRPr="00445CFD" w:rsidRDefault="00636CF4" w:rsidP="00AD01BF">
            <w:pPr>
              <w:keepNext/>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maximising engagement, attainment and successful transitions</w:t>
            </w:r>
          </w:p>
          <w:p w:rsidR="00636CF4" w:rsidRPr="00445CFD" w:rsidRDefault="00636CF4" w:rsidP="00AD01BF">
            <w:pPr>
              <w:keepNext/>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Year 12 attainment and transitions.</w:t>
            </w:r>
          </w:p>
          <w:p w:rsidR="00636CF4" w:rsidRPr="00445CFD" w:rsidRDefault="00636CF4" w:rsidP="00AD01BF">
            <w:pPr>
              <w:keepNext/>
              <w:spacing w:line="240" w:lineRule="auto"/>
              <w:rPr>
                <w:rFonts w:ascii="Calibri" w:eastAsia="Calibri" w:hAnsi="Calibri" w:cs="Times New Roman"/>
                <w:sz w:val="18"/>
                <w:szCs w:val="18"/>
              </w:rPr>
            </w:pPr>
            <w:r w:rsidRPr="00445CFD">
              <w:rPr>
                <w:rFonts w:ascii="Calibri" w:eastAsia="Calibri" w:hAnsi="Calibri" w:cs="Times New Roman"/>
                <w:sz w:val="18"/>
                <w:szCs w:val="18"/>
              </w:rPr>
              <w:t>Reward payments will be made to the States based on achievements assessed by the COAG Reform Council.</w:t>
            </w:r>
          </w:p>
        </w:tc>
        <w:tc>
          <w:tcPr>
            <w:tcW w:w="674" w:type="pct"/>
          </w:tcPr>
          <w:p w:rsidR="00636CF4" w:rsidRPr="00445CFD" w:rsidRDefault="00636CF4" w:rsidP="00AD01BF">
            <w:pPr>
              <w:keepNext/>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AD01BF">
            <w:pPr>
              <w:keepNext/>
              <w:spacing w:line="240" w:lineRule="auto"/>
              <w:rPr>
                <w:rFonts w:ascii="Calibri" w:eastAsia="Calibri" w:hAnsi="Calibri" w:cs="Times New Roman"/>
                <w:sz w:val="18"/>
                <w:szCs w:val="18"/>
              </w:rPr>
            </w:pPr>
            <w:r w:rsidRPr="00445CFD">
              <w:rPr>
                <w:rFonts w:ascii="Calibri" w:eastAsia="Calibri" w:hAnsi="Calibri" w:cs="Times New Roman"/>
                <w:sz w:val="18"/>
                <w:szCs w:val="18"/>
              </w:rPr>
              <w:t>Reward payment — no impact; other — impact</w:t>
            </w:r>
          </w:p>
        </w:tc>
        <w:tc>
          <w:tcPr>
            <w:tcW w:w="727" w:type="pct"/>
          </w:tcPr>
          <w:p w:rsidR="00636CF4" w:rsidRPr="00445CFD" w:rsidRDefault="00636CF4" w:rsidP="00AD01BF">
            <w:pPr>
              <w:keepNext/>
              <w:spacing w:line="240" w:lineRule="auto"/>
              <w:rPr>
                <w:rFonts w:ascii="Calibri" w:eastAsia="Calibri" w:hAnsi="Calibri" w:cs="Times New Roman"/>
                <w:sz w:val="18"/>
                <w:szCs w:val="18"/>
              </w:rPr>
            </w:pPr>
          </w:p>
        </w:tc>
        <w:tc>
          <w:tcPr>
            <w:tcW w:w="695" w:type="pct"/>
          </w:tcPr>
          <w:p w:rsidR="00636CF4" w:rsidRPr="00445CFD" w:rsidRDefault="00636CF4" w:rsidP="00AD01BF">
            <w:pPr>
              <w:keepNext/>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 for reward payment as required by terms of reference</w:t>
            </w:r>
          </w:p>
        </w:tc>
      </w:tr>
      <w:tr w:rsidR="00D20698" w:rsidRPr="00445CFD" w:rsidTr="00D20698">
        <w:trPr>
          <w:cantSplit/>
        </w:trPr>
        <w:tc>
          <w:tcPr>
            <w:tcW w:w="2125" w:type="pct"/>
            <w:gridSpan w:val="2"/>
          </w:tcPr>
          <w:p w:rsidR="00D20698" w:rsidRPr="00445CFD" w:rsidRDefault="00D20698" w:rsidP="00AD01BF">
            <w:pPr>
              <w:keepNext/>
              <w:spacing w:line="240" w:lineRule="auto"/>
              <w:rPr>
                <w:rFonts w:ascii="Calibri" w:eastAsia="Calibri" w:hAnsi="Calibri" w:cs="Times New Roman"/>
                <w:sz w:val="18"/>
                <w:szCs w:val="18"/>
              </w:rPr>
            </w:pPr>
            <w:r w:rsidRPr="00445CFD">
              <w:rPr>
                <w:rFonts w:ascii="Calibri" w:eastAsia="Calibri" w:hAnsi="Calibri" w:cs="Calibri"/>
                <w:b/>
                <w:sz w:val="18"/>
                <w:szCs w:val="18"/>
              </w:rPr>
              <w:t>COMMUNITY SERVICES</w:t>
            </w:r>
          </w:p>
        </w:tc>
        <w:tc>
          <w:tcPr>
            <w:tcW w:w="674" w:type="pct"/>
          </w:tcPr>
          <w:p w:rsidR="00D20698" w:rsidRPr="00445CFD" w:rsidRDefault="00D20698" w:rsidP="00AD01BF">
            <w:pPr>
              <w:keepNext/>
              <w:spacing w:line="240" w:lineRule="auto"/>
              <w:rPr>
                <w:rFonts w:ascii="Calibri" w:eastAsia="Calibri" w:hAnsi="Calibri" w:cs="Times New Roman"/>
                <w:sz w:val="18"/>
                <w:szCs w:val="18"/>
              </w:rPr>
            </w:pPr>
          </w:p>
        </w:tc>
        <w:tc>
          <w:tcPr>
            <w:tcW w:w="779" w:type="pct"/>
          </w:tcPr>
          <w:p w:rsidR="00D20698" w:rsidRPr="00445CFD" w:rsidRDefault="00D20698" w:rsidP="00AD01BF">
            <w:pPr>
              <w:keepNext/>
              <w:spacing w:line="240" w:lineRule="auto"/>
              <w:rPr>
                <w:rFonts w:ascii="Calibri" w:eastAsia="Calibri" w:hAnsi="Calibri" w:cs="Times New Roman"/>
                <w:sz w:val="18"/>
                <w:szCs w:val="18"/>
              </w:rPr>
            </w:pPr>
          </w:p>
        </w:tc>
        <w:tc>
          <w:tcPr>
            <w:tcW w:w="727" w:type="pct"/>
          </w:tcPr>
          <w:p w:rsidR="00D20698" w:rsidRPr="00445CFD" w:rsidRDefault="00D20698" w:rsidP="00AD01BF">
            <w:pPr>
              <w:keepNext/>
              <w:spacing w:line="240" w:lineRule="auto"/>
              <w:rPr>
                <w:rFonts w:ascii="Calibri" w:eastAsia="Calibri" w:hAnsi="Calibri" w:cs="Times New Roman"/>
                <w:sz w:val="18"/>
                <w:szCs w:val="18"/>
              </w:rPr>
            </w:pPr>
          </w:p>
        </w:tc>
        <w:tc>
          <w:tcPr>
            <w:tcW w:w="695" w:type="pct"/>
          </w:tcPr>
          <w:p w:rsidR="00D20698" w:rsidRPr="00445CFD" w:rsidRDefault="00D20698" w:rsidP="00AD01BF">
            <w:pPr>
              <w:keepNext/>
              <w:spacing w:line="240" w:lineRule="auto"/>
              <w:rPr>
                <w:rFonts w:ascii="Calibri" w:eastAsia="Calibri" w:hAnsi="Calibri" w:cs="Times New Roman"/>
                <w:sz w:val="18"/>
                <w:szCs w:val="18"/>
              </w:rPr>
            </w:pPr>
          </w:p>
        </w:tc>
      </w:tr>
      <w:tr w:rsidR="00D20698" w:rsidRPr="00445CFD" w:rsidTr="00D20698">
        <w:trPr>
          <w:cantSplit/>
        </w:trPr>
        <w:tc>
          <w:tcPr>
            <w:tcW w:w="669" w:type="pct"/>
          </w:tcPr>
          <w:p w:rsidR="00D20698" w:rsidRPr="00445CFD" w:rsidRDefault="00D20698" w:rsidP="00D20698">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disability SPP</w:t>
            </w:r>
          </w:p>
        </w:tc>
        <w:tc>
          <w:tcPr>
            <w:tcW w:w="1456" w:type="pct"/>
          </w:tcPr>
          <w:p w:rsidR="00D20698" w:rsidRPr="00445CFD" w:rsidRDefault="00D20698" w:rsidP="00D20698">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associated with the National Disability Agreement, which commits the Commonwealth and the States to strive, through the provision of disability support services, to help people with disabilities and their carers achieve an enhanced quality of life and participate as value members of the community. </w:t>
            </w:r>
          </w:p>
          <w:p w:rsidR="00D20698" w:rsidRPr="00445CFD" w:rsidRDefault="00D20698" w:rsidP="00D20698">
            <w:pPr>
              <w:spacing w:line="240" w:lineRule="auto"/>
              <w:rPr>
                <w:rFonts w:ascii="Calibri" w:eastAsia="Calibri" w:hAnsi="Calibri" w:cs="Times New Roman"/>
                <w:sz w:val="18"/>
                <w:szCs w:val="18"/>
              </w:rPr>
            </w:pPr>
            <w:r w:rsidRPr="00445CFD">
              <w:rPr>
                <w:rFonts w:ascii="Calibri" w:eastAsia="Calibri" w:hAnsi="Calibri" w:cs="Times New Roman"/>
                <w:sz w:val="18"/>
                <w:szCs w:val="18"/>
              </w:rPr>
              <w:t>Disabilit</w:t>
            </w:r>
            <w:r w:rsidR="00DF3E5E">
              <w:rPr>
                <w:rFonts w:ascii="Calibri" w:eastAsia="Calibri" w:hAnsi="Calibri" w:cs="Times New Roman"/>
                <w:sz w:val="18"/>
                <w:szCs w:val="18"/>
              </w:rPr>
              <w:t>y</w:t>
            </w:r>
            <w:r w:rsidRPr="00445CFD">
              <w:rPr>
                <w:rFonts w:ascii="Calibri" w:eastAsia="Calibri" w:hAnsi="Calibri" w:cs="Times New Roman"/>
                <w:sz w:val="18"/>
                <w:szCs w:val="18"/>
              </w:rPr>
              <w:t xml:space="preserve"> service</w:t>
            </w:r>
            <w:r w:rsidR="00DF3E5E">
              <w:rPr>
                <w:rFonts w:ascii="Calibri" w:eastAsia="Calibri" w:hAnsi="Calibri" w:cs="Times New Roman"/>
                <w:sz w:val="18"/>
                <w:szCs w:val="18"/>
              </w:rPr>
              <w:t>s</w:t>
            </w:r>
            <w:r w:rsidRPr="00445CFD">
              <w:rPr>
                <w:rFonts w:ascii="Calibri" w:eastAsia="Calibri" w:hAnsi="Calibri" w:cs="Times New Roman"/>
                <w:sz w:val="18"/>
                <w:szCs w:val="18"/>
              </w:rPr>
              <w:t xml:space="preserve"> for ‘Older people’ (people aged 65 years and over (50 years and over for Indigenous Australians)) became a Commonwealth responsibility from July 2011.</w:t>
            </w:r>
          </w:p>
          <w:p w:rsidR="00D20698" w:rsidRPr="00445CFD" w:rsidRDefault="00D20698" w:rsidP="00D20698">
            <w:pPr>
              <w:spacing w:line="240" w:lineRule="auto"/>
              <w:rPr>
                <w:rFonts w:ascii="Calibri" w:eastAsia="Calibri" w:hAnsi="Calibri" w:cs="Times New Roman"/>
                <w:sz w:val="18"/>
                <w:szCs w:val="18"/>
              </w:rPr>
            </w:pPr>
            <w:r w:rsidRPr="00445CFD">
              <w:rPr>
                <w:rFonts w:ascii="Calibri" w:eastAsia="Calibri" w:hAnsi="Calibri" w:cs="Times New Roman"/>
                <w:sz w:val="18"/>
                <w:szCs w:val="18"/>
              </w:rPr>
              <w:t>Treasury advised the SPP is not provided to States on the basis that any proportion of it should be directed towards ‘older people’.</w:t>
            </w:r>
          </w:p>
        </w:tc>
        <w:tc>
          <w:tcPr>
            <w:tcW w:w="674" w:type="pct"/>
          </w:tcPr>
          <w:p w:rsidR="00D20698" w:rsidRPr="00445CFD" w:rsidRDefault="00D20698" w:rsidP="00D20698">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D20698" w:rsidRPr="00445CFD" w:rsidRDefault="00D20698" w:rsidP="00D20698">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Impact </w:t>
            </w:r>
          </w:p>
        </w:tc>
        <w:tc>
          <w:tcPr>
            <w:tcW w:w="727" w:type="pct"/>
          </w:tcPr>
          <w:p w:rsidR="00D20698" w:rsidRPr="00445CFD" w:rsidRDefault="00D20698" w:rsidP="00D20698">
            <w:pPr>
              <w:spacing w:line="240" w:lineRule="auto"/>
              <w:rPr>
                <w:rFonts w:ascii="Calibri" w:eastAsia="Calibri" w:hAnsi="Calibri" w:cs="Calibri"/>
                <w:sz w:val="18"/>
                <w:szCs w:val="18"/>
              </w:rPr>
            </w:pPr>
          </w:p>
        </w:tc>
        <w:tc>
          <w:tcPr>
            <w:tcW w:w="695" w:type="pct"/>
          </w:tcPr>
          <w:p w:rsidR="00D20698" w:rsidRPr="00445CFD" w:rsidRDefault="00D20698" w:rsidP="00D20698">
            <w:pPr>
              <w:spacing w:line="240" w:lineRule="auto"/>
              <w:rPr>
                <w:rFonts w:ascii="Calibri" w:eastAsia="Calibri" w:hAnsi="Calibri" w:cs="Calibri"/>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color w:val="FF0000"/>
                <w:sz w:val="18"/>
                <w:szCs w:val="18"/>
              </w:rPr>
              <w:t>**</w:t>
            </w:r>
            <w:r w:rsidRPr="00445CFD">
              <w:rPr>
                <w:rFonts w:ascii="Calibri" w:eastAsia="Calibri" w:hAnsi="Calibri" w:cs="Times New Roman"/>
                <w:sz w:val="18"/>
                <w:szCs w:val="18"/>
              </w:rPr>
              <w:t>Changed roles and responsibilities – adjustment to achieve budget neutrality</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Since 1 July 2011 (through to June 2014), the Commonwealth makes an adjustment to the National Disability SPP payment to ensure that the changes to Commonwealth and State roles and responsibilities for aged care and disability services are budget neutral. No adjustment is made for Victoria and Western Australia because they do not participate in the new arrangements.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Exclude the payment, include State payments to </w:t>
            </w:r>
            <w:r w:rsidR="00DF3E5E">
              <w:rPr>
                <w:rFonts w:ascii="Calibri" w:eastAsia="Calibri" w:hAnsi="Calibri" w:cs="Times New Roman"/>
                <w:sz w:val="18"/>
                <w:szCs w:val="18"/>
              </w:rPr>
              <w:t xml:space="preserve">the </w:t>
            </w:r>
            <w:r w:rsidRPr="00445CFD">
              <w:rPr>
                <w:rFonts w:ascii="Calibri" w:eastAsia="Calibri" w:hAnsi="Calibri" w:cs="Times New Roman"/>
                <w:sz w:val="18"/>
                <w:szCs w:val="18"/>
              </w:rPr>
              <w:t>Commonwealth for notional costs of delivering service to younger people</w:t>
            </w:r>
          </w:p>
        </w:tc>
        <w:tc>
          <w:tcPr>
            <w:tcW w:w="727"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U2014 ToR requirement that change of aged care responsibilities not impact on relativities is not applicable for R2015. Treatment now based on HFE</w:t>
            </w:r>
            <w:r>
              <w:rPr>
                <w:rFonts w:ascii="Calibri" w:eastAsia="Calibri" w:hAnsi="Calibri" w:cs="Times New Roman"/>
                <w:sz w:val="18"/>
                <w:szCs w:val="18"/>
              </w:rPr>
              <w:t>.</w:t>
            </w:r>
          </w:p>
        </w:tc>
        <w:tc>
          <w:tcPr>
            <w:tcW w:w="695" w:type="pct"/>
          </w:tcPr>
          <w:p w:rsidR="00636CF4" w:rsidRPr="00445CFD" w:rsidRDefault="00636CF4" w:rsidP="00445CFD">
            <w:pPr>
              <w:spacing w:line="240" w:lineRule="auto"/>
              <w:rPr>
                <w:rFonts w:ascii="Calibri" w:eastAsia="Calibri" w:hAnsi="Calibri" w:cs="Calibri"/>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color w:val="FF0000"/>
                <w:sz w:val="18"/>
                <w:szCs w:val="18"/>
              </w:rPr>
              <w:lastRenderedPageBreak/>
              <w:t>**</w:t>
            </w:r>
            <w:r w:rsidRPr="00445CFD">
              <w:rPr>
                <w:rFonts w:ascii="Calibri" w:eastAsia="Calibri" w:hAnsi="Calibri" w:cs="Times New Roman"/>
                <w:sz w:val="18"/>
                <w:szCs w:val="18"/>
              </w:rPr>
              <w:t>Transitioning responsibilities to aged care and disability services (TRACADS) — Basic community care maintenance and support services</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Commenced in 2010-11 and provides basic community care maintenance and support services for people aged 65 years and over (50 years and over for Indigenous Australians). It replaces the Home and Community Care program for participating States (</w:t>
            </w:r>
            <w:r w:rsidR="00DF3E5E">
              <w:rPr>
                <w:rFonts w:ascii="Calibri" w:eastAsia="Calibri" w:hAnsi="Calibri" w:cs="Times New Roman"/>
                <w:sz w:val="18"/>
                <w:szCs w:val="18"/>
              </w:rPr>
              <w:t>o</w:t>
            </w:r>
            <w:r w:rsidRPr="00445CFD">
              <w:rPr>
                <w:rFonts w:ascii="Calibri" w:eastAsia="Calibri" w:hAnsi="Calibri" w:cs="Times New Roman"/>
                <w:sz w:val="18"/>
                <w:szCs w:val="18"/>
              </w:rPr>
              <w:t>ther than Victoria and WA). From July 2012, funding for these services for participating States was provided by the Commonwealth directly to service providers. Funding to Victoria and WA will continue under the joint Home and Community Care Program Review Agreement. Arrangements for Victoria will change due to its recent agreement to implement changes to roles and responsibilities in relation to aged care and disability services.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2012-13</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All States — no impact</w:t>
            </w:r>
          </w:p>
        </w:tc>
        <w:tc>
          <w:tcPr>
            <w:tcW w:w="727"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U2014 ToR requirement that change of aged care responsibilities not impact on relativities is not applicable for R2015. Treatment now based on HFE.</w:t>
            </w: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Aged care services for ‘Older people’ are Commonwealth responsibilities and needs are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TRACADS — Specialist disability services</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for specialist disability services for people aged 65 years and over (50 years and over for Indigenous Australians), in participating States.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All States — 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Disability services for ‘Older people’ are Commonwealth responsibilities and needs are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A5067D">
              <w:rPr>
                <w:rFonts w:ascii="Calibri" w:eastAsia="Calibri" w:hAnsi="Calibri" w:cs="Times New Roman"/>
                <w:color w:val="FF0000"/>
                <w:sz w:val="18"/>
                <w:szCs w:val="18"/>
              </w:rPr>
              <w:t>**</w:t>
            </w:r>
            <w:r w:rsidRPr="00445CFD">
              <w:rPr>
                <w:rFonts w:ascii="Calibri" w:eastAsia="Calibri" w:hAnsi="Calibri" w:cs="Times New Roman"/>
                <w:sz w:val="18"/>
                <w:szCs w:val="18"/>
              </w:rPr>
              <w:t>Aged care assessment</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enable Aged Care Assessment Teams to comprehensively assess the care needs of frail older people and to establish their eligibility for appropriate residential aged care, transitional care and community care services. Funding to the States in 2012-13 reflects the final amounts payable for 2011-12.</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2012-13</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All States — no impact</w:t>
            </w:r>
          </w:p>
        </w:tc>
        <w:tc>
          <w:tcPr>
            <w:tcW w:w="727"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U2014 ToR requirement that change of aged care responsibilities not impact on relativities is not applicable for R2015. </w:t>
            </w:r>
            <w:r>
              <w:rPr>
                <w:rFonts w:ascii="Calibri" w:eastAsia="Calibri" w:hAnsi="Calibri" w:cs="Times New Roman"/>
                <w:sz w:val="18"/>
                <w:szCs w:val="18"/>
              </w:rPr>
              <w:t>Treatment now based on HFE.</w:t>
            </w: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Aged care services for ‘Older people’ are Commonwealth responsibilities and needs are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Assisting preparation towards </w:t>
            </w:r>
            <w:r w:rsidR="00DF3E5E">
              <w:rPr>
                <w:rFonts w:ascii="Calibri" w:eastAsia="Calibri" w:hAnsi="Calibri" w:cs="Times New Roman"/>
                <w:sz w:val="18"/>
                <w:szCs w:val="18"/>
              </w:rPr>
              <w:t xml:space="preserve">the </w:t>
            </w:r>
            <w:r w:rsidRPr="00445CFD">
              <w:rPr>
                <w:rFonts w:ascii="Calibri" w:eastAsia="Calibri" w:hAnsi="Calibri" w:cs="Times New Roman"/>
                <w:sz w:val="18"/>
                <w:szCs w:val="18"/>
              </w:rPr>
              <w:t xml:space="preserve">launch of </w:t>
            </w:r>
            <w:r w:rsidR="00DF3E5E">
              <w:rPr>
                <w:rFonts w:ascii="Calibri" w:eastAsia="Calibri" w:hAnsi="Calibri" w:cs="Times New Roman"/>
                <w:sz w:val="18"/>
                <w:szCs w:val="18"/>
              </w:rPr>
              <w:t xml:space="preserve">the </w:t>
            </w:r>
            <w:r w:rsidRPr="00445CFD">
              <w:rPr>
                <w:rFonts w:ascii="Calibri" w:eastAsia="Calibri" w:hAnsi="Calibri" w:cs="Times New Roman"/>
                <w:sz w:val="18"/>
                <w:szCs w:val="18"/>
              </w:rPr>
              <w:t>National Disability Insurance Scheme</w:t>
            </w:r>
            <w:r w:rsidRPr="00A5067D">
              <w:rPr>
                <w:rFonts w:ascii="Calibri" w:eastAsia="Calibri" w:hAnsi="Calibri" w:cs="Times New Roman"/>
                <w:color w:val="FF0000"/>
                <w:sz w:val="18"/>
                <w:szCs w:val="18"/>
              </w:rPr>
              <w:t>*</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assist Tasmania and the ACT in the transition to the new operating environment under </w:t>
            </w:r>
            <w:proofErr w:type="spellStart"/>
            <w:r w:rsidRPr="00445CFD">
              <w:rPr>
                <w:rFonts w:ascii="Calibri" w:eastAsia="Calibri" w:hAnsi="Calibri" w:cs="Times New Roman"/>
                <w:sz w:val="18"/>
                <w:szCs w:val="18"/>
              </w:rPr>
              <w:t>DisabilityCare</w:t>
            </w:r>
            <w:proofErr w:type="spellEnd"/>
            <w:r w:rsidRPr="00445CFD">
              <w:rPr>
                <w:rFonts w:ascii="Calibri" w:eastAsia="Calibri" w:hAnsi="Calibri" w:cs="Times New Roman"/>
                <w:sz w:val="18"/>
                <w:szCs w:val="18"/>
              </w:rPr>
              <w:t xml:space="preserve"> Australia and to support the ACT to expand services ahead of the launch of </w:t>
            </w:r>
            <w:r w:rsidR="00DF3E5E">
              <w:rPr>
                <w:rFonts w:ascii="Calibri" w:eastAsia="Calibri" w:hAnsi="Calibri" w:cs="Times New Roman"/>
                <w:sz w:val="18"/>
                <w:szCs w:val="18"/>
              </w:rPr>
              <w:t xml:space="preserve">the </w:t>
            </w:r>
            <w:r w:rsidRPr="00445CFD">
              <w:rPr>
                <w:rFonts w:ascii="Calibri" w:eastAsia="Calibri" w:hAnsi="Calibri" w:cs="Times New Roman"/>
                <w:sz w:val="18"/>
                <w:szCs w:val="18"/>
              </w:rPr>
              <w:t>National Disability Insurance Scheme</w:t>
            </w:r>
            <w:r w:rsidR="00DF3E5E">
              <w:rPr>
                <w:rFonts w:ascii="Calibri" w:eastAsia="Calibri" w:hAnsi="Calibri" w:cs="Times New Roman"/>
                <w:sz w:val="18"/>
                <w:szCs w:val="18"/>
              </w:rPr>
              <w:t xml:space="preserve"> (NDIS)</w:t>
            </w:r>
            <w:r w:rsidRPr="00445CFD">
              <w:rPr>
                <w:rFonts w:ascii="Calibri" w:eastAsia="Calibri" w:hAnsi="Calibri" w:cs="Times New Roman"/>
                <w:sz w:val="18"/>
                <w:szCs w:val="18"/>
              </w:rPr>
              <w:t>.</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lastRenderedPageBreak/>
              <w:t>CCPSCH — Certain concessions for pensioners</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To assist the States with the cost of funding concessions, for all pension concession card holders without discrimination, in relation to council land and water rates, utilities including energy and sewerage, motor vehicle registration and public transport. In its 2014-15 </w:t>
            </w:r>
            <w:proofErr w:type="gramStart"/>
            <w:r w:rsidRPr="00445CFD">
              <w:rPr>
                <w:rFonts w:ascii="Calibri" w:eastAsia="Calibri" w:hAnsi="Calibri" w:cs="Times New Roman"/>
                <w:sz w:val="18"/>
                <w:szCs w:val="18"/>
              </w:rPr>
              <w:t>budget</w:t>
            </w:r>
            <w:proofErr w:type="gramEnd"/>
            <w:r w:rsidRPr="00445CFD">
              <w:rPr>
                <w:rFonts w:ascii="Calibri" w:eastAsia="Calibri" w:hAnsi="Calibri" w:cs="Times New Roman"/>
                <w:sz w:val="18"/>
                <w:szCs w:val="18"/>
              </w:rPr>
              <w:t>, the Commonwealth announced it will terminate this payment from 1 July 2014.</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CCPSCH — National reciprocal transport concessions</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for public transport concessions to enable senior card holders to access public transport concessions when they travel outside their home State. </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Home and Community care (HACC) </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Victoria and Western to continue the joint Commonwealth-State HACC program for the provision of basic community care maintenance and support services such as domestic assistance and personal care to older people.</w:t>
            </w:r>
          </w:p>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The Commonwealth and Victoria are working on transitioning HACC responsibilities for older people to </w:t>
            </w:r>
            <w:r w:rsidR="00DF3E5E">
              <w:rPr>
                <w:rFonts w:ascii="Calibri" w:eastAsia="Calibri" w:hAnsi="Calibri" w:cs="Times New Roman"/>
                <w:sz w:val="18"/>
                <w:szCs w:val="18"/>
              </w:rPr>
              <w:t xml:space="preserve">the </w:t>
            </w:r>
            <w:r w:rsidRPr="00445CFD">
              <w:rPr>
                <w:rFonts w:ascii="Calibri" w:eastAsia="Calibri" w:hAnsi="Calibri" w:cs="Times New Roman"/>
                <w:sz w:val="18"/>
                <w:szCs w:val="18"/>
              </w:rPr>
              <w:t>Commonwealth from 1 July 2015.</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Needs not assessed</w:t>
            </w:r>
          </w:p>
        </w:tc>
      </w:tr>
      <w:tr w:rsidR="00636CF4" w:rsidRPr="00445CFD" w:rsidTr="00A5067D">
        <w:trPr>
          <w:cantSplit/>
        </w:trPr>
        <w:tc>
          <w:tcPr>
            <w:tcW w:w="669" w:type="pct"/>
          </w:tcPr>
          <w:p w:rsidR="00636CF4" w:rsidRPr="000C586F" w:rsidRDefault="00636CF4" w:rsidP="00494AA0">
            <w:pPr>
              <w:pStyle w:val="CGCCWTableText"/>
            </w:pPr>
            <w:r w:rsidRPr="000C586F">
              <w:t>Home and Community Care — services for veterans</w:t>
            </w:r>
          </w:p>
        </w:tc>
        <w:tc>
          <w:tcPr>
            <w:tcW w:w="1456" w:type="pct"/>
          </w:tcPr>
          <w:p w:rsidR="00636CF4" w:rsidRPr="000C586F" w:rsidRDefault="00636CF4" w:rsidP="00494AA0">
            <w:pPr>
              <w:pStyle w:val="CGCCWTableText"/>
            </w:pPr>
            <w:r w:rsidRPr="000C586F">
              <w:t>To support Home and Community Care program provision of community care services to veterans.</w:t>
            </w:r>
          </w:p>
        </w:tc>
        <w:tc>
          <w:tcPr>
            <w:tcW w:w="674" w:type="pct"/>
          </w:tcPr>
          <w:p w:rsidR="00636CF4" w:rsidRPr="000C586F" w:rsidRDefault="00636CF4" w:rsidP="00494AA0">
            <w:pPr>
              <w:pStyle w:val="CGCCWTableText"/>
            </w:pPr>
            <w:r w:rsidRPr="000C586F">
              <w:t>2011-12 to 2013-14</w:t>
            </w:r>
          </w:p>
        </w:tc>
        <w:tc>
          <w:tcPr>
            <w:tcW w:w="779" w:type="pct"/>
          </w:tcPr>
          <w:p w:rsidR="00636CF4" w:rsidRPr="000C586F" w:rsidRDefault="00636CF4" w:rsidP="00494AA0">
            <w:pPr>
              <w:pStyle w:val="CGCCWTableText"/>
            </w:pPr>
            <w:r w:rsidRPr="000C586F">
              <w:t>No impact</w:t>
            </w:r>
          </w:p>
        </w:tc>
        <w:tc>
          <w:tcPr>
            <w:tcW w:w="727" w:type="pct"/>
          </w:tcPr>
          <w:p w:rsidR="00636CF4" w:rsidRPr="000C586F" w:rsidRDefault="00636CF4" w:rsidP="00494AA0">
            <w:pPr>
              <w:pStyle w:val="CGCCWTableText"/>
            </w:pPr>
          </w:p>
        </w:tc>
        <w:tc>
          <w:tcPr>
            <w:tcW w:w="695" w:type="pct"/>
          </w:tcPr>
          <w:p w:rsidR="00636CF4" w:rsidRPr="00445CFD" w:rsidRDefault="00636CF4" w:rsidP="00636CF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purchase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Municipal and essential services</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support the delivery of municipal and essential services to outstations and homelands, such as access to power, water as well as sewerage and road maintenance.</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lastRenderedPageBreak/>
              <w:t>Pay equity for the social and community services sector</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The Commonwealth’s share of the wage increases arising from Fair Work Australia’s decision on 1</w:t>
            </w:r>
            <w:r w:rsidR="00DF3E5E">
              <w:rPr>
                <w:rFonts w:ascii="Calibri" w:eastAsia="Calibri" w:hAnsi="Calibri" w:cs="Times New Roman"/>
                <w:sz w:val="18"/>
                <w:szCs w:val="18"/>
              </w:rPr>
              <w:t> </w:t>
            </w:r>
            <w:r w:rsidRPr="00445CFD">
              <w:rPr>
                <w:rFonts w:ascii="Calibri" w:eastAsia="Calibri" w:hAnsi="Calibri" w:cs="Times New Roman"/>
                <w:sz w:val="18"/>
                <w:szCs w:val="18"/>
              </w:rPr>
              <w:t>February 2012 to grant an Equal Remuneration Order in the social and community services sector. The Commonwealth’s commitment includes providing funding for its share of the wage increases for in-scope programs funded through existing SPPs and</w:t>
            </w:r>
            <w:r w:rsidR="00A431B7">
              <w:rPr>
                <w:rFonts w:ascii="Calibri" w:eastAsia="Calibri" w:hAnsi="Calibri" w:cs="Times New Roman"/>
                <w:sz w:val="18"/>
                <w:szCs w:val="18"/>
              </w:rPr>
              <w:t>(National Partnership Payments)</w:t>
            </w:r>
            <w:r w:rsidRPr="00445CFD">
              <w:rPr>
                <w:rFonts w:ascii="Calibri" w:eastAsia="Calibri" w:hAnsi="Calibri" w:cs="Times New Roman"/>
                <w:sz w:val="18"/>
                <w:szCs w:val="18"/>
              </w:rPr>
              <w:t xml:space="preserve"> NPPs.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Social and community services — Queensland pay equity regulation - back pay</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assist Queensland social and community services sector employers meet their obligations under the new Australian Government regulation for back pay to employees in the sector who were employed between 27 March 2011 and 29</w:t>
            </w:r>
            <w:r w:rsidR="006354C3">
              <w:rPr>
                <w:rFonts w:ascii="Calibri" w:eastAsia="Calibri" w:hAnsi="Calibri" w:cs="Times New Roman"/>
                <w:sz w:val="18"/>
                <w:szCs w:val="18"/>
              </w:rPr>
              <w:t> </w:t>
            </w:r>
            <w:r w:rsidRPr="00445CFD">
              <w:rPr>
                <w:rFonts w:ascii="Calibri" w:eastAsia="Calibri" w:hAnsi="Calibri" w:cs="Times New Roman"/>
                <w:sz w:val="18"/>
                <w:szCs w:val="18"/>
              </w:rPr>
              <w:t>February 2012.</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2012-13</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Closing the Gap in the Northern Territory — community services</w:t>
            </w:r>
            <w:r w:rsidRPr="00445CFD">
              <w:rPr>
                <w:rFonts w:ascii="Calibri" w:eastAsia="Calibri" w:hAnsi="Calibri" w:cs="Times New Roman"/>
                <w:color w:val="FF0000"/>
                <w:sz w:val="18"/>
                <w:szCs w:val="18"/>
              </w:rPr>
              <w:t>*</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To continue and strengthen the measures initiated under the NTER for community services. </w:t>
            </w:r>
          </w:p>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Includes payments for community safety – family support, field operations, food security, remote policing and substance abuse.</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lastRenderedPageBreak/>
              <w:t>Stronger futures in the Northern Territory</w:t>
            </w:r>
            <w:r w:rsidRPr="00445CFD">
              <w:rPr>
                <w:rFonts w:ascii="Calibri" w:eastAsia="Calibri" w:hAnsi="Calibri" w:cs="Times New Roman"/>
                <w:color w:val="FF0000"/>
                <w:sz w:val="18"/>
                <w:szCs w:val="18"/>
              </w:rPr>
              <w:t>*</w:t>
            </w:r>
            <w:r w:rsidRPr="00445CFD">
              <w:rPr>
                <w:rFonts w:ascii="Calibri" w:eastAsia="Calibri" w:hAnsi="Calibri" w:cs="Times New Roman"/>
                <w:sz w:val="18"/>
                <w:szCs w:val="18"/>
              </w:rPr>
              <w:t xml:space="preserve"> —community services components</w:t>
            </w:r>
          </w:p>
        </w:tc>
        <w:tc>
          <w:tcPr>
            <w:tcW w:w="1456" w:type="pct"/>
            <w:vAlign w:val="bottom"/>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Payments include:</w:t>
            </w:r>
          </w:p>
          <w:p w:rsidR="00636CF4" w:rsidRPr="00445CFD" w:rsidRDefault="00636CF4"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Alice Springs transformation plan — improve delivery, accessibility and coordination of services, facilitate land tenure reforms and improve the safety and wellbeing of Aboriginal people in Alice Springs.</w:t>
            </w:r>
          </w:p>
          <w:p w:rsidR="00636CF4" w:rsidRPr="00445CFD" w:rsidRDefault="00636CF4"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 xml:space="preserve">Child, youth, family and community wellbeing — funding for playgroups, home and parenting support services, youth workers and safe houses; expansion of </w:t>
            </w:r>
            <w:r w:rsidR="006354C3">
              <w:rPr>
                <w:rFonts w:ascii="Calibri" w:eastAsia="Calibri" w:hAnsi="Calibri" w:cs="Times New Roman"/>
                <w:sz w:val="18"/>
                <w:szCs w:val="18"/>
              </w:rPr>
              <w:t xml:space="preserve">the </w:t>
            </w:r>
            <w:r w:rsidRPr="00445CFD">
              <w:rPr>
                <w:rFonts w:ascii="Calibri" w:eastAsia="Calibri" w:hAnsi="Calibri" w:cs="Times New Roman"/>
                <w:sz w:val="18"/>
                <w:szCs w:val="18"/>
              </w:rPr>
              <w:t>number of Stronger Communities for Children sites; Remote Aboriginal Family and Community Workers and the continuation of Mobile Child Protection Teams.</w:t>
            </w:r>
          </w:p>
          <w:p w:rsidR="00636CF4" w:rsidRPr="00445CFD" w:rsidRDefault="00636CF4"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Community safety and justice — funding for remote policing, community night patrols and legal assistance services.</w:t>
            </w:r>
          </w:p>
          <w:p w:rsidR="00636CF4" w:rsidRPr="00445CFD" w:rsidRDefault="00636CF4"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Municipal and essential services — to support the delivery of municipal and essential services to outstations and homeland, such as access to power, water, sewerage and road maintenance, garbage collection and dog control.</w:t>
            </w:r>
          </w:p>
          <w:p w:rsidR="00636CF4" w:rsidRPr="00445CFD" w:rsidRDefault="00636CF4"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Remote engagement and coordination — to support more effective engagement with communities through continued support for the NT Aboriginal Interpreter Services and the NT coordination effort of the Stronger Futures in the NT initiative.</w:t>
            </w:r>
          </w:p>
          <w:p w:rsidR="00636CF4" w:rsidRPr="00445CFD" w:rsidRDefault="00636CF4"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 xml:space="preserve">Tackling alcohol abuse — </w:t>
            </w:r>
            <w:proofErr w:type="gramStart"/>
            <w:r w:rsidRPr="00445CFD">
              <w:rPr>
                <w:rFonts w:ascii="Calibri" w:eastAsia="Calibri" w:hAnsi="Calibri" w:cs="Times New Roman"/>
                <w:sz w:val="18"/>
                <w:szCs w:val="18"/>
              </w:rPr>
              <w:t>To</w:t>
            </w:r>
            <w:proofErr w:type="gramEnd"/>
            <w:r w:rsidRPr="00445CFD">
              <w:rPr>
                <w:rFonts w:ascii="Calibri" w:eastAsia="Calibri" w:hAnsi="Calibri" w:cs="Times New Roman"/>
                <w:sz w:val="18"/>
                <w:szCs w:val="18"/>
              </w:rPr>
              <w:t xml:space="preserve"> continue alcohol restrictions, licensing compliance and the development of alcohol management plans in communities.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No impact </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r w:rsidR="00636CF4" w:rsidRPr="00445CFD" w:rsidTr="00A5067D">
        <w:trPr>
          <w:cantSplit/>
        </w:trPr>
        <w:tc>
          <w:tcPr>
            <w:tcW w:w="5000" w:type="pct"/>
            <w:gridSpan w:val="6"/>
            <w:vAlign w:val="bottom"/>
          </w:tcPr>
          <w:p w:rsidR="00636CF4" w:rsidRPr="00494AA0" w:rsidRDefault="00636CF4" w:rsidP="00C57117">
            <w:pPr>
              <w:pageBreakBefore/>
              <w:spacing w:line="240" w:lineRule="auto"/>
              <w:rPr>
                <w:rFonts w:ascii="Calibri" w:eastAsia="Calibri" w:hAnsi="Calibri" w:cs="Calibri"/>
                <w:b/>
                <w:sz w:val="18"/>
                <w:szCs w:val="18"/>
              </w:rPr>
            </w:pPr>
            <w:r w:rsidRPr="00494AA0">
              <w:rPr>
                <w:rFonts w:ascii="Calibri" w:eastAsia="Calibri" w:hAnsi="Calibri" w:cs="Calibri"/>
                <w:b/>
                <w:sz w:val="18"/>
                <w:szCs w:val="18"/>
              </w:rPr>
              <w:lastRenderedPageBreak/>
              <w:t>AFFORDABLE HOUSING</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Affordable Housing SPP</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The Commonwealth and the States have committed to the objective that all Australians have access to affordable, safe and sustainable housing which assist them to participate in the labour force and more broadly in the community.</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vAlign w:val="bottom"/>
          </w:tcPr>
          <w:p w:rsidR="00636CF4" w:rsidRPr="00445CFD" w:rsidRDefault="00636CF4" w:rsidP="00445CFD">
            <w:pPr>
              <w:spacing w:line="240" w:lineRule="auto"/>
              <w:rPr>
                <w:rFonts w:ascii="Calibri" w:eastAsia="Calibri" w:hAnsi="Calibri" w:cs="Calibri"/>
                <w:sz w:val="18"/>
                <w:szCs w:val="18"/>
              </w:rPr>
            </w:pPr>
          </w:p>
        </w:tc>
        <w:tc>
          <w:tcPr>
            <w:tcW w:w="695" w:type="pct"/>
            <w:vAlign w:val="bottom"/>
          </w:tcPr>
          <w:p w:rsidR="00636CF4" w:rsidRPr="00445CFD" w:rsidRDefault="00636CF4" w:rsidP="00445CFD">
            <w:pPr>
              <w:spacing w:line="240" w:lineRule="auto"/>
              <w:rPr>
                <w:rFonts w:ascii="Calibri" w:eastAsia="Calibri" w:hAnsi="Calibri" w:cs="Calibri"/>
                <w:sz w:val="18"/>
                <w:szCs w:val="18"/>
              </w:rPr>
            </w:pPr>
          </w:p>
        </w:tc>
      </w:tr>
      <w:tr w:rsidR="00636CF4" w:rsidRPr="00445CFD" w:rsidTr="00A5067D">
        <w:trPr>
          <w:cantSplit/>
        </w:trPr>
        <w:tc>
          <w:tcPr>
            <w:tcW w:w="5000" w:type="pct"/>
            <w:gridSpan w:val="6"/>
            <w:vAlign w:val="bottom"/>
          </w:tcPr>
          <w:p w:rsidR="00636CF4" w:rsidRPr="00445CFD" w:rsidRDefault="00636CF4" w:rsidP="00445CFD">
            <w:pPr>
              <w:spacing w:line="240" w:lineRule="auto"/>
              <w:rPr>
                <w:rFonts w:ascii="Calibri" w:eastAsia="Calibri" w:hAnsi="Calibri" w:cs="Calibri"/>
                <w:b/>
                <w:sz w:val="18"/>
                <w:szCs w:val="18"/>
              </w:rPr>
            </w:pPr>
            <w:r w:rsidRPr="00445CFD">
              <w:rPr>
                <w:rFonts w:ascii="Calibri" w:eastAsia="Calibri" w:hAnsi="Calibri" w:cs="Calibri"/>
                <w:b/>
                <w:sz w:val="18"/>
                <w:szCs w:val="18"/>
              </w:rPr>
              <w:t>National Partnership Payments</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Building better regional cities</w:t>
            </w:r>
            <w:r>
              <w:rPr>
                <w:rFonts w:ascii="Calibri" w:eastAsia="Calibri" w:hAnsi="Calibri" w:cs="Times New Roman"/>
                <w:color w:val="FF0000"/>
                <w:sz w:val="18"/>
                <w:szCs w:val="18"/>
              </w:rPr>
              <w:t>##</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invest in local housing infrastructure projects that is helping to build more affordable homes in high growth regional cities.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Local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East Kimberley development package – social and transitional housing projects</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Western Australia for Indigenous housing projects as part of the NP on the East Kimberley development package. Investment priorities under the package focus on improving the provision of social and transition</w:t>
            </w:r>
            <w:r w:rsidR="006354C3">
              <w:rPr>
                <w:rFonts w:ascii="Calibri" w:eastAsia="Calibri" w:hAnsi="Calibri" w:cs="Times New Roman"/>
                <w:sz w:val="18"/>
                <w:szCs w:val="18"/>
              </w:rPr>
              <w:t>al</w:t>
            </w:r>
            <w:r w:rsidRPr="00445CFD">
              <w:rPr>
                <w:rFonts w:ascii="Calibri" w:eastAsia="Calibri" w:hAnsi="Calibri" w:cs="Times New Roman"/>
                <w:sz w:val="18"/>
                <w:szCs w:val="18"/>
              </w:rPr>
              <w:t xml:space="preserve"> housing, where noticeable gaps exist in the region.</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First Home Owners Boost</w:t>
            </w:r>
            <w:r w:rsidRPr="00C57117">
              <w:rPr>
                <w:rFonts w:ascii="Calibri" w:eastAsia="Calibri" w:hAnsi="Calibri" w:cs="Times New Roman"/>
                <w:color w:val="FF0000"/>
                <w:sz w:val="18"/>
                <w:szCs w:val="18"/>
              </w:rPr>
              <w:t>#</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As part of the Economic Security Strategy, to stimulate housing activity, support the construction industry and assist first homebuyers to enter the housing market. The Boost has now ceased. The payment in 2012-13 reflects the final 12 month application period and the timeframes allowed for the construction of new homes. Negative expenditure for some States reflects funds recovered from applicants later found to be ineligible returned to the Commonwealth.</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636CF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purchase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lastRenderedPageBreak/>
              <w:t xml:space="preserve">Nation Building and Jobs Plan — Social housing </w:t>
            </w:r>
          </w:p>
        </w:tc>
        <w:tc>
          <w:tcPr>
            <w:tcW w:w="1456" w:type="pct"/>
          </w:tcPr>
          <w:p w:rsidR="00636CF4" w:rsidRPr="00445CFD" w:rsidRDefault="00636CF4" w:rsidP="006354C3">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invest in additional public and community housing to meet priority social housing needs. The Commonwealth had committed funding of $6.4</w:t>
            </w:r>
            <w:r w:rsidR="006354C3">
              <w:rPr>
                <w:rFonts w:ascii="Calibri" w:eastAsia="Calibri" w:hAnsi="Calibri" w:cs="Times New Roman"/>
                <w:sz w:val="18"/>
                <w:szCs w:val="18"/>
              </w:rPr>
              <w:t> </w:t>
            </w:r>
            <w:r w:rsidRPr="00445CFD">
              <w:rPr>
                <w:rFonts w:ascii="Calibri" w:eastAsia="Calibri" w:hAnsi="Calibri" w:cs="Times New Roman"/>
                <w:sz w:val="18"/>
                <w:szCs w:val="18"/>
              </w:rPr>
              <w:t>billion over the years 2008-09 to 2011-12 to build around 20</w:t>
            </w:r>
            <w:r w:rsidR="006354C3">
              <w:rPr>
                <w:rFonts w:ascii="Calibri" w:eastAsia="Calibri" w:hAnsi="Calibri" w:cs="Times New Roman"/>
                <w:sz w:val="18"/>
                <w:szCs w:val="18"/>
              </w:rPr>
              <w:t> </w:t>
            </w:r>
            <w:r w:rsidRPr="00445CFD">
              <w:rPr>
                <w:rFonts w:ascii="Calibri" w:eastAsia="Calibri" w:hAnsi="Calibri" w:cs="Times New Roman"/>
                <w:sz w:val="18"/>
                <w:szCs w:val="18"/>
              </w:rPr>
              <w:t>000 additional social housing dwellings and to refurbish around 2</w:t>
            </w:r>
            <w:r w:rsidR="006354C3">
              <w:rPr>
                <w:rFonts w:ascii="Calibri" w:eastAsia="Calibri" w:hAnsi="Calibri" w:cs="Times New Roman"/>
                <w:sz w:val="18"/>
                <w:szCs w:val="18"/>
              </w:rPr>
              <w:t> </w:t>
            </w:r>
            <w:r w:rsidRPr="00445CFD">
              <w:rPr>
                <w:rFonts w:ascii="Calibri" w:eastAsia="Calibri" w:hAnsi="Calibri" w:cs="Times New Roman"/>
                <w:sz w:val="18"/>
                <w:szCs w:val="18"/>
              </w:rPr>
              <w:t xml:space="preserve">500 existing public housing dwellings. Funding is allocated to </w:t>
            </w:r>
            <w:r w:rsidR="006354C3">
              <w:rPr>
                <w:rFonts w:ascii="Calibri" w:eastAsia="Calibri" w:hAnsi="Calibri" w:cs="Times New Roman"/>
                <w:sz w:val="18"/>
                <w:szCs w:val="18"/>
              </w:rPr>
              <w:t>S</w:t>
            </w:r>
            <w:r w:rsidRPr="00445CFD">
              <w:rPr>
                <w:rFonts w:ascii="Calibri" w:eastAsia="Calibri" w:hAnsi="Calibri" w:cs="Times New Roman"/>
                <w:sz w:val="18"/>
                <w:szCs w:val="18"/>
              </w:rPr>
              <w:t>tates generally on a per capita basis. Payments were mainly for construction.</w:t>
            </w:r>
          </w:p>
        </w:tc>
        <w:tc>
          <w:tcPr>
            <w:tcW w:w="674" w:type="pct"/>
          </w:tcPr>
          <w:p w:rsidR="00636CF4" w:rsidRPr="00445CFD" w:rsidRDefault="00636CF4" w:rsidP="00445CFD">
            <w:pPr>
              <w:spacing w:line="240" w:lineRule="auto"/>
              <w:rPr>
                <w:rFonts w:ascii="Calibri" w:eastAsia="Calibri" w:hAnsi="Calibri" w:cs="Times New Roman"/>
                <w:sz w:val="18"/>
                <w:szCs w:val="18"/>
              </w:rPr>
            </w:pPr>
            <w:r>
              <w:rPr>
                <w:rFonts w:ascii="Calibri" w:eastAsia="Calibri" w:hAnsi="Calibri" w:cs="Times New Roman"/>
                <w:sz w:val="18"/>
                <w:szCs w:val="18"/>
              </w:rPr>
              <w:t>2011-12 and 2013-</w:t>
            </w:r>
            <w:r w:rsidRPr="00445CFD">
              <w:rPr>
                <w:rFonts w:ascii="Calibri" w:eastAsia="Calibri" w:hAnsi="Calibri" w:cs="Times New Roman"/>
                <w:sz w:val="18"/>
                <w:szCs w:val="18"/>
              </w:rPr>
              <w:t>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636CF4" w:rsidRPr="00445CFD" w:rsidRDefault="00636CF4" w:rsidP="00445CFD">
            <w:pPr>
              <w:rPr>
                <w:rFonts w:ascii="Calibri" w:eastAsia="Calibri" w:hAnsi="Calibri" w:cs="Times New Roman"/>
              </w:rPr>
            </w:pPr>
          </w:p>
        </w:tc>
        <w:tc>
          <w:tcPr>
            <w:tcW w:w="695" w:type="pct"/>
          </w:tcPr>
          <w:p w:rsidR="00636CF4" w:rsidRPr="00445CFD" w:rsidRDefault="00636CF4" w:rsidP="00445CFD">
            <w:pPr>
              <w:rPr>
                <w:rFonts w:ascii="Calibri" w:eastAsia="Calibri" w:hAnsi="Calibri" w:cs="Times New Roman"/>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Homelessness</w:t>
            </w:r>
          </w:p>
        </w:tc>
        <w:tc>
          <w:tcPr>
            <w:tcW w:w="1456" w:type="pct"/>
            <w:vAlign w:val="bottom"/>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support homelessness initiatives consistent with the priorities identified in the Commonwealth Government’s White Paper on Homelessness: The Road Home, with a focus on prevention, early intervention and breaking the cycle of homelessness through a better connected service system. Outputs include:</w:t>
            </w:r>
          </w:p>
          <w:p w:rsidR="00636CF4" w:rsidRPr="00445CFD" w:rsidRDefault="00636CF4"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implementation of the A Place Call</w:t>
            </w:r>
            <w:r w:rsidR="006354C3">
              <w:rPr>
                <w:rFonts w:ascii="Calibri" w:eastAsia="Calibri" w:hAnsi="Calibri" w:cs="Times New Roman"/>
                <w:sz w:val="18"/>
                <w:szCs w:val="18"/>
              </w:rPr>
              <w:t>ed</w:t>
            </w:r>
            <w:r w:rsidRPr="00445CFD">
              <w:rPr>
                <w:rFonts w:ascii="Calibri" w:eastAsia="Calibri" w:hAnsi="Calibri" w:cs="Times New Roman"/>
                <w:sz w:val="18"/>
                <w:szCs w:val="18"/>
              </w:rPr>
              <w:t xml:space="preserve"> Home initiative (building new homes for individuals and families experiencing homelessness)</w:t>
            </w:r>
          </w:p>
          <w:p w:rsidR="00636CF4" w:rsidRPr="00445CFD" w:rsidRDefault="00636CF4"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street to home initiatives for chronic homeless people (rough sleepers)</w:t>
            </w:r>
          </w:p>
          <w:p w:rsidR="00636CF4" w:rsidRPr="00445CFD" w:rsidRDefault="00636CF4"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 xml:space="preserve">support to private and public tenants to help sustain their tenancies, including through tenancy support, advocacy, case management, financial counselling and referred services </w:t>
            </w:r>
          </w:p>
          <w:p w:rsidR="00636CF4" w:rsidRPr="00445CFD" w:rsidRDefault="00636CF4" w:rsidP="00445CFD">
            <w:pPr>
              <w:numPr>
                <w:ilvl w:val="0"/>
                <w:numId w:val="46"/>
              </w:numPr>
              <w:spacing w:after="0" w:line="240" w:lineRule="auto"/>
              <w:ind w:left="284" w:hanging="142"/>
              <w:rPr>
                <w:rFonts w:ascii="Calibri" w:eastAsia="Calibri" w:hAnsi="Calibri" w:cs="Times New Roman"/>
                <w:sz w:val="18"/>
                <w:szCs w:val="18"/>
              </w:rPr>
            </w:pPr>
            <w:proofErr w:type="gramStart"/>
            <w:r w:rsidRPr="00445CFD">
              <w:rPr>
                <w:rFonts w:ascii="Calibri" w:eastAsia="Calibri" w:hAnsi="Calibri" w:cs="Times New Roman"/>
                <w:sz w:val="18"/>
                <w:szCs w:val="18"/>
              </w:rPr>
              <w:t>assistance</w:t>
            </w:r>
            <w:proofErr w:type="gramEnd"/>
            <w:r w:rsidRPr="00445CFD">
              <w:rPr>
                <w:rFonts w:ascii="Calibri" w:eastAsia="Calibri" w:hAnsi="Calibri" w:cs="Times New Roman"/>
                <w:sz w:val="18"/>
                <w:szCs w:val="18"/>
              </w:rPr>
              <w:t xml:space="preserve"> for people leaving child protection services, correctional and health facilities, to access and maintain stable, affordable housing.</w:t>
            </w:r>
          </w:p>
          <w:p w:rsidR="00636CF4" w:rsidRPr="00445CFD" w:rsidRDefault="00636CF4" w:rsidP="00605C69">
            <w:pPr>
              <w:pStyle w:val="CGCCWTableText"/>
            </w:pPr>
            <w:r w:rsidRPr="00445CFD">
              <w:t>Funding is allocated between the States based on their shares of the homeless population as estimated by the ABS in the 2006 Census of Population and Housing. This agreement finished in 2012-13 and a new one-year agreement was signed in 2013-14.</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vAlign w:val="bottom"/>
          </w:tcPr>
          <w:p w:rsidR="00636CF4" w:rsidRPr="00445CFD" w:rsidRDefault="00636CF4" w:rsidP="00445CFD">
            <w:pPr>
              <w:spacing w:line="240" w:lineRule="auto"/>
              <w:rPr>
                <w:rFonts w:ascii="Calibri" w:eastAsia="Calibri" w:hAnsi="Calibri" w:cs="Calibri"/>
                <w:sz w:val="18"/>
                <w:szCs w:val="18"/>
              </w:rPr>
            </w:pPr>
          </w:p>
        </w:tc>
        <w:tc>
          <w:tcPr>
            <w:tcW w:w="695" w:type="pct"/>
            <w:vAlign w:val="bottom"/>
          </w:tcPr>
          <w:p w:rsidR="00636CF4" w:rsidRPr="00445CFD" w:rsidRDefault="00636CF4" w:rsidP="00445CFD">
            <w:pPr>
              <w:spacing w:line="240" w:lineRule="auto"/>
              <w:rPr>
                <w:rFonts w:ascii="Calibri" w:eastAsia="Calibri" w:hAnsi="Calibri" w:cs="Calibri"/>
                <w:sz w:val="18"/>
                <w:szCs w:val="18"/>
              </w:rPr>
            </w:pPr>
          </w:p>
        </w:tc>
      </w:tr>
      <w:tr w:rsidR="00636CF4" w:rsidRPr="00445CFD" w:rsidTr="00A5067D">
        <w:trPr>
          <w:cantSplit/>
        </w:trPr>
        <w:tc>
          <w:tcPr>
            <w:tcW w:w="669" w:type="pct"/>
          </w:tcPr>
          <w:p w:rsidR="00636CF4" w:rsidRPr="00445CFD" w:rsidRDefault="00D20698" w:rsidP="00445CFD">
            <w:pPr>
              <w:spacing w:line="240" w:lineRule="auto"/>
              <w:rPr>
                <w:rFonts w:ascii="Calibri" w:eastAsia="Calibri" w:hAnsi="Calibri" w:cs="Times New Roman"/>
                <w:sz w:val="18"/>
                <w:szCs w:val="18"/>
              </w:rPr>
            </w:pPr>
            <w:r w:rsidRPr="00445CFD">
              <w:rPr>
                <w:rFonts w:ascii="Calibri" w:eastAsia="Calibri" w:hAnsi="Calibri" w:cs="Times New Roman"/>
                <w:color w:val="FF0000"/>
                <w:sz w:val="18"/>
                <w:szCs w:val="18"/>
              </w:rPr>
              <w:lastRenderedPageBreak/>
              <w:t>**</w:t>
            </w:r>
            <w:r w:rsidR="00636CF4" w:rsidRPr="00445CFD">
              <w:rPr>
                <w:rFonts w:ascii="Calibri" w:eastAsia="Calibri" w:hAnsi="Calibri" w:cs="Times New Roman"/>
                <w:sz w:val="18"/>
                <w:szCs w:val="18"/>
              </w:rPr>
              <w:t>Remote Indigenous Housing</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facilitate significant reform in the provision of housing for Indigenous people in remote communities and to address overcrowding, homelessness, poor housing conditions and severe housing shortages in remote Indigenous communities.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 for 2011</w:t>
            </w:r>
            <w:r w:rsidRPr="00445CFD">
              <w:rPr>
                <w:rFonts w:ascii="Calibri" w:eastAsia="Calibri" w:hAnsi="Calibri" w:cs="Times New Roman"/>
                <w:sz w:val="18"/>
                <w:szCs w:val="18"/>
              </w:rPr>
              <w:noBreakHyphen/>
              <w:t>12 and 2012</w:t>
            </w:r>
            <w:r w:rsidRPr="00445CFD">
              <w:rPr>
                <w:rFonts w:ascii="Calibri" w:eastAsia="Calibri" w:hAnsi="Calibri" w:cs="Times New Roman"/>
                <w:sz w:val="18"/>
                <w:szCs w:val="18"/>
              </w:rPr>
              <w:noBreakHyphen/>
              <w:t>13; and impact for 2013</w:t>
            </w:r>
            <w:r w:rsidRPr="00445CFD">
              <w:rPr>
                <w:rFonts w:ascii="Calibri" w:eastAsia="Calibri" w:hAnsi="Calibri" w:cs="Times New Roman"/>
                <w:sz w:val="18"/>
                <w:szCs w:val="18"/>
              </w:rPr>
              <w:noBreakHyphen/>
              <w:t>14</w:t>
            </w:r>
          </w:p>
        </w:tc>
        <w:tc>
          <w:tcPr>
            <w:tcW w:w="727"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States have now greater control over the management of dwellings funded by the payments. Needs are assessed</w:t>
            </w:r>
            <w:r w:rsidR="006354C3">
              <w:rPr>
                <w:rFonts w:ascii="Calibri" w:eastAsia="Calibri" w:hAnsi="Calibri" w:cs="Times New Roman"/>
                <w:sz w:val="18"/>
                <w:szCs w:val="18"/>
              </w:rPr>
              <w:t>.</w:t>
            </w:r>
          </w:p>
        </w:tc>
        <w:tc>
          <w:tcPr>
            <w:tcW w:w="695" w:type="pct"/>
          </w:tcPr>
          <w:p w:rsidR="00636CF4" w:rsidRPr="00445CFD" w:rsidRDefault="00636CF4" w:rsidP="00445CFD">
            <w:pPr>
              <w:spacing w:line="240" w:lineRule="auto"/>
              <w:rPr>
                <w:rFonts w:ascii="Calibri" w:eastAsia="Calibri" w:hAnsi="Calibri" w:cs="Times New Roman"/>
                <w:sz w:val="18"/>
                <w:szCs w:val="18"/>
              </w:rPr>
            </w:pPr>
          </w:p>
        </w:tc>
      </w:tr>
      <w:tr w:rsidR="00636CF4" w:rsidRPr="00445CFD" w:rsidTr="00A5067D">
        <w:trPr>
          <w:cantSplit/>
          <w:trHeight w:val="1114"/>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Stronger futures in the Northern Territory</w:t>
            </w:r>
            <w:r w:rsidRPr="00445CFD">
              <w:rPr>
                <w:rFonts w:ascii="Calibri" w:eastAsia="Calibri" w:hAnsi="Calibri" w:cs="Times New Roman"/>
                <w:color w:val="FF0000"/>
                <w:sz w:val="18"/>
                <w:szCs w:val="18"/>
              </w:rPr>
              <w:t>*</w:t>
            </w:r>
            <w:r w:rsidRPr="00445CFD">
              <w:rPr>
                <w:rFonts w:ascii="Calibri" w:eastAsia="Calibri" w:hAnsi="Calibri" w:cs="Times New Roman"/>
                <w:sz w:val="18"/>
                <w:szCs w:val="18"/>
              </w:rPr>
              <w:t>— Housing</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support the provision of safe and healthy houses for Indigenous Australians. This includes funding towards asbestos removal in homes and other buildings.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r w:rsidR="00636CF4" w:rsidRPr="00445CFD" w:rsidTr="00A5067D">
        <w:trPr>
          <w:cantSplit/>
        </w:trPr>
        <w:tc>
          <w:tcPr>
            <w:tcW w:w="669" w:type="pct"/>
            <w:vAlign w:val="bottom"/>
          </w:tcPr>
          <w:p w:rsidR="00636CF4" w:rsidRPr="00445CFD" w:rsidRDefault="00636CF4" w:rsidP="00445CFD">
            <w:pPr>
              <w:spacing w:line="240" w:lineRule="auto"/>
              <w:rPr>
                <w:rFonts w:ascii="Calibri" w:eastAsia="Calibri" w:hAnsi="Calibri" w:cs="Calibri"/>
                <w:b/>
                <w:sz w:val="18"/>
                <w:szCs w:val="18"/>
              </w:rPr>
            </w:pPr>
            <w:r w:rsidRPr="00445CFD">
              <w:rPr>
                <w:rFonts w:ascii="Calibri" w:eastAsia="Calibri" w:hAnsi="Calibri" w:cs="Calibri"/>
                <w:b/>
                <w:sz w:val="18"/>
                <w:szCs w:val="18"/>
              </w:rPr>
              <w:t>INFRASTRUCTURE</w:t>
            </w:r>
          </w:p>
        </w:tc>
        <w:tc>
          <w:tcPr>
            <w:tcW w:w="1456" w:type="pct"/>
            <w:vAlign w:val="bottom"/>
          </w:tcPr>
          <w:p w:rsidR="00636CF4" w:rsidRPr="00445CFD" w:rsidRDefault="00636CF4" w:rsidP="00445CFD">
            <w:pPr>
              <w:spacing w:line="240" w:lineRule="auto"/>
              <w:rPr>
                <w:rFonts w:ascii="Calibri" w:eastAsia="Calibri" w:hAnsi="Calibri" w:cs="Calibri"/>
                <w:sz w:val="18"/>
                <w:szCs w:val="18"/>
              </w:rPr>
            </w:pPr>
          </w:p>
        </w:tc>
        <w:tc>
          <w:tcPr>
            <w:tcW w:w="674" w:type="pct"/>
            <w:vAlign w:val="bottom"/>
          </w:tcPr>
          <w:p w:rsidR="00636CF4" w:rsidRPr="00445CFD" w:rsidRDefault="00636CF4" w:rsidP="00445CFD">
            <w:pPr>
              <w:spacing w:line="240" w:lineRule="auto"/>
              <w:rPr>
                <w:rFonts w:ascii="Calibri" w:eastAsia="Calibri" w:hAnsi="Calibri" w:cs="Calibri"/>
                <w:sz w:val="18"/>
                <w:szCs w:val="18"/>
              </w:rPr>
            </w:pPr>
          </w:p>
        </w:tc>
        <w:tc>
          <w:tcPr>
            <w:tcW w:w="779" w:type="pct"/>
            <w:vAlign w:val="bottom"/>
          </w:tcPr>
          <w:p w:rsidR="00636CF4" w:rsidRPr="00445CFD" w:rsidRDefault="00636CF4" w:rsidP="00445CFD">
            <w:pPr>
              <w:spacing w:line="240" w:lineRule="auto"/>
              <w:rPr>
                <w:rFonts w:ascii="Calibri" w:eastAsia="Calibri" w:hAnsi="Calibri" w:cs="Calibri"/>
                <w:sz w:val="18"/>
                <w:szCs w:val="18"/>
              </w:rPr>
            </w:pPr>
          </w:p>
        </w:tc>
        <w:tc>
          <w:tcPr>
            <w:tcW w:w="727" w:type="pct"/>
            <w:vAlign w:val="bottom"/>
          </w:tcPr>
          <w:p w:rsidR="00636CF4" w:rsidRPr="00445CFD" w:rsidRDefault="00636CF4" w:rsidP="00445CFD">
            <w:pPr>
              <w:spacing w:line="240" w:lineRule="auto"/>
              <w:rPr>
                <w:rFonts w:ascii="Calibri" w:eastAsia="Calibri" w:hAnsi="Calibri" w:cs="Calibri"/>
                <w:sz w:val="18"/>
                <w:szCs w:val="18"/>
              </w:rPr>
            </w:pPr>
          </w:p>
        </w:tc>
        <w:tc>
          <w:tcPr>
            <w:tcW w:w="695" w:type="pct"/>
            <w:vAlign w:val="bottom"/>
          </w:tcPr>
          <w:p w:rsidR="00636CF4" w:rsidRPr="00445CFD" w:rsidRDefault="00636CF4" w:rsidP="00445CFD">
            <w:pPr>
              <w:spacing w:line="240" w:lineRule="auto"/>
              <w:rPr>
                <w:rFonts w:ascii="Calibri" w:eastAsia="Calibri" w:hAnsi="Calibri" w:cs="Calibri"/>
                <w:sz w:val="18"/>
                <w:szCs w:val="18"/>
              </w:rPr>
            </w:pPr>
          </w:p>
        </w:tc>
      </w:tr>
      <w:tr w:rsidR="00636CF4" w:rsidRPr="00445CFD" w:rsidTr="00A5067D">
        <w:trPr>
          <w:cantSplit/>
        </w:trPr>
        <w:tc>
          <w:tcPr>
            <w:tcW w:w="5000" w:type="pct"/>
            <w:gridSpan w:val="6"/>
            <w:vAlign w:val="bottom"/>
          </w:tcPr>
          <w:p w:rsidR="00636CF4" w:rsidRPr="00445CFD" w:rsidRDefault="00636CF4" w:rsidP="00445CFD">
            <w:pPr>
              <w:spacing w:line="240" w:lineRule="auto"/>
              <w:rPr>
                <w:rFonts w:ascii="Calibri" w:eastAsia="Calibri" w:hAnsi="Calibri" w:cs="Calibri"/>
                <w:b/>
                <w:sz w:val="18"/>
                <w:szCs w:val="18"/>
              </w:rPr>
            </w:pPr>
            <w:r w:rsidRPr="00445CFD">
              <w:rPr>
                <w:rFonts w:ascii="Calibri" w:eastAsia="Calibri" w:hAnsi="Calibri" w:cs="Calibri"/>
                <w:b/>
                <w:sz w:val="18"/>
                <w:szCs w:val="18"/>
              </w:rPr>
              <w:t>National Partnership Payments</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proofErr w:type="spellStart"/>
            <w:r w:rsidRPr="00445CFD">
              <w:rPr>
                <w:rFonts w:ascii="Calibri" w:eastAsia="Calibri" w:hAnsi="Calibri" w:cs="Times New Roman"/>
                <w:sz w:val="18"/>
                <w:szCs w:val="18"/>
              </w:rPr>
              <w:t>Abt</w:t>
            </w:r>
            <w:proofErr w:type="spellEnd"/>
            <w:r w:rsidRPr="00445CFD">
              <w:rPr>
                <w:rFonts w:ascii="Calibri" w:eastAsia="Calibri" w:hAnsi="Calibri" w:cs="Times New Roman"/>
                <w:sz w:val="18"/>
                <w:szCs w:val="18"/>
              </w:rPr>
              <w:t xml:space="preserve"> Railway</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Payment to Tasmania to support capital works on the </w:t>
            </w:r>
            <w:proofErr w:type="spellStart"/>
            <w:r w:rsidRPr="00445CFD">
              <w:rPr>
                <w:rFonts w:ascii="Calibri" w:eastAsia="Calibri" w:hAnsi="Calibri" w:cs="Times New Roman"/>
                <w:sz w:val="18"/>
                <w:szCs w:val="18"/>
              </w:rPr>
              <w:t>Abt</w:t>
            </w:r>
            <w:proofErr w:type="spellEnd"/>
            <w:r w:rsidRPr="00445CFD">
              <w:rPr>
                <w:rFonts w:ascii="Calibri" w:eastAsia="Calibri" w:hAnsi="Calibri" w:cs="Times New Roman"/>
                <w:sz w:val="18"/>
                <w:szCs w:val="18"/>
              </w:rPr>
              <w:t xml:space="preserve"> Railway, including restoring the line to an appropriate safety standard. The funding is contingent on the Tasmanian Government funding an operator for the line and underwriting its ongoing operational costs for the next four years.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Adelaide Oval redevelopment and precinct works</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to South Australia for the construction of two underground car parks and the creation of new wetlands and other enhancements around the Riverbank precinct.</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Centenary of Canberra 2013 – a gift to the national capital</w:t>
            </w:r>
            <w:r w:rsidRPr="00445CFD">
              <w:rPr>
                <w:rFonts w:ascii="Calibri" w:eastAsia="Calibri" w:hAnsi="Calibri" w:cs="Times New Roman"/>
                <w:color w:val="FF0000"/>
                <w:sz w:val="18"/>
                <w:szCs w:val="18"/>
              </w:rPr>
              <w:t>*</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to the ACT to commemorate the Centenary of Canberra in 2013. Payments are for the redevelopment of Constitution Avenue and the development of the National Arboretum Canberra.</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Cloncurry community precinct </w:t>
            </w:r>
            <w:r>
              <w:rPr>
                <w:rFonts w:ascii="Calibri" w:eastAsia="Calibri" w:hAnsi="Calibri" w:cs="Times New Roman"/>
                <w:color w:val="FF0000"/>
                <w:sz w:val="18"/>
                <w:szCs w:val="18"/>
              </w:rPr>
              <w:t>##</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to local government in Queensland to help establish a multi-use community hub in Cloncurry.</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Local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lastRenderedPageBreak/>
              <w:t>Community Infrastructure Grants — Glenbrook precinct upgrade</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to New South Wales to improve facilities for visitors in the Glenbrook precinct of the Blue Mountains National Park, which is a major gateway to the Greater Blue Mountains World Heritage Area.</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East Kimberley Development Package – Other infrastructure projects</w:t>
            </w:r>
            <w:r>
              <w:rPr>
                <w:rFonts w:ascii="Calibri" w:eastAsia="Calibri" w:hAnsi="Calibri" w:cs="Times New Roman"/>
                <w:color w:val="FF0000"/>
                <w:sz w:val="18"/>
                <w:szCs w:val="18"/>
              </w:rPr>
              <w:t>##</w:t>
            </w:r>
            <w:r w:rsidRPr="00445CFD">
              <w:rPr>
                <w:rFonts w:ascii="Calibri" w:eastAsia="Calibri" w:hAnsi="Calibri" w:cs="Times New Roman"/>
                <w:color w:val="FF0000"/>
                <w:sz w:val="18"/>
                <w:szCs w:val="18"/>
              </w:rPr>
              <w:t xml:space="preserve"> </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for investment in transport and community infrastructure projects to help building a ‘sense of place’ within the community as well as improving liveability and economic growth in the East Kimberly region. Part of the payments is made direct to local government.</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2012-13</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Payments to States – Impact</w:t>
            </w:r>
            <w:r w:rsidRPr="00445CFD">
              <w:rPr>
                <w:rFonts w:ascii="Calibri" w:eastAsia="Calibri" w:hAnsi="Calibri" w:cs="Times New Roman"/>
                <w:sz w:val="18"/>
                <w:szCs w:val="18"/>
              </w:rPr>
              <w:br/>
              <w:t>Payments to local government – 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Local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Interstate road transport</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Payments of funds received through the Federal Interstate Registration Scheme that provides an alternative to State registration for vehicles engaged in interstate trade.</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Assessed as motor tax revenue</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King George V sports and community precinct</w:t>
            </w:r>
            <w:r>
              <w:rPr>
                <w:rFonts w:ascii="Calibri" w:eastAsia="Calibri" w:hAnsi="Calibri" w:cs="Times New Roman"/>
                <w:color w:val="FF0000"/>
                <w:sz w:val="18"/>
                <w:szCs w:val="18"/>
              </w:rPr>
              <w:t>##</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One-off payment to local government to support the redevelopment of the King George V sports and community precinct in Glenorchy, Tasmania.</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Local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Latrobe Valley economic diversification</w:t>
            </w:r>
            <w:r>
              <w:rPr>
                <w:rFonts w:ascii="Calibri" w:eastAsia="Calibri" w:hAnsi="Calibri" w:cs="Times New Roman"/>
                <w:color w:val="FF0000"/>
                <w:sz w:val="18"/>
                <w:szCs w:val="18"/>
              </w:rPr>
              <w:t>##</w:t>
            </w:r>
            <w:r w:rsidRPr="00445CFD">
              <w:rPr>
                <w:rFonts w:ascii="Calibri" w:eastAsia="Calibri" w:hAnsi="Calibri" w:cs="Times New Roman"/>
                <w:color w:val="FF0000"/>
                <w:sz w:val="18"/>
                <w:szCs w:val="18"/>
              </w:rPr>
              <w:t xml:space="preserve"> </w:t>
            </w:r>
            <w:r w:rsidRPr="00445CFD">
              <w:rPr>
                <w:rFonts w:ascii="Calibri" w:eastAsia="Calibri" w:hAnsi="Calibri" w:cs="Times New Roman"/>
                <w:sz w:val="18"/>
                <w:szCs w:val="18"/>
              </w:rPr>
              <w:t xml:space="preserve">(partial paid direct to </w:t>
            </w:r>
            <w:r w:rsidR="00A431B7">
              <w:rPr>
                <w:rFonts w:ascii="Calibri" w:eastAsia="Calibri" w:hAnsi="Calibri" w:cs="Times New Roman"/>
                <w:sz w:val="18"/>
                <w:szCs w:val="18"/>
              </w:rPr>
              <w:t>Local government (</w:t>
            </w:r>
            <w:r w:rsidRPr="00445CFD">
              <w:rPr>
                <w:rFonts w:ascii="Calibri" w:eastAsia="Calibri" w:hAnsi="Calibri" w:cs="Times New Roman"/>
                <w:sz w:val="18"/>
                <w:szCs w:val="18"/>
              </w:rPr>
              <w:t>LG</w:t>
            </w:r>
            <w:r w:rsidR="00A431B7">
              <w:rPr>
                <w:rFonts w:ascii="Calibri" w:eastAsia="Calibri" w:hAnsi="Calibri" w:cs="Times New Roman"/>
                <w:sz w:val="18"/>
                <w:szCs w:val="18"/>
              </w:rPr>
              <w:t>(</w:t>
            </w:r>
            <w:r w:rsidRPr="00445CFD">
              <w:rPr>
                <w:rFonts w:ascii="Calibri" w:eastAsia="Calibri" w:hAnsi="Calibri" w:cs="Times New Roman"/>
                <w:sz w:val="18"/>
                <w:szCs w:val="18"/>
              </w:rPr>
              <w:t>)</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The programme will provide up to $10.85 million to two infrastructure projects to support economic diversification in the Latrobe Valley.</w:t>
            </w:r>
          </w:p>
          <w:p w:rsidR="00636CF4" w:rsidRPr="00445CFD" w:rsidRDefault="00636CF4"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Warragul Station Precinct Upgrade</w:t>
            </w:r>
          </w:p>
          <w:p w:rsidR="00636CF4" w:rsidRPr="00445CFD" w:rsidRDefault="00636CF4"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 xml:space="preserve">Moe Rail Precinct Revitalisation Project </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Warragul Station – Impact</w:t>
            </w:r>
            <w:r w:rsidRPr="00445CFD">
              <w:rPr>
                <w:rFonts w:ascii="Calibri" w:eastAsia="Calibri" w:hAnsi="Calibri" w:cs="Times New Roman"/>
                <w:sz w:val="18"/>
                <w:szCs w:val="18"/>
              </w:rPr>
              <w:br/>
              <w:t>Moe Rail Precinct  – 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Local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Liveable cities /communities</w:t>
            </w:r>
            <w:r>
              <w:rPr>
                <w:rFonts w:ascii="Calibri" w:eastAsia="Calibri" w:hAnsi="Calibri" w:cs="Times New Roman"/>
                <w:color w:val="FF0000"/>
                <w:sz w:val="18"/>
                <w:szCs w:val="18"/>
              </w:rPr>
              <w:t>##</w:t>
            </w:r>
            <w:r w:rsidRPr="00445CFD">
              <w:rPr>
                <w:rFonts w:ascii="Calibri" w:eastAsia="Calibri" w:hAnsi="Calibri" w:cs="Times New Roman"/>
                <w:sz w:val="18"/>
                <w:szCs w:val="18"/>
              </w:rPr>
              <w:t xml:space="preserve"> (partial paid direct to LG)</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help improve the planning and design of capital cities and major regional centres that are experiencing population growth pressures and housing and transport affordability cost pressures.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Payments to States – Impact</w:t>
            </w:r>
          </w:p>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Payments to local government – 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Local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lastRenderedPageBreak/>
              <w:t>Local Government and Regional Development —infrastructure employment projects</w:t>
            </w:r>
            <w:r>
              <w:rPr>
                <w:rFonts w:ascii="Calibri" w:eastAsia="Calibri" w:hAnsi="Calibri" w:cs="Times New Roman"/>
                <w:color w:val="FF0000"/>
                <w:sz w:val="18"/>
                <w:szCs w:val="18"/>
              </w:rPr>
              <w:t>##</w:t>
            </w:r>
            <w:r w:rsidRPr="00445CFD">
              <w:rPr>
                <w:rFonts w:ascii="Calibri" w:eastAsia="Calibri" w:hAnsi="Calibri" w:cs="Times New Roman"/>
                <w:sz w:val="18"/>
                <w:szCs w:val="18"/>
              </w:rPr>
              <w:t xml:space="preserve"> (partial paid direct to LG)</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generate jobs and increase skills by supporting key infrastructure projects in areas of need in local communities.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Payments to States – Impact</w:t>
            </w:r>
          </w:p>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Payments to local government – 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Local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Macquarie Point </w:t>
            </w:r>
            <w:proofErr w:type="spellStart"/>
            <w:r w:rsidRPr="00445CFD">
              <w:rPr>
                <w:rFonts w:ascii="Calibri" w:eastAsia="Calibri" w:hAnsi="Calibri" w:cs="Times New Roman"/>
                <w:sz w:val="18"/>
                <w:szCs w:val="18"/>
              </w:rPr>
              <w:t>Railyards</w:t>
            </w:r>
            <w:proofErr w:type="spellEnd"/>
            <w:r w:rsidRPr="00445CFD">
              <w:rPr>
                <w:rFonts w:ascii="Calibri" w:eastAsia="Calibri" w:hAnsi="Calibri" w:cs="Times New Roman"/>
                <w:sz w:val="18"/>
                <w:szCs w:val="18"/>
              </w:rPr>
              <w:t xml:space="preserve"> precinct remediation</w:t>
            </w:r>
            <w:r w:rsidRPr="00A5067D">
              <w:rPr>
                <w:rFonts w:ascii="Calibri" w:eastAsia="Calibri" w:hAnsi="Calibri" w:cs="Times New Roman"/>
                <w:color w:val="FF0000"/>
                <w:sz w:val="18"/>
                <w:szCs w:val="18"/>
              </w:rPr>
              <w:t>*</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Payment to Tasmania to support the remediation of the Macquarie Point </w:t>
            </w:r>
            <w:proofErr w:type="spellStart"/>
            <w:r w:rsidRPr="00445CFD">
              <w:rPr>
                <w:rFonts w:ascii="Calibri" w:eastAsia="Calibri" w:hAnsi="Calibri" w:cs="Times New Roman"/>
                <w:sz w:val="18"/>
                <w:szCs w:val="18"/>
              </w:rPr>
              <w:t>Railyards</w:t>
            </w:r>
            <w:proofErr w:type="spellEnd"/>
            <w:r w:rsidRPr="00445CFD">
              <w:rPr>
                <w:rFonts w:ascii="Calibri" w:eastAsia="Calibri" w:hAnsi="Calibri" w:cs="Times New Roman"/>
                <w:sz w:val="18"/>
                <w:szCs w:val="18"/>
              </w:rPr>
              <w:t xml:space="preserve"> site to allow for residential and/or commercial development, and the redevelopment of Brooke Street Pier infrastructure to support vessel berthing and accommodate construction of commercial development to cater for the continued operation of local ferry and cruise services.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Managed motorways</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over four years for smart infrastructure technologies to reduce congestion and improve both traffic demand management and the overall efficiency of the transport network in major cities.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Manuka Oval lighting upgrade</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Payment to the ACT for the installation of lighting at Manuka Oval (a municipal asset) to meet high-definition broadcast standards to provide Canberra with an appropriate facility to host AFL matches and elite and international cricket matches. </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Local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Mission Beach safe anchorage</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for a scoping study for a safe harbour at Mission Beach for community consideration and if funds are left</w:t>
            </w:r>
            <w:r w:rsidR="006354C3">
              <w:rPr>
                <w:rFonts w:ascii="Calibri" w:eastAsia="Calibri" w:hAnsi="Calibri" w:cs="Times New Roman"/>
                <w:sz w:val="18"/>
                <w:szCs w:val="18"/>
              </w:rPr>
              <w:t>, to</w:t>
            </w:r>
            <w:r w:rsidRPr="00445CFD">
              <w:rPr>
                <w:rFonts w:ascii="Calibri" w:eastAsia="Calibri" w:hAnsi="Calibri" w:cs="Times New Roman"/>
                <w:sz w:val="18"/>
                <w:szCs w:val="18"/>
              </w:rPr>
              <w:t xml:space="preserve"> construct the harbour. </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rPr>
                <w:rFonts w:ascii="Calibri" w:eastAsia="Calibri" w:hAnsi="Calibri" w:cs="Times New Roman"/>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Murray – Darling Basin regional economic diversification program</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regional communities in adjusting to the changes brought about by the implementation of the Murray – Darling Basin Plan for water reform.</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p>
        </w:tc>
      </w:tr>
      <w:tr w:rsidR="00636CF4" w:rsidRPr="00445CFD" w:rsidTr="00A5067D">
        <w:trPr>
          <w:cantSplit/>
        </w:trPr>
        <w:tc>
          <w:tcPr>
            <w:tcW w:w="669" w:type="pct"/>
          </w:tcPr>
          <w:p w:rsidR="00636CF4" w:rsidRPr="00445CFD" w:rsidRDefault="00636CF4" w:rsidP="002E6179">
            <w:pPr>
              <w:pageBreakBefore/>
              <w:spacing w:line="240" w:lineRule="auto"/>
              <w:rPr>
                <w:rFonts w:ascii="Calibri" w:eastAsia="Calibri" w:hAnsi="Calibri" w:cs="Times New Roman"/>
                <w:sz w:val="18"/>
                <w:szCs w:val="18"/>
              </w:rPr>
            </w:pPr>
            <w:r w:rsidRPr="00445CFD">
              <w:rPr>
                <w:rFonts w:ascii="Calibri" w:eastAsia="Calibri" w:hAnsi="Calibri" w:cs="Times New Roman"/>
                <w:sz w:val="18"/>
                <w:szCs w:val="18"/>
              </w:rPr>
              <w:lastRenderedPageBreak/>
              <w:t>Nation building plan for the future</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future economic growth by improving the quality and efficiency of Australia’s transport networks. There are three components.</w:t>
            </w:r>
          </w:p>
        </w:tc>
        <w:tc>
          <w:tcPr>
            <w:tcW w:w="674" w:type="pct"/>
          </w:tcPr>
          <w:p w:rsidR="00636CF4" w:rsidRPr="00445CFD" w:rsidRDefault="00636CF4" w:rsidP="00445CFD">
            <w:pPr>
              <w:spacing w:line="240" w:lineRule="auto"/>
              <w:rPr>
                <w:rFonts w:ascii="Calibri" w:eastAsia="Calibri" w:hAnsi="Calibri" w:cs="Times New Roman"/>
                <w:sz w:val="18"/>
                <w:szCs w:val="18"/>
              </w:rPr>
            </w:pPr>
          </w:p>
        </w:tc>
        <w:tc>
          <w:tcPr>
            <w:tcW w:w="779" w:type="pct"/>
          </w:tcPr>
          <w:p w:rsidR="00636CF4" w:rsidRPr="00445CFD" w:rsidRDefault="00636CF4" w:rsidP="00445CFD">
            <w:pPr>
              <w:spacing w:line="240" w:lineRule="auto"/>
              <w:rPr>
                <w:rFonts w:ascii="Calibri" w:eastAsia="Calibri" w:hAnsi="Calibri" w:cs="Times New Roman"/>
                <w:sz w:val="18"/>
                <w:szCs w:val="18"/>
              </w:rPr>
            </w:pP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p>
        </w:tc>
        <w:tc>
          <w:tcPr>
            <w:tcW w:w="1456" w:type="pct"/>
          </w:tcPr>
          <w:p w:rsidR="00636CF4" w:rsidRPr="00445CFD" w:rsidRDefault="00636CF4" w:rsidP="00445CFD">
            <w:pPr>
              <w:spacing w:line="240" w:lineRule="auto"/>
              <w:rPr>
                <w:rFonts w:ascii="Calibri" w:eastAsia="Calibri" w:hAnsi="Calibri" w:cs="Times New Roman"/>
                <w:sz w:val="18"/>
                <w:szCs w:val="18"/>
              </w:rPr>
            </w:pPr>
            <w:r w:rsidRPr="00A5067D">
              <w:rPr>
                <w:rFonts w:ascii="Calibri" w:eastAsia="Calibri" w:hAnsi="Calibri" w:cs="Times New Roman"/>
                <w:color w:val="FF0000"/>
                <w:sz w:val="18"/>
                <w:szCs w:val="18"/>
              </w:rPr>
              <w:t>**</w:t>
            </w:r>
            <w:r w:rsidRPr="00445CFD">
              <w:rPr>
                <w:rFonts w:ascii="Calibri" w:eastAsia="Calibri" w:hAnsi="Calibri" w:cs="Times New Roman"/>
                <w:sz w:val="18"/>
                <w:szCs w:val="18"/>
              </w:rPr>
              <w:t>Building Australia Fund — rail</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Two components – National Rail network (NRN) payments - 50% impact; 50% no impact. Non-NRN payments – 100% impact </w:t>
            </w:r>
          </w:p>
        </w:tc>
        <w:tc>
          <w:tcPr>
            <w:tcW w:w="727"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R2015 ToR requires the Commission to review the treatment of nationally significant transport infrastructure projects. The Commission decided the NRN should be treated the same way as NNR.</w:t>
            </w: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50% NRN investment —assessment may not capture all non-policy influences</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Building Australia Fund — National network road (NNR) investment</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50% impact; 50% 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50% NNR investment —assessment may not capture all non-policy influences. NNRs include those treated as 50% no impact as required by terms of reference</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Major Cities — rail</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 (not national projects)</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 building program (Infrastructure investment program 2013-14)</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assist national and regional economic and social development by the provision of funding aimed at improving the performance of land and rail infrastructure. It has several components.</w:t>
            </w:r>
          </w:p>
        </w:tc>
        <w:tc>
          <w:tcPr>
            <w:tcW w:w="674" w:type="pct"/>
          </w:tcPr>
          <w:p w:rsidR="00636CF4" w:rsidRPr="00445CFD" w:rsidRDefault="00636CF4" w:rsidP="00445CFD">
            <w:pPr>
              <w:spacing w:line="240" w:lineRule="auto"/>
              <w:rPr>
                <w:rFonts w:ascii="Calibri" w:eastAsia="Calibri" w:hAnsi="Calibri" w:cs="Times New Roman"/>
                <w:sz w:val="18"/>
                <w:szCs w:val="18"/>
              </w:rPr>
            </w:pPr>
          </w:p>
        </w:tc>
        <w:tc>
          <w:tcPr>
            <w:tcW w:w="779" w:type="pct"/>
          </w:tcPr>
          <w:p w:rsidR="00636CF4" w:rsidRPr="00445CFD" w:rsidRDefault="00636CF4" w:rsidP="00445CFD">
            <w:pPr>
              <w:spacing w:line="240" w:lineRule="auto"/>
              <w:rPr>
                <w:rFonts w:ascii="Calibri" w:eastAsia="Calibri" w:hAnsi="Calibri" w:cs="Times New Roman"/>
                <w:sz w:val="18"/>
                <w:szCs w:val="18"/>
              </w:rPr>
            </w:pP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Black spot projects — To improve the safety of road sites which have been identified as high risk areas for serious crashes. </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Impact </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Heavy vehicle and productivity — To address the safety of drivers of heavy vehicles through the construction of rest stops and parking bays, upgrading the capacity of roads (including bridges) and technology trials which will improve heavy vehicle productivity. </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Impact </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Improving local roads — To supplement the Roads to Recovery program.</w:t>
            </w:r>
          </w:p>
        </w:tc>
        <w:tc>
          <w:tcPr>
            <w:tcW w:w="674" w:type="pct"/>
          </w:tcPr>
          <w:p w:rsidR="00636CF4" w:rsidRPr="00445CFD" w:rsidRDefault="00636CF4" w:rsidP="00D921E3">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w:t>
            </w:r>
            <w:r w:rsidR="00D921E3">
              <w:rPr>
                <w:rFonts w:ascii="Calibri" w:eastAsia="Calibri" w:hAnsi="Calibri" w:cs="Times New Roman"/>
                <w:sz w:val="18"/>
                <w:szCs w:val="18"/>
              </w:rPr>
              <w:t>2</w:t>
            </w:r>
            <w:r w:rsidRPr="00445CFD">
              <w:rPr>
                <w:rFonts w:ascii="Calibri" w:eastAsia="Calibri" w:hAnsi="Calibri" w:cs="Times New Roman"/>
                <w:sz w:val="18"/>
                <w:szCs w:val="18"/>
              </w:rPr>
              <w:t>-1</w:t>
            </w:r>
            <w:r w:rsidR="00D921E3">
              <w:rPr>
                <w:rFonts w:ascii="Calibri" w:eastAsia="Calibri" w:hAnsi="Calibri" w:cs="Times New Roman"/>
                <w:sz w:val="18"/>
                <w:szCs w:val="18"/>
              </w:rPr>
              <w:t>3</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Supplements the Roads to Recovery payment which is quarantined by terms of reference</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Improving the national network — A one-off supplementary payment of $1.8 billion was made in 2005-06 to the States to complete major works packages. </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NNRs – 50% impact; 50% 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50% NNR investment —assessment may not capture all non-policy influences </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Investment —Targets nationally significant projects that will improve the efficiency and safety of the national land transport network. Funding is provided for road and rail construction projects and network maintenance, including transport development, innovation projects and grants to land transport research entities.</w:t>
            </w:r>
          </w:p>
        </w:tc>
        <w:tc>
          <w:tcPr>
            <w:tcW w:w="674" w:type="pct"/>
          </w:tcPr>
          <w:p w:rsidR="00636CF4" w:rsidRPr="00445CFD" w:rsidRDefault="00636CF4" w:rsidP="00445CFD">
            <w:pPr>
              <w:spacing w:line="240" w:lineRule="auto"/>
              <w:rPr>
                <w:rFonts w:ascii="Calibri" w:eastAsia="Calibri" w:hAnsi="Calibri" w:cs="Times New Roman"/>
                <w:sz w:val="18"/>
                <w:szCs w:val="18"/>
              </w:rPr>
            </w:pPr>
          </w:p>
        </w:tc>
        <w:tc>
          <w:tcPr>
            <w:tcW w:w="779" w:type="pct"/>
          </w:tcPr>
          <w:p w:rsidR="00636CF4" w:rsidRPr="00445CFD" w:rsidRDefault="00636CF4" w:rsidP="00445CFD">
            <w:pPr>
              <w:spacing w:line="240" w:lineRule="auto"/>
              <w:rPr>
                <w:rFonts w:ascii="Calibri" w:eastAsia="Calibri" w:hAnsi="Calibri" w:cs="Times New Roman"/>
                <w:sz w:val="18"/>
                <w:szCs w:val="18"/>
              </w:rPr>
            </w:pP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color w:val="FF0000"/>
                <w:sz w:val="18"/>
                <w:szCs w:val="18"/>
              </w:rPr>
              <w:t>**</w:t>
            </w:r>
            <w:r w:rsidRPr="00445CFD">
              <w:rPr>
                <w:rFonts w:ascii="Calibri" w:eastAsia="Calibri" w:hAnsi="Calibri" w:cs="Times New Roman"/>
                <w:sz w:val="18"/>
                <w:szCs w:val="18"/>
              </w:rPr>
              <w:t>Investment – rail</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NRN - 50% impact; 50% no impact </w:t>
            </w:r>
          </w:p>
        </w:tc>
        <w:tc>
          <w:tcPr>
            <w:tcW w:w="727"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R2015 ToR requires the Commission </w:t>
            </w:r>
            <w:r w:rsidR="00E114AB">
              <w:rPr>
                <w:rFonts w:ascii="Calibri" w:eastAsia="Calibri" w:hAnsi="Calibri" w:cs="Times New Roman"/>
                <w:sz w:val="18"/>
                <w:szCs w:val="18"/>
              </w:rPr>
              <w:t xml:space="preserve">to </w:t>
            </w:r>
            <w:r w:rsidRPr="00445CFD">
              <w:rPr>
                <w:rFonts w:ascii="Calibri" w:eastAsia="Calibri" w:hAnsi="Calibri" w:cs="Times New Roman"/>
                <w:sz w:val="18"/>
                <w:szCs w:val="18"/>
              </w:rPr>
              <w:t>review the treatment of nationally significant transport infrastructure projects. The Commission decided the NRN should be treated the same way as NNR.</w:t>
            </w: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50% NRN investment —assessment may not capture all non-policy influences</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Investment – road</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NNRs – 50% impact; 50% 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50% NNR investment —assessment may not capture all non-policy influences </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Off-network projects — To improve rail and road infrastructure not included on the national land and transport network. It improves safety, assists industry development and supports job creation in local communities.</w:t>
            </w:r>
          </w:p>
        </w:tc>
        <w:tc>
          <w:tcPr>
            <w:tcW w:w="674" w:type="pct"/>
          </w:tcPr>
          <w:p w:rsidR="00636CF4" w:rsidRPr="00445CFD" w:rsidRDefault="00636CF4" w:rsidP="00445CFD">
            <w:pPr>
              <w:spacing w:line="240" w:lineRule="auto"/>
              <w:rPr>
                <w:rFonts w:ascii="Calibri" w:eastAsia="Calibri" w:hAnsi="Calibri" w:cs="Times New Roman"/>
                <w:sz w:val="18"/>
                <w:szCs w:val="18"/>
              </w:rPr>
            </w:pPr>
          </w:p>
        </w:tc>
        <w:tc>
          <w:tcPr>
            <w:tcW w:w="779" w:type="pct"/>
          </w:tcPr>
          <w:p w:rsidR="00636CF4" w:rsidRPr="00445CFD" w:rsidRDefault="00636CF4" w:rsidP="00445CFD">
            <w:pPr>
              <w:spacing w:line="240" w:lineRule="auto"/>
              <w:rPr>
                <w:rFonts w:ascii="Calibri" w:eastAsia="Calibri" w:hAnsi="Calibri" w:cs="Times New Roman"/>
                <w:sz w:val="18"/>
                <w:szCs w:val="18"/>
              </w:rPr>
            </w:pP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p>
        </w:tc>
        <w:tc>
          <w:tcPr>
            <w:tcW w:w="1456" w:type="pct"/>
          </w:tcPr>
          <w:p w:rsidR="00636CF4" w:rsidRPr="00445CFD" w:rsidRDefault="00D20698" w:rsidP="00445CFD">
            <w:pPr>
              <w:numPr>
                <w:ilvl w:val="0"/>
                <w:numId w:val="46"/>
              </w:numPr>
              <w:spacing w:after="0" w:line="240" w:lineRule="auto"/>
              <w:ind w:left="284" w:hanging="142"/>
              <w:rPr>
                <w:rFonts w:ascii="Calibri" w:eastAsia="Calibri" w:hAnsi="Calibri" w:cs="Times New Roman"/>
                <w:sz w:val="18"/>
                <w:szCs w:val="18"/>
              </w:rPr>
            </w:pPr>
            <w:r>
              <w:rPr>
                <w:rFonts w:ascii="Calibri" w:eastAsia="Calibri" w:hAnsi="Calibri" w:cs="Times New Roman"/>
                <w:sz w:val="18"/>
                <w:szCs w:val="18"/>
              </w:rPr>
              <w:t>rail</w:t>
            </w:r>
            <w:r w:rsidR="00636CF4" w:rsidRPr="00C57117">
              <w:rPr>
                <w:rFonts w:ascii="Calibri" w:eastAsia="Calibri" w:hAnsi="Calibri" w:cs="Times New Roman"/>
                <w:color w:val="FF0000"/>
                <w:sz w:val="18"/>
                <w:szCs w:val="18"/>
              </w:rPr>
              <w:t>##</w:t>
            </w:r>
          </w:p>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(some payments were made to local government)</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States – Impact; local government — 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Local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p>
        </w:tc>
        <w:tc>
          <w:tcPr>
            <w:tcW w:w="1456" w:type="pct"/>
          </w:tcPr>
          <w:p w:rsidR="00636CF4" w:rsidRPr="00445CFD" w:rsidRDefault="00636CF4"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road</w:t>
            </w:r>
            <w:r w:rsidRPr="00C57117">
              <w:rPr>
                <w:rFonts w:ascii="Calibri" w:eastAsia="Calibri" w:hAnsi="Calibri" w:cs="Times New Roman"/>
                <w:color w:val="FF0000"/>
                <w:sz w:val="18"/>
                <w:szCs w:val="18"/>
              </w:rPr>
              <w:t>##</w:t>
            </w:r>
          </w:p>
          <w:p w:rsidR="00636CF4" w:rsidRPr="00445CFD" w:rsidRDefault="00636CF4" w:rsidP="00BD1754">
            <w:pPr>
              <w:numPr>
                <w:ilvl w:val="0"/>
                <w:numId w:val="46"/>
              </w:numPr>
              <w:spacing w:after="0" w:line="240" w:lineRule="auto"/>
              <w:ind w:left="426" w:hanging="142"/>
              <w:rPr>
                <w:rFonts w:ascii="Calibri" w:eastAsia="Calibri" w:hAnsi="Calibri" w:cs="Times New Roman"/>
                <w:sz w:val="18"/>
                <w:szCs w:val="18"/>
              </w:rPr>
            </w:pPr>
            <w:r w:rsidRPr="00445CFD">
              <w:rPr>
                <w:rFonts w:ascii="Calibri" w:eastAsia="Calibri" w:hAnsi="Calibri" w:cs="Times New Roman"/>
                <w:sz w:val="18"/>
                <w:szCs w:val="18"/>
              </w:rPr>
              <w:t>supplementary (road investment)</w:t>
            </w:r>
          </w:p>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(some payments were made to local government)</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States – Impact; local government — 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Local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Roads to recovery</w:t>
            </w:r>
            <w:r w:rsidRPr="00445CFD">
              <w:rPr>
                <w:rFonts w:ascii="Calibri" w:eastAsia="Calibri" w:hAnsi="Calibri" w:cs="Times New Roman"/>
                <w:color w:val="FF0000"/>
                <w:sz w:val="18"/>
                <w:szCs w:val="18"/>
              </w:rPr>
              <w:t>*</w:t>
            </w:r>
            <w:r>
              <w:rPr>
                <w:rFonts w:ascii="Calibri" w:eastAsia="Calibri" w:hAnsi="Calibri" w:cs="Times New Roman"/>
                <w:color w:val="FF0000"/>
                <w:sz w:val="18"/>
                <w:szCs w:val="18"/>
              </w:rPr>
              <w:t>#</w:t>
            </w:r>
            <w:r w:rsidRPr="00445CFD">
              <w:rPr>
                <w:rFonts w:ascii="Calibri" w:eastAsia="Calibri" w:hAnsi="Calibri" w:cs="Times New Roman"/>
                <w:color w:val="FF0000"/>
                <w:sz w:val="18"/>
                <w:szCs w:val="18"/>
              </w:rPr>
              <w:t>,</w:t>
            </w:r>
            <w:r>
              <w:rPr>
                <w:rFonts w:ascii="Calibri" w:eastAsia="Calibri" w:hAnsi="Calibri" w:cs="Times New Roman"/>
                <w:color w:val="FF0000"/>
                <w:sz w:val="18"/>
                <w:szCs w:val="18"/>
              </w:rPr>
              <w:t>##</w:t>
            </w:r>
          </w:p>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(paid either through the States or direct to LG)</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National transport regulator reforms</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In August 2011, COAG committed to the implementation of national safety regulatory systems through th</w:t>
            </w:r>
            <w:r w:rsidRPr="00C57117">
              <w:rPr>
                <w:rFonts w:ascii="Calibri" w:eastAsia="Calibri" w:hAnsi="Calibri" w:cs="Times New Roman"/>
                <w:color w:val="000000" w:themeColor="text1"/>
                <w:sz w:val="18"/>
                <w:szCs w:val="18"/>
              </w:rPr>
              <w:t>e</w:t>
            </w:r>
            <w:r w:rsidRPr="00445CFD">
              <w:rPr>
                <w:rFonts w:ascii="Calibri" w:eastAsia="Calibri" w:hAnsi="Calibri" w:cs="Times New Roman"/>
                <w:sz w:val="18"/>
                <w:szCs w:val="18"/>
              </w:rPr>
              <w:t xml:space="preserve"> signing of new Intergovernmental Agreement on heavy vehicles, rail and maritime safety.</w:t>
            </w:r>
          </w:p>
        </w:tc>
        <w:tc>
          <w:tcPr>
            <w:tcW w:w="674" w:type="pct"/>
          </w:tcPr>
          <w:p w:rsidR="00636CF4" w:rsidRPr="00445CFD" w:rsidRDefault="00636CF4" w:rsidP="00445CFD">
            <w:pPr>
              <w:spacing w:line="240" w:lineRule="auto"/>
              <w:rPr>
                <w:rFonts w:ascii="Calibri" w:eastAsia="Calibri" w:hAnsi="Calibri" w:cs="Times New Roman"/>
                <w:sz w:val="18"/>
                <w:szCs w:val="18"/>
              </w:rPr>
            </w:pPr>
          </w:p>
        </w:tc>
        <w:tc>
          <w:tcPr>
            <w:tcW w:w="779" w:type="pct"/>
          </w:tcPr>
          <w:p w:rsidR="00636CF4" w:rsidRPr="00445CFD" w:rsidRDefault="00636CF4" w:rsidP="00445CFD">
            <w:pPr>
              <w:spacing w:line="240" w:lineRule="auto"/>
              <w:rPr>
                <w:rFonts w:ascii="Calibri" w:eastAsia="Calibri" w:hAnsi="Calibri" w:cs="Times New Roman"/>
                <w:sz w:val="18"/>
                <w:szCs w:val="18"/>
              </w:rPr>
            </w:pPr>
          </w:p>
        </w:tc>
        <w:tc>
          <w:tcPr>
            <w:tcW w:w="727" w:type="pct"/>
          </w:tcPr>
          <w:p w:rsidR="00636CF4" w:rsidRPr="00445CFD" w:rsidRDefault="00636CF4" w:rsidP="00445CFD">
            <w:pPr>
              <w:rPr>
                <w:rFonts w:ascii="Calibri" w:eastAsia="Calibri" w:hAnsi="Calibri" w:cs="Times New Roman"/>
              </w:rPr>
            </w:pPr>
          </w:p>
        </w:tc>
        <w:tc>
          <w:tcPr>
            <w:tcW w:w="695" w:type="pct"/>
          </w:tcPr>
          <w:p w:rsidR="00636CF4" w:rsidRPr="00445CFD" w:rsidRDefault="00636CF4" w:rsidP="00445CFD">
            <w:pPr>
              <w:rPr>
                <w:rFonts w:ascii="Calibri" w:eastAsia="Calibri" w:hAnsi="Calibri" w:cs="Times New Roman"/>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p>
        </w:tc>
        <w:tc>
          <w:tcPr>
            <w:tcW w:w="1456" w:type="pct"/>
          </w:tcPr>
          <w:p w:rsidR="00636CF4" w:rsidRPr="00445CFD" w:rsidRDefault="00636CF4"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Transitional assistance — Funding to Tasmania, ACT and the NT to assist them with the implementation of national transport regulation reforms for heavy vehicles, rail and maritime safety.</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rPr>
                <w:rFonts w:ascii="Calibri" w:eastAsia="Calibri" w:hAnsi="Calibri" w:cs="Times New Roman"/>
              </w:rPr>
            </w:pPr>
          </w:p>
        </w:tc>
        <w:tc>
          <w:tcPr>
            <w:tcW w:w="695" w:type="pct"/>
          </w:tcPr>
          <w:p w:rsidR="00636CF4" w:rsidRPr="00445CFD" w:rsidRDefault="00636CF4" w:rsidP="00636CF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purchase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p>
        </w:tc>
        <w:tc>
          <w:tcPr>
            <w:tcW w:w="1456" w:type="pct"/>
          </w:tcPr>
          <w:p w:rsidR="00636CF4" w:rsidRPr="00445CFD" w:rsidRDefault="00636CF4"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National Heavy Vehicles Regulator – Funding for the establishment of the National Heavy Vehicle Regulator established in Queensland in January 2013 and the project implementation team.</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2012-13</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rPr>
                <w:rFonts w:ascii="Calibri" w:eastAsia="Calibri" w:hAnsi="Calibri" w:cs="Times New Roman"/>
              </w:rPr>
            </w:pPr>
          </w:p>
        </w:tc>
        <w:tc>
          <w:tcPr>
            <w:tcW w:w="695" w:type="pct"/>
          </w:tcPr>
          <w:p w:rsidR="00636CF4" w:rsidRPr="00445CFD" w:rsidRDefault="00636CF4" w:rsidP="00636CF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purchase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p>
        </w:tc>
        <w:tc>
          <w:tcPr>
            <w:tcW w:w="1456" w:type="pct"/>
          </w:tcPr>
          <w:p w:rsidR="00636CF4" w:rsidRPr="00445CFD" w:rsidRDefault="00636CF4" w:rsidP="00445CFD">
            <w:pPr>
              <w:numPr>
                <w:ilvl w:val="0"/>
                <w:numId w:val="46"/>
              </w:numPr>
              <w:spacing w:after="0" w:line="240" w:lineRule="auto"/>
              <w:ind w:left="284" w:hanging="142"/>
              <w:rPr>
                <w:rFonts w:ascii="Calibri" w:eastAsia="Calibri" w:hAnsi="Calibri" w:cs="Times New Roman"/>
                <w:sz w:val="18"/>
                <w:szCs w:val="18"/>
              </w:rPr>
            </w:pPr>
            <w:r w:rsidRPr="00445CFD">
              <w:rPr>
                <w:rFonts w:ascii="Calibri" w:eastAsia="Calibri" w:hAnsi="Calibri" w:cs="Times New Roman"/>
                <w:sz w:val="18"/>
                <w:szCs w:val="18"/>
              </w:rPr>
              <w:t xml:space="preserve">National Rail Safety Regulator — </w:t>
            </w:r>
            <w:proofErr w:type="gramStart"/>
            <w:r w:rsidRPr="00445CFD">
              <w:rPr>
                <w:rFonts w:ascii="Calibri" w:eastAsia="Calibri" w:hAnsi="Calibri" w:cs="Times New Roman"/>
                <w:sz w:val="18"/>
                <w:szCs w:val="18"/>
              </w:rPr>
              <w:t>Funding</w:t>
            </w:r>
            <w:proofErr w:type="gramEnd"/>
            <w:r w:rsidRPr="00445CFD">
              <w:rPr>
                <w:rFonts w:ascii="Calibri" w:eastAsia="Calibri" w:hAnsi="Calibri" w:cs="Times New Roman"/>
                <w:sz w:val="18"/>
                <w:szCs w:val="18"/>
              </w:rPr>
              <w:t xml:space="preserve"> for the establishment of the National Rail Safety Regulator established in South Australia and the project implementation team.</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2012-13</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rPr>
                <w:rFonts w:ascii="Calibri" w:eastAsia="Calibri" w:hAnsi="Calibri" w:cs="Times New Roman"/>
              </w:rPr>
            </w:pPr>
          </w:p>
        </w:tc>
        <w:tc>
          <w:tcPr>
            <w:tcW w:w="695" w:type="pct"/>
          </w:tcPr>
          <w:p w:rsidR="00636CF4" w:rsidRPr="00445CFD" w:rsidRDefault="00636CF4" w:rsidP="00636CF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purchase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lastRenderedPageBreak/>
              <w:t>North Penrith Thornton Park Car Park</w:t>
            </w:r>
            <w:r>
              <w:rPr>
                <w:rFonts w:ascii="Calibri" w:eastAsia="Calibri" w:hAnsi="Calibri" w:cs="Times New Roman"/>
                <w:color w:val="FF0000"/>
                <w:sz w:val="18"/>
                <w:szCs w:val="18"/>
              </w:rPr>
              <w:t>##</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made direct to the local government towards construction and landscaping costs associated with the construction of a multi-level car park in the North Penrith Thornton Park.</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Local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Parliament House Walk</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the ACT for the construction of the Parliament House Walk between the Civic Centre and Parliament House in Canberra. The Walk will become an Australian Government asset on completion.</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636CF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purchase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Regional and Local Community Infrastructure Program</w:t>
            </w:r>
            <w:r>
              <w:rPr>
                <w:rFonts w:ascii="Calibri" w:eastAsia="Calibri" w:hAnsi="Calibri" w:cs="Times New Roman"/>
                <w:color w:val="FF0000"/>
                <w:sz w:val="18"/>
                <w:szCs w:val="18"/>
              </w:rPr>
              <w:t>##</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direct to local governments to build and modernise community infrastructure.</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Local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Regional Infrastructure Fund</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support the infrastructure needs of Australia’s regions through the Regional Infrastructure Fund (RIF), </w:t>
            </w:r>
            <w:proofErr w:type="gramStart"/>
            <w:r w:rsidRPr="00445CFD">
              <w:rPr>
                <w:rFonts w:ascii="Calibri" w:eastAsia="Calibri" w:hAnsi="Calibri" w:cs="Times New Roman"/>
                <w:sz w:val="18"/>
                <w:szCs w:val="18"/>
              </w:rPr>
              <w:t>which runs for 11 years to 2020-21.</w:t>
            </w:r>
            <w:proofErr w:type="gramEnd"/>
          </w:p>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Projects from </w:t>
            </w:r>
            <w:r w:rsidR="006354C3">
              <w:rPr>
                <w:rFonts w:ascii="Calibri" w:eastAsia="Calibri" w:hAnsi="Calibri" w:cs="Times New Roman"/>
                <w:sz w:val="18"/>
                <w:szCs w:val="18"/>
              </w:rPr>
              <w:t xml:space="preserve">the </w:t>
            </w:r>
            <w:r w:rsidRPr="00445CFD">
              <w:rPr>
                <w:rFonts w:ascii="Calibri" w:eastAsia="Calibri" w:hAnsi="Calibri" w:cs="Times New Roman"/>
                <w:sz w:val="18"/>
                <w:szCs w:val="18"/>
              </w:rPr>
              <w:t>RIF are delivered in three streams. Streams 1 and 2 are payments to the States. Stream 3 provides funding for the Regional Development Australia Fund, which is made direct to eligible local governments and not-for-profit organisations for local projects. Stream 3 is a Commonwealth own-purpose expense.</w:t>
            </w:r>
          </w:p>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Stream 1 — To support projects committed in </w:t>
            </w:r>
            <w:r w:rsidR="006354C3">
              <w:rPr>
                <w:rFonts w:ascii="Calibri" w:eastAsia="Calibri" w:hAnsi="Calibri" w:cs="Times New Roman"/>
                <w:sz w:val="18"/>
                <w:szCs w:val="18"/>
              </w:rPr>
              <w:t xml:space="preserve">the </w:t>
            </w:r>
            <w:r w:rsidRPr="00445CFD">
              <w:rPr>
                <w:rFonts w:ascii="Calibri" w:eastAsia="Calibri" w:hAnsi="Calibri" w:cs="Times New Roman"/>
                <w:sz w:val="18"/>
                <w:szCs w:val="18"/>
              </w:rPr>
              <w:t xml:space="preserve">2010 infrastructure and transport portfolio. </w:t>
            </w:r>
          </w:p>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Stream 2 — To support ongoing investment in economic infrastructure. Eligible infrastructure includes rail, roads, ports, airports, energy, communication, water and other critical infrastructure and development work.</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2012-13</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NNRs – 50% impact and 50% no impact;</w:t>
            </w:r>
          </w:p>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Other projects –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50% NNR investment —assessment may not capture all non-policy influences</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lastRenderedPageBreak/>
              <w:t>Sydney Cricket Ground redevelopment</w:t>
            </w:r>
          </w:p>
        </w:tc>
        <w:tc>
          <w:tcPr>
            <w:tcW w:w="1456" w:type="pct"/>
          </w:tcPr>
          <w:p w:rsidR="00636CF4" w:rsidRPr="00893326" w:rsidRDefault="00636CF4" w:rsidP="00893326">
            <w:pPr>
              <w:pStyle w:val="CGCCWTableText"/>
            </w:pPr>
            <w:r w:rsidRPr="00893326">
              <w:t>Funding to replace the Noble, Bradman and Dally Messenger stands in the Sydney Cricket Ground. This project will be jointly funded by the Commonwealth government, the NSW government and the Sydney Cricket and Sports Ground Trust (a Government trading enterprise) and the work was due for completion in 2013-14.</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p>
        </w:tc>
      </w:tr>
      <w:tr w:rsidR="00636CF4" w:rsidRPr="00445CFD" w:rsidTr="00A5067D">
        <w:trPr>
          <w:cantSplit/>
        </w:trPr>
        <w:tc>
          <w:tcPr>
            <w:tcW w:w="669" w:type="pct"/>
          </w:tcPr>
          <w:p w:rsidR="00636CF4" w:rsidRPr="00445CFD" w:rsidRDefault="00636CF4" w:rsidP="00C57117">
            <w:pPr>
              <w:spacing w:line="240" w:lineRule="auto"/>
              <w:rPr>
                <w:rFonts w:ascii="Calibri" w:eastAsia="Calibri" w:hAnsi="Calibri" w:cs="Times New Roman"/>
                <w:sz w:val="18"/>
                <w:szCs w:val="18"/>
              </w:rPr>
            </w:pPr>
            <w:r w:rsidRPr="00445CFD">
              <w:rPr>
                <w:rFonts w:ascii="Calibri" w:eastAsia="Calibri" w:hAnsi="Calibri" w:cs="Times New Roman"/>
                <w:sz w:val="18"/>
                <w:szCs w:val="18"/>
              </w:rPr>
              <w:t>Upgrade of Parramatta Stadium</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for the upgrade of Parramatta Stadium, which includes upgrades to the Eastern Grandstand, modernised food and beverage outlets and new player facilities. Parramatta Stadium is run by Venues NSW, a government owned entity that reports to the Minister for Sport and Recreation.</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Impact </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p>
        </w:tc>
      </w:tr>
      <w:tr w:rsidR="00636CF4" w:rsidRPr="00445CFD" w:rsidTr="00A5067D">
        <w:trPr>
          <w:cantSplit/>
        </w:trPr>
        <w:tc>
          <w:tcPr>
            <w:tcW w:w="5000" w:type="pct"/>
            <w:gridSpan w:val="6"/>
          </w:tcPr>
          <w:p w:rsidR="00636CF4" w:rsidRPr="00445CFD" w:rsidRDefault="00636CF4" w:rsidP="00445CFD">
            <w:pPr>
              <w:keepNext/>
              <w:spacing w:line="240" w:lineRule="auto"/>
              <w:rPr>
                <w:rFonts w:ascii="Calibri" w:eastAsia="Calibri" w:hAnsi="Calibri" w:cs="Times New Roman"/>
                <w:b/>
                <w:sz w:val="18"/>
                <w:szCs w:val="18"/>
              </w:rPr>
            </w:pPr>
            <w:r w:rsidRPr="00445CFD">
              <w:rPr>
                <w:rFonts w:ascii="Calibri" w:eastAsia="Calibri" w:hAnsi="Calibri" w:cs="Times New Roman"/>
                <w:b/>
                <w:sz w:val="18"/>
                <w:szCs w:val="18"/>
              </w:rPr>
              <w:t>ENVIRONMENT</w:t>
            </w:r>
          </w:p>
        </w:tc>
      </w:tr>
      <w:tr w:rsidR="00636CF4" w:rsidRPr="00445CFD" w:rsidTr="00A5067D">
        <w:trPr>
          <w:cantSplit/>
        </w:trPr>
        <w:tc>
          <w:tcPr>
            <w:tcW w:w="5000" w:type="pct"/>
            <w:gridSpan w:val="6"/>
          </w:tcPr>
          <w:p w:rsidR="00636CF4" w:rsidRPr="00445CFD" w:rsidRDefault="00636CF4" w:rsidP="00445CFD">
            <w:pPr>
              <w:keepNext/>
              <w:spacing w:line="240" w:lineRule="auto"/>
              <w:rPr>
                <w:rFonts w:ascii="Calibri" w:eastAsia="Calibri" w:hAnsi="Calibri" w:cs="Times New Roman"/>
                <w:sz w:val="18"/>
                <w:szCs w:val="18"/>
              </w:rPr>
            </w:pPr>
            <w:r w:rsidRPr="00445CFD">
              <w:rPr>
                <w:rFonts w:ascii="Calibri" w:eastAsia="Calibri" w:hAnsi="Calibri" w:cs="Calibri"/>
                <w:b/>
                <w:sz w:val="18"/>
                <w:szCs w:val="18"/>
              </w:rPr>
              <w:t>National Partnership Payments</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Assistance for water infrastructure and pest management in drought-affected areas</w:t>
            </w:r>
          </w:p>
        </w:tc>
        <w:tc>
          <w:tcPr>
            <w:tcW w:w="1456" w:type="pct"/>
          </w:tcPr>
          <w:p w:rsidR="00636CF4" w:rsidRPr="00445CFD" w:rsidRDefault="00636CF4" w:rsidP="006354C3">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assist drought-affected farm business</w:t>
            </w:r>
            <w:r w:rsidR="006354C3">
              <w:rPr>
                <w:rFonts w:ascii="Calibri" w:eastAsia="Calibri" w:hAnsi="Calibri" w:cs="Times New Roman"/>
                <w:sz w:val="18"/>
                <w:szCs w:val="18"/>
              </w:rPr>
              <w:t xml:space="preserve">es </w:t>
            </w:r>
            <w:r w:rsidRPr="00445CFD">
              <w:rPr>
                <w:rFonts w:ascii="Calibri" w:eastAsia="Calibri" w:hAnsi="Calibri" w:cs="Times New Roman"/>
                <w:sz w:val="18"/>
                <w:szCs w:val="18"/>
              </w:rPr>
              <w:t>with installing water</w:t>
            </w:r>
            <w:r w:rsidRPr="00445CFD">
              <w:rPr>
                <w:rFonts w:ascii="MS Gothic" w:eastAsia="MS Gothic" w:hAnsi="MS Gothic" w:cs="MS Gothic" w:hint="eastAsia"/>
                <w:sz w:val="18"/>
                <w:szCs w:val="18"/>
              </w:rPr>
              <w:t>‑</w:t>
            </w:r>
            <w:r w:rsidRPr="00445CFD">
              <w:rPr>
                <w:rFonts w:ascii="Calibri" w:eastAsia="Calibri" w:hAnsi="Calibri" w:cs="Times New Roman"/>
                <w:sz w:val="18"/>
                <w:szCs w:val="18"/>
              </w:rPr>
              <w:t>related infrastructure and with managing the impacts of pest animals in drought-affected areas, with the pest management component contingent upon equal contribution from the States.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Assistance to farm business</w:t>
            </w:r>
            <w:r w:rsidR="006354C3">
              <w:rPr>
                <w:rFonts w:ascii="Calibri" w:eastAsia="Calibri" w:hAnsi="Calibri" w:cs="Times New Roman"/>
                <w:sz w:val="18"/>
                <w:szCs w:val="18"/>
              </w:rPr>
              <w:t>es</w:t>
            </w:r>
            <w:r w:rsidRPr="00445CFD">
              <w:rPr>
                <w:rFonts w:ascii="Calibri" w:eastAsia="Calibri" w:hAnsi="Calibri" w:cs="Times New Roman"/>
                <w:sz w:val="18"/>
                <w:szCs w:val="18"/>
              </w:rPr>
              <w:t xml:space="preserve"> for water-related infrastructure</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New South Wales and Queensland to supplement these States’ existing </w:t>
            </w:r>
            <w:r w:rsidR="006354C3">
              <w:rPr>
                <w:rFonts w:ascii="Calibri" w:eastAsia="Calibri" w:hAnsi="Calibri" w:cs="Times New Roman"/>
                <w:sz w:val="18"/>
                <w:szCs w:val="18"/>
              </w:rPr>
              <w:t>e</w:t>
            </w:r>
            <w:r w:rsidRPr="00445CFD">
              <w:rPr>
                <w:rFonts w:ascii="Calibri" w:eastAsia="Calibri" w:hAnsi="Calibri" w:cs="Times New Roman"/>
                <w:sz w:val="18"/>
                <w:szCs w:val="18"/>
              </w:rPr>
              <w:t>mergency water infrastructure rebate programs.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Caring for our Country</w:t>
            </w:r>
            <w:r w:rsidRPr="00445CFD">
              <w:rPr>
                <w:rFonts w:ascii="Calibri" w:eastAsia="Calibri" w:hAnsi="Calibri" w:cs="Times New Roman"/>
                <w:color w:val="FF0000"/>
                <w:sz w:val="18"/>
                <w:szCs w:val="18"/>
              </w:rPr>
              <w:t>*</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integrate delivery of previous natural resource management programs: Natural Heritage Trust; National Action Plan for Salinity and Water Quality; National Landcare; Environmental Stewardship and Working on Country Indigenous land and environment. Payments are made to regional bodies </w:t>
            </w:r>
            <w:r w:rsidRPr="00C57117">
              <w:rPr>
                <w:rFonts w:ascii="Calibri" w:eastAsia="Calibri" w:hAnsi="Calibri" w:cs="Times New Roman"/>
                <w:sz w:val="18"/>
                <w:szCs w:val="18"/>
              </w:rPr>
              <w:t>through</w:t>
            </w:r>
            <w:r w:rsidRPr="00445CFD">
              <w:rPr>
                <w:rFonts w:ascii="Calibri" w:eastAsia="Calibri" w:hAnsi="Calibri" w:cs="Times New Roman"/>
                <w:sz w:val="18"/>
                <w:szCs w:val="18"/>
              </w:rPr>
              <w:t xml:space="preserve"> the States.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2012-13</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No impact </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lastRenderedPageBreak/>
              <w:t>Coal seam gas and large coal mining development</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strengthen the regulation of coal seam gas and large coal mining development by ensuring future decisions are informed by improved science and independent expert advice. </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Environmental management of the former Rum Jungle mine site</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to the Northern Territory to support the ongoing management of the former Rum Jungle mine site.</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No impact </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Great Artesian Basin Sustainability Initiative</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for the repair of uncontrolled artesian bores and the replacement of wasteful open earth bore drains with piped water reticulation systems through the Great Artesian Basin. This initiative is delivered through States and jointly funded by Commonwealth, States and private bore owners.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Impact </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Implementing water reform in the Murray-Darling Basin</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for implementation of the Agreement on Implementing Water Reform in the Murray-Darling Basin. The Agreement will ensure continuing progress in restoring the Basin’s rivers to health and securing strong regional communities and sustainable food and fibre production.</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Natural disaster resilience</w:t>
            </w:r>
            <w:r>
              <w:rPr>
                <w:rFonts w:ascii="Calibri" w:eastAsia="Calibri" w:hAnsi="Calibri" w:cs="Times New Roman"/>
                <w:color w:val="FF0000"/>
                <w:sz w:val="18"/>
                <w:szCs w:val="18"/>
              </w:rPr>
              <w:t>#</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reduce the impact of the increasing resilience to natural disaster. The Commonwealth and States will work with other parties, such as volunteers, private and non-government sectors and local government to achieve this outcome.</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Local and non-government organisations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Natural disaster recovery and rebuilding – donation to Queensland flood appeal</w:t>
            </w:r>
            <w:r>
              <w:rPr>
                <w:rFonts w:ascii="Calibri" w:eastAsia="Calibri" w:hAnsi="Calibri" w:cs="Times New Roman"/>
                <w:color w:val="FF0000"/>
                <w:sz w:val="18"/>
                <w:szCs w:val="18"/>
              </w:rPr>
              <w:t>#</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The Commonwealth contribution to the Queensland Premier’s Disaster Relief Appeal to help people affected by natural disasters.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2012-13</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636CF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purchase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lastRenderedPageBreak/>
              <w:t>Northern Australia sustainable futures</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Queensland and the Northern Territory to build the capacity of local government and communities in Northern Australia to effectively manage water infrastructure maintenance and engage communities to appropriately manage community and household demand for water.</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2012-13</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p>
        </w:tc>
      </w:tr>
      <w:tr w:rsidR="00636CF4" w:rsidRPr="00445CFD" w:rsidTr="00A5067D">
        <w:trPr>
          <w:cantSplit/>
        </w:trPr>
        <w:tc>
          <w:tcPr>
            <w:tcW w:w="5000" w:type="pct"/>
            <w:gridSpan w:val="6"/>
          </w:tcPr>
          <w:p w:rsidR="00636CF4" w:rsidRPr="00445CFD" w:rsidRDefault="00636CF4" w:rsidP="00BD1754">
            <w:pPr>
              <w:keepNext/>
              <w:spacing w:line="240" w:lineRule="auto"/>
              <w:rPr>
                <w:rFonts w:ascii="Calibri" w:eastAsia="Calibri" w:hAnsi="Calibri" w:cs="Times New Roman"/>
                <w:b/>
                <w:sz w:val="18"/>
                <w:szCs w:val="18"/>
              </w:rPr>
            </w:pPr>
            <w:r w:rsidRPr="00445CFD">
              <w:rPr>
                <w:rFonts w:ascii="Calibri" w:eastAsia="Calibri" w:hAnsi="Calibri" w:cs="Times New Roman"/>
                <w:b/>
                <w:sz w:val="18"/>
                <w:szCs w:val="18"/>
              </w:rPr>
              <w:t>Pest and disease preparedness and response programs (PDPRP)</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PDPRP — Animal and plant pest disease eradication</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eradicate exotic animal and plant pests and diseases, which if allowed </w:t>
            </w:r>
            <w:proofErr w:type="gramStart"/>
            <w:r w:rsidRPr="00445CFD">
              <w:rPr>
                <w:rFonts w:ascii="Calibri" w:eastAsia="Calibri" w:hAnsi="Calibri" w:cs="Times New Roman"/>
                <w:sz w:val="18"/>
                <w:szCs w:val="18"/>
              </w:rPr>
              <w:t>to establish and spread</w:t>
            </w:r>
            <w:proofErr w:type="gramEnd"/>
            <w:r w:rsidRPr="00445CFD">
              <w:rPr>
                <w:rFonts w:ascii="Calibri" w:eastAsia="Calibri" w:hAnsi="Calibri" w:cs="Times New Roman"/>
                <w:sz w:val="18"/>
                <w:szCs w:val="18"/>
              </w:rPr>
              <w:t>, would have serious economic and environmental impacts.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Part of the Caring for our Country program which was quarantined by terms of reference</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PDPRP — Exotic Disease Preparedness</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support the development of technologies and strategies to prevent, control or eradicate disease specifically in wildlife and feral animals, focusing on those that could threaten Australia’s livestock industries. </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No impact </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Needs not assessed</w:t>
            </w:r>
          </w:p>
        </w:tc>
      </w:tr>
      <w:tr w:rsidR="00636CF4" w:rsidRPr="00445CFD" w:rsidTr="00A5067D">
        <w:trPr>
          <w:cantSplit/>
        </w:trPr>
        <w:tc>
          <w:tcPr>
            <w:tcW w:w="669" w:type="pct"/>
          </w:tcPr>
          <w:p w:rsidR="00636CF4" w:rsidRPr="009F1C01" w:rsidRDefault="00636CF4" w:rsidP="00BD1754">
            <w:pPr>
              <w:pStyle w:val="CGCCWTableText"/>
            </w:pPr>
            <w:r w:rsidRPr="009F1C01">
              <w:t>Renewable Remote Power Generation</w:t>
            </w:r>
          </w:p>
        </w:tc>
        <w:tc>
          <w:tcPr>
            <w:tcW w:w="1456" w:type="pct"/>
          </w:tcPr>
          <w:p w:rsidR="00636CF4" w:rsidRPr="009F1C01" w:rsidRDefault="00636CF4" w:rsidP="00BD1754">
            <w:pPr>
              <w:pStyle w:val="CGCCWTableText"/>
            </w:pPr>
            <w:r w:rsidRPr="009F1C01">
              <w:t xml:space="preserve">To provide a rebate to the States for the installation of renewable energy generation technologies in areas of Australia currently reliant on diesel for electricity generation. </w:t>
            </w:r>
          </w:p>
        </w:tc>
        <w:tc>
          <w:tcPr>
            <w:tcW w:w="674" w:type="pct"/>
          </w:tcPr>
          <w:p w:rsidR="00636CF4" w:rsidRPr="009F1C01" w:rsidRDefault="00636CF4" w:rsidP="00BD1754">
            <w:pPr>
              <w:pStyle w:val="CGCCWTableText"/>
            </w:pPr>
            <w:r w:rsidRPr="009F1C01">
              <w:t xml:space="preserve">2011-12 </w:t>
            </w:r>
          </w:p>
        </w:tc>
        <w:tc>
          <w:tcPr>
            <w:tcW w:w="779" w:type="pct"/>
          </w:tcPr>
          <w:p w:rsidR="00636CF4" w:rsidRPr="009F1C01" w:rsidRDefault="00636CF4" w:rsidP="00BD1754">
            <w:pPr>
              <w:pStyle w:val="CGCCWTableText"/>
            </w:pPr>
            <w:r w:rsidRPr="009F1C01">
              <w:t>Impact</w:t>
            </w:r>
          </w:p>
        </w:tc>
        <w:tc>
          <w:tcPr>
            <w:tcW w:w="727" w:type="pct"/>
          </w:tcPr>
          <w:p w:rsidR="00636CF4" w:rsidRDefault="00636CF4" w:rsidP="00BD1754">
            <w:pPr>
              <w:pStyle w:val="CGCCWTableText"/>
            </w:pPr>
          </w:p>
        </w:tc>
        <w:tc>
          <w:tcPr>
            <w:tcW w:w="695" w:type="pct"/>
          </w:tcPr>
          <w:p w:rsidR="00636CF4" w:rsidRPr="009F1C01" w:rsidRDefault="00636CF4" w:rsidP="00BD1754">
            <w:pPr>
              <w:pStyle w:val="CGCCWTableText"/>
            </w:pPr>
          </w:p>
        </w:tc>
      </w:tr>
      <w:tr w:rsidR="00636CF4" w:rsidRPr="00445CFD" w:rsidTr="00A5067D">
        <w:trPr>
          <w:cantSplit/>
        </w:trPr>
        <w:tc>
          <w:tcPr>
            <w:tcW w:w="5000" w:type="pct"/>
            <w:gridSpan w:val="6"/>
          </w:tcPr>
          <w:p w:rsidR="00636CF4" w:rsidRPr="00445CFD" w:rsidRDefault="00636CF4" w:rsidP="00BD1754">
            <w:pPr>
              <w:keepNext/>
              <w:spacing w:line="240" w:lineRule="auto"/>
              <w:rPr>
                <w:rFonts w:ascii="Calibri" w:eastAsia="Calibri" w:hAnsi="Calibri" w:cs="Times New Roman"/>
                <w:b/>
                <w:sz w:val="18"/>
                <w:szCs w:val="18"/>
              </w:rPr>
            </w:pPr>
            <w:r w:rsidRPr="00445CFD">
              <w:rPr>
                <w:rFonts w:ascii="Calibri" w:eastAsia="Calibri" w:hAnsi="Calibri" w:cs="Times New Roman"/>
                <w:b/>
                <w:sz w:val="18"/>
                <w:szCs w:val="18"/>
              </w:rPr>
              <w:t>South Australian River Murray Sustainability program (SARMSP)</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SARMSP – Irrigation efficiency and water purchase</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more efficient delivery and use of water by irrigation water providers and irrigators.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SARMSP – Irrigation industry assistance</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help improve productivity of the South Australian River Murray industry.</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SARMSP –  Regional economic development</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This program provides funding for the redevelopment of the Loxton Research Centre, a program of industry-led research, and a regional development and innovation program.</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lastRenderedPageBreak/>
              <w:t>Sustainable Australia — sustainable regional development</w:t>
            </w:r>
            <w:r>
              <w:rPr>
                <w:rFonts w:ascii="Calibri" w:eastAsia="Calibri" w:hAnsi="Calibri" w:cs="Times New Roman"/>
                <w:color w:val="FF0000"/>
                <w:sz w:val="18"/>
                <w:szCs w:val="18"/>
              </w:rPr>
              <w:t>##</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selected local government authorities for capacity building and other activities associated with the development and/or implementation of regional sustainability planning. This planning will help to ensure that future population change is compatible with the economic, environmental and social wellbeing of Australia.</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No impact </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Local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Tasmania Forests Inter-governmental Agreement</w:t>
            </w:r>
            <w:r w:rsidRPr="00445CFD">
              <w:rPr>
                <w:rFonts w:ascii="Calibri" w:eastAsia="Calibri" w:hAnsi="Calibri" w:cs="Times New Roman"/>
                <w:color w:val="FF0000"/>
                <w:sz w:val="18"/>
                <w:szCs w:val="18"/>
              </w:rPr>
              <w:t>*</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Signed in August 2011, the aim of the agreement is to support the forest industry to progressively transition to a more sustainable and diversified footing, to protect additional areas of high conservation value native forest, and to build economic diversity and community resilience. </w:t>
            </w:r>
          </w:p>
        </w:tc>
        <w:tc>
          <w:tcPr>
            <w:tcW w:w="674" w:type="pct"/>
          </w:tcPr>
          <w:p w:rsidR="00636CF4" w:rsidRPr="00445CFD" w:rsidRDefault="00636CF4" w:rsidP="00445CFD">
            <w:pPr>
              <w:spacing w:line="240" w:lineRule="auto"/>
              <w:rPr>
                <w:rFonts w:ascii="Calibri" w:eastAsia="Calibri" w:hAnsi="Calibri" w:cs="Times New Roman"/>
                <w:sz w:val="18"/>
                <w:szCs w:val="18"/>
              </w:rPr>
            </w:pPr>
          </w:p>
        </w:tc>
        <w:tc>
          <w:tcPr>
            <w:tcW w:w="779" w:type="pct"/>
          </w:tcPr>
          <w:p w:rsidR="00636CF4" w:rsidRPr="00445CFD" w:rsidRDefault="00636CF4" w:rsidP="00445CFD">
            <w:pPr>
              <w:spacing w:line="240" w:lineRule="auto"/>
              <w:rPr>
                <w:rFonts w:ascii="Calibri" w:eastAsia="Calibri" w:hAnsi="Calibri" w:cs="Times New Roman"/>
                <w:sz w:val="18"/>
                <w:szCs w:val="18"/>
              </w:rPr>
            </w:pP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Implementation — to support the implementation of the Agreement, and ongoing management of additional native forest reserves.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r w:rsidR="00636CF4" w:rsidRPr="00445CFD" w:rsidTr="00A5067D">
        <w:trPr>
          <w:cantSplit/>
        </w:trPr>
        <w:tc>
          <w:tcPr>
            <w:tcW w:w="669" w:type="pct"/>
          </w:tcPr>
          <w:p w:rsidR="00636CF4" w:rsidRPr="00445CFD" w:rsidRDefault="00636CF4" w:rsidP="00586726">
            <w:pPr>
              <w:spacing w:line="240" w:lineRule="auto"/>
              <w:rPr>
                <w:rFonts w:ascii="Calibri" w:eastAsia="Calibri" w:hAnsi="Calibri" w:cs="Times New Roman"/>
                <w:sz w:val="18"/>
                <w:szCs w:val="18"/>
              </w:rPr>
            </w:pP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Economic diversification projects — funding for regional development projects to support diversification of the Tasmanian economy.</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2012-13</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r w:rsidR="00636CF4" w:rsidRPr="00445CFD" w:rsidTr="00A5067D">
        <w:trPr>
          <w:cantSplit/>
        </w:trPr>
        <w:tc>
          <w:tcPr>
            <w:tcW w:w="5000" w:type="pct"/>
            <w:gridSpan w:val="6"/>
          </w:tcPr>
          <w:p w:rsidR="00636CF4" w:rsidRPr="00445CFD" w:rsidRDefault="00636CF4" w:rsidP="00586726">
            <w:pPr>
              <w:spacing w:line="240" w:lineRule="auto"/>
              <w:rPr>
                <w:rFonts w:ascii="Calibri" w:eastAsia="Calibri" w:hAnsi="Calibri" w:cs="Times New Roman"/>
                <w:b/>
                <w:sz w:val="18"/>
                <w:szCs w:val="18"/>
              </w:rPr>
            </w:pPr>
            <w:r w:rsidRPr="00445CFD">
              <w:rPr>
                <w:rFonts w:ascii="Calibri" w:eastAsia="Calibri" w:hAnsi="Calibri" w:cs="Times New Roman"/>
                <w:b/>
                <w:sz w:val="18"/>
                <w:szCs w:val="18"/>
              </w:rPr>
              <w:t>Water for the Future (WFF)</w:t>
            </w:r>
          </w:p>
        </w:tc>
      </w:tr>
      <w:tr w:rsidR="00636CF4" w:rsidRPr="00445CFD" w:rsidTr="00A5067D">
        <w:trPr>
          <w:cantSplit/>
        </w:trPr>
        <w:tc>
          <w:tcPr>
            <w:tcW w:w="669" w:type="pct"/>
          </w:tcPr>
          <w:p w:rsidR="00636CF4" w:rsidRPr="00445CFD" w:rsidRDefault="00636CF4" w:rsidP="00586726">
            <w:pPr>
              <w:spacing w:line="240" w:lineRule="auto"/>
              <w:rPr>
                <w:rFonts w:ascii="Calibri" w:eastAsia="Calibri" w:hAnsi="Calibri" w:cs="Times New Roman"/>
                <w:sz w:val="18"/>
                <w:szCs w:val="18"/>
              </w:rPr>
            </w:pPr>
            <w:r w:rsidRPr="00445CFD">
              <w:rPr>
                <w:rFonts w:ascii="Calibri" w:eastAsia="Calibri" w:hAnsi="Calibri" w:cs="Times New Roman"/>
                <w:sz w:val="18"/>
                <w:szCs w:val="18"/>
              </w:rPr>
              <w:t>WFF — National Urban Water and Desalination Plan</w:t>
            </w:r>
            <w:r>
              <w:rPr>
                <w:rFonts w:ascii="Calibri" w:eastAsia="Calibri" w:hAnsi="Calibri" w:cs="Times New Roman"/>
                <w:color w:val="FF0000"/>
                <w:sz w:val="18"/>
                <w:szCs w:val="18"/>
              </w:rPr>
              <w:t>##</w:t>
            </w:r>
            <w:r w:rsidRPr="00445CFD">
              <w:rPr>
                <w:rFonts w:ascii="Calibri" w:eastAsia="Calibri" w:hAnsi="Calibri" w:cs="Times New Roman"/>
                <w:sz w:val="18"/>
                <w:szCs w:val="18"/>
              </w:rPr>
              <w:t xml:space="preserve"> (partial paid direct to LG)</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To fund </w:t>
            </w:r>
            <w:proofErr w:type="gramStart"/>
            <w:r w:rsidRPr="00445CFD">
              <w:rPr>
                <w:rFonts w:ascii="Calibri" w:eastAsia="Calibri" w:hAnsi="Calibri" w:cs="Times New Roman"/>
                <w:sz w:val="18"/>
                <w:szCs w:val="18"/>
              </w:rPr>
              <w:t>four specific urban water</w:t>
            </w:r>
            <w:proofErr w:type="gramEnd"/>
            <w:r w:rsidRPr="00445CFD">
              <w:rPr>
                <w:rFonts w:ascii="Calibri" w:eastAsia="Calibri" w:hAnsi="Calibri" w:cs="Times New Roman"/>
                <w:sz w:val="18"/>
                <w:szCs w:val="18"/>
              </w:rPr>
              <w:t xml:space="preserve"> management projects in large urban centres as part of the National Urban Water and Desalination Plan. These projects will help secure water supplies and reduce reliance on traditional rainfall dependent water sources.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BD175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Payments to States — Impact; </w:t>
            </w:r>
          </w:p>
          <w:p w:rsidR="00636CF4" w:rsidRPr="00445CFD" w:rsidRDefault="00636CF4" w:rsidP="00BD1754">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payments to local government – 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Local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WFF — National Water Security Plan for Cities and Towns</w:t>
            </w:r>
            <w:r>
              <w:rPr>
                <w:rFonts w:ascii="Calibri" w:eastAsia="Calibri" w:hAnsi="Calibri" w:cs="Times New Roman"/>
                <w:color w:val="FF0000"/>
                <w:sz w:val="18"/>
                <w:szCs w:val="18"/>
              </w:rPr>
              <w:t>##</w:t>
            </w:r>
            <w:r w:rsidRPr="00445CFD">
              <w:rPr>
                <w:rFonts w:ascii="Calibri" w:eastAsia="Calibri" w:hAnsi="Calibri" w:cs="Times New Roman"/>
                <w:sz w:val="18"/>
                <w:szCs w:val="18"/>
              </w:rPr>
              <w:t xml:space="preserve"> (partial paid direct to LG)</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fund six specific urban water management projects and 18 projects, across 17 remote communities to assist implementation of COAG Strategy for Water and Wastewater in remote (including Indigenous) communities.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Payments to States — Impact; </w:t>
            </w:r>
          </w:p>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payments to local government – 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Local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lastRenderedPageBreak/>
              <w:t>WFF — Sustainable Rural Water Use and infrastructure program</w:t>
            </w:r>
            <w:r>
              <w:rPr>
                <w:rFonts w:ascii="Calibri" w:eastAsia="Calibri" w:hAnsi="Calibri" w:cs="Times New Roman"/>
                <w:color w:val="FF0000"/>
                <w:sz w:val="18"/>
                <w:szCs w:val="18"/>
              </w:rPr>
              <w:t>##</w:t>
            </w:r>
            <w:r w:rsidRPr="00445CFD">
              <w:rPr>
                <w:rFonts w:ascii="Calibri" w:eastAsia="Calibri" w:hAnsi="Calibri" w:cs="Times New Roman"/>
                <w:sz w:val="18"/>
                <w:szCs w:val="18"/>
              </w:rPr>
              <w:t xml:space="preserve"> (partial paid direct to LG)</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This funding is provided under numerous arrangements, such as the </w:t>
            </w:r>
            <w:r w:rsidR="00A431B7">
              <w:rPr>
                <w:rFonts w:ascii="Calibri" w:eastAsia="Calibri" w:hAnsi="Calibri" w:cs="Times New Roman"/>
                <w:sz w:val="18"/>
                <w:szCs w:val="18"/>
              </w:rPr>
              <w:t>National Partnership (</w:t>
            </w:r>
            <w:r w:rsidRPr="00445CFD">
              <w:rPr>
                <w:rFonts w:ascii="Calibri" w:eastAsia="Calibri" w:hAnsi="Calibri" w:cs="Times New Roman"/>
                <w:sz w:val="18"/>
                <w:szCs w:val="18"/>
              </w:rPr>
              <w:t>NP</w:t>
            </w:r>
            <w:r w:rsidR="00A431B7">
              <w:rPr>
                <w:rFonts w:ascii="Calibri" w:eastAsia="Calibri" w:hAnsi="Calibri" w:cs="Times New Roman"/>
                <w:sz w:val="18"/>
                <w:szCs w:val="18"/>
              </w:rPr>
              <w:t>)</w:t>
            </w:r>
            <w:r w:rsidRPr="00445CFD">
              <w:rPr>
                <w:rFonts w:ascii="Calibri" w:eastAsia="Calibri" w:hAnsi="Calibri" w:cs="Times New Roman"/>
                <w:sz w:val="18"/>
                <w:szCs w:val="18"/>
              </w:rPr>
              <w:t xml:space="preserve"> on Water for the Future and Water Management Partnership Agreements relating to the Intergovernmental Agreement on Murray-Darling Basin Reform. Aims to improve the efficiency and productivity of rural water management and usage; delivers substantial and lasting water returns to the environment; and helps secure a long-term sustainable future for irrigated agriculture.</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Payments to States — Impact;</w:t>
            </w:r>
          </w:p>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payments to local government – 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Local — needs not assessed</w:t>
            </w:r>
          </w:p>
        </w:tc>
      </w:tr>
      <w:tr w:rsidR="00636CF4" w:rsidRPr="00445CFD" w:rsidTr="00A5067D">
        <w:trPr>
          <w:cantSplit/>
        </w:trPr>
        <w:tc>
          <w:tcPr>
            <w:tcW w:w="5000" w:type="pct"/>
            <w:gridSpan w:val="6"/>
          </w:tcPr>
          <w:p w:rsidR="00636CF4" w:rsidRPr="00445CFD" w:rsidRDefault="00636CF4" w:rsidP="00BD1754">
            <w:pPr>
              <w:keepNext/>
              <w:spacing w:line="240" w:lineRule="auto"/>
              <w:rPr>
                <w:rFonts w:ascii="Calibri" w:eastAsia="Calibri" w:hAnsi="Calibri" w:cs="Times New Roman"/>
                <w:b/>
                <w:sz w:val="18"/>
                <w:szCs w:val="18"/>
              </w:rPr>
            </w:pPr>
            <w:r w:rsidRPr="00445CFD">
              <w:rPr>
                <w:rFonts w:ascii="Calibri" w:eastAsia="Calibri" w:hAnsi="Calibri" w:cs="Times New Roman"/>
                <w:b/>
                <w:sz w:val="18"/>
                <w:szCs w:val="18"/>
              </w:rPr>
              <w:t>CONTINGENT PAYMENTS</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Exceptional circumstances assistance</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The Intergovernmental Agreement on Rural Adjustment provides authority to deliver the Exceptional Circumstances (EC) interest rate subsidy payments to eligible farm and small businesses in EC areas which are viable in the long-term but require short-term support to overcome some of the financial effects of drought. </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w:t>
            </w:r>
          </w:p>
        </w:tc>
        <w:tc>
          <w:tcPr>
            <w:tcW w:w="779" w:type="pct"/>
          </w:tcPr>
          <w:p w:rsidR="00636CF4" w:rsidRPr="00445CFD" w:rsidRDefault="00636CF4" w:rsidP="00BD175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No impact </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636CF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purchase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Hepatitis C settlement fund</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Contribution to the participating States’ schemes for out-of-court settlement costs for eligible individuals who contracted Hepatitis C through the blood supply service between 1985 and 1991.</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636CF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purchase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Natural Disaster Relief and Recovery Arrangements (NDRRA)</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assist the States with relief and recovery assistance following eligible natural disasters. This includes payments to the States in response to recent and past natural disasters including the January 2013 flood and Tropical Cyclone Oswald, November 2010 to February 2011 floods, bushfires and Tropical Cyclone </w:t>
            </w:r>
            <w:proofErr w:type="spellStart"/>
            <w:r w:rsidRPr="00445CFD">
              <w:rPr>
                <w:rFonts w:ascii="Calibri" w:eastAsia="Calibri" w:hAnsi="Calibri" w:cs="Times New Roman"/>
                <w:sz w:val="18"/>
                <w:szCs w:val="18"/>
              </w:rPr>
              <w:t>Yasi</w:t>
            </w:r>
            <w:proofErr w:type="spellEnd"/>
            <w:r w:rsidRPr="00445CFD">
              <w:rPr>
                <w:rFonts w:ascii="Calibri" w:eastAsia="Calibri" w:hAnsi="Calibri" w:cs="Times New Roman"/>
                <w:sz w:val="18"/>
                <w:szCs w:val="18"/>
              </w:rPr>
              <w:t xml:space="preserve">. </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636CF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purchase – needs not assessed</w:t>
            </w:r>
          </w:p>
        </w:tc>
      </w:tr>
      <w:tr w:rsidR="00636CF4" w:rsidRPr="00445CFD" w:rsidTr="00A5067D">
        <w:trPr>
          <w:cantSplit/>
        </w:trPr>
        <w:tc>
          <w:tcPr>
            <w:tcW w:w="5000" w:type="pct"/>
            <w:gridSpan w:val="6"/>
          </w:tcPr>
          <w:p w:rsidR="00636CF4" w:rsidRPr="00445CFD" w:rsidRDefault="00636CF4" w:rsidP="00A431B7">
            <w:pPr>
              <w:keepNext/>
              <w:spacing w:line="240" w:lineRule="auto"/>
              <w:rPr>
                <w:rFonts w:ascii="Calibri" w:eastAsia="Calibri" w:hAnsi="Calibri" w:cs="Times New Roman"/>
                <w:b/>
                <w:sz w:val="18"/>
                <w:szCs w:val="18"/>
              </w:rPr>
            </w:pPr>
            <w:r w:rsidRPr="00445CFD">
              <w:rPr>
                <w:rFonts w:ascii="Calibri" w:eastAsia="Calibri" w:hAnsi="Calibri" w:cs="Times New Roman"/>
                <w:b/>
                <w:sz w:val="18"/>
                <w:szCs w:val="18"/>
              </w:rPr>
              <w:lastRenderedPageBreak/>
              <w:t>OTHER STATE SERVICES</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w:t>
            </w:r>
            <w:r w:rsidR="006354C3">
              <w:rPr>
                <w:rFonts w:ascii="Calibri" w:eastAsia="Calibri" w:hAnsi="Calibri" w:cs="Times New Roman"/>
                <w:sz w:val="18"/>
                <w:szCs w:val="18"/>
              </w:rPr>
              <w:t>1</w:t>
            </w:r>
            <w:r w:rsidRPr="00445CFD">
              <w:rPr>
                <w:rFonts w:ascii="Calibri" w:eastAsia="Calibri" w:hAnsi="Calibri" w:cs="Times New Roman"/>
                <w:sz w:val="18"/>
                <w:szCs w:val="18"/>
              </w:rPr>
              <w:t>4 G20 leaders’ summit security</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upgrade Queensland's policing capacity to support the G20 leaders' summit in Brisbane and the finance ministers' and central bank governors' meeting in Cairns.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636CF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purchase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2018 Gold Coast Commonwealth Games</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support the delivery of critical sports infrastructure for the 2018 Commonwealth Games that will boost economic activity in Southeast Queensland and leave a lasting legacy for Queensland and Australia.</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Assistance to Tasmania to implement national policy reforms</w:t>
            </w:r>
            <w:r w:rsidRPr="00445CFD">
              <w:rPr>
                <w:rFonts w:ascii="Calibri" w:eastAsia="Calibri" w:hAnsi="Calibri" w:cs="Times New Roman"/>
                <w:color w:val="FF0000"/>
                <w:sz w:val="18"/>
                <w:szCs w:val="18"/>
              </w:rPr>
              <w:t>*</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assist Tasmania with budget flexibility in the case of expected challenges arising from the implementation of national policy reforms. This payment was to allow Tasmania to implement Schools reforms.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color w:val="FF0000"/>
                <w:sz w:val="18"/>
                <w:szCs w:val="18"/>
              </w:rPr>
              <w:t>**</w:t>
            </w:r>
            <w:r w:rsidRPr="00445CFD">
              <w:rPr>
                <w:rFonts w:ascii="Calibri" w:eastAsia="Calibri" w:hAnsi="Calibri" w:cs="Times New Roman"/>
                <w:sz w:val="18"/>
                <w:szCs w:val="18"/>
              </w:rPr>
              <w:t>Australian Capital Territory emergency services</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assist in the operation of the ACT Rural Fire Service, as well as to support the ACT State Emergency Services and the Emergency Management, Risk and Spatial Services program.</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Change from impact to no impact because special ACT needs relating to the protection of Commonwealth buildings are not assessed</w:t>
            </w: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Centenary of Canberra 2013 – joint national program</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the ACT over three years to celebrate the Centenary of Canberra in 2013. These activities include cultural, sporting and civic awareness events and will engage communities across Australia to celebrate the centenary of the role of Canberra as the Nation’s capital.</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636CF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purchase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Commonwealth Heads of Government meeting 2011</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to Western Australia in relation to security for the Commonwealth Head of Government meeting that was held in Perth in November 2011.</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636CF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purchase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lastRenderedPageBreak/>
              <w:t>Digital regions initiative</w:t>
            </w:r>
            <w:r w:rsidRPr="00C57117">
              <w:rPr>
                <w:rFonts w:ascii="Calibri" w:eastAsia="Calibri" w:hAnsi="Calibri" w:cs="Times New Roman"/>
                <w:color w:val="FF0000"/>
                <w:sz w:val="18"/>
                <w:szCs w:val="18"/>
              </w:rPr>
              <w:t>#</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co</w:t>
            </w:r>
            <w:r w:rsidR="006354C3">
              <w:rPr>
                <w:rFonts w:ascii="Calibri" w:eastAsia="Calibri" w:hAnsi="Calibri" w:cs="Times New Roman"/>
                <w:sz w:val="18"/>
                <w:szCs w:val="18"/>
              </w:rPr>
              <w:t>-</w:t>
            </w:r>
            <w:r w:rsidRPr="00445CFD">
              <w:rPr>
                <w:rFonts w:ascii="Calibri" w:eastAsia="Calibri" w:hAnsi="Calibri" w:cs="Times New Roman"/>
                <w:sz w:val="18"/>
                <w:szCs w:val="18"/>
              </w:rPr>
              <w:t>fund innovative digital enablement projects to support improved education, health and emergency services in regional, rural and remote communities.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2012-13</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Payments to States — Impact; payments to local and non-government organisations - 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Local and non-government organisations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Financial assistance grants to local government</w:t>
            </w:r>
            <w:r>
              <w:rPr>
                <w:rFonts w:ascii="Calibri" w:eastAsia="Calibri" w:hAnsi="Calibri" w:cs="Times New Roman"/>
                <w:color w:val="FF0000"/>
                <w:sz w:val="18"/>
                <w:szCs w:val="18"/>
              </w:rPr>
              <w:t>#</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To provide financial contribution through State governments for the provision of local government services to the community. Payment is made up of general purpose assistance and untied local roads grants. General purpose assistance is distributed between the States on a per capita basis, while untied local roads grants are paid on the basis of 1991-92 interstate road shares.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Local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Supplementary road funding to SA for local roads</w:t>
            </w:r>
            <w:r w:rsidRPr="00C57117">
              <w:rPr>
                <w:rFonts w:ascii="Calibri" w:eastAsia="Calibri" w:hAnsi="Calibri" w:cs="Times New Roman"/>
                <w:color w:val="FF0000"/>
                <w:sz w:val="18"/>
                <w:szCs w:val="18"/>
              </w:rPr>
              <w:t>#</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Supplementary funding to South Australia to address the State’s disadvantage under the current distribution of the untied local roads grants.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Local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Legal assistance services</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To provide funding to </w:t>
            </w:r>
            <w:r w:rsidR="006354C3">
              <w:rPr>
                <w:rFonts w:ascii="Calibri" w:eastAsia="Calibri" w:hAnsi="Calibri" w:cs="Times New Roman"/>
                <w:sz w:val="18"/>
                <w:szCs w:val="18"/>
              </w:rPr>
              <w:t xml:space="preserve">the </w:t>
            </w:r>
            <w:r w:rsidRPr="00445CFD">
              <w:rPr>
                <w:rFonts w:ascii="Calibri" w:eastAsia="Calibri" w:hAnsi="Calibri" w:cs="Times New Roman"/>
                <w:sz w:val="18"/>
                <w:szCs w:val="18"/>
              </w:rPr>
              <w:t>State Legal Aid Commission for the provision of legal assistance to disadvantaged persons in accordance with Commonwealth policy priorities.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636CF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purchase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Local  Government and Regional Development – Local Government Reform Fund</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the States for projects that support the implementation of nationally consistent frameworks for local government asset and financial management and/or improve collaboration in the local government sector. </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2012-13</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Location-based mobile telephone emergency warning capability</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to Victoria to meet the establishment costs incurred in the development of the national emergency warning system that enables the delivery of warnings to mobile telephones based on the location and handset at the time of an emergency. Victoria is responsible for investigating the capability of a system and negotiating with telephone networks on behalf of all jurisdictions.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636CF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purchase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lastRenderedPageBreak/>
              <w:t>Pilot of drought reform measures in Western Australia</w:t>
            </w:r>
            <w:r w:rsidRPr="00A5067D">
              <w:rPr>
                <w:rFonts w:ascii="Calibri" w:eastAsia="Calibri" w:hAnsi="Calibri" w:cs="Times New Roman"/>
                <w:color w:val="FF0000"/>
                <w:sz w:val="18"/>
                <w:szCs w:val="18"/>
              </w:rPr>
              <w:t>*</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trial a package of new measures developed in response to the national review of drought policy, including assistance for farm business planning, on farm projects and capacity building and community activities, as well as support for farm households and communities.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r w:rsidR="00D921E3" w:rsidRPr="00445CFD" w:rsidTr="00A5067D">
        <w:trPr>
          <w:cantSplit/>
        </w:trPr>
        <w:tc>
          <w:tcPr>
            <w:tcW w:w="669" w:type="pct"/>
          </w:tcPr>
          <w:p w:rsidR="00D921E3" w:rsidRPr="00445CFD" w:rsidRDefault="00D921E3" w:rsidP="00445CFD">
            <w:pPr>
              <w:spacing w:line="240" w:lineRule="auto"/>
              <w:rPr>
                <w:rFonts w:ascii="Calibri" w:eastAsia="Calibri" w:hAnsi="Calibri" w:cs="Times New Roman"/>
                <w:sz w:val="18"/>
                <w:szCs w:val="18"/>
              </w:rPr>
            </w:pPr>
            <w:r w:rsidRPr="00D921E3">
              <w:rPr>
                <w:rFonts w:ascii="Calibri" w:eastAsia="Calibri" w:hAnsi="Calibri" w:cs="Times New Roman"/>
                <w:sz w:val="18"/>
                <w:szCs w:val="18"/>
              </w:rPr>
              <w:t>Protection and promotion of the Melbourne Royal Exhibition Building world heritage property</w:t>
            </w:r>
          </w:p>
        </w:tc>
        <w:tc>
          <w:tcPr>
            <w:tcW w:w="1456" w:type="pct"/>
          </w:tcPr>
          <w:p w:rsidR="00D921E3" w:rsidRPr="00445CFD" w:rsidRDefault="00D921E3" w:rsidP="00D921E3">
            <w:pPr>
              <w:spacing w:line="240" w:lineRule="auto"/>
              <w:rPr>
                <w:rFonts w:ascii="Calibri" w:eastAsia="Calibri" w:hAnsi="Calibri" w:cs="Times New Roman"/>
                <w:sz w:val="18"/>
                <w:szCs w:val="18"/>
              </w:rPr>
            </w:pPr>
            <w:r w:rsidRPr="00D921E3">
              <w:rPr>
                <w:rFonts w:ascii="Calibri" w:eastAsia="Calibri" w:hAnsi="Calibri" w:cs="Times New Roman"/>
                <w:sz w:val="18"/>
                <w:szCs w:val="18"/>
              </w:rPr>
              <w:t>Payment to Victoria for the conservation of the fabric of the Melbourne Royal Exhibition Building and its world and national heritage values.</w:t>
            </w:r>
            <w:r w:rsidR="006354C3">
              <w:rPr>
                <w:rFonts w:ascii="Calibri" w:eastAsia="Calibri" w:hAnsi="Calibri" w:cs="Times New Roman"/>
                <w:sz w:val="18"/>
                <w:szCs w:val="18"/>
              </w:rPr>
              <w:t xml:space="preserve"> </w:t>
            </w:r>
            <w:r w:rsidRPr="00D921E3">
              <w:rPr>
                <w:rFonts w:ascii="Calibri" w:eastAsia="Calibri" w:hAnsi="Calibri" w:cs="Times New Roman"/>
                <w:sz w:val="18"/>
                <w:szCs w:val="18"/>
              </w:rPr>
              <w:t xml:space="preserve">The building is a State asset – </w:t>
            </w:r>
            <w:r w:rsidR="006354C3">
              <w:rPr>
                <w:rFonts w:ascii="Calibri" w:eastAsia="Calibri" w:hAnsi="Calibri" w:cs="Times New Roman"/>
                <w:sz w:val="18"/>
                <w:szCs w:val="18"/>
              </w:rPr>
              <w:t>t</w:t>
            </w:r>
            <w:r w:rsidRPr="00D921E3">
              <w:rPr>
                <w:rFonts w:ascii="Calibri" w:eastAsia="Calibri" w:hAnsi="Calibri" w:cs="Times New Roman"/>
                <w:sz w:val="18"/>
                <w:szCs w:val="18"/>
              </w:rPr>
              <w:t>he State government of Victoria owns the building and Museum Victoria manages it.</w:t>
            </w:r>
          </w:p>
        </w:tc>
        <w:tc>
          <w:tcPr>
            <w:tcW w:w="674" w:type="pct"/>
          </w:tcPr>
          <w:p w:rsidR="00D921E3" w:rsidRPr="00445CFD" w:rsidRDefault="00D921E3" w:rsidP="00B71A91">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w:t>
            </w:r>
          </w:p>
        </w:tc>
        <w:tc>
          <w:tcPr>
            <w:tcW w:w="779" w:type="pct"/>
          </w:tcPr>
          <w:p w:rsidR="00D921E3" w:rsidRPr="00445CFD" w:rsidRDefault="00D921E3"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D921E3" w:rsidRPr="00445CFD" w:rsidRDefault="00D921E3" w:rsidP="00445CFD">
            <w:pPr>
              <w:spacing w:line="240" w:lineRule="auto"/>
              <w:rPr>
                <w:rFonts w:ascii="Calibri" w:eastAsia="Calibri" w:hAnsi="Calibri" w:cs="Times New Roman"/>
                <w:sz w:val="18"/>
                <w:szCs w:val="18"/>
              </w:rPr>
            </w:pPr>
          </w:p>
        </w:tc>
        <w:tc>
          <w:tcPr>
            <w:tcW w:w="695" w:type="pct"/>
          </w:tcPr>
          <w:p w:rsidR="00D921E3" w:rsidRPr="00445CFD" w:rsidRDefault="00D921E3" w:rsidP="00636CF4">
            <w:pPr>
              <w:spacing w:line="240" w:lineRule="auto"/>
              <w:rPr>
                <w:rFonts w:ascii="Calibri" w:eastAsia="Calibri" w:hAnsi="Calibri" w:cs="Times New Roman"/>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Provision of fire services</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provide the States with equitable payment arrangements for the fire protection of Commonwealth-owned buildings.</w:t>
            </w:r>
          </w:p>
        </w:tc>
        <w:tc>
          <w:tcPr>
            <w:tcW w:w="674" w:type="pct"/>
          </w:tcPr>
          <w:p w:rsidR="00636CF4" w:rsidRPr="00445CFD" w:rsidRDefault="00636CF4" w:rsidP="00B71A91">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636CF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purchase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Remote Indigenous public internet access</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improve public internet access facilities and provide related computer training to remote Indigenous communities. </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Seamless national economy</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Reward funding for the delivery by the States of regulatory reforms aimed at reducing inefficient and costly regulation. The Commonwealth has redirected $55.1 million in payments from Victoria’s allocation of reward funding in 2013-14 to provide funding direct to Victorian Local Hospital Networks in 2012-13.</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Reward payment —No impact as required by terms of reference.</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Sinking fund on State debt</w:t>
            </w:r>
            <w:r w:rsidRPr="00A5067D">
              <w:rPr>
                <w:rFonts w:ascii="Calibri" w:eastAsia="Calibri" w:hAnsi="Calibri" w:cs="Times New Roman"/>
                <w:color w:val="FF0000"/>
                <w:sz w:val="18"/>
                <w:szCs w:val="18"/>
              </w:rPr>
              <w:t>*</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Contributions to the Debt Retirement Reserve Trust Account on behalf of the six States and the Northern Territory in accordance with the Financial Agreement Act 1994. </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 to 2013-14</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Terms of reference requirement</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lastRenderedPageBreak/>
              <w:t>Standard business reporting program</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Funding to simplify business-to-government reporting by making forms easier to understand, using accounting or record-keeping software to automatically pre-fill government forms and introduce a single secure way to interact online with participating agencies.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636CF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purchase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Temporary assistance for Tasmanian exporters</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Funding to Tasmania to support the delivery of direct shipping transition assistance for exporters, Burnie Port improvements and an industry-led freight logistics coordination team, in response to the cessation of direct international container shipping service to Tasmania. </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Payments to exporters – no impact; Others –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Payments to exporters — Needs not assessed</w:t>
            </w: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Victorian local hospital networks</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Payment directly to Victorian Local Hospital Networks to support the ongoing provision of public hospital services.</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2012-13</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p>
        </w:tc>
      </w:tr>
      <w:tr w:rsidR="00636CF4" w:rsidRPr="00445CFD" w:rsidTr="00A5067D">
        <w:trPr>
          <w:cantSplit/>
        </w:trPr>
        <w:tc>
          <w:tcPr>
            <w:tcW w:w="66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World sailing championships</w:t>
            </w:r>
            <w:r w:rsidRPr="00C57117">
              <w:rPr>
                <w:rFonts w:ascii="Calibri" w:eastAsia="Calibri" w:hAnsi="Calibri" w:cs="Times New Roman"/>
                <w:color w:val="FF0000"/>
                <w:sz w:val="18"/>
                <w:szCs w:val="18"/>
              </w:rPr>
              <w:t>#</w:t>
            </w:r>
          </w:p>
        </w:tc>
        <w:tc>
          <w:tcPr>
            <w:tcW w:w="1456"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Contribution to the staging of the International Sailing Federation World Championships in Western Australia in December 2011.</w:t>
            </w:r>
          </w:p>
        </w:tc>
        <w:tc>
          <w:tcPr>
            <w:tcW w:w="674"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2011-12</w:t>
            </w:r>
          </w:p>
        </w:tc>
        <w:tc>
          <w:tcPr>
            <w:tcW w:w="779"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No impact</w:t>
            </w:r>
          </w:p>
        </w:tc>
        <w:tc>
          <w:tcPr>
            <w:tcW w:w="727" w:type="pct"/>
          </w:tcPr>
          <w:p w:rsidR="00636CF4" w:rsidRPr="00445CFD" w:rsidRDefault="00636CF4" w:rsidP="00445CFD">
            <w:pPr>
              <w:spacing w:line="240" w:lineRule="auto"/>
              <w:rPr>
                <w:rFonts w:ascii="Calibri" w:eastAsia="Calibri" w:hAnsi="Calibri" w:cs="Times New Roman"/>
                <w:sz w:val="18"/>
                <w:szCs w:val="18"/>
              </w:rPr>
            </w:pPr>
          </w:p>
        </w:tc>
        <w:tc>
          <w:tcPr>
            <w:tcW w:w="695" w:type="pct"/>
          </w:tcPr>
          <w:p w:rsidR="00636CF4" w:rsidRPr="00445CFD" w:rsidRDefault="00636CF4" w:rsidP="00445CFD">
            <w:pPr>
              <w:spacing w:line="240" w:lineRule="auto"/>
              <w:rPr>
                <w:rFonts w:ascii="Calibri" w:eastAsia="Calibri" w:hAnsi="Calibri" w:cs="Times New Roman"/>
                <w:sz w:val="18"/>
                <w:szCs w:val="18"/>
              </w:rPr>
            </w:pPr>
            <w:r w:rsidRPr="00445CFD">
              <w:rPr>
                <w:rFonts w:ascii="Calibri" w:eastAsia="Calibri" w:hAnsi="Calibri" w:cs="Times New Roman"/>
                <w:sz w:val="18"/>
                <w:szCs w:val="18"/>
              </w:rPr>
              <w:t>Needs not assessed</w:t>
            </w:r>
          </w:p>
        </w:tc>
      </w:tr>
    </w:tbl>
    <w:p w:rsidR="00445CFD" w:rsidRPr="009253F9" w:rsidRDefault="00445CFD" w:rsidP="00445CFD">
      <w:pPr>
        <w:pStyle w:val="CGCTableFootnote"/>
      </w:pPr>
      <w:r w:rsidRPr="009253F9">
        <w:rPr>
          <w:color w:val="FF0000"/>
        </w:rPr>
        <w:t>*</w:t>
      </w:r>
      <w:r w:rsidRPr="009253F9">
        <w:tab/>
        <w:t>Treatment prescribed by the terms of reference.</w:t>
      </w:r>
    </w:p>
    <w:p w:rsidR="00445CFD" w:rsidRPr="009253F9" w:rsidRDefault="00445CFD" w:rsidP="00445CFD">
      <w:pPr>
        <w:pStyle w:val="CGCTableFootnote"/>
      </w:pPr>
      <w:r w:rsidRPr="009253F9">
        <w:rPr>
          <w:color w:val="FF0000"/>
        </w:rPr>
        <w:t>**</w:t>
      </w:r>
      <w:r w:rsidRPr="009253F9">
        <w:tab/>
        <w:t>Treatment change from 2014 Update</w:t>
      </w:r>
    </w:p>
    <w:p w:rsidR="00445CFD" w:rsidRPr="009253F9" w:rsidRDefault="00C57117" w:rsidP="00445CFD">
      <w:pPr>
        <w:pStyle w:val="CGCTableFootnote"/>
      </w:pPr>
      <w:r>
        <w:rPr>
          <w:color w:val="FF0000"/>
        </w:rPr>
        <w:t>#</w:t>
      </w:r>
      <w:r w:rsidR="00445CFD" w:rsidRPr="009253F9">
        <w:tab/>
        <w:t>Payments made through the States.</w:t>
      </w:r>
    </w:p>
    <w:p w:rsidR="00445CFD" w:rsidRPr="009253F9" w:rsidRDefault="00C57117" w:rsidP="00445CFD">
      <w:pPr>
        <w:pStyle w:val="CGCTableFootnote"/>
      </w:pPr>
      <w:r>
        <w:rPr>
          <w:color w:val="FF0000"/>
        </w:rPr>
        <w:t>##</w:t>
      </w:r>
      <w:r w:rsidR="00445CFD" w:rsidRPr="009253F9">
        <w:tab/>
        <w:t>Payments (full or partial) made direct to local governments.</w:t>
      </w:r>
    </w:p>
    <w:p w:rsidR="00445CFD" w:rsidRDefault="00445CFD" w:rsidP="00445CFD">
      <w:pPr>
        <w:tabs>
          <w:tab w:val="clear" w:pos="567"/>
        </w:tabs>
        <w:spacing w:after="200" w:line="276" w:lineRule="auto"/>
        <w:rPr>
          <w:szCs w:val="24"/>
        </w:rPr>
      </w:pPr>
      <w:r>
        <w:br w:type="page"/>
      </w:r>
    </w:p>
    <w:p w:rsidR="00445CFD" w:rsidRPr="009914AE" w:rsidRDefault="00445CFD" w:rsidP="00445CFD">
      <w:pPr>
        <w:pStyle w:val="Caption"/>
      </w:pPr>
      <w:bookmarkStart w:id="17" w:name="_Ref411343624"/>
      <w:r>
        <w:lastRenderedPageBreak/>
        <w:t xml:space="preserve">Table </w:t>
      </w:r>
      <w:fldSimple w:instr=" SEQ Table \* ARABIC ">
        <w:r w:rsidR="007B6A4C">
          <w:rPr>
            <w:noProof/>
          </w:rPr>
          <w:t>2</w:t>
        </w:r>
      </w:fldSimple>
      <w:bookmarkEnd w:id="17"/>
      <w:r w:rsidRPr="00B8347F">
        <w:tab/>
        <w:t>Treatment of Commonwealth own-purpose expenses payments (COPEs)</w:t>
      </w:r>
    </w:p>
    <w:tbl>
      <w:tblPr>
        <w:tblW w:w="5000" w:type="pct"/>
        <w:tblBorders>
          <w:top w:val="single" w:sz="6" w:space="0" w:color="auto"/>
          <w:bottom w:val="single" w:sz="6" w:space="0" w:color="auto"/>
        </w:tblBorders>
        <w:tblCellMar>
          <w:left w:w="85" w:type="dxa"/>
          <w:right w:w="85" w:type="dxa"/>
        </w:tblCellMar>
        <w:tblLook w:val="0000" w:firstRow="0" w:lastRow="0" w:firstColumn="0" w:lastColumn="0" w:noHBand="0" w:noVBand="0"/>
      </w:tblPr>
      <w:tblGrid>
        <w:gridCol w:w="1821"/>
        <w:gridCol w:w="3962"/>
        <w:gridCol w:w="1834"/>
        <w:gridCol w:w="2120"/>
        <w:gridCol w:w="1978"/>
        <w:gridCol w:w="1891"/>
      </w:tblGrid>
      <w:tr w:rsidR="00445CFD" w:rsidRPr="009914AE" w:rsidTr="00586726">
        <w:trPr>
          <w:cantSplit/>
          <w:tblHeader/>
        </w:trPr>
        <w:tc>
          <w:tcPr>
            <w:tcW w:w="669" w:type="pct"/>
            <w:tcBorders>
              <w:top w:val="single" w:sz="6" w:space="0" w:color="auto"/>
              <w:bottom w:val="single" w:sz="4" w:space="0" w:color="auto"/>
            </w:tcBorders>
            <w:vAlign w:val="center"/>
          </w:tcPr>
          <w:p w:rsidR="00445CFD" w:rsidRPr="009914AE" w:rsidRDefault="00445CFD" w:rsidP="006A7524">
            <w:pPr>
              <w:pStyle w:val="TableColHeadings"/>
              <w:jc w:val="left"/>
              <w:rPr>
                <w:rFonts w:cstheme="minorHAnsi"/>
                <w:sz w:val="18"/>
                <w:szCs w:val="18"/>
              </w:rPr>
            </w:pPr>
            <w:r w:rsidRPr="009914AE">
              <w:rPr>
                <w:rFonts w:cstheme="minorHAnsi"/>
                <w:sz w:val="18"/>
                <w:szCs w:val="18"/>
              </w:rPr>
              <w:t>Payment</w:t>
            </w:r>
          </w:p>
        </w:tc>
        <w:tc>
          <w:tcPr>
            <w:tcW w:w="1456" w:type="pct"/>
            <w:tcBorders>
              <w:top w:val="single" w:sz="6" w:space="0" w:color="auto"/>
              <w:bottom w:val="single" w:sz="4" w:space="0" w:color="auto"/>
            </w:tcBorders>
            <w:vAlign w:val="center"/>
          </w:tcPr>
          <w:p w:rsidR="00445CFD" w:rsidRPr="009914AE" w:rsidRDefault="00445CFD" w:rsidP="006A7524">
            <w:pPr>
              <w:pStyle w:val="TableColHeadings"/>
              <w:jc w:val="left"/>
              <w:rPr>
                <w:rFonts w:cstheme="minorHAnsi"/>
                <w:sz w:val="18"/>
                <w:szCs w:val="18"/>
              </w:rPr>
            </w:pPr>
            <w:r w:rsidRPr="009914AE">
              <w:rPr>
                <w:rFonts w:cstheme="minorHAnsi"/>
                <w:sz w:val="18"/>
                <w:szCs w:val="18"/>
              </w:rPr>
              <w:t>Program description</w:t>
            </w:r>
          </w:p>
        </w:tc>
        <w:tc>
          <w:tcPr>
            <w:tcW w:w="674" w:type="pct"/>
            <w:tcBorders>
              <w:top w:val="single" w:sz="6" w:space="0" w:color="auto"/>
              <w:bottom w:val="single" w:sz="4" w:space="0" w:color="auto"/>
            </w:tcBorders>
            <w:vAlign w:val="center"/>
          </w:tcPr>
          <w:p w:rsidR="00445CFD" w:rsidRPr="009914AE" w:rsidRDefault="00445CFD" w:rsidP="006A7524">
            <w:pPr>
              <w:pStyle w:val="TableColHeadings"/>
              <w:jc w:val="left"/>
              <w:rPr>
                <w:rFonts w:cstheme="minorHAnsi"/>
                <w:sz w:val="18"/>
                <w:szCs w:val="18"/>
              </w:rPr>
            </w:pPr>
            <w:r w:rsidRPr="009914AE">
              <w:rPr>
                <w:rFonts w:cstheme="minorHAnsi"/>
                <w:sz w:val="18"/>
                <w:szCs w:val="18"/>
              </w:rPr>
              <w:t>Years paid in R2015</w:t>
            </w:r>
          </w:p>
        </w:tc>
        <w:tc>
          <w:tcPr>
            <w:tcW w:w="779" w:type="pct"/>
            <w:tcBorders>
              <w:top w:val="single" w:sz="6" w:space="0" w:color="auto"/>
              <w:bottom w:val="single" w:sz="4" w:space="0" w:color="auto"/>
            </w:tcBorders>
            <w:vAlign w:val="center"/>
          </w:tcPr>
          <w:p w:rsidR="00445CFD" w:rsidRPr="009914AE" w:rsidRDefault="00445CFD" w:rsidP="006A7524">
            <w:pPr>
              <w:pStyle w:val="TableColHeadings"/>
              <w:jc w:val="left"/>
              <w:rPr>
                <w:rFonts w:cstheme="minorHAnsi"/>
                <w:sz w:val="18"/>
                <w:szCs w:val="18"/>
              </w:rPr>
            </w:pPr>
            <w:r w:rsidRPr="009914AE">
              <w:rPr>
                <w:rFonts w:cstheme="minorHAnsi"/>
                <w:sz w:val="18"/>
                <w:szCs w:val="18"/>
              </w:rPr>
              <w:t>Treatment in R2015</w:t>
            </w:r>
          </w:p>
        </w:tc>
        <w:tc>
          <w:tcPr>
            <w:tcW w:w="727" w:type="pct"/>
            <w:tcBorders>
              <w:top w:val="single" w:sz="6" w:space="0" w:color="auto"/>
              <w:bottom w:val="single" w:sz="4" w:space="0" w:color="auto"/>
            </w:tcBorders>
            <w:vAlign w:val="center"/>
          </w:tcPr>
          <w:p w:rsidR="00445CFD" w:rsidRPr="009914AE" w:rsidRDefault="00445CFD" w:rsidP="006A7524">
            <w:pPr>
              <w:pStyle w:val="TableColHeadings"/>
              <w:jc w:val="left"/>
              <w:rPr>
                <w:rFonts w:cstheme="minorHAnsi"/>
                <w:sz w:val="18"/>
                <w:szCs w:val="18"/>
              </w:rPr>
            </w:pPr>
            <w:r w:rsidRPr="009914AE">
              <w:rPr>
                <w:rFonts w:cstheme="minorHAnsi"/>
                <w:sz w:val="18"/>
                <w:szCs w:val="18"/>
              </w:rPr>
              <w:t>Reason for change from U2014</w:t>
            </w:r>
          </w:p>
        </w:tc>
        <w:tc>
          <w:tcPr>
            <w:tcW w:w="695" w:type="pct"/>
            <w:tcBorders>
              <w:top w:val="single" w:sz="6" w:space="0" w:color="auto"/>
              <w:bottom w:val="single" w:sz="4" w:space="0" w:color="auto"/>
            </w:tcBorders>
            <w:vAlign w:val="center"/>
          </w:tcPr>
          <w:p w:rsidR="00445CFD" w:rsidRPr="009914AE" w:rsidRDefault="00445CFD" w:rsidP="006A7524">
            <w:pPr>
              <w:pStyle w:val="TableColHeadings"/>
              <w:jc w:val="left"/>
              <w:rPr>
                <w:rFonts w:cstheme="minorHAnsi"/>
                <w:sz w:val="18"/>
                <w:szCs w:val="18"/>
              </w:rPr>
            </w:pPr>
            <w:r w:rsidRPr="009914AE">
              <w:rPr>
                <w:rFonts w:cstheme="minorHAnsi"/>
                <w:sz w:val="18"/>
                <w:szCs w:val="18"/>
              </w:rPr>
              <w:t xml:space="preserve">Reason for </w:t>
            </w:r>
            <w:r>
              <w:rPr>
                <w:rFonts w:cstheme="minorHAnsi"/>
                <w:sz w:val="18"/>
                <w:szCs w:val="18"/>
              </w:rPr>
              <w:t>‘N</w:t>
            </w:r>
            <w:r w:rsidRPr="009914AE">
              <w:rPr>
                <w:rFonts w:cstheme="minorHAnsi"/>
                <w:sz w:val="18"/>
                <w:szCs w:val="18"/>
              </w:rPr>
              <w:t>o impact</w:t>
            </w:r>
            <w:r>
              <w:rPr>
                <w:rFonts w:cstheme="minorHAnsi"/>
                <w:sz w:val="18"/>
                <w:szCs w:val="18"/>
              </w:rPr>
              <w:t>’</w:t>
            </w:r>
          </w:p>
        </w:tc>
      </w:tr>
      <w:tr w:rsidR="00636CF4" w:rsidRPr="009914AE" w:rsidTr="00586726">
        <w:trPr>
          <w:cantSplit/>
        </w:trPr>
        <w:tc>
          <w:tcPr>
            <w:tcW w:w="669" w:type="pct"/>
            <w:tcBorders>
              <w:top w:val="single" w:sz="4" w:space="0" w:color="auto"/>
            </w:tcBorders>
          </w:tcPr>
          <w:p w:rsidR="00636CF4" w:rsidRPr="00546882" w:rsidRDefault="00636CF4" w:rsidP="006A7524">
            <w:pPr>
              <w:pStyle w:val="CGCCWTableText"/>
            </w:pPr>
            <w:r w:rsidRPr="00A5067D">
              <w:rPr>
                <w:color w:val="FF0000"/>
              </w:rPr>
              <w:t>**</w:t>
            </w:r>
            <w:r w:rsidRPr="00546882">
              <w:t xml:space="preserve"> National Emergency Management Projects (NEMP)</w:t>
            </w:r>
          </w:p>
        </w:tc>
        <w:tc>
          <w:tcPr>
            <w:tcW w:w="1456" w:type="pct"/>
            <w:tcBorders>
              <w:top w:val="single" w:sz="4" w:space="0" w:color="auto"/>
            </w:tcBorders>
          </w:tcPr>
          <w:p w:rsidR="00636CF4" w:rsidRPr="00546882" w:rsidRDefault="00636CF4" w:rsidP="006A7524">
            <w:pPr>
              <w:pStyle w:val="CGCCWTableText"/>
            </w:pPr>
            <w:r w:rsidRPr="00546882">
              <w:t>Funding for emergency management projects of national significance. The projects are designed to improve the ability to prevent, prepare, respond to and recover from disasters across social, economic, environmental and governance elements. Organisations eligible to apply for the grants include Commonwealth, State/Territory and Local Governments and non-government agencies responsible for emergency management.</w:t>
            </w:r>
          </w:p>
        </w:tc>
        <w:tc>
          <w:tcPr>
            <w:tcW w:w="674" w:type="pct"/>
            <w:tcBorders>
              <w:top w:val="single" w:sz="4" w:space="0" w:color="auto"/>
            </w:tcBorders>
          </w:tcPr>
          <w:p w:rsidR="00636CF4" w:rsidRPr="00546882" w:rsidRDefault="00636CF4" w:rsidP="006A7524">
            <w:pPr>
              <w:pStyle w:val="CGCCWTableText"/>
            </w:pPr>
            <w:r w:rsidRPr="00546882">
              <w:t>2011-12 to 2013-14</w:t>
            </w:r>
          </w:p>
        </w:tc>
        <w:tc>
          <w:tcPr>
            <w:tcW w:w="779" w:type="pct"/>
            <w:tcBorders>
              <w:top w:val="single" w:sz="4" w:space="0" w:color="auto"/>
            </w:tcBorders>
          </w:tcPr>
          <w:p w:rsidR="00636CF4" w:rsidRPr="00546882" w:rsidRDefault="00636CF4" w:rsidP="006A7524">
            <w:pPr>
              <w:pStyle w:val="CGCCWTableText"/>
            </w:pPr>
            <w:r w:rsidRPr="00546882">
              <w:t xml:space="preserve">No impact </w:t>
            </w:r>
          </w:p>
        </w:tc>
        <w:tc>
          <w:tcPr>
            <w:tcW w:w="727" w:type="pct"/>
            <w:tcBorders>
              <w:top w:val="single" w:sz="4" w:space="0" w:color="auto"/>
            </w:tcBorders>
          </w:tcPr>
          <w:p w:rsidR="00636CF4" w:rsidRPr="00546882" w:rsidRDefault="00636CF4" w:rsidP="006A7524">
            <w:pPr>
              <w:pStyle w:val="CGCCWTableText"/>
            </w:pPr>
            <w:r w:rsidRPr="00546882">
              <w:t>Change from Impact to No impact because information shows the payments are for national programs</w:t>
            </w:r>
          </w:p>
        </w:tc>
        <w:tc>
          <w:tcPr>
            <w:tcW w:w="695" w:type="pct"/>
            <w:tcBorders>
              <w:top w:val="single" w:sz="4" w:space="0" w:color="auto"/>
            </w:tcBorders>
          </w:tcPr>
          <w:p w:rsidR="00636CF4" w:rsidRPr="00445CFD" w:rsidRDefault="00636CF4" w:rsidP="00636CF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purchase – needs not assessed</w:t>
            </w:r>
          </w:p>
        </w:tc>
      </w:tr>
      <w:tr w:rsidR="00636CF4" w:rsidRPr="009914AE" w:rsidTr="00586726">
        <w:trPr>
          <w:cantSplit/>
        </w:trPr>
        <w:tc>
          <w:tcPr>
            <w:tcW w:w="669" w:type="pct"/>
          </w:tcPr>
          <w:p w:rsidR="00636CF4" w:rsidRPr="00546882" w:rsidRDefault="00636CF4" w:rsidP="006A7524">
            <w:pPr>
              <w:pStyle w:val="CGCCWTableText"/>
            </w:pPr>
            <w:r w:rsidRPr="00546882">
              <w:t>Highly Specialised Drugs</w:t>
            </w:r>
          </w:p>
        </w:tc>
        <w:tc>
          <w:tcPr>
            <w:tcW w:w="1456" w:type="pct"/>
          </w:tcPr>
          <w:p w:rsidR="00636CF4" w:rsidRPr="00546882" w:rsidRDefault="00636CF4" w:rsidP="006A7524">
            <w:pPr>
              <w:pStyle w:val="CGCCWTableText"/>
            </w:pPr>
            <w:r w:rsidRPr="00546882">
              <w:t xml:space="preserve">To provide access to certain drugs under the PBS </w:t>
            </w:r>
            <w:proofErr w:type="gramStart"/>
            <w:r w:rsidRPr="00546882">
              <w:t>which must be supplied through hospitals to Outpatients because of special need</w:t>
            </w:r>
            <w:r w:rsidR="00AC0364">
              <w:t>s</w:t>
            </w:r>
            <w:r w:rsidRPr="00546882">
              <w:t xml:space="preserve"> in clinical administration or monitoring.</w:t>
            </w:r>
            <w:proofErr w:type="gramEnd"/>
            <w:r w:rsidRPr="00546882">
              <w:t xml:space="preserve">  The Commonwealth funds all usage of highly specialised drugs by hospital outpatients.  The payments only cover the cost of the drugs themselves by reimbursing the amount spent by public and private hospitals for these pharmaceutical benefits.  </w:t>
            </w:r>
          </w:p>
        </w:tc>
        <w:tc>
          <w:tcPr>
            <w:tcW w:w="674" w:type="pct"/>
          </w:tcPr>
          <w:p w:rsidR="00636CF4" w:rsidRPr="00546882" w:rsidRDefault="00636CF4" w:rsidP="006A7524">
            <w:pPr>
              <w:pStyle w:val="CGCCWTableText"/>
            </w:pPr>
            <w:r w:rsidRPr="00546882">
              <w:t>2011-12 to 2013-14</w:t>
            </w:r>
          </w:p>
        </w:tc>
        <w:tc>
          <w:tcPr>
            <w:tcW w:w="779" w:type="pct"/>
          </w:tcPr>
          <w:p w:rsidR="00636CF4" w:rsidRPr="00546882" w:rsidRDefault="00636CF4" w:rsidP="006A7524">
            <w:pPr>
              <w:pStyle w:val="CGCCWTableText"/>
            </w:pPr>
            <w:r w:rsidRPr="00546882">
              <w:t>No impact</w:t>
            </w:r>
          </w:p>
        </w:tc>
        <w:tc>
          <w:tcPr>
            <w:tcW w:w="727" w:type="pct"/>
          </w:tcPr>
          <w:p w:rsidR="00636CF4" w:rsidRPr="00546882" w:rsidRDefault="00636CF4" w:rsidP="006A7524">
            <w:pPr>
              <w:pStyle w:val="CGCCWTableText"/>
            </w:pPr>
          </w:p>
        </w:tc>
        <w:tc>
          <w:tcPr>
            <w:tcW w:w="695" w:type="pct"/>
          </w:tcPr>
          <w:p w:rsidR="00636CF4" w:rsidRPr="00445CFD" w:rsidRDefault="00636CF4" w:rsidP="00636CF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purchase – needs not assessed</w:t>
            </w:r>
          </w:p>
        </w:tc>
      </w:tr>
      <w:tr w:rsidR="00636CF4" w:rsidRPr="009914AE" w:rsidTr="00586726">
        <w:trPr>
          <w:cantSplit/>
        </w:trPr>
        <w:tc>
          <w:tcPr>
            <w:tcW w:w="669" w:type="pct"/>
          </w:tcPr>
          <w:p w:rsidR="00636CF4" w:rsidRPr="00546882" w:rsidRDefault="00636CF4" w:rsidP="006A7524">
            <w:pPr>
              <w:pStyle w:val="CGCCWTableText"/>
            </w:pPr>
            <w:r w:rsidRPr="00546882">
              <w:t>Commonwealth grants to Indigenous community health organisations</w:t>
            </w:r>
          </w:p>
        </w:tc>
        <w:tc>
          <w:tcPr>
            <w:tcW w:w="1456" w:type="pct"/>
          </w:tcPr>
          <w:p w:rsidR="00636CF4" w:rsidRPr="00546882" w:rsidRDefault="00636CF4" w:rsidP="006A7524">
            <w:pPr>
              <w:pStyle w:val="CGCCWTableText"/>
            </w:pPr>
            <w:r w:rsidRPr="00546882">
              <w:t xml:space="preserve">Funding to improve access for Indigenous people to effective health care services essential to improving health, life expectancy and reducing child mortality. Payments are made to national and State agencies and non-government organisations (NGOs).  </w:t>
            </w:r>
          </w:p>
        </w:tc>
        <w:tc>
          <w:tcPr>
            <w:tcW w:w="674" w:type="pct"/>
          </w:tcPr>
          <w:p w:rsidR="00636CF4" w:rsidRPr="00546882" w:rsidRDefault="00636CF4" w:rsidP="006A7524">
            <w:pPr>
              <w:pStyle w:val="CGCCWTableText"/>
            </w:pPr>
            <w:r w:rsidRPr="00546882">
              <w:t>2011-12 to 2013-14</w:t>
            </w:r>
          </w:p>
        </w:tc>
        <w:tc>
          <w:tcPr>
            <w:tcW w:w="779" w:type="pct"/>
          </w:tcPr>
          <w:p w:rsidR="00636CF4" w:rsidRPr="00546882" w:rsidRDefault="00636CF4" w:rsidP="00117391">
            <w:pPr>
              <w:pStyle w:val="CGCCWTableText"/>
            </w:pPr>
            <w:r w:rsidRPr="00546882">
              <w:t>Payment to State general government sector —Impact</w:t>
            </w:r>
          </w:p>
        </w:tc>
        <w:tc>
          <w:tcPr>
            <w:tcW w:w="727" w:type="pct"/>
          </w:tcPr>
          <w:p w:rsidR="00636CF4" w:rsidRPr="00546882" w:rsidRDefault="00636CF4" w:rsidP="006A7524">
            <w:pPr>
              <w:pStyle w:val="CGCCWTableText"/>
            </w:pPr>
          </w:p>
        </w:tc>
        <w:tc>
          <w:tcPr>
            <w:tcW w:w="695" w:type="pct"/>
          </w:tcPr>
          <w:p w:rsidR="00636CF4" w:rsidRDefault="00636CF4" w:rsidP="006A7524">
            <w:pPr>
              <w:pStyle w:val="CGCCWTableText"/>
            </w:pPr>
          </w:p>
        </w:tc>
      </w:tr>
      <w:tr w:rsidR="00636CF4" w:rsidRPr="009914AE" w:rsidTr="00586726">
        <w:trPr>
          <w:cantSplit/>
        </w:trPr>
        <w:tc>
          <w:tcPr>
            <w:tcW w:w="669" w:type="pct"/>
          </w:tcPr>
          <w:p w:rsidR="00636CF4" w:rsidRPr="006F6FF6" w:rsidRDefault="00636CF4" w:rsidP="006A7524">
            <w:pPr>
              <w:pStyle w:val="CGCCWTableText"/>
            </w:pPr>
            <w:r w:rsidRPr="006F6FF6">
              <w:lastRenderedPageBreak/>
              <w:t>Indigenous Culture Support program</w:t>
            </w:r>
          </w:p>
        </w:tc>
        <w:tc>
          <w:tcPr>
            <w:tcW w:w="1456" w:type="pct"/>
          </w:tcPr>
          <w:p w:rsidR="00636CF4" w:rsidRDefault="00636CF4" w:rsidP="006A7524">
            <w:pPr>
              <w:pStyle w:val="CGCCWTableText"/>
            </w:pPr>
            <w:r w:rsidRPr="006F6FF6">
              <w:t>Indigenous Culture Support — to support the maintenance and continued development of Indigenous culture at the community level.</w:t>
            </w:r>
          </w:p>
          <w:p w:rsidR="00636CF4" w:rsidRDefault="00636CF4" w:rsidP="006A7524">
            <w:pPr>
              <w:pStyle w:val="CGCCWTableText"/>
            </w:pPr>
            <w:r>
              <w:t>Indigenous Visual Arts Industry Support— funding to Indigenous art centres and allied industry organisations, with the objective of building a stronger Indigenous visual arts industry. Indigenous Language Support — to support the maintenance, transmission and revival of Indigenous languages.</w:t>
            </w:r>
          </w:p>
          <w:p w:rsidR="00636CF4" w:rsidRPr="006F6FF6" w:rsidRDefault="00636CF4" w:rsidP="006A7524">
            <w:pPr>
              <w:pStyle w:val="CGCCWTableText"/>
            </w:pPr>
            <w:r>
              <w:t>Indigenous Repatriation (domestic) — to return Aboriginal and Torres Strait Islander ancestral remains and secret sacred objects held in major Australian museums to their communities of origin.</w:t>
            </w:r>
          </w:p>
        </w:tc>
        <w:tc>
          <w:tcPr>
            <w:tcW w:w="674" w:type="pct"/>
          </w:tcPr>
          <w:p w:rsidR="00636CF4" w:rsidRPr="00CA3ED1" w:rsidRDefault="00636CF4" w:rsidP="006A7524">
            <w:pPr>
              <w:pStyle w:val="CGCCWTableText"/>
            </w:pPr>
            <w:r w:rsidRPr="00CA3ED1">
              <w:t>2011-12 to 2013-14</w:t>
            </w:r>
          </w:p>
        </w:tc>
        <w:tc>
          <w:tcPr>
            <w:tcW w:w="779" w:type="pct"/>
          </w:tcPr>
          <w:p w:rsidR="00636CF4" w:rsidRPr="00CA3ED1" w:rsidRDefault="00636CF4" w:rsidP="006A7524">
            <w:pPr>
              <w:pStyle w:val="CGCCWTableText"/>
            </w:pPr>
            <w:r w:rsidRPr="00CA3ED1">
              <w:t>No impact</w:t>
            </w:r>
          </w:p>
        </w:tc>
        <w:tc>
          <w:tcPr>
            <w:tcW w:w="727" w:type="pct"/>
          </w:tcPr>
          <w:p w:rsidR="00636CF4" w:rsidRPr="00CA3ED1" w:rsidRDefault="00636CF4" w:rsidP="006A7524">
            <w:pPr>
              <w:pStyle w:val="CGCCWTableText"/>
            </w:pPr>
          </w:p>
        </w:tc>
        <w:tc>
          <w:tcPr>
            <w:tcW w:w="695" w:type="pct"/>
          </w:tcPr>
          <w:p w:rsidR="00636CF4" w:rsidRDefault="00636CF4" w:rsidP="00636CF4">
            <w:pPr>
              <w:pStyle w:val="CGCCWTableText"/>
            </w:pPr>
            <w:r w:rsidRPr="00CA3ED1">
              <w:t xml:space="preserve">Commonwealth </w:t>
            </w:r>
            <w:r>
              <w:t xml:space="preserve">purchase – needs not assessed </w:t>
            </w:r>
            <w:r w:rsidRPr="00CA3ED1">
              <w:t xml:space="preserve"> (support Indigenous culture and arts is a Commonwealth responsibility)</w:t>
            </w:r>
          </w:p>
        </w:tc>
      </w:tr>
      <w:tr w:rsidR="00636CF4" w:rsidRPr="009914AE" w:rsidTr="00586726">
        <w:trPr>
          <w:cantSplit/>
        </w:trPr>
        <w:tc>
          <w:tcPr>
            <w:tcW w:w="669" w:type="pct"/>
          </w:tcPr>
          <w:p w:rsidR="00636CF4" w:rsidRPr="00122DE1" w:rsidRDefault="00636CF4" w:rsidP="006A7524">
            <w:pPr>
              <w:pStyle w:val="CGCCWTableText"/>
            </w:pPr>
            <w:r w:rsidRPr="00122DE1">
              <w:t>Indigenous Justice program</w:t>
            </w:r>
          </w:p>
        </w:tc>
        <w:tc>
          <w:tcPr>
            <w:tcW w:w="1456" w:type="pct"/>
          </w:tcPr>
          <w:p w:rsidR="00636CF4" w:rsidRDefault="00636CF4" w:rsidP="006A7524">
            <w:pPr>
              <w:pStyle w:val="CGCCWTableText"/>
            </w:pPr>
            <w:r w:rsidRPr="00122DE1">
              <w:t>Indigenous Justice program— to fund projects that seek to reduce adverse contact of Indigenous Australians with the criminal justice system. The objective is to support safer communities by reducing offending, victimisation and incarceration of Indigenous people.</w:t>
            </w:r>
          </w:p>
          <w:p w:rsidR="00636CF4" w:rsidRPr="00122DE1" w:rsidRDefault="00636CF4" w:rsidP="006A7524">
            <w:pPr>
              <w:pStyle w:val="CGCCWTableText"/>
            </w:pPr>
            <w:r w:rsidRPr="00B8347F">
              <w:t>Northern Territory Aboriginal interpreter service — to help Indigenous Australians access basic community services by alleviating language barriers.</w:t>
            </w:r>
          </w:p>
        </w:tc>
        <w:tc>
          <w:tcPr>
            <w:tcW w:w="674" w:type="pct"/>
          </w:tcPr>
          <w:p w:rsidR="00636CF4" w:rsidRPr="008914D6" w:rsidRDefault="00636CF4" w:rsidP="006A7524">
            <w:pPr>
              <w:pStyle w:val="CGCCWTableText"/>
            </w:pPr>
            <w:r w:rsidRPr="008914D6">
              <w:t>2011-12 to 2013-14</w:t>
            </w:r>
          </w:p>
        </w:tc>
        <w:tc>
          <w:tcPr>
            <w:tcW w:w="779" w:type="pct"/>
          </w:tcPr>
          <w:p w:rsidR="00636CF4" w:rsidRPr="008914D6" w:rsidRDefault="00D921E3" w:rsidP="006A7524">
            <w:pPr>
              <w:pStyle w:val="CGCCWTableText"/>
            </w:pPr>
            <w:r>
              <w:t xml:space="preserve">Payment to State general government sector for </w:t>
            </w:r>
            <w:r w:rsidR="00636CF4" w:rsidRPr="008914D6">
              <w:t>Indigenous Justice program — impact; NT Aboriginal interpreter service — no impact</w:t>
            </w:r>
          </w:p>
        </w:tc>
        <w:tc>
          <w:tcPr>
            <w:tcW w:w="727" w:type="pct"/>
          </w:tcPr>
          <w:p w:rsidR="00636CF4" w:rsidRPr="008914D6" w:rsidRDefault="00636CF4" w:rsidP="006A7524">
            <w:pPr>
              <w:pStyle w:val="CGCCWTableText"/>
            </w:pPr>
          </w:p>
        </w:tc>
        <w:tc>
          <w:tcPr>
            <w:tcW w:w="695" w:type="pct"/>
          </w:tcPr>
          <w:p w:rsidR="00636CF4" w:rsidRDefault="00636CF4" w:rsidP="006A7524">
            <w:pPr>
              <w:pStyle w:val="CGCCWTableText"/>
            </w:pPr>
            <w:r w:rsidRPr="008914D6">
              <w:t>NT Aboriginal interpreter service — needs not assessed</w:t>
            </w:r>
          </w:p>
        </w:tc>
      </w:tr>
      <w:tr w:rsidR="00636CF4" w:rsidRPr="009914AE" w:rsidTr="00586726">
        <w:trPr>
          <w:cantSplit/>
        </w:trPr>
        <w:tc>
          <w:tcPr>
            <w:tcW w:w="669" w:type="pct"/>
          </w:tcPr>
          <w:p w:rsidR="00636CF4" w:rsidRPr="001170D7" w:rsidRDefault="00636CF4" w:rsidP="006A7524">
            <w:pPr>
              <w:pStyle w:val="CGCCWTableText"/>
            </w:pPr>
            <w:r w:rsidRPr="001170D7">
              <w:t>Other Indigenous programs</w:t>
            </w:r>
          </w:p>
        </w:tc>
        <w:tc>
          <w:tcPr>
            <w:tcW w:w="1456" w:type="pct"/>
          </w:tcPr>
          <w:p w:rsidR="00636CF4" w:rsidRPr="001170D7" w:rsidRDefault="00636CF4" w:rsidP="00AC0364">
            <w:pPr>
              <w:pStyle w:val="CGCCWTableText"/>
            </w:pPr>
            <w:r w:rsidRPr="001170D7">
              <w:t xml:space="preserve">Family violence partnerships —to develop a sustainable reduction in, and prevention of, Indigenous family violence and child abuse through the enhancement of existing, or establishment of new services/initiatives, in partnership with States and Territories throughout Australia. Ceased at the end of 2011-12 and was merged </w:t>
            </w:r>
            <w:r w:rsidR="00AC0364">
              <w:t>with</w:t>
            </w:r>
            <w:r w:rsidR="00AC0364" w:rsidRPr="001170D7">
              <w:t xml:space="preserve"> </w:t>
            </w:r>
            <w:r w:rsidRPr="001170D7">
              <w:t>the Indigenous Family Safety</w:t>
            </w:r>
            <w:r w:rsidR="00AC0364">
              <w:t xml:space="preserve"> program</w:t>
            </w:r>
            <w:r w:rsidRPr="001170D7">
              <w:t xml:space="preserve">. </w:t>
            </w:r>
          </w:p>
        </w:tc>
        <w:tc>
          <w:tcPr>
            <w:tcW w:w="674" w:type="pct"/>
          </w:tcPr>
          <w:p w:rsidR="00636CF4" w:rsidRPr="001170D7" w:rsidRDefault="00636CF4" w:rsidP="006A7524">
            <w:pPr>
              <w:pStyle w:val="CGCCWTableText"/>
            </w:pPr>
            <w:r w:rsidRPr="001170D7">
              <w:t>2011-12 to 2013-14</w:t>
            </w:r>
          </w:p>
        </w:tc>
        <w:tc>
          <w:tcPr>
            <w:tcW w:w="779" w:type="pct"/>
          </w:tcPr>
          <w:p w:rsidR="00636CF4" w:rsidRPr="001170D7" w:rsidRDefault="00D921E3" w:rsidP="006A7524">
            <w:pPr>
              <w:pStyle w:val="CGCCWTableText"/>
            </w:pPr>
            <w:r>
              <w:t xml:space="preserve">Payment to State general government sector </w:t>
            </w:r>
            <w:r w:rsidRPr="00546882">
              <w:t>—</w:t>
            </w:r>
            <w:r>
              <w:t xml:space="preserve"> </w:t>
            </w:r>
            <w:r w:rsidR="00636CF4" w:rsidRPr="001170D7">
              <w:t>Impact</w:t>
            </w:r>
          </w:p>
        </w:tc>
        <w:tc>
          <w:tcPr>
            <w:tcW w:w="727" w:type="pct"/>
          </w:tcPr>
          <w:p w:rsidR="00636CF4" w:rsidRPr="001170D7" w:rsidRDefault="00636CF4" w:rsidP="006A7524">
            <w:pPr>
              <w:pStyle w:val="CGCCWTableText"/>
            </w:pPr>
          </w:p>
        </w:tc>
        <w:tc>
          <w:tcPr>
            <w:tcW w:w="695" w:type="pct"/>
          </w:tcPr>
          <w:p w:rsidR="00636CF4" w:rsidRPr="001170D7" w:rsidRDefault="00636CF4" w:rsidP="006A7524">
            <w:pPr>
              <w:pStyle w:val="CGCCWTableText"/>
            </w:pPr>
          </w:p>
        </w:tc>
      </w:tr>
      <w:tr w:rsidR="00636CF4" w:rsidRPr="009914AE" w:rsidTr="00586726">
        <w:trPr>
          <w:cantSplit/>
        </w:trPr>
        <w:tc>
          <w:tcPr>
            <w:tcW w:w="669" w:type="pct"/>
          </w:tcPr>
          <w:p w:rsidR="00636CF4" w:rsidRPr="001170D7" w:rsidRDefault="00636CF4" w:rsidP="006A7524">
            <w:pPr>
              <w:pStyle w:val="CGCCWTableText"/>
            </w:pPr>
          </w:p>
        </w:tc>
        <w:tc>
          <w:tcPr>
            <w:tcW w:w="1456" w:type="pct"/>
          </w:tcPr>
          <w:p w:rsidR="00636CF4" w:rsidRPr="001170D7" w:rsidRDefault="00636CF4" w:rsidP="006A7524">
            <w:pPr>
              <w:pStyle w:val="CGCCWTableText"/>
            </w:pPr>
            <w:r w:rsidRPr="001170D7">
              <w:t>Aboriginals Benefit Account — An account established under law to receive and distribute royalty equivalent monies generated from mining on Aboriginal land in the Northern Territory. The money is used for the benefit of Aboriginal people living in the Territory, such as distribution to traditional land owners who are affected by mining operation</w:t>
            </w:r>
            <w:r w:rsidR="00AC0364">
              <w:t>s</w:t>
            </w:r>
            <w:r w:rsidRPr="001170D7">
              <w:t xml:space="preserve"> and support for the administration of the Northern Territory Land Councils.</w:t>
            </w:r>
          </w:p>
        </w:tc>
        <w:tc>
          <w:tcPr>
            <w:tcW w:w="674" w:type="pct"/>
          </w:tcPr>
          <w:p w:rsidR="00636CF4" w:rsidRPr="001170D7" w:rsidRDefault="00636CF4" w:rsidP="006A7524">
            <w:pPr>
              <w:pStyle w:val="CGCCWTableText"/>
            </w:pPr>
            <w:r w:rsidRPr="001170D7">
              <w:t>2011-12</w:t>
            </w:r>
          </w:p>
        </w:tc>
        <w:tc>
          <w:tcPr>
            <w:tcW w:w="779" w:type="pct"/>
          </w:tcPr>
          <w:p w:rsidR="00636CF4" w:rsidRPr="001170D7" w:rsidRDefault="00636CF4" w:rsidP="006A7524">
            <w:pPr>
              <w:pStyle w:val="CGCCWTableText"/>
            </w:pPr>
            <w:r w:rsidRPr="001170D7">
              <w:t>No impact</w:t>
            </w:r>
          </w:p>
        </w:tc>
        <w:tc>
          <w:tcPr>
            <w:tcW w:w="727" w:type="pct"/>
          </w:tcPr>
          <w:p w:rsidR="00636CF4" w:rsidRPr="001170D7" w:rsidRDefault="00636CF4" w:rsidP="006A7524">
            <w:pPr>
              <w:pStyle w:val="CGCCWTableText"/>
            </w:pPr>
          </w:p>
        </w:tc>
        <w:tc>
          <w:tcPr>
            <w:tcW w:w="695" w:type="pct"/>
          </w:tcPr>
          <w:p w:rsidR="00636CF4" w:rsidRPr="001170D7" w:rsidRDefault="009963DC" w:rsidP="009963DC">
            <w:pPr>
              <w:pStyle w:val="CGCCWTableText"/>
            </w:pPr>
            <w:r>
              <w:t>Commonwealth purchase - n</w:t>
            </w:r>
            <w:r w:rsidR="00636CF4" w:rsidRPr="001170D7">
              <w:t>eeds not assessed</w:t>
            </w:r>
          </w:p>
        </w:tc>
      </w:tr>
      <w:tr w:rsidR="00636CF4" w:rsidRPr="009914AE" w:rsidTr="00586726">
        <w:trPr>
          <w:cantSplit/>
        </w:trPr>
        <w:tc>
          <w:tcPr>
            <w:tcW w:w="669" w:type="pct"/>
          </w:tcPr>
          <w:p w:rsidR="00636CF4" w:rsidRPr="001170D7" w:rsidRDefault="00636CF4" w:rsidP="006A7524">
            <w:pPr>
              <w:pStyle w:val="CGCCWTableText"/>
            </w:pPr>
          </w:p>
        </w:tc>
        <w:tc>
          <w:tcPr>
            <w:tcW w:w="1456" w:type="pct"/>
          </w:tcPr>
          <w:p w:rsidR="00636CF4" w:rsidRPr="001170D7" w:rsidRDefault="00636CF4" w:rsidP="006A7524">
            <w:pPr>
              <w:pStyle w:val="CGCCWTableText"/>
            </w:pPr>
            <w:r w:rsidRPr="001170D7">
              <w:t>Remote Indigenous Energy Program— to assist remote Indigenous communities to access reliable power through the installation of renewable energy systems. Also to educate community members to help make sure that people don’t waste power and train community members on how to look after the renewable energy systems.</w:t>
            </w:r>
          </w:p>
        </w:tc>
        <w:tc>
          <w:tcPr>
            <w:tcW w:w="674" w:type="pct"/>
          </w:tcPr>
          <w:p w:rsidR="00636CF4" w:rsidRPr="001170D7" w:rsidRDefault="00636CF4" w:rsidP="006A7524">
            <w:pPr>
              <w:pStyle w:val="CGCCWTableText"/>
            </w:pPr>
            <w:r w:rsidRPr="001170D7">
              <w:t>2012-13</w:t>
            </w:r>
          </w:p>
        </w:tc>
        <w:tc>
          <w:tcPr>
            <w:tcW w:w="779" w:type="pct"/>
          </w:tcPr>
          <w:p w:rsidR="00636CF4" w:rsidRPr="001170D7" w:rsidRDefault="00636CF4" w:rsidP="006A7524">
            <w:pPr>
              <w:pStyle w:val="CGCCWTableText"/>
            </w:pPr>
            <w:r w:rsidRPr="001170D7">
              <w:t>No impact</w:t>
            </w:r>
          </w:p>
        </w:tc>
        <w:tc>
          <w:tcPr>
            <w:tcW w:w="727" w:type="pct"/>
          </w:tcPr>
          <w:p w:rsidR="00636CF4" w:rsidRPr="001170D7" w:rsidRDefault="00636CF4" w:rsidP="006A7524">
            <w:pPr>
              <w:pStyle w:val="CGCCWTableText"/>
            </w:pPr>
          </w:p>
        </w:tc>
        <w:tc>
          <w:tcPr>
            <w:tcW w:w="695" w:type="pct"/>
          </w:tcPr>
          <w:p w:rsidR="00636CF4" w:rsidRPr="001170D7" w:rsidRDefault="009963DC" w:rsidP="009963DC">
            <w:pPr>
              <w:pStyle w:val="CGCCWTableText"/>
            </w:pPr>
            <w:r>
              <w:t>Commonwealth purchase - n</w:t>
            </w:r>
            <w:r w:rsidRPr="001170D7">
              <w:t xml:space="preserve">eeds not assessed </w:t>
            </w:r>
          </w:p>
        </w:tc>
      </w:tr>
      <w:tr w:rsidR="00636CF4" w:rsidRPr="009914AE" w:rsidTr="00586726">
        <w:trPr>
          <w:cantSplit/>
        </w:trPr>
        <w:tc>
          <w:tcPr>
            <w:tcW w:w="669" w:type="pct"/>
          </w:tcPr>
          <w:p w:rsidR="00636CF4" w:rsidRPr="001170D7" w:rsidRDefault="00636CF4" w:rsidP="006A7524">
            <w:pPr>
              <w:pStyle w:val="CGCCWTableText"/>
            </w:pPr>
          </w:p>
        </w:tc>
        <w:tc>
          <w:tcPr>
            <w:tcW w:w="1456" w:type="pct"/>
          </w:tcPr>
          <w:p w:rsidR="00636CF4" w:rsidRPr="001170D7" w:rsidRDefault="00636CF4" w:rsidP="006A7524">
            <w:pPr>
              <w:pStyle w:val="CGCCWTableText"/>
            </w:pPr>
            <w:r w:rsidRPr="001170D7">
              <w:t>Army Aboriginal Community Assistance Program — a collaborative partnership with the Australian Army targeting remote Indigenous communities. Aims to improve remote Indigenous communities by providing housing, road upgrades, sewerage systems, community buildings, health services and training to help local Indigenous people get jobs.</w:t>
            </w:r>
          </w:p>
        </w:tc>
        <w:tc>
          <w:tcPr>
            <w:tcW w:w="674" w:type="pct"/>
          </w:tcPr>
          <w:p w:rsidR="00636CF4" w:rsidRPr="001170D7" w:rsidRDefault="00636CF4" w:rsidP="006A7524">
            <w:pPr>
              <w:pStyle w:val="CGCCWTableText"/>
            </w:pPr>
            <w:r w:rsidRPr="001170D7">
              <w:t>2012-13</w:t>
            </w:r>
          </w:p>
        </w:tc>
        <w:tc>
          <w:tcPr>
            <w:tcW w:w="779" w:type="pct"/>
          </w:tcPr>
          <w:p w:rsidR="00636CF4" w:rsidRPr="001170D7" w:rsidRDefault="00636CF4" w:rsidP="006A7524">
            <w:pPr>
              <w:pStyle w:val="CGCCWTableText"/>
            </w:pPr>
            <w:r w:rsidRPr="001170D7">
              <w:t>No impact</w:t>
            </w:r>
          </w:p>
        </w:tc>
        <w:tc>
          <w:tcPr>
            <w:tcW w:w="727" w:type="pct"/>
          </w:tcPr>
          <w:p w:rsidR="00636CF4" w:rsidRPr="001170D7" w:rsidRDefault="00636CF4" w:rsidP="006A7524">
            <w:pPr>
              <w:pStyle w:val="CGCCWTableText"/>
            </w:pPr>
          </w:p>
        </w:tc>
        <w:tc>
          <w:tcPr>
            <w:tcW w:w="695" w:type="pct"/>
          </w:tcPr>
          <w:p w:rsidR="00636CF4" w:rsidRDefault="009963DC" w:rsidP="006A7524">
            <w:pPr>
              <w:pStyle w:val="CGCCWTableText"/>
            </w:pPr>
            <w:r>
              <w:t>Commonwealth purchase - n</w:t>
            </w:r>
            <w:r w:rsidRPr="001170D7">
              <w:t>eeds not assessed</w:t>
            </w:r>
          </w:p>
        </w:tc>
      </w:tr>
      <w:tr w:rsidR="00636CF4" w:rsidRPr="009914AE" w:rsidTr="00586726">
        <w:trPr>
          <w:cantSplit/>
        </w:trPr>
        <w:tc>
          <w:tcPr>
            <w:tcW w:w="669" w:type="pct"/>
          </w:tcPr>
          <w:p w:rsidR="00636CF4" w:rsidRPr="005957AD" w:rsidRDefault="00636CF4" w:rsidP="006A7524">
            <w:pPr>
              <w:pStyle w:val="CGCCWTableText"/>
            </w:pPr>
          </w:p>
        </w:tc>
        <w:tc>
          <w:tcPr>
            <w:tcW w:w="1456" w:type="pct"/>
          </w:tcPr>
          <w:p w:rsidR="00636CF4" w:rsidRPr="007F54CD" w:rsidRDefault="00636CF4" w:rsidP="006A7524">
            <w:pPr>
              <w:pStyle w:val="CGCCWTableText"/>
            </w:pPr>
            <w:r w:rsidRPr="007F54CD">
              <w:t>Municipal and essential services — to maintain community power, water and sewerage services, garbage collection, internal road maintenance, dog health and control programs and operation costs associated with the running of organisations that provide these services to communities.</w:t>
            </w:r>
          </w:p>
        </w:tc>
        <w:tc>
          <w:tcPr>
            <w:tcW w:w="674" w:type="pct"/>
          </w:tcPr>
          <w:p w:rsidR="00636CF4" w:rsidRPr="007F54CD" w:rsidRDefault="00636CF4" w:rsidP="006A7524">
            <w:pPr>
              <w:pStyle w:val="CGCCWTableText"/>
            </w:pPr>
            <w:r w:rsidRPr="007F54CD">
              <w:t>2011-12 to 2012-13</w:t>
            </w:r>
          </w:p>
        </w:tc>
        <w:tc>
          <w:tcPr>
            <w:tcW w:w="779" w:type="pct"/>
          </w:tcPr>
          <w:p w:rsidR="00636CF4" w:rsidRPr="007F54CD" w:rsidRDefault="00636CF4" w:rsidP="006A7524">
            <w:pPr>
              <w:pStyle w:val="CGCCWTableText"/>
            </w:pPr>
            <w:r w:rsidRPr="007F54CD">
              <w:t>No impact</w:t>
            </w:r>
          </w:p>
        </w:tc>
        <w:tc>
          <w:tcPr>
            <w:tcW w:w="727" w:type="pct"/>
          </w:tcPr>
          <w:p w:rsidR="00636CF4" w:rsidRPr="007F54CD" w:rsidRDefault="00636CF4" w:rsidP="006A7524">
            <w:pPr>
              <w:pStyle w:val="CGCCWTableText"/>
            </w:pPr>
          </w:p>
        </w:tc>
        <w:tc>
          <w:tcPr>
            <w:tcW w:w="695" w:type="pct"/>
          </w:tcPr>
          <w:p w:rsidR="00636CF4" w:rsidRPr="007F54CD" w:rsidRDefault="009963DC" w:rsidP="006A7524">
            <w:pPr>
              <w:pStyle w:val="CGCCWTableText"/>
            </w:pPr>
            <w:r>
              <w:t>Commonwealth purchase - n</w:t>
            </w:r>
            <w:r w:rsidRPr="001170D7">
              <w:t>eeds not assessed</w:t>
            </w:r>
          </w:p>
        </w:tc>
      </w:tr>
      <w:tr w:rsidR="00636CF4" w:rsidRPr="009914AE" w:rsidTr="00586726">
        <w:trPr>
          <w:cantSplit/>
        </w:trPr>
        <w:tc>
          <w:tcPr>
            <w:tcW w:w="669" w:type="pct"/>
          </w:tcPr>
          <w:p w:rsidR="00636CF4" w:rsidRPr="005957AD" w:rsidRDefault="00636CF4" w:rsidP="006A7524">
            <w:pPr>
              <w:pStyle w:val="CGCCWTableText"/>
            </w:pPr>
          </w:p>
        </w:tc>
        <w:tc>
          <w:tcPr>
            <w:tcW w:w="1456" w:type="pct"/>
          </w:tcPr>
          <w:p w:rsidR="00636CF4" w:rsidRPr="007F54CD" w:rsidRDefault="00636CF4" w:rsidP="006A7524">
            <w:pPr>
              <w:pStyle w:val="CGCCWTableText"/>
            </w:pPr>
            <w:r w:rsidRPr="007F54CD">
              <w:t>Housing and infrastructure projects — to provide housing for Indigenous people in remote communities and to address overcrowding, homelessness, poor housing conditions and severe housing shortages in these communities.</w:t>
            </w:r>
          </w:p>
        </w:tc>
        <w:tc>
          <w:tcPr>
            <w:tcW w:w="674" w:type="pct"/>
          </w:tcPr>
          <w:p w:rsidR="00636CF4" w:rsidRPr="007F54CD" w:rsidRDefault="00636CF4" w:rsidP="006A7524">
            <w:pPr>
              <w:pStyle w:val="CGCCWTableText"/>
            </w:pPr>
            <w:r w:rsidRPr="007F54CD">
              <w:t>2011-12 to 2012-13</w:t>
            </w:r>
          </w:p>
        </w:tc>
        <w:tc>
          <w:tcPr>
            <w:tcW w:w="779" w:type="pct"/>
          </w:tcPr>
          <w:p w:rsidR="00636CF4" w:rsidRPr="007F54CD" w:rsidRDefault="00D921E3" w:rsidP="006A7524">
            <w:pPr>
              <w:pStyle w:val="CGCCWTableText"/>
            </w:pPr>
            <w:r>
              <w:t xml:space="preserve">Payment to State general government sector </w:t>
            </w:r>
            <w:r w:rsidRPr="00546882">
              <w:t>—</w:t>
            </w:r>
            <w:r>
              <w:t xml:space="preserve"> </w:t>
            </w:r>
            <w:r w:rsidR="00636CF4" w:rsidRPr="007F54CD">
              <w:t>Impact</w:t>
            </w:r>
          </w:p>
        </w:tc>
        <w:tc>
          <w:tcPr>
            <w:tcW w:w="727" w:type="pct"/>
          </w:tcPr>
          <w:p w:rsidR="00636CF4" w:rsidRPr="007F54CD" w:rsidRDefault="00636CF4" w:rsidP="006A7524">
            <w:pPr>
              <w:pStyle w:val="CGCCWTableText"/>
            </w:pPr>
          </w:p>
        </w:tc>
        <w:tc>
          <w:tcPr>
            <w:tcW w:w="695" w:type="pct"/>
          </w:tcPr>
          <w:p w:rsidR="00636CF4" w:rsidRPr="007F54CD" w:rsidRDefault="00636CF4" w:rsidP="006A7524">
            <w:pPr>
              <w:pStyle w:val="CGCCWTableText"/>
            </w:pPr>
          </w:p>
        </w:tc>
      </w:tr>
      <w:tr w:rsidR="00636CF4" w:rsidRPr="009914AE" w:rsidTr="00586726">
        <w:trPr>
          <w:cantSplit/>
        </w:trPr>
        <w:tc>
          <w:tcPr>
            <w:tcW w:w="669" w:type="pct"/>
          </w:tcPr>
          <w:p w:rsidR="00636CF4" w:rsidRPr="005957AD" w:rsidRDefault="00636CF4" w:rsidP="006A7524">
            <w:pPr>
              <w:pStyle w:val="CGCCWTableText"/>
            </w:pPr>
          </w:p>
        </w:tc>
        <w:tc>
          <w:tcPr>
            <w:tcW w:w="1456" w:type="pct"/>
          </w:tcPr>
          <w:p w:rsidR="00636CF4" w:rsidRPr="007F54CD" w:rsidRDefault="00636CF4" w:rsidP="006A7524">
            <w:pPr>
              <w:pStyle w:val="CGCCWTableText"/>
            </w:pPr>
            <w:r w:rsidRPr="007F54CD">
              <w:t>Breaking the cycle of alcohol and drug abuse in Indigenous communities — to assist Indigenous communities to develop and implement Alcohol and substance abuse manage</w:t>
            </w:r>
            <w:r w:rsidR="00AC0364">
              <w:t>ment</w:t>
            </w:r>
            <w:r w:rsidRPr="007F54CD">
              <w:t xml:space="preserve"> plans (AMP), support community groups and not-for-profit organisations work at a local level in order to drive the AMP and support the community, and provide prevention program</w:t>
            </w:r>
            <w:r w:rsidR="00AC0364">
              <w:t>s</w:t>
            </w:r>
            <w:r w:rsidRPr="007F54CD">
              <w:t xml:space="preserve"> to tackle youth substance abuse.</w:t>
            </w:r>
          </w:p>
        </w:tc>
        <w:tc>
          <w:tcPr>
            <w:tcW w:w="674" w:type="pct"/>
          </w:tcPr>
          <w:p w:rsidR="00636CF4" w:rsidRPr="007F54CD" w:rsidRDefault="00636CF4" w:rsidP="006A7524">
            <w:pPr>
              <w:pStyle w:val="CGCCWTableText"/>
            </w:pPr>
            <w:r w:rsidRPr="007F54CD">
              <w:t>2011-12 to 2012-13</w:t>
            </w:r>
          </w:p>
        </w:tc>
        <w:tc>
          <w:tcPr>
            <w:tcW w:w="779" w:type="pct"/>
          </w:tcPr>
          <w:p w:rsidR="00636CF4" w:rsidRPr="007F54CD" w:rsidRDefault="00D921E3" w:rsidP="006A7524">
            <w:pPr>
              <w:pStyle w:val="CGCCWTableText"/>
            </w:pPr>
            <w:r>
              <w:t xml:space="preserve">Payment to State general government sector </w:t>
            </w:r>
            <w:r w:rsidRPr="00546882">
              <w:t>—</w:t>
            </w:r>
            <w:r>
              <w:t xml:space="preserve"> </w:t>
            </w:r>
            <w:r w:rsidR="00636CF4" w:rsidRPr="007F54CD">
              <w:t>Impact</w:t>
            </w:r>
          </w:p>
        </w:tc>
        <w:tc>
          <w:tcPr>
            <w:tcW w:w="727" w:type="pct"/>
          </w:tcPr>
          <w:p w:rsidR="00636CF4" w:rsidRPr="007F54CD" w:rsidRDefault="00636CF4" w:rsidP="006A7524">
            <w:pPr>
              <w:pStyle w:val="CGCCWTableText"/>
            </w:pPr>
          </w:p>
        </w:tc>
        <w:tc>
          <w:tcPr>
            <w:tcW w:w="695" w:type="pct"/>
          </w:tcPr>
          <w:p w:rsidR="00636CF4" w:rsidRPr="007F54CD" w:rsidRDefault="00636CF4" w:rsidP="006A7524">
            <w:pPr>
              <w:pStyle w:val="CGCCWTableText"/>
            </w:pPr>
          </w:p>
        </w:tc>
      </w:tr>
      <w:tr w:rsidR="00636CF4" w:rsidRPr="009914AE" w:rsidTr="00586726">
        <w:trPr>
          <w:cantSplit/>
        </w:trPr>
        <w:tc>
          <w:tcPr>
            <w:tcW w:w="669" w:type="pct"/>
          </w:tcPr>
          <w:p w:rsidR="00636CF4" w:rsidRPr="005957AD" w:rsidRDefault="00636CF4" w:rsidP="006A7524">
            <w:pPr>
              <w:pStyle w:val="CGCCWTableText"/>
            </w:pPr>
          </w:p>
        </w:tc>
        <w:tc>
          <w:tcPr>
            <w:tcW w:w="1456" w:type="pct"/>
          </w:tcPr>
          <w:p w:rsidR="00636CF4" w:rsidRPr="007F54CD" w:rsidRDefault="00636CF4" w:rsidP="00AC0364">
            <w:pPr>
              <w:pStyle w:val="CGCCWTableText"/>
            </w:pPr>
            <w:r w:rsidRPr="007F54CD">
              <w:t>Combatting Petrol Sniffing Strategy — Aims to reduce the incidence and impact of petrol sniffing and other forms of substance abuse among Indigenous youth and communities in specific areas.</w:t>
            </w:r>
          </w:p>
        </w:tc>
        <w:tc>
          <w:tcPr>
            <w:tcW w:w="674" w:type="pct"/>
          </w:tcPr>
          <w:p w:rsidR="00636CF4" w:rsidRPr="007F54CD" w:rsidRDefault="00636CF4" w:rsidP="006A7524">
            <w:pPr>
              <w:pStyle w:val="CGCCWTableText"/>
            </w:pPr>
            <w:r w:rsidRPr="007F54CD">
              <w:t>2012-13</w:t>
            </w:r>
          </w:p>
        </w:tc>
        <w:tc>
          <w:tcPr>
            <w:tcW w:w="779" w:type="pct"/>
          </w:tcPr>
          <w:p w:rsidR="00636CF4" w:rsidRPr="007F54CD" w:rsidRDefault="00D921E3" w:rsidP="006A7524">
            <w:pPr>
              <w:pStyle w:val="CGCCWTableText"/>
            </w:pPr>
            <w:r>
              <w:t xml:space="preserve">Payment to State general government sector </w:t>
            </w:r>
            <w:r w:rsidRPr="00546882">
              <w:t>—</w:t>
            </w:r>
            <w:r>
              <w:t xml:space="preserve"> </w:t>
            </w:r>
            <w:r w:rsidR="00636CF4" w:rsidRPr="007F54CD">
              <w:t xml:space="preserve">Impact </w:t>
            </w:r>
          </w:p>
        </w:tc>
        <w:tc>
          <w:tcPr>
            <w:tcW w:w="727" w:type="pct"/>
          </w:tcPr>
          <w:p w:rsidR="00636CF4" w:rsidRPr="007F54CD" w:rsidRDefault="00636CF4" w:rsidP="006A7524">
            <w:pPr>
              <w:pStyle w:val="CGCCWTableText"/>
            </w:pPr>
          </w:p>
        </w:tc>
        <w:tc>
          <w:tcPr>
            <w:tcW w:w="695" w:type="pct"/>
          </w:tcPr>
          <w:p w:rsidR="00636CF4" w:rsidRPr="007F54CD" w:rsidRDefault="00636CF4" w:rsidP="006A7524">
            <w:pPr>
              <w:pStyle w:val="CGCCWTableText"/>
            </w:pPr>
          </w:p>
        </w:tc>
      </w:tr>
      <w:tr w:rsidR="00636CF4" w:rsidRPr="009914AE" w:rsidTr="00586726">
        <w:trPr>
          <w:cantSplit/>
        </w:trPr>
        <w:tc>
          <w:tcPr>
            <w:tcW w:w="669" w:type="pct"/>
          </w:tcPr>
          <w:p w:rsidR="00636CF4" w:rsidRPr="005957AD" w:rsidRDefault="00636CF4" w:rsidP="006A7524">
            <w:pPr>
              <w:pStyle w:val="CGCCWTableText"/>
            </w:pPr>
          </w:p>
        </w:tc>
        <w:tc>
          <w:tcPr>
            <w:tcW w:w="1456" w:type="pct"/>
          </w:tcPr>
          <w:p w:rsidR="00636CF4" w:rsidRPr="007F54CD" w:rsidRDefault="00636CF4" w:rsidP="006A7524">
            <w:pPr>
              <w:pStyle w:val="CGCCWTableText"/>
            </w:pPr>
            <w:r w:rsidRPr="007F54CD">
              <w:t>Indigenous Boarding Hostel's Partnership — to provide Indigenous secondary school students from remote areas the opportunity to live at boarding facilities in major regional centres in order to access educational opportunities not otherwise available to them.</w:t>
            </w:r>
          </w:p>
        </w:tc>
        <w:tc>
          <w:tcPr>
            <w:tcW w:w="674" w:type="pct"/>
          </w:tcPr>
          <w:p w:rsidR="00636CF4" w:rsidRPr="007F54CD" w:rsidRDefault="00636CF4" w:rsidP="006A7524">
            <w:pPr>
              <w:pStyle w:val="CGCCWTableText"/>
            </w:pPr>
            <w:r w:rsidRPr="007F54CD">
              <w:t>2011-12</w:t>
            </w:r>
          </w:p>
        </w:tc>
        <w:tc>
          <w:tcPr>
            <w:tcW w:w="779" w:type="pct"/>
          </w:tcPr>
          <w:p w:rsidR="00636CF4" w:rsidRPr="007F54CD" w:rsidRDefault="00636CF4" w:rsidP="006A7524">
            <w:pPr>
              <w:pStyle w:val="CGCCWTableText"/>
            </w:pPr>
            <w:r w:rsidRPr="007F54CD">
              <w:t>No impact</w:t>
            </w:r>
          </w:p>
        </w:tc>
        <w:tc>
          <w:tcPr>
            <w:tcW w:w="727" w:type="pct"/>
          </w:tcPr>
          <w:p w:rsidR="00636CF4" w:rsidRPr="007F54CD" w:rsidRDefault="00636CF4" w:rsidP="006A7524">
            <w:pPr>
              <w:pStyle w:val="CGCCWTableText"/>
            </w:pPr>
          </w:p>
        </w:tc>
        <w:tc>
          <w:tcPr>
            <w:tcW w:w="695" w:type="pct"/>
          </w:tcPr>
          <w:p w:rsidR="00636CF4" w:rsidRPr="007F54CD" w:rsidRDefault="009963DC" w:rsidP="006A7524">
            <w:pPr>
              <w:pStyle w:val="CGCCWTableText"/>
            </w:pPr>
            <w:r>
              <w:t>Commonwealth purchase - n</w:t>
            </w:r>
            <w:r w:rsidRPr="001170D7">
              <w:t>eeds not assessed</w:t>
            </w:r>
          </w:p>
        </w:tc>
      </w:tr>
      <w:tr w:rsidR="00636CF4" w:rsidRPr="009914AE" w:rsidTr="00586726">
        <w:trPr>
          <w:cantSplit/>
        </w:trPr>
        <w:tc>
          <w:tcPr>
            <w:tcW w:w="669" w:type="pct"/>
          </w:tcPr>
          <w:p w:rsidR="00636CF4" w:rsidRPr="005957AD" w:rsidRDefault="00636CF4" w:rsidP="006A7524">
            <w:pPr>
              <w:pStyle w:val="CGCCWTableText"/>
            </w:pPr>
          </w:p>
        </w:tc>
        <w:tc>
          <w:tcPr>
            <w:tcW w:w="1456" w:type="pct"/>
          </w:tcPr>
          <w:p w:rsidR="00636CF4" w:rsidRPr="007F54CD" w:rsidRDefault="00636CF4" w:rsidP="006A7524">
            <w:pPr>
              <w:pStyle w:val="CGCCWTableText"/>
            </w:pPr>
            <w:r w:rsidRPr="007F54CD">
              <w:t>Indigenous Leadership — to develop effective leadership capacity for Indigenous individuals and communities to improve their wellbeing and engagement with government, with a focus on leadership.</w:t>
            </w:r>
          </w:p>
        </w:tc>
        <w:tc>
          <w:tcPr>
            <w:tcW w:w="674" w:type="pct"/>
          </w:tcPr>
          <w:p w:rsidR="00636CF4" w:rsidRPr="007F54CD" w:rsidRDefault="00636CF4" w:rsidP="00445CFD">
            <w:pPr>
              <w:pStyle w:val="CGCCWTableText"/>
            </w:pPr>
            <w:r w:rsidRPr="007F54CD">
              <w:t>2012-13</w:t>
            </w:r>
          </w:p>
        </w:tc>
        <w:tc>
          <w:tcPr>
            <w:tcW w:w="779" w:type="pct"/>
          </w:tcPr>
          <w:p w:rsidR="00636CF4" w:rsidRPr="007F54CD" w:rsidRDefault="00636CF4" w:rsidP="00445CFD">
            <w:pPr>
              <w:pStyle w:val="CGCCWTableText"/>
            </w:pPr>
            <w:r w:rsidRPr="007F54CD">
              <w:t>No impact</w:t>
            </w:r>
          </w:p>
        </w:tc>
        <w:tc>
          <w:tcPr>
            <w:tcW w:w="727" w:type="pct"/>
          </w:tcPr>
          <w:p w:rsidR="00636CF4" w:rsidRPr="007F54CD" w:rsidRDefault="00636CF4" w:rsidP="00445CFD">
            <w:pPr>
              <w:pStyle w:val="CGCCWTableText"/>
            </w:pPr>
          </w:p>
        </w:tc>
        <w:tc>
          <w:tcPr>
            <w:tcW w:w="695" w:type="pct"/>
          </w:tcPr>
          <w:p w:rsidR="00636CF4" w:rsidRDefault="009963DC" w:rsidP="006A7524">
            <w:pPr>
              <w:pStyle w:val="CGCCWTableText"/>
            </w:pPr>
            <w:r>
              <w:t>Commonwealth purchase - n</w:t>
            </w:r>
            <w:r w:rsidRPr="001170D7">
              <w:t>eeds not assessed</w:t>
            </w:r>
          </w:p>
        </w:tc>
      </w:tr>
      <w:tr w:rsidR="00636CF4" w:rsidRPr="009914AE" w:rsidTr="00586726">
        <w:trPr>
          <w:cantSplit/>
        </w:trPr>
        <w:tc>
          <w:tcPr>
            <w:tcW w:w="669" w:type="pct"/>
          </w:tcPr>
          <w:p w:rsidR="00636CF4" w:rsidRPr="005957AD" w:rsidRDefault="00636CF4" w:rsidP="006A7524">
            <w:pPr>
              <w:pStyle w:val="CGCCWTableText"/>
            </w:pPr>
          </w:p>
        </w:tc>
        <w:tc>
          <w:tcPr>
            <w:tcW w:w="1456" w:type="pct"/>
          </w:tcPr>
          <w:p w:rsidR="00636CF4" w:rsidRPr="00627DA3" w:rsidRDefault="00636CF4" w:rsidP="006A7524">
            <w:pPr>
              <w:pStyle w:val="CGCCWTableText"/>
            </w:pPr>
            <w:r w:rsidRPr="00627DA3">
              <w:t>Indigenous Women's Grants — provide funding for activities that respond to the particular needs and circumstances of local Indigenous women, such as to support more women to undertake leadership, representative and management roles; and to increase Indigenous women’s awareness of, access to, and role in local priority setting and Government funding activities.</w:t>
            </w:r>
          </w:p>
        </w:tc>
        <w:tc>
          <w:tcPr>
            <w:tcW w:w="674" w:type="pct"/>
          </w:tcPr>
          <w:p w:rsidR="00636CF4" w:rsidRPr="00627DA3" w:rsidRDefault="00636CF4" w:rsidP="00445CFD">
            <w:pPr>
              <w:pStyle w:val="CGCCWTableText"/>
            </w:pPr>
            <w:r w:rsidRPr="00627DA3">
              <w:t>2012-13</w:t>
            </w:r>
          </w:p>
        </w:tc>
        <w:tc>
          <w:tcPr>
            <w:tcW w:w="779" w:type="pct"/>
          </w:tcPr>
          <w:p w:rsidR="00636CF4" w:rsidRPr="00627DA3" w:rsidRDefault="00636CF4" w:rsidP="00445CFD">
            <w:pPr>
              <w:pStyle w:val="CGCCWTableText"/>
            </w:pPr>
            <w:r w:rsidRPr="00627DA3">
              <w:t>No impact</w:t>
            </w:r>
          </w:p>
        </w:tc>
        <w:tc>
          <w:tcPr>
            <w:tcW w:w="727" w:type="pct"/>
          </w:tcPr>
          <w:p w:rsidR="00636CF4" w:rsidRPr="00627DA3" w:rsidRDefault="00636CF4" w:rsidP="00445CFD">
            <w:pPr>
              <w:pStyle w:val="CGCCWTableText"/>
            </w:pPr>
          </w:p>
        </w:tc>
        <w:tc>
          <w:tcPr>
            <w:tcW w:w="695" w:type="pct"/>
          </w:tcPr>
          <w:p w:rsidR="00636CF4" w:rsidRPr="00627DA3" w:rsidRDefault="009963DC" w:rsidP="006A7524">
            <w:pPr>
              <w:pStyle w:val="CGCCWTableText"/>
            </w:pPr>
            <w:r>
              <w:t>Commonwealth purchase - n</w:t>
            </w:r>
            <w:r w:rsidRPr="001170D7">
              <w:t>eeds not assessed</w:t>
            </w:r>
          </w:p>
        </w:tc>
      </w:tr>
      <w:tr w:rsidR="00636CF4" w:rsidRPr="009914AE" w:rsidTr="00586726">
        <w:trPr>
          <w:cantSplit/>
        </w:trPr>
        <w:tc>
          <w:tcPr>
            <w:tcW w:w="669" w:type="pct"/>
          </w:tcPr>
          <w:p w:rsidR="00636CF4" w:rsidRPr="005957AD" w:rsidRDefault="00636CF4" w:rsidP="006A7524">
            <w:pPr>
              <w:pStyle w:val="CGCCWTableText"/>
            </w:pPr>
          </w:p>
        </w:tc>
        <w:tc>
          <w:tcPr>
            <w:tcW w:w="1456" w:type="pct"/>
          </w:tcPr>
          <w:p w:rsidR="00636CF4" w:rsidRPr="00627DA3" w:rsidRDefault="00636CF4" w:rsidP="006A7524">
            <w:pPr>
              <w:pStyle w:val="CGCCWTableText"/>
            </w:pPr>
            <w:r w:rsidRPr="00627DA3">
              <w:t xml:space="preserve">Indigenous Community Strategic Investment (ICSI) — to provide the opportunity to create sustainable improvements for Indigenous Australians through a range of flexible funding and strategic initiatives in Indigenous communities. </w:t>
            </w:r>
          </w:p>
        </w:tc>
        <w:tc>
          <w:tcPr>
            <w:tcW w:w="674" w:type="pct"/>
          </w:tcPr>
          <w:p w:rsidR="00636CF4" w:rsidRPr="00627DA3" w:rsidRDefault="00636CF4" w:rsidP="00445CFD">
            <w:pPr>
              <w:pStyle w:val="CGCCWTableText"/>
            </w:pPr>
            <w:r w:rsidRPr="00627DA3">
              <w:t>2011-12 to 2012-13</w:t>
            </w:r>
          </w:p>
        </w:tc>
        <w:tc>
          <w:tcPr>
            <w:tcW w:w="779" w:type="pct"/>
          </w:tcPr>
          <w:p w:rsidR="00636CF4" w:rsidRPr="00627DA3" w:rsidRDefault="00636CF4" w:rsidP="00445CFD">
            <w:pPr>
              <w:pStyle w:val="CGCCWTableText"/>
            </w:pPr>
            <w:r w:rsidRPr="00627DA3">
              <w:t xml:space="preserve">No impact </w:t>
            </w:r>
          </w:p>
        </w:tc>
        <w:tc>
          <w:tcPr>
            <w:tcW w:w="727" w:type="pct"/>
          </w:tcPr>
          <w:p w:rsidR="00636CF4" w:rsidRPr="00627DA3" w:rsidRDefault="00636CF4" w:rsidP="00445CFD">
            <w:pPr>
              <w:pStyle w:val="CGCCWTableText"/>
            </w:pPr>
          </w:p>
        </w:tc>
        <w:tc>
          <w:tcPr>
            <w:tcW w:w="695" w:type="pct"/>
          </w:tcPr>
          <w:p w:rsidR="00636CF4" w:rsidRPr="00627DA3" w:rsidRDefault="00636CF4" w:rsidP="006A7524">
            <w:pPr>
              <w:pStyle w:val="CGCCWTableText"/>
            </w:pPr>
            <w:r w:rsidRPr="00627DA3">
              <w:t>Majority of projects is specific to the communities and needs are not assessed</w:t>
            </w:r>
          </w:p>
        </w:tc>
      </w:tr>
      <w:tr w:rsidR="00636CF4" w:rsidRPr="009914AE" w:rsidTr="00586726">
        <w:trPr>
          <w:cantSplit/>
        </w:trPr>
        <w:tc>
          <w:tcPr>
            <w:tcW w:w="669" w:type="pct"/>
          </w:tcPr>
          <w:p w:rsidR="00636CF4" w:rsidRPr="005957AD" w:rsidRDefault="00636CF4" w:rsidP="006A7524">
            <w:pPr>
              <w:pStyle w:val="CGCCWTableText"/>
            </w:pPr>
          </w:p>
        </w:tc>
        <w:tc>
          <w:tcPr>
            <w:tcW w:w="1456" w:type="pct"/>
          </w:tcPr>
          <w:p w:rsidR="00636CF4" w:rsidRPr="00627DA3" w:rsidRDefault="00636CF4" w:rsidP="006A7524">
            <w:pPr>
              <w:pStyle w:val="CGCCWTableText"/>
            </w:pPr>
            <w:r w:rsidRPr="00627DA3">
              <w:t>Indigenous Remote Service Delivery — to improve the delivery of services to 29 priority remote locations across New South Wales, Queensland, Western Australia, South Australia and the Northern Territory.</w:t>
            </w:r>
          </w:p>
        </w:tc>
        <w:tc>
          <w:tcPr>
            <w:tcW w:w="674" w:type="pct"/>
          </w:tcPr>
          <w:p w:rsidR="00636CF4" w:rsidRPr="00627DA3" w:rsidRDefault="00636CF4" w:rsidP="00445CFD">
            <w:pPr>
              <w:pStyle w:val="CGCCWTableText"/>
            </w:pPr>
            <w:r w:rsidRPr="00627DA3">
              <w:t>2011-12 to 2012-13</w:t>
            </w:r>
          </w:p>
        </w:tc>
        <w:tc>
          <w:tcPr>
            <w:tcW w:w="779" w:type="pct"/>
          </w:tcPr>
          <w:p w:rsidR="00636CF4" w:rsidRPr="00627DA3" w:rsidRDefault="00D921E3" w:rsidP="00445CFD">
            <w:pPr>
              <w:pStyle w:val="CGCCWTableText"/>
            </w:pPr>
            <w:r>
              <w:t xml:space="preserve">Payment to State general government sector </w:t>
            </w:r>
            <w:r w:rsidRPr="00546882">
              <w:t>—</w:t>
            </w:r>
            <w:r>
              <w:t xml:space="preserve"> </w:t>
            </w:r>
            <w:r w:rsidR="00636CF4" w:rsidRPr="00627DA3">
              <w:t>Impact</w:t>
            </w:r>
          </w:p>
        </w:tc>
        <w:tc>
          <w:tcPr>
            <w:tcW w:w="727" w:type="pct"/>
          </w:tcPr>
          <w:p w:rsidR="00636CF4" w:rsidRPr="00627DA3" w:rsidRDefault="00636CF4" w:rsidP="00445CFD">
            <w:pPr>
              <w:pStyle w:val="CGCCWTableText"/>
            </w:pPr>
          </w:p>
        </w:tc>
        <w:tc>
          <w:tcPr>
            <w:tcW w:w="695" w:type="pct"/>
          </w:tcPr>
          <w:p w:rsidR="00636CF4" w:rsidRPr="00627DA3" w:rsidRDefault="00636CF4" w:rsidP="006A7524">
            <w:pPr>
              <w:pStyle w:val="CGCCWTableText"/>
            </w:pPr>
          </w:p>
        </w:tc>
      </w:tr>
      <w:tr w:rsidR="00636CF4" w:rsidRPr="009914AE" w:rsidTr="00586726">
        <w:trPr>
          <w:cantSplit/>
        </w:trPr>
        <w:tc>
          <w:tcPr>
            <w:tcW w:w="669" w:type="pct"/>
          </w:tcPr>
          <w:p w:rsidR="00636CF4" w:rsidRPr="005957AD" w:rsidRDefault="00636CF4" w:rsidP="006A7524">
            <w:pPr>
              <w:pStyle w:val="CGCCWTableText"/>
            </w:pPr>
          </w:p>
        </w:tc>
        <w:tc>
          <w:tcPr>
            <w:tcW w:w="1456" w:type="pct"/>
          </w:tcPr>
          <w:p w:rsidR="00636CF4" w:rsidRDefault="00636CF4" w:rsidP="006A7524">
            <w:pPr>
              <w:pStyle w:val="CGCCWTableText"/>
            </w:pPr>
            <w:r w:rsidRPr="00627DA3">
              <w:t xml:space="preserve">Community Development Employment Project (CDEP) — to strengthen Indigenous communities and support Indigenous people in remote areas through community development and participation opportunities that develop skills, improve capacity, work readiness and employability and link with local priorities. </w:t>
            </w:r>
          </w:p>
          <w:p w:rsidR="00636CF4" w:rsidRPr="00627DA3" w:rsidRDefault="00636CF4" w:rsidP="00AC0364">
            <w:pPr>
              <w:pStyle w:val="CGCCWTableText"/>
            </w:pPr>
            <w:r w:rsidRPr="00627DA3">
              <w:t xml:space="preserve">From 1 July 2013, the Australian Government’s new Remote Jobs and Communities Program </w:t>
            </w:r>
            <w:proofErr w:type="gramStart"/>
            <w:r w:rsidRPr="00627DA3">
              <w:t>provides</w:t>
            </w:r>
            <w:proofErr w:type="gramEnd"/>
            <w:r w:rsidRPr="00627DA3">
              <w:t xml:space="preserve"> a more streamline</w:t>
            </w:r>
            <w:r w:rsidR="00117391">
              <w:t>d</w:t>
            </w:r>
            <w:r w:rsidRPr="00627DA3">
              <w:t xml:space="preserve"> and flexible approach to employment, participation and community-development services in 60 remote regions. The new program builds on the strengths of four existing programs: Job Services Australia, Disability Employment Services, the Indigenous Employment Program and the </w:t>
            </w:r>
            <w:r w:rsidR="00AC0364">
              <w:t>CDEP</w:t>
            </w:r>
            <w:r w:rsidRPr="00627DA3">
              <w:t xml:space="preserve"> program.</w:t>
            </w:r>
          </w:p>
        </w:tc>
        <w:tc>
          <w:tcPr>
            <w:tcW w:w="674" w:type="pct"/>
          </w:tcPr>
          <w:p w:rsidR="00636CF4" w:rsidRPr="00627DA3" w:rsidRDefault="00636CF4" w:rsidP="00445CFD">
            <w:pPr>
              <w:pStyle w:val="CGCCWTableText"/>
            </w:pPr>
            <w:r w:rsidRPr="00627DA3">
              <w:t>2012-13</w:t>
            </w:r>
          </w:p>
        </w:tc>
        <w:tc>
          <w:tcPr>
            <w:tcW w:w="779" w:type="pct"/>
          </w:tcPr>
          <w:p w:rsidR="00636CF4" w:rsidRPr="00627DA3" w:rsidRDefault="00636CF4" w:rsidP="00445CFD">
            <w:pPr>
              <w:pStyle w:val="CGCCWTableText"/>
            </w:pPr>
            <w:r w:rsidRPr="00627DA3">
              <w:t>No impact</w:t>
            </w:r>
          </w:p>
        </w:tc>
        <w:tc>
          <w:tcPr>
            <w:tcW w:w="727" w:type="pct"/>
          </w:tcPr>
          <w:p w:rsidR="00636CF4" w:rsidRPr="00627DA3" w:rsidRDefault="00636CF4" w:rsidP="00445CFD">
            <w:pPr>
              <w:pStyle w:val="CGCCWTableText"/>
            </w:pPr>
          </w:p>
        </w:tc>
        <w:tc>
          <w:tcPr>
            <w:tcW w:w="695" w:type="pct"/>
          </w:tcPr>
          <w:p w:rsidR="00636CF4" w:rsidRPr="00445CFD" w:rsidRDefault="00636CF4" w:rsidP="00636CF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purchase – needs not assessed</w:t>
            </w:r>
          </w:p>
        </w:tc>
      </w:tr>
      <w:tr w:rsidR="00636CF4" w:rsidRPr="009914AE" w:rsidTr="00586726">
        <w:trPr>
          <w:cantSplit/>
        </w:trPr>
        <w:tc>
          <w:tcPr>
            <w:tcW w:w="669" w:type="pct"/>
          </w:tcPr>
          <w:p w:rsidR="00636CF4" w:rsidRPr="007455A5" w:rsidRDefault="00636CF4" w:rsidP="006A7524"/>
        </w:tc>
        <w:tc>
          <w:tcPr>
            <w:tcW w:w="1456" w:type="pct"/>
          </w:tcPr>
          <w:p w:rsidR="00636CF4" w:rsidRPr="007455A5" w:rsidRDefault="00636CF4" w:rsidP="006A7524">
            <w:pPr>
              <w:pStyle w:val="CGCCWTableText"/>
            </w:pPr>
            <w:r w:rsidRPr="007455A5">
              <w:t>National Job Creation Package (Municipal and Essential Services) —targeted jobs at CDEP participants engaged in activities that delivered municipal and essential services to Indigenous communities. Indigenous Australians employed in the jobs created were expected to receive the full benefits of employment.</w:t>
            </w:r>
          </w:p>
        </w:tc>
        <w:tc>
          <w:tcPr>
            <w:tcW w:w="674" w:type="pct"/>
          </w:tcPr>
          <w:p w:rsidR="00636CF4" w:rsidRPr="007455A5" w:rsidRDefault="00636CF4" w:rsidP="006A7524">
            <w:pPr>
              <w:pStyle w:val="CGCCWTableText"/>
            </w:pPr>
            <w:r w:rsidRPr="007455A5">
              <w:t>2012-13</w:t>
            </w:r>
          </w:p>
        </w:tc>
        <w:tc>
          <w:tcPr>
            <w:tcW w:w="779" w:type="pct"/>
          </w:tcPr>
          <w:p w:rsidR="00636CF4" w:rsidRPr="007455A5" w:rsidRDefault="00636CF4" w:rsidP="006A7524">
            <w:pPr>
              <w:pStyle w:val="CGCCWTableText"/>
            </w:pPr>
            <w:r w:rsidRPr="007455A5">
              <w:t>No impact</w:t>
            </w:r>
          </w:p>
        </w:tc>
        <w:tc>
          <w:tcPr>
            <w:tcW w:w="727" w:type="pct"/>
          </w:tcPr>
          <w:p w:rsidR="00636CF4" w:rsidRPr="007455A5" w:rsidRDefault="00636CF4" w:rsidP="006A7524">
            <w:pPr>
              <w:pStyle w:val="CGCCWTableText"/>
            </w:pPr>
          </w:p>
        </w:tc>
        <w:tc>
          <w:tcPr>
            <w:tcW w:w="695" w:type="pct"/>
          </w:tcPr>
          <w:p w:rsidR="00636CF4" w:rsidRPr="00445CFD" w:rsidRDefault="00636CF4" w:rsidP="00636CF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purchase – needs not assessed</w:t>
            </w:r>
          </w:p>
        </w:tc>
      </w:tr>
      <w:tr w:rsidR="00636CF4" w:rsidRPr="009914AE" w:rsidTr="00586726">
        <w:trPr>
          <w:cantSplit/>
        </w:trPr>
        <w:tc>
          <w:tcPr>
            <w:tcW w:w="669" w:type="pct"/>
          </w:tcPr>
          <w:p w:rsidR="00636CF4" w:rsidRPr="007455A5" w:rsidRDefault="00636CF4" w:rsidP="006A7524"/>
        </w:tc>
        <w:tc>
          <w:tcPr>
            <w:tcW w:w="1456" w:type="pct"/>
          </w:tcPr>
          <w:p w:rsidR="00636CF4" w:rsidRPr="007455A5" w:rsidRDefault="00636CF4" w:rsidP="006A7524">
            <w:pPr>
              <w:pStyle w:val="CGCCWTableText"/>
            </w:pPr>
            <w:r w:rsidRPr="007455A5">
              <w:t>Public Awareness Program — to fund initiatives that raise public awareness in the wider community of Aboriginal and Torres Strait Islander issues and culture. The program has two elements. Public awareness grants — payment</w:t>
            </w:r>
            <w:r w:rsidR="00AC0364">
              <w:t>s</w:t>
            </w:r>
            <w:r w:rsidRPr="007455A5">
              <w:t xml:space="preserve"> to selected activities that are capable of reaching a significant audience of non-Indigenous people. National Aborigines and Islander</w:t>
            </w:r>
            <w:r w:rsidR="00AC0364">
              <w:t>s</w:t>
            </w:r>
            <w:r w:rsidRPr="007455A5">
              <w:t xml:space="preserve"> Day Observance Committee (NAIDOC) activities — payment to community-based organisations or other bodies to assist with the cost of their NAIDOC activities (NAIDOC celebrations are held annually). </w:t>
            </w:r>
          </w:p>
        </w:tc>
        <w:tc>
          <w:tcPr>
            <w:tcW w:w="674" w:type="pct"/>
          </w:tcPr>
          <w:p w:rsidR="00636CF4" w:rsidRPr="007455A5" w:rsidRDefault="00636CF4" w:rsidP="006A7524">
            <w:pPr>
              <w:pStyle w:val="CGCCWTableText"/>
            </w:pPr>
            <w:r w:rsidRPr="007455A5">
              <w:t>2011-12 to 2012-13</w:t>
            </w:r>
          </w:p>
        </w:tc>
        <w:tc>
          <w:tcPr>
            <w:tcW w:w="779" w:type="pct"/>
          </w:tcPr>
          <w:p w:rsidR="00636CF4" w:rsidRPr="007455A5" w:rsidRDefault="00636CF4" w:rsidP="006A7524">
            <w:pPr>
              <w:pStyle w:val="CGCCWTableText"/>
            </w:pPr>
            <w:r w:rsidRPr="007455A5">
              <w:t>No impact</w:t>
            </w:r>
          </w:p>
        </w:tc>
        <w:tc>
          <w:tcPr>
            <w:tcW w:w="727" w:type="pct"/>
          </w:tcPr>
          <w:p w:rsidR="00636CF4" w:rsidRPr="007455A5" w:rsidRDefault="00636CF4" w:rsidP="006A7524">
            <w:pPr>
              <w:pStyle w:val="CGCCWTableText"/>
            </w:pPr>
          </w:p>
        </w:tc>
        <w:tc>
          <w:tcPr>
            <w:tcW w:w="695" w:type="pct"/>
          </w:tcPr>
          <w:p w:rsidR="00636CF4" w:rsidRPr="00445CFD" w:rsidRDefault="00636CF4" w:rsidP="00636CF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purchase – needs not assessed</w:t>
            </w:r>
          </w:p>
        </w:tc>
      </w:tr>
      <w:tr w:rsidR="00636CF4" w:rsidRPr="009914AE" w:rsidTr="00586726">
        <w:trPr>
          <w:cantSplit/>
        </w:trPr>
        <w:tc>
          <w:tcPr>
            <w:tcW w:w="669" w:type="pct"/>
          </w:tcPr>
          <w:p w:rsidR="00636CF4" w:rsidRPr="007455A5" w:rsidRDefault="00636CF4" w:rsidP="006A7524">
            <w:pPr>
              <w:pStyle w:val="CGCCWTableText"/>
            </w:pPr>
            <w:r w:rsidRPr="007455A5">
              <w:t>All other COPE payments (a)</w:t>
            </w:r>
          </w:p>
        </w:tc>
        <w:tc>
          <w:tcPr>
            <w:tcW w:w="1456" w:type="pct"/>
          </w:tcPr>
          <w:p w:rsidR="00636CF4" w:rsidRPr="007455A5" w:rsidRDefault="00636CF4" w:rsidP="006A7524">
            <w:pPr>
              <w:pStyle w:val="CGCCWTableText"/>
            </w:pPr>
          </w:p>
        </w:tc>
        <w:tc>
          <w:tcPr>
            <w:tcW w:w="674" w:type="pct"/>
          </w:tcPr>
          <w:p w:rsidR="00636CF4" w:rsidRPr="007455A5" w:rsidRDefault="00636CF4" w:rsidP="006A7524">
            <w:pPr>
              <w:pStyle w:val="CGCCWTableText"/>
            </w:pPr>
            <w:r w:rsidRPr="007455A5">
              <w:t>2011-12 to 2013-14</w:t>
            </w:r>
          </w:p>
        </w:tc>
        <w:tc>
          <w:tcPr>
            <w:tcW w:w="779" w:type="pct"/>
          </w:tcPr>
          <w:p w:rsidR="00636CF4" w:rsidRPr="007455A5" w:rsidRDefault="00636CF4" w:rsidP="006A7524">
            <w:pPr>
              <w:pStyle w:val="CGCCWTableText"/>
            </w:pPr>
            <w:r w:rsidRPr="007455A5">
              <w:t>No impact</w:t>
            </w:r>
          </w:p>
        </w:tc>
        <w:tc>
          <w:tcPr>
            <w:tcW w:w="727" w:type="pct"/>
          </w:tcPr>
          <w:p w:rsidR="00636CF4" w:rsidRPr="007455A5" w:rsidRDefault="00636CF4" w:rsidP="006A7524">
            <w:pPr>
              <w:pStyle w:val="CGCCWTableText"/>
            </w:pPr>
          </w:p>
        </w:tc>
        <w:tc>
          <w:tcPr>
            <w:tcW w:w="695" w:type="pct"/>
          </w:tcPr>
          <w:p w:rsidR="00636CF4" w:rsidRPr="00445CFD" w:rsidRDefault="00636CF4" w:rsidP="00636CF4">
            <w:pPr>
              <w:spacing w:line="240" w:lineRule="auto"/>
              <w:rPr>
                <w:rFonts w:ascii="Calibri" w:eastAsia="Calibri" w:hAnsi="Calibri" w:cs="Times New Roman"/>
                <w:sz w:val="18"/>
                <w:szCs w:val="18"/>
              </w:rPr>
            </w:pPr>
            <w:r w:rsidRPr="00445CFD">
              <w:rPr>
                <w:rFonts w:ascii="Calibri" w:eastAsia="Calibri" w:hAnsi="Calibri" w:cs="Times New Roman"/>
                <w:sz w:val="18"/>
                <w:szCs w:val="18"/>
              </w:rPr>
              <w:t xml:space="preserve">Commonwealth </w:t>
            </w:r>
            <w:r>
              <w:rPr>
                <w:rFonts w:ascii="Calibri" w:eastAsia="Calibri" w:hAnsi="Calibri" w:cs="Times New Roman"/>
                <w:sz w:val="18"/>
                <w:szCs w:val="18"/>
              </w:rPr>
              <w:t>purchase – needs not assessed</w:t>
            </w:r>
          </w:p>
        </w:tc>
      </w:tr>
    </w:tbl>
    <w:p w:rsidR="00445CFD" w:rsidRDefault="00445CFD" w:rsidP="00445CFD">
      <w:pPr>
        <w:pStyle w:val="CGCTableFootnote"/>
      </w:pPr>
      <w:r>
        <w:t>(a)</w:t>
      </w:r>
      <w:r>
        <w:tab/>
        <w:t>The Commission does not have information on all COPE payments and therefore would not be able to consider the treatment of each payment.</w:t>
      </w:r>
    </w:p>
    <w:p w:rsidR="00445CFD" w:rsidRPr="00C21EF9" w:rsidRDefault="00445CFD" w:rsidP="00445CFD">
      <w:pPr>
        <w:pStyle w:val="CGCTableFootnote"/>
      </w:pPr>
      <w:r w:rsidRPr="00B4553B">
        <w:rPr>
          <w:color w:val="FF0000"/>
        </w:rPr>
        <w:t>**</w:t>
      </w:r>
      <w:r>
        <w:tab/>
        <w:t>Treatment changed from 2014 Update.</w:t>
      </w:r>
    </w:p>
    <w:p w:rsidR="00445CFD" w:rsidRDefault="00445CFD" w:rsidP="00D248AD"/>
    <w:p w:rsidR="00D248AD" w:rsidRPr="00D248AD" w:rsidRDefault="00D248AD" w:rsidP="00D248AD">
      <w:pPr>
        <w:tabs>
          <w:tab w:val="clear" w:pos="567"/>
        </w:tabs>
      </w:pPr>
      <w:r>
        <w:br w:type="page"/>
      </w:r>
    </w:p>
    <w:p w:rsidR="00D248AD" w:rsidRDefault="00D248AD" w:rsidP="00D248AD">
      <w:pPr>
        <w:pStyle w:val="Caption"/>
      </w:pPr>
      <w:bookmarkStart w:id="18" w:name="_Ref411422200"/>
      <w:bookmarkStart w:id="19" w:name="_Ref411422182"/>
      <w:r>
        <w:lastRenderedPageBreak/>
        <w:t xml:space="preserve">Table </w:t>
      </w:r>
      <w:fldSimple w:instr=" SEQ Table \* ARABIC ">
        <w:r w:rsidR="007B6A4C">
          <w:rPr>
            <w:noProof/>
          </w:rPr>
          <w:t>3</w:t>
        </w:r>
      </w:fldSimple>
      <w:bookmarkEnd w:id="18"/>
      <w:r>
        <w:tab/>
        <w:t xml:space="preserve">Commonwealth </w:t>
      </w:r>
      <w:r w:rsidRPr="00D248AD">
        <w:t>payments commenced in 2014-15 and 2015-16</w:t>
      </w:r>
      <w:bookmarkEnd w:id="19"/>
    </w:p>
    <w:tbl>
      <w:tblPr>
        <w:tblStyle w:val="TableGrid"/>
        <w:tblW w:w="4962" w:type="pct"/>
        <w:tblBorders>
          <w:left w:val="none" w:sz="0" w:space="0" w:color="auto"/>
          <w:right w:val="none" w:sz="0" w:space="0" w:color="auto"/>
          <w:insideV w:val="none" w:sz="0" w:space="0" w:color="auto"/>
        </w:tblBorders>
        <w:tblLayout w:type="fixed"/>
        <w:tblLook w:val="04A0" w:firstRow="1" w:lastRow="0" w:firstColumn="1" w:lastColumn="0" w:noHBand="0" w:noVBand="1"/>
        <w:tblDescription w:val=" "/>
      </w:tblPr>
      <w:tblGrid>
        <w:gridCol w:w="3649"/>
        <w:gridCol w:w="6807"/>
        <w:gridCol w:w="1531"/>
        <w:gridCol w:w="1561"/>
      </w:tblGrid>
      <w:tr w:rsidR="00C674BF" w:rsidRPr="007B005B" w:rsidTr="0061508C">
        <w:trPr>
          <w:cantSplit/>
          <w:trHeight w:val="340"/>
          <w:tblHeader/>
        </w:trPr>
        <w:tc>
          <w:tcPr>
            <w:tcW w:w="1347" w:type="pct"/>
            <w:vMerge w:val="restart"/>
            <w:vAlign w:val="center"/>
          </w:tcPr>
          <w:p w:rsidR="00C674BF" w:rsidRPr="007B005B" w:rsidRDefault="00C674BF" w:rsidP="006379E7">
            <w:pPr>
              <w:spacing w:before="20" w:after="20"/>
              <w:rPr>
                <w:sz w:val="20"/>
                <w:szCs w:val="20"/>
              </w:rPr>
            </w:pPr>
            <w:r w:rsidRPr="007B005B">
              <w:rPr>
                <w:sz w:val="20"/>
                <w:szCs w:val="20"/>
              </w:rPr>
              <w:t>Commonwealth payment</w:t>
            </w:r>
          </w:p>
        </w:tc>
        <w:tc>
          <w:tcPr>
            <w:tcW w:w="2512" w:type="pct"/>
            <w:vMerge w:val="restart"/>
            <w:vAlign w:val="center"/>
          </w:tcPr>
          <w:p w:rsidR="00C674BF" w:rsidRPr="007B005B" w:rsidRDefault="00C674BF" w:rsidP="006379E7">
            <w:pPr>
              <w:spacing w:before="20" w:after="20"/>
              <w:rPr>
                <w:sz w:val="20"/>
                <w:szCs w:val="20"/>
              </w:rPr>
            </w:pPr>
            <w:r w:rsidRPr="007B005B">
              <w:rPr>
                <w:sz w:val="20"/>
                <w:szCs w:val="20"/>
              </w:rPr>
              <w:t>Description</w:t>
            </w:r>
          </w:p>
        </w:tc>
        <w:tc>
          <w:tcPr>
            <w:tcW w:w="565" w:type="pct"/>
            <w:tcBorders>
              <w:bottom w:val="nil"/>
            </w:tcBorders>
            <w:vAlign w:val="center"/>
          </w:tcPr>
          <w:p w:rsidR="00C674BF" w:rsidRPr="007B005B" w:rsidRDefault="00C674BF" w:rsidP="006379E7">
            <w:pPr>
              <w:spacing w:before="20" w:after="20"/>
              <w:rPr>
                <w:sz w:val="20"/>
                <w:szCs w:val="20"/>
              </w:rPr>
            </w:pPr>
            <w:r w:rsidRPr="007B005B">
              <w:rPr>
                <w:sz w:val="20"/>
                <w:szCs w:val="20"/>
              </w:rPr>
              <w:t xml:space="preserve">New in 2014-15 </w:t>
            </w:r>
          </w:p>
        </w:tc>
        <w:tc>
          <w:tcPr>
            <w:tcW w:w="576" w:type="pct"/>
            <w:tcBorders>
              <w:bottom w:val="nil"/>
            </w:tcBorders>
            <w:vAlign w:val="center"/>
          </w:tcPr>
          <w:p w:rsidR="00C674BF" w:rsidRPr="007B005B" w:rsidRDefault="00C674BF" w:rsidP="006379E7">
            <w:pPr>
              <w:spacing w:before="20" w:after="20"/>
              <w:rPr>
                <w:sz w:val="20"/>
                <w:szCs w:val="20"/>
              </w:rPr>
            </w:pPr>
            <w:r w:rsidRPr="007B005B">
              <w:rPr>
                <w:sz w:val="20"/>
                <w:szCs w:val="20"/>
              </w:rPr>
              <w:t xml:space="preserve">New in 2015-16 </w:t>
            </w:r>
          </w:p>
        </w:tc>
      </w:tr>
      <w:tr w:rsidR="00C674BF" w:rsidTr="0061508C">
        <w:trPr>
          <w:cantSplit/>
          <w:trHeight w:val="166"/>
          <w:tblHeader/>
        </w:trPr>
        <w:tc>
          <w:tcPr>
            <w:tcW w:w="1347" w:type="pct"/>
            <w:vMerge/>
            <w:tcBorders>
              <w:bottom w:val="single" w:sz="4" w:space="0" w:color="auto"/>
            </w:tcBorders>
            <w:vAlign w:val="center"/>
          </w:tcPr>
          <w:p w:rsidR="00C674BF" w:rsidRDefault="00C674BF" w:rsidP="006379E7">
            <w:pPr>
              <w:spacing w:before="20" w:after="20"/>
              <w:rPr>
                <w:rFonts w:ascii="Calibri" w:hAnsi="Calibri"/>
                <w:b/>
                <w:color w:val="000000"/>
                <w:sz w:val="20"/>
                <w:szCs w:val="20"/>
              </w:rPr>
            </w:pPr>
          </w:p>
        </w:tc>
        <w:tc>
          <w:tcPr>
            <w:tcW w:w="2512" w:type="pct"/>
            <w:vMerge/>
            <w:tcBorders>
              <w:bottom w:val="single" w:sz="4" w:space="0" w:color="auto"/>
            </w:tcBorders>
            <w:vAlign w:val="center"/>
          </w:tcPr>
          <w:p w:rsidR="00C674BF" w:rsidRDefault="00C674BF" w:rsidP="006379E7">
            <w:pPr>
              <w:spacing w:before="20" w:after="20"/>
              <w:rPr>
                <w:sz w:val="20"/>
                <w:szCs w:val="20"/>
              </w:rPr>
            </w:pPr>
          </w:p>
        </w:tc>
        <w:tc>
          <w:tcPr>
            <w:tcW w:w="565" w:type="pct"/>
            <w:tcBorders>
              <w:top w:val="nil"/>
              <w:bottom w:val="single" w:sz="4" w:space="0" w:color="auto"/>
            </w:tcBorders>
            <w:vAlign w:val="bottom"/>
          </w:tcPr>
          <w:p w:rsidR="00C674BF" w:rsidRPr="007D0AE9" w:rsidRDefault="00C674BF" w:rsidP="006379E7">
            <w:pPr>
              <w:spacing w:before="20" w:after="20"/>
              <w:jc w:val="right"/>
              <w:rPr>
                <w:sz w:val="20"/>
                <w:szCs w:val="20"/>
              </w:rPr>
            </w:pPr>
            <w:r>
              <w:rPr>
                <w:sz w:val="20"/>
                <w:szCs w:val="20"/>
              </w:rPr>
              <w:t>$m</w:t>
            </w:r>
          </w:p>
        </w:tc>
        <w:tc>
          <w:tcPr>
            <w:tcW w:w="576" w:type="pct"/>
            <w:tcBorders>
              <w:top w:val="nil"/>
              <w:bottom w:val="single" w:sz="4" w:space="0" w:color="auto"/>
            </w:tcBorders>
            <w:vAlign w:val="bottom"/>
          </w:tcPr>
          <w:p w:rsidR="00C674BF" w:rsidRDefault="00C674BF" w:rsidP="006379E7">
            <w:pPr>
              <w:spacing w:before="20" w:after="20"/>
              <w:jc w:val="right"/>
              <w:rPr>
                <w:sz w:val="20"/>
                <w:szCs w:val="20"/>
              </w:rPr>
            </w:pPr>
            <w:r>
              <w:rPr>
                <w:sz w:val="20"/>
                <w:szCs w:val="20"/>
              </w:rPr>
              <w:t>$m</w:t>
            </w:r>
          </w:p>
        </w:tc>
      </w:tr>
      <w:tr w:rsidR="00D248AD" w:rsidTr="006379E7">
        <w:trPr>
          <w:cantSplit/>
        </w:trPr>
        <w:tc>
          <w:tcPr>
            <w:tcW w:w="1347" w:type="pct"/>
            <w:tcBorders>
              <w:top w:val="single" w:sz="4" w:space="0" w:color="auto"/>
              <w:bottom w:val="nil"/>
            </w:tcBorders>
            <w:vAlign w:val="center"/>
          </w:tcPr>
          <w:p w:rsidR="00D248AD" w:rsidRPr="00E36391" w:rsidRDefault="00D248AD" w:rsidP="000422F7">
            <w:pPr>
              <w:spacing w:before="20" w:after="20"/>
              <w:rPr>
                <w:b/>
                <w:sz w:val="20"/>
                <w:szCs w:val="20"/>
              </w:rPr>
            </w:pPr>
            <w:r>
              <w:rPr>
                <w:rFonts w:ascii="Calibri" w:hAnsi="Calibri"/>
                <w:b/>
                <w:color w:val="000000"/>
                <w:sz w:val="20"/>
                <w:szCs w:val="20"/>
              </w:rPr>
              <w:t>Health infrastructure</w:t>
            </w:r>
          </w:p>
        </w:tc>
        <w:tc>
          <w:tcPr>
            <w:tcW w:w="2512" w:type="pct"/>
            <w:tcBorders>
              <w:top w:val="single" w:sz="4" w:space="0" w:color="auto"/>
              <w:bottom w:val="nil"/>
            </w:tcBorders>
            <w:vAlign w:val="center"/>
          </w:tcPr>
          <w:p w:rsidR="00D248AD" w:rsidRDefault="00D248AD" w:rsidP="000422F7">
            <w:pPr>
              <w:spacing w:before="20" w:after="20"/>
              <w:rPr>
                <w:sz w:val="20"/>
                <w:szCs w:val="20"/>
              </w:rPr>
            </w:pPr>
          </w:p>
        </w:tc>
        <w:tc>
          <w:tcPr>
            <w:tcW w:w="565" w:type="pct"/>
            <w:tcBorders>
              <w:top w:val="single" w:sz="4" w:space="0" w:color="auto"/>
              <w:bottom w:val="nil"/>
            </w:tcBorders>
            <w:vAlign w:val="bottom"/>
          </w:tcPr>
          <w:p w:rsidR="00D248AD" w:rsidRPr="007D0AE9" w:rsidRDefault="00D248AD" w:rsidP="000422F7">
            <w:pPr>
              <w:spacing w:before="20" w:after="20"/>
              <w:jc w:val="right"/>
              <w:rPr>
                <w:sz w:val="20"/>
                <w:szCs w:val="20"/>
              </w:rPr>
            </w:pPr>
          </w:p>
        </w:tc>
        <w:tc>
          <w:tcPr>
            <w:tcW w:w="576" w:type="pct"/>
            <w:tcBorders>
              <w:top w:val="single" w:sz="4" w:space="0" w:color="auto"/>
              <w:bottom w:val="nil"/>
            </w:tcBorders>
            <w:vAlign w:val="bottom"/>
          </w:tcPr>
          <w:p w:rsidR="00D248AD" w:rsidRDefault="00D248AD" w:rsidP="000422F7">
            <w:pPr>
              <w:spacing w:before="20" w:after="20"/>
              <w:jc w:val="right"/>
              <w:rPr>
                <w:sz w:val="20"/>
                <w:szCs w:val="20"/>
              </w:rPr>
            </w:pPr>
          </w:p>
        </w:tc>
      </w:tr>
      <w:tr w:rsidR="00D248AD" w:rsidTr="006379E7">
        <w:trPr>
          <w:cantSplit/>
        </w:trPr>
        <w:tc>
          <w:tcPr>
            <w:tcW w:w="1347" w:type="pct"/>
            <w:tcBorders>
              <w:top w:val="nil"/>
              <w:bottom w:val="nil"/>
            </w:tcBorders>
          </w:tcPr>
          <w:p w:rsidR="00D248AD" w:rsidRDefault="00D248AD" w:rsidP="000422F7">
            <w:pPr>
              <w:spacing w:before="20" w:after="20"/>
              <w:rPr>
                <w:sz w:val="20"/>
                <w:szCs w:val="20"/>
              </w:rPr>
            </w:pPr>
            <w:r w:rsidRPr="000F71CA">
              <w:rPr>
                <w:sz w:val="20"/>
                <w:szCs w:val="20"/>
              </w:rPr>
              <w:t>Albury-Wodonga Cardiac Catheterisation Laboratory</w:t>
            </w:r>
          </w:p>
        </w:tc>
        <w:tc>
          <w:tcPr>
            <w:tcW w:w="2512" w:type="pct"/>
            <w:tcBorders>
              <w:top w:val="nil"/>
              <w:bottom w:val="nil"/>
            </w:tcBorders>
          </w:tcPr>
          <w:p w:rsidR="00D248AD" w:rsidRDefault="00D248AD" w:rsidP="000422F7">
            <w:pPr>
              <w:spacing w:before="20" w:after="20"/>
              <w:rPr>
                <w:sz w:val="20"/>
                <w:szCs w:val="20"/>
              </w:rPr>
            </w:pPr>
            <w:r>
              <w:rPr>
                <w:sz w:val="20"/>
                <w:szCs w:val="20"/>
              </w:rPr>
              <w:t>One-off payment to Victoria for the new laboratory which will enable local residents suffering from heart conditions to access quality care without the need to travel long distances to capital cities.</w:t>
            </w:r>
          </w:p>
        </w:tc>
        <w:tc>
          <w:tcPr>
            <w:tcW w:w="565" w:type="pct"/>
            <w:tcBorders>
              <w:top w:val="nil"/>
              <w:bottom w:val="nil"/>
            </w:tcBorders>
          </w:tcPr>
          <w:p w:rsidR="00D248AD" w:rsidRDefault="00D248AD" w:rsidP="000422F7">
            <w:pPr>
              <w:spacing w:before="20" w:after="20"/>
              <w:jc w:val="right"/>
              <w:rPr>
                <w:sz w:val="20"/>
                <w:szCs w:val="20"/>
              </w:rPr>
            </w:pPr>
            <w:r>
              <w:rPr>
                <w:sz w:val="20"/>
                <w:szCs w:val="20"/>
              </w:rPr>
              <w:t>5.0</w:t>
            </w:r>
          </w:p>
        </w:tc>
        <w:tc>
          <w:tcPr>
            <w:tcW w:w="576" w:type="pct"/>
            <w:tcBorders>
              <w:top w:val="nil"/>
              <w:bottom w:val="nil"/>
            </w:tcBorders>
            <w:vAlign w:val="bottom"/>
          </w:tcPr>
          <w:p w:rsidR="00D248AD" w:rsidRDefault="00D248AD" w:rsidP="000422F7">
            <w:pPr>
              <w:spacing w:before="20" w:after="20"/>
              <w:jc w:val="right"/>
              <w:rPr>
                <w:sz w:val="20"/>
                <w:szCs w:val="20"/>
              </w:rPr>
            </w:pPr>
          </w:p>
        </w:tc>
      </w:tr>
      <w:tr w:rsidR="00D248AD" w:rsidTr="006379E7">
        <w:trPr>
          <w:cantSplit/>
        </w:trPr>
        <w:tc>
          <w:tcPr>
            <w:tcW w:w="1347" w:type="pct"/>
            <w:tcBorders>
              <w:top w:val="nil"/>
              <w:bottom w:val="nil"/>
            </w:tcBorders>
          </w:tcPr>
          <w:p w:rsidR="00D248AD" w:rsidRDefault="00D248AD" w:rsidP="000422F7">
            <w:pPr>
              <w:spacing w:before="20" w:after="20"/>
              <w:rPr>
                <w:sz w:val="20"/>
                <w:szCs w:val="20"/>
              </w:rPr>
            </w:pPr>
            <w:r w:rsidRPr="000F71CA">
              <w:rPr>
                <w:sz w:val="20"/>
                <w:szCs w:val="20"/>
              </w:rPr>
              <w:t>Bright Hospital - feasibility study</w:t>
            </w:r>
          </w:p>
        </w:tc>
        <w:tc>
          <w:tcPr>
            <w:tcW w:w="2512" w:type="pct"/>
            <w:tcBorders>
              <w:top w:val="nil"/>
              <w:bottom w:val="nil"/>
            </w:tcBorders>
          </w:tcPr>
          <w:p w:rsidR="00D248AD" w:rsidRDefault="00D248AD" w:rsidP="000422F7">
            <w:pPr>
              <w:spacing w:before="20" w:after="20"/>
              <w:rPr>
                <w:sz w:val="20"/>
                <w:szCs w:val="20"/>
              </w:rPr>
            </w:pPr>
            <w:r>
              <w:rPr>
                <w:sz w:val="20"/>
                <w:szCs w:val="20"/>
              </w:rPr>
              <w:t>Payment to Victoria for the study which will examine the feasibility of redeveloping the Bright Hospital</w:t>
            </w:r>
            <w:r w:rsidR="00AC0364">
              <w:rPr>
                <w:sz w:val="20"/>
                <w:szCs w:val="20"/>
              </w:rPr>
              <w:t>.</w:t>
            </w:r>
          </w:p>
        </w:tc>
        <w:tc>
          <w:tcPr>
            <w:tcW w:w="565" w:type="pct"/>
            <w:tcBorders>
              <w:top w:val="nil"/>
              <w:bottom w:val="nil"/>
            </w:tcBorders>
          </w:tcPr>
          <w:p w:rsidR="00D248AD" w:rsidRDefault="00D248AD" w:rsidP="000422F7">
            <w:pPr>
              <w:spacing w:before="20" w:after="20"/>
              <w:jc w:val="right"/>
              <w:rPr>
                <w:sz w:val="20"/>
                <w:szCs w:val="20"/>
              </w:rPr>
            </w:pPr>
            <w:r>
              <w:rPr>
                <w:sz w:val="20"/>
                <w:szCs w:val="20"/>
              </w:rPr>
              <w:t>0.1</w:t>
            </w:r>
          </w:p>
        </w:tc>
        <w:tc>
          <w:tcPr>
            <w:tcW w:w="576" w:type="pct"/>
            <w:tcBorders>
              <w:top w:val="nil"/>
              <w:bottom w:val="nil"/>
            </w:tcBorders>
            <w:vAlign w:val="bottom"/>
          </w:tcPr>
          <w:p w:rsidR="00D248AD" w:rsidRDefault="00D248AD" w:rsidP="000422F7">
            <w:pPr>
              <w:spacing w:before="20" w:after="20"/>
              <w:jc w:val="right"/>
              <w:rPr>
                <w:sz w:val="20"/>
                <w:szCs w:val="20"/>
              </w:rPr>
            </w:pPr>
          </w:p>
        </w:tc>
      </w:tr>
      <w:tr w:rsidR="00D248AD" w:rsidTr="006379E7">
        <w:trPr>
          <w:cantSplit/>
        </w:trPr>
        <w:tc>
          <w:tcPr>
            <w:tcW w:w="1347" w:type="pct"/>
            <w:tcBorders>
              <w:top w:val="nil"/>
              <w:bottom w:val="nil"/>
            </w:tcBorders>
          </w:tcPr>
          <w:p w:rsidR="00D248AD" w:rsidRDefault="00D248AD" w:rsidP="000422F7">
            <w:pPr>
              <w:spacing w:before="20" w:after="20"/>
              <w:rPr>
                <w:sz w:val="20"/>
                <w:szCs w:val="20"/>
              </w:rPr>
            </w:pPr>
            <w:r w:rsidRPr="000F71CA">
              <w:rPr>
                <w:sz w:val="20"/>
                <w:szCs w:val="20"/>
              </w:rPr>
              <w:t>Cancer Support Clinic in Katherine</w:t>
            </w:r>
          </w:p>
        </w:tc>
        <w:tc>
          <w:tcPr>
            <w:tcW w:w="2512" w:type="pct"/>
            <w:tcBorders>
              <w:top w:val="nil"/>
              <w:bottom w:val="nil"/>
            </w:tcBorders>
          </w:tcPr>
          <w:p w:rsidR="00D248AD" w:rsidRDefault="00D248AD" w:rsidP="000422F7">
            <w:pPr>
              <w:spacing w:before="20" w:after="20"/>
              <w:rPr>
                <w:sz w:val="20"/>
                <w:szCs w:val="20"/>
              </w:rPr>
            </w:pPr>
            <w:r>
              <w:rPr>
                <w:sz w:val="20"/>
                <w:szCs w:val="20"/>
              </w:rPr>
              <w:t>One-off payment to the Northern Territory to support the purchase and installation of a chemotherapy chair and associated minor building modification to improve delivery of cancer support services in Katherine Hospital.</w:t>
            </w:r>
          </w:p>
        </w:tc>
        <w:tc>
          <w:tcPr>
            <w:tcW w:w="565" w:type="pct"/>
            <w:tcBorders>
              <w:top w:val="nil"/>
              <w:bottom w:val="nil"/>
            </w:tcBorders>
          </w:tcPr>
          <w:p w:rsidR="00D248AD" w:rsidRDefault="00D248AD" w:rsidP="000422F7">
            <w:pPr>
              <w:spacing w:before="20" w:after="20"/>
              <w:jc w:val="right"/>
              <w:rPr>
                <w:sz w:val="20"/>
                <w:szCs w:val="20"/>
              </w:rPr>
            </w:pPr>
            <w:r>
              <w:rPr>
                <w:sz w:val="20"/>
                <w:szCs w:val="20"/>
              </w:rPr>
              <w:t>0.5</w:t>
            </w:r>
          </w:p>
        </w:tc>
        <w:tc>
          <w:tcPr>
            <w:tcW w:w="576" w:type="pct"/>
            <w:tcBorders>
              <w:top w:val="nil"/>
              <w:bottom w:val="nil"/>
            </w:tcBorders>
            <w:vAlign w:val="bottom"/>
          </w:tcPr>
          <w:p w:rsidR="00D248AD" w:rsidRDefault="00D248AD" w:rsidP="000422F7">
            <w:pPr>
              <w:spacing w:before="20" w:after="20"/>
              <w:jc w:val="right"/>
              <w:rPr>
                <w:sz w:val="20"/>
                <w:szCs w:val="20"/>
              </w:rPr>
            </w:pPr>
          </w:p>
        </w:tc>
      </w:tr>
      <w:tr w:rsidR="00D248AD" w:rsidTr="006379E7">
        <w:trPr>
          <w:cantSplit/>
        </w:trPr>
        <w:tc>
          <w:tcPr>
            <w:tcW w:w="1347" w:type="pct"/>
            <w:tcBorders>
              <w:top w:val="nil"/>
              <w:bottom w:val="nil"/>
            </w:tcBorders>
          </w:tcPr>
          <w:p w:rsidR="00D248AD" w:rsidRDefault="00D248AD" w:rsidP="000422F7">
            <w:pPr>
              <w:spacing w:before="20" w:after="20"/>
              <w:rPr>
                <w:sz w:val="20"/>
                <w:szCs w:val="20"/>
              </w:rPr>
            </w:pPr>
            <w:r w:rsidRPr="000F71CA">
              <w:rPr>
                <w:sz w:val="20"/>
                <w:szCs w:val="20"/>
              </w:rPr>
              <w:t>Construction of Palmerston Hospital</w:t>
            </w:r>
          </w:p>
        </w:tc>
        <w:tc>
          <w:tcPr>
            <w:tcW w:w="2512" w:type="pct"/>
            <w:tcBorders>
              <w:top w:val="nil"/>
              <w:bottom w:val="nil"/>
            </w:tcBorders>
          </w:tcPr>
          <w:p w:rsidR="00D248AD" w:rsidRDefault="00D248AD" w:rsidP="000422F7">
            <w:pPr>
              <w:spacing w:before="20" w:after="20"/>
              <w:rPr>
                <w:sz w:val="20"/>
                <w:szCs w:val="20"/>
              </w:rPr>
            </w:pPr>
            <w:r>
              <w:rPr>
                <w:sz w:val="20"/>
                <w:szCs w:val="20"/>
              </w:rPr>
              <w:t>Funding to the Northern Territory for the construction of the Palmerston Hospital which will provide a full emergency department, a paediatric ward, and medical and surgical services.</w:t>
            </w:r>
          </w:p>
        </w:tc>
        <w:tc>
          <w:tcPr>
            <w:tcW w:w="565" w:type="pct"/>
            <w:tcBorders>
              <w:top w:val="nil"/>
              <w:bottom w:val="nil"/>
            </w:tcBorders>
          </w:tcPr>
          <w:p w:rsidR="00D248AD" w:rsidRDefault="00D248AD" w:rsidP="000422F7">
            <w:pPr>
              <w:spacing w:before="20" w:after="20"/>
              <w:jc w:val="right"/>
              <w:rPr>
                <w:sz w:val="20"/>
                <w:szCs w:val="20"/>
              </w:rPr>
            </w:pPr>
            <w:r>
              <w:rPr>
                <w:sz w:val="20"/>
                <w:szCs w:val="20"/>
              </w:rPr>
              <w:t>20.0</w:t>
            </w:r>
          </w:p>
        </w:tc>
        <w:tc>
          <w:tcPr>
            <w:tcW w:w="576" w:type="pct"/>
            <w:tcBorders>
              <w:top w:val="nil"/>
              <w:bottom w:val="nil"/>
            </w:tcBorders>
            <w:vAlign w:val="bottom"/>
          </w:tcPr>
          <w:p w:rsidR="00D248AD" w:rsidRDefault="00D248AD" w:rsidP="000422F7">
            <w:pPr>
              <w:spacing w:before="20" w:after="20"/>
              <w:jc w:val="right"/>
              <w:rPr>
                <w:sz w:val="20"/>
                <w:szCs w:val="20"/>
              </w:rPr>
            </w:pPr>
          </w:p>
        </w:tc>
      </w:tr>
      <w:tr w:rsidR="00D248AD" w:rsidTr="006379E7">
        <w:trPr>
          <w:cantSplit/>
        </w:trPr>
        <w:tc>
          <w:tcPr>
            <w:tcW w:w="1347" w:type="pct"/>
            <w:tcBorders>
              <w:top w:val="nil"/>
              <w:bottom w:val="nil"/>
            </w:tcBorders>
          </w:tcPr>
          <w:p w:rsidR="00D248AD" w:rsidRPr="000F71CA" w:rsidRDefault="00D248AD" w:rsidP="000422F7">
            <w:pPr>
              <w:spacing w:before="20" w:after="20"/>
              <w:rPr>
                <w:sz w:val="20"/>
                <w:szCs w:val="20"/>
              </w:rPr>
            </w:pPr>
            <w:r w:rsidRPr="000F71CA">
              <w:rPr>
                <w:sz w:val="20"/>
                <w:szCs w:val="20"/>
              </w:rPr>
              <w:t>Improving local access to health care on Phillip Island</w:t>
            </w:r>
          </w:p>
        </w:tc>
        <w:tc>
          <w:tcPr>
            <w:tcW w:w="2512" w:type="pct"/>
            <w:tcBorders>
              <w:top w:val="nil"/>
              <w:bottom w:val="nil"/>
            </w:tcBorders>
          </w:tcPr>
          <w:p w:rsidR="00D248AD" w:rsidRDefault="00D248AD" w:rsidP="000422F7">
            <w:pPr>
              <w:spacing w:before="20" w:after="20"/>
              <w:rPr>
                <w:sz w:val="20"/>
                <w:szCs w:val="20"/>
              </w:rPr>
            </w:pPr>
            <w:r>
              <w:rPr>
                <w:sz w:val="20"/>
                <w:szCs w:val="20"/>
              </w:rPr>
              <w:t>One-off payment to Victoria for the upgrade of healthcare infrastructure on Phillip Island.</w:t>
            </w:r>
          </w:p>
        </w:tc>
        <w:tc>
          <w:tcPr>
            <w:tcW w:w="565" w:type="pct"/>
            <w:tcBorders>
              <w:top w:val="nil"/>
              <w:bottom w:val="nil"/>
            </w:tcBorders>
          </w:tcPr>
          <w:p w:rsidR="00D248AD" w:rsidRDefault="00D248AD" w:rsidP="000422F7">
            <w:pPr>
              <w:spacing w:before="20" w:after="20"/>
              <w:jc w:val="right"/>
              <w:rPr>
                <w:sz w:val="20"/>
                <w:szCs w:val="20"/>
              </w:rPr>
            </w:pPr>
            <w:r>
              <w:rPr>
                <w:sz w:val="20"/>
                <w:szCs w:val="20"/>
              </w:rPr>
              <w:t>2.5</w:t>
            </w:r>
          </w:p>
        </w:tc>
        <w:tc>
          <w:tcPr>
            <w:tcW w:w="576" w:type="pct"/>
            <w:tcBorders>
              <w:top w:val="nil"/>
              <w:bottom w:val="nil"/>
            </w:tcBorders>
            <w:vAlign w:val="bottom"/>
          </w:tcPr>
          <w:p w:rsidR="00D248AD" w:rsidRDefault="00D248AD" w:rsidP="000422F7">
            <w:pPr>
              <w:spacing w:before="20" w:after="20"/>
              <w:jc w:val="right"/>
              <w:rPr>
                <w:sz w:val="20"/>
                <w:szCs w:val="20"/>
              </w:rPr>
            </w:pPr>
          </w:p>
        </w:tc>
      </w:tr>
      <w:tr w:rsidR="00D248AD" w:rsidTr="006379E7">
        <w:trPr>
          <w:cantSplit/>
        </w:trPr>
        <w:tc>
          <w:tcPr>
            <w:tcW w:w="1347" w:type="pct"/>
            <w:tcBorders>
              <w:top w:val="nil"/>
              <w:bottom w:val="nil"/>
            </w:tcBorders>
          </w:tcPr>
          <w:p w:rsidR="00D248AD" w:rsidRPr="000F71CA" w:rsidRDefault="00D248AD" w:rsidP="000422F7">
            <w:pPr>
              <w:spacing w:before="20" w:after="20"/>
              <w:rPr>
                <w:sz w:val="20"/>
                <w:szCs w:val="20"/>
              </w:rPr>
            </w:pPr>
            <w:r>
              <w:rPr>
                <w:sz w:val="20"/>
                <w:szCs w:val="20"/>
              </w:rPr>
              <w:t>Oncology Day Treatment Cent</w:t>
            </w:r>
            <w:r w:rsidRPr="000F71CA">
              <w:rPr>
                <w:sz w:val="20"/>
                <w:szCs w:val="20"/>
              </w:rPr>
              <w:t>r</w:t>
            </w:r>
            <w:r>
              <w:rPr>
                <w:sz w:val="20"/>
                <w:szCs w:val="20"/>
              </w:rPr>
              <w:t>e</w:t>
            </w:r>
            <w:r w:rsidRPr="000F71CA">
              <w:rPr>
                <w:sz w:val="20"/>
                <w:szCs w:val="20"/>
              </w:rPr>
              <w:t xml:space="preserve"> at Frankston Hospital</w:t>
            </w:r>
          </w:p>
        </w:tc>
        <w:tc>
          <w:tcPr>
            <w:tcW w:w="2512" w:type="pct"/>
            <w:tcBorders>
              <w:top w:val="nil"/>
              <w:bottom w:val="nil"/>
            </w:tcBorders>
          </w:tcPr>
          <w:p w:rsidR="00D248AD" w:rsidRDefault="00D248AD" w:rsidP="000422F7">
            <w:pPr>
              <w:spacing w:before="20" w:after="20"/>
              <w:rPr>
                <w:sz w:val="20"/>
                <w:szCs w:val="20"/>
              </w:rPr>
            </w:pPr>
            <w:r>
              <w:rPr>
                <w:sz w:val="20"/>
                <w:szCs w:val="20"/>
              </w:rPr>
              <w:t>Payment to Victoria for the expansion and enhancement of the Oncology Day Treatment Centre at Frankston Hospital.</w:t>
            </w:r>
          </w:p>
        </w:tc>
        <w:tc>
          <w:tcPr>
            <w:tcW w:w="565" w:type="pct"/>
            <w:tcBorders>
              <w:top w:val="nil"/>
              <w:bottom w:val="nil"/>
            </w:tcBorders>
          </w:tcPr>
          <w:p w:rsidR="00D248AD" w:rsidRDefault="00D248AD" w:rsidP="000422F7">
            <w:pPr>
              <w:spacing w:before="20" w:after="20"/>
              <w:jc w:val="right"/>
              <w:rPr>
                <w:sz w:val="20"/>
                <w:szCs w:val="20"/>
              </w:rPr>
            </w:pPr>
            <w:r>
              <w:rPr>
                <w:sz w:val="20"/>
                <w:szCs w:val="20"/>
              </w:rPr>
              <w:t>0.4</w:t>
            </w:r>
          </w:p>
        </w:tc>
        <w:tc>
          <w:tcPr>
            <w:tcW w:w="576" w:type="pct"/>
            <w:tcBorders>
              <w:top w:val="nil"/>
              <w:bottom w:val="nil"/>
            </w:tcBorders>
            <w:vAlign w:val="bottom"/>
          </w:tcPr>
          <w:p w:rsidR="00D248AD" w:rsidRDefault="00D248AD" w:rsidP="000422F7">
            <w:pPr>
              <w:spacing w:before="20" w:after="20"/>
              <w:jc w:val="right"/>
              <w:rPr>
                <w:sz w:val="20"/>
                <w:szCs w:val="20"/>
              </w:rPr>
            </w:pPr>
          </w:p>
        </w:tc>
      </w:tr>
      <w:tr w:rsidR="00D248AD" w:rsidTr="006379E7">
        <w:trPr>
          <w:cantSplit/>
        </w:trPr>
        <w:tc>
          <w:tcPr>
            <w:tcW w:w="1347" w:type="pct"/>
            <w:tcBorders>
              <w:top w:val="nil"/>
              <w:bottom w:val="nil"/>
            </w:tcBorders>
          </w:tcPr>
          <w:p w:rsidR="00D248AD" w:rsidRPr="000F71CA" w:rsidRDefault="00D248AD" w:rsidP="000422F7">
            <w:pPr>
              <w:spacing w:before="20" w:after="20"/>
              <w:rPr>
                <w:sz w:val="20"/>
                <w:szCs w:val="20"/>
              </w:rPr>
            </w:pPr>
            <w:r w:rsidRPr="000F71CA">
              <w:rPr>
                <w:sz w:val="20"/>
                <w:szCs w:val="20"/>
              </w:rPr>
              <w:t>Redevelopment of the Royal Victorian Eye and Ear Hospital</w:t>
            </w:r>
          </w:p>
        </w:tc>
        <w:tc>
          <w:tcPr>
            <w:tcW w:w="2512" w:type="pct"/>
            <w:tcBorders>
              <w:top w:val="nil"/>
              <w:bottom w:val="nil"/>
            </w:tcBorders>
          </w:tcPr>
          <w:p w:rsidR="00D248AD" w:rsidRDefault="00D248AD" w:rsidP="000422F7">
            <w:pPr>
              <w:spacing w:before="20" w:after="20"/>
              <w:rPr>
                <w:sz w:val="20"/>
                <w:szCs w:val="20"/>
              </w:rPr>
            </w:pPr>
            <w:r>
              <w:rPr>
                <w:sz w:val="20"/>
                <w:szCs w:val="20"/>
              </w:rPr>
              <w:t>Payment to Victoria for the completion of the development of the Royal Victorian Eye and Ear Hospital.</w:t>
            </w:r>
          </w:p>
        </w:tc>
        <w:tc>
          <w:tcPr>
            <w:tcW w:w="565" w:type="pct"/>
            <w:tcBorders>
              <w:top w:val="nil"/>
              <w:bottom w:val="nil"/>
            </w:tcBorders>
          </w:tcPr>
          <w:p w:rsidR="00D248AD" w:rsidRDefault="00D248AD" w:rsidP="000422F7">
            <w:pPr>
              <w:spacing w:before="20" w:after="20"/>
              <w:jc w:val="right"/>
              <w:rPr>
                <w:sz w:val="20"/>
                <w:szCs w:val="20"/>
              </w:rPr>
            </w:pPr>
            <w:r>
              <w:rPr>
                <w:sz w:val="20"/>
                <w:szCs w:val="20"/>
              </w:rPr>
              <w:t>50.0</w:t>
            </w:r>
          </w:p>
        </w:tc>
        <w:tc>
          <w:tcPr>
            <w:tcW w:w="576" w:type="pct"/>
            <w:tcBorders>
              <w:top w:val="nil"/>
              <w:bottom w:val="nil"/>
            </w:tcBorders>
            <w:vAlign w:val="bottom"/>
          </w:tcPr>
          <w:p w:rsidR="00D248AD" w:rsidRDefault="00D248AD" w:rsidP="000422F7">
            <w:pPr>
              <w:spacing w:before="20" w:after="20"/>
              <w:jc w:val="right"/>
              <w:rPr>
                <w:sz w:val="20"/>
                <w:szCs w:val="20"/>
              </w:rPr>
            </w:pPr>
          </w:p>
        </w:tc>
      </w:tr>
      <w:tr w:rsidR="00D248AD" w:rsidTr="006379E7">
        <w:trPr>
          <w:cantSplit/>
        </w:trPr>
        <w:tc>
          <w:tcPr>
            <w:tcW w:w="1347" w:type="pct"/>
            <w:tcBorders>
              <w:top w:val="nil"/>
              <w:bottom w:val="nil"/>
            </w:tcBorders>
          </w:tcPr>
          <w:p w:rsidR="00D248AD" w:rsidRPr="000F71CA" w:rsidRDefault="00D248AD" w:rsidP="000422F7">
            <w:pPr>
              <w:spacing w:before="20" w:after="20"/>
              <w:rPr>
                <w:sz w:val="20"/>
                <w:szCs w:val="20"/>
              </w:rPr>
            </w:pPr>
            <w:r w:rsidRPr="000F71CA">
              <w:rPr>
                <w:sz w:val="20"/>
                <w:szCs w:val="20"/>
              </w:rPr>
              <w:t>Upgrade of Ballina Hospital</w:t>
            </w:r>
          </w:p>
        </w:tc>
        <w:tc>
          <w:tcPr>
            <w:tcW w:w="2512" w:type="pct"/>
            <w:tcBorders>
              <w:top w:val="nil"/>
              <w:bottom w:val="nil"/>
            </w:tcBorders>
          </w:tcPr>
          <w:p w:rsidR="00D248AD" w:rsidRDefault="00D248AD" w:rsidP="000422F7">
            <w:pPr>
              <w:spacing w:before="20" w:after="20"/>
              <w:rPr>
                <w:sz w:val="20"/>
                <w:szCs w:val="20"/>
              </w:rPr>
            </w:pPr>
            <w:r>
              <w:rPr>
                <w:sz w:val="20"/>
                <w:szCs w:val="20"/>
              </w:rPr>
              <w:t xml:space="preserve">Payment to New South Wales for the construction of a second operating theatre and upgrade of the medical imaging department at Ballina Hospital. </w:t>
            </w:r>
          </w:p>
        </w:tc>
        <w:tc>
          <w:tcPr>
            <w:tcW w:w="565" w:type="pct"/>
            <w:tcBorders>
              <w:top w:val="nil"/>
              <w:bottom w:val="nil"/>
            </w:tcBorders>
          </w:tcPr>
          <w:p w:rsidR="00D248AD" w:rsidRDefault="00D248AD" w:rsidP="000422F7">
            <w:pPr>
              <w:spacing w:before="20" w:after="20"/>
              <w:jc w:val="right"/>
              <w:rPr>
                <w:sz w:val="20"/>
                <w:szCs w:val="20"/>
              </w:rPr>
            </w:pPr>
            <w:r>
              <w:rPr>
                <w:sz w:val="20"/>
                <w:szCs w:val="20"/>
              </w:rPr>
              <w:t>1.9</w:t>
            </w:r>
          </w:p>
        </w:tc>
        <w:tc>
          <w:tcPr>
            <w:tcW w:w="576" w:type="pct"/>
            <w:tcBorders>
              <w:top w:val="nil"/>
              <w:bottom w:val="nil"/>
            </w:tcBorders>
          </w:tcPr>
          <w:p w:rsidR="00D248AD" w:rsidRDefault="00D248AD" w:rsidP="000422F7">
            <w:pPr>
              <w:spacing w:before="20" w:after="20"/>
              <w:jc w:val="right"/>
              <w:rPr>
                <w:sz w:val="20"/>
                <w:szCs w:val="20"/>
              </w:rPr>
            </w:pPr>
          </w:p>
        </w:tc>
      </w:tr>
      <w:tr w:rsidR="00D248AD" w:rsidTr="00D168BA">
        <w:trPr>
          <w:cantSplit/>
        </w:trPr>
        <w:tc>
          <w:tcPr>
            <w:tcW w:w="1347" w:type="pct"/>
            <w:tcBorders>
              <w:top w:val="nil"/>
              <w:bottom w:val="nil"/>
            </w:tcBorders>
          </w:tcPr>
          <w:p w:rsidR="00D248AD" w:rsidRPr="000F71CA" w:rsidRDefault="00D248AD" w:rsidP="000422F7">
            <w:pPr>
              <w:spacing w:before="20" w:after="20"/>
              <w:rPr>
                <w:sz w:val="20"/>
                <w:szCs w:val="20"/>
              </w:rPr>
            </w:pPr>
            <w:r w:rsidRPr="000F71CA">
              <w:rPr>
                <w:sz w:val="20"/>
                <w:szCs w:val="20"/>
              </w:rPr>
              <w:t>Upgrade of Casino and District Memorial Hospital</w:t>
            </w:r>
          </w:p>
        </w:tc>
        <w:tc>
          <w:tcPr>
            <w:tcW w:w="2512" w:type="pct"/>
            <w:tcBorders>
              <w:top w:val="nil"/>
              <w:bottom w:val="nil"/>
            </w:tcBorders>
          </w:tcPr>
          <w:p w:rsidR="00D248AD" w:rsidRDefault="00D248AD" w:rsidP="000422F7">
            <w:pPr>
              <w:spacing w:before="20" w:after="20"/>
              <w:rPr>
                <w:sz w:val="20"/>
                <w:szCs w:val="20"/>
              </w:rPr>
            </w:pPr>
            <w:r>
              <w:rPr>
                <w:sz w:val="20"/>
                <w:szCs w:val="20"/>
              </w:rPr>
              <w:t>One-off payment to New South Wales for the upgrade of the emergency department at the Casino and District Memorial Hospital.</w:t>
            </w:r>
          </w:p>
        </w:tc>
        <w:tc>
          <w:tcPr>
            <w:tcW w:w="565" w:type="pct"/>
            <w:tcBorders>
              <w:top w:val="nil"/>
              <w:bottom w:val="nil"/>
            </w:tcBorders>
          </w:tcPr>
          <w:p w:rsidR="00D248AD" w:rsidRDefault="00D248AD" w:rsidP="000422F7">
            <w:pPr>
              <w:spacing w:before="20" w:after="20"/>
              <w:jc w:val="right"/>
              <w:rPr>
                <w:sz w:val="20"/>
                <w:szCs w:val="20"/>
              </w:rPr>
            </w:pPr>
            <w:r>
              <w:rPr>
                <w:sz w:val="20"/>
                <w:szCs w:val="20"/>
              </w:rPr>
              <w:t>3.0</w:t>
            </w:r>
          </w:p>
        </w:tc>
        <w:tc>
          <w:tcPr>
            <w:tcW w:w="576" w:type="pct"/>
            <w:tcBorders>
              <w:top w:val="nil"/>
              <w:bottom w:val="nil"/>
            </w:tcBorders>
          </w:tcPr>
          <w:p w:rsidR="00D248AD" w:rsidRDefault="00D248AD" w:rsidP="000422F7">
            <w:pPr>
              <w:spacing w:before="20" w:after="20"/>
              <w:jc w:val="right"/>
              <w:rPr>
                <w:sz w:val="20"/>
                <w:szCs w:val="20"/>
              </w:rPr>
            </w:pPr>
          </w:p>
        </w:tc>
      </w:tr>
      <w:tr w:rsidR="00D248AD" w:rsidTr="00D168BA">
        <w:trPr>
          <w:cantSplit/>
        </w:trPr>
        <w:tc>
          <w:tcPr>
            <w:tcW w:w="1347" w:type="pct"/>
            <w:tcBorders>
              <w:top w:val="nil"/>
              <w:bottom w:val="nil"/>
            </w:tcBorders>
          </w:tcPr>
          <w:p w:rsidR="00D248AD" w:rsidRPr="000F71CA" w:rsidRDefault="00D248AD" w:rsidP="000422F7">
            <w:pPr>
              <w:spacing w:before="20" w:after="20"/>
              <w:rPr>
                <w:sz w:val="20"/>
                <w:szCs w:val="20"/>
              </w:rPr>
            </w:pPr>
            <w:r w:rsidRPr="000F71CA">
              <w:rPr>
                <w:sz w:val="20"/>
                <w:szCs w:val="20"/>
              </w:rPr>
              <w:t>Warrnambool Integrated Cancer Care Centre</w:t>
            </w:r>
          </w:p>
        </w:tc>
        <w:tc>
          <w:tcPr>
            <w:tcW w:w="2512" w:type="pct"/>
            <w:tcBorders>
              <w:top w:val="nil"/>
              <w:bottom w:val="nil"/>
            </w:tcBorders>
          </w:tcPr>
          <w:p w:rsidR="00D248AD" w:rsidRDefault="00D248AD" w:rsidP="000422F7">
            <w:pPr>
              <w:spacing w:before="20" w:after="20"/>
              <w:rPr>
                <w:sz w:val="20"/>
                <w:szCs w:val="20"/>
              </w:rPr>
            </w:pPr>
            <w:r>
              <w:rPr>
                <w:sz w:val="20"/>
                <w:szCs w:val="20"/>
              </w:rPr>
              <w:t>One-off payment to Victoria for the construction of the Regional Cancer Centre in Warrnambool to provide cancer services to people in southwest Victoria.</w:t>
            </w:r>
          </w:p>
        </w:tc>
        <w:tc>
          <w:tcPr>
            <w:tcW w:w="565" w:type="pct"/>
            <w:tcBorders>
              <w:top w:val="nil"/>
              <w:bottom w:val="nil"/>
            </w:tcBorders>
          </w:tcPr>
          <w:p w:rsidR="00D248AD" w:rsidRDefault="00D248AD" w:rsidP="000422F7">
            <w:pPr>
              <w:spacing w:before="20" w:after="20"/>
              <w:jc w:val="right"/>
              <w:rPr>
                <w:sz w:val="20"/>
                <w:szCs w:val="20"/>
              </w:rPr>
            </w:pPr>
            <w:r>
              <w:rPr>
                <w:sz w:val="20"/>
                <w:szCs w:val="20"/>
              </w:rPr>
              <w:t>10.0</w:t>
            </w:r>
          </w:p>
        </w:tc>
        <w:tc>
          <w:tcPr>
            <w:tcW w:w="576" w:type="pct"/>
            <w:tcBorders>
              <w:top w:val="nil"/>
              <w:bottom w:val="nil"/>
            </w:tcBorders>
          </w:tcPr>
          <w:p w:rsidR="00D248AD" w:rsidRDefault="00D248AD" w:rsidP="000422F7">
            <w:pPr>
              <w:spacing w:before="20" w:after="20"/>
              <w:jc w:val="right"/>
              <w:rPr>
                <w:sz w:val="20"/>
                <w:szCs w:val="20"/>
              </w:rPr>
            </w:pPr>
          </w:p>
        </w:tc>
      </w:tr>
      <w:tr w:rsidR="00D168BA" w:rsidTr="00B6572A">
        <w:trPr>
          <w:cantSplit/>
        </w:trPr>
        <w:tc>
          <w:tcPr>
            <w:tcW w:w="1347" w:type="pct"/>
            <w:tcBorders>
              <w:top w:val="nil"/>
              <w:bottom w:val="nil"/>
            </w:tcBorders>
          </w:tcPr>
          <w:p w:rsidR="00D168BA" w:rsidRPr="000F71CA" w:rsidRDefault="00D168BA" w:rsidP="0061508C">
            <w:pPr>
              <w:keepNext/>
              <w:spacing w:before="20" w:after="20"/>
              <w:rPr>
                <w:b/>
                <w:sz w:val="20"/>
                <w:szCs w:val="20"/>
              </w:rPr>
            </w:pPr>
            <w:r>
              <w:rPr>
                <w:b/>
                <w:sz w:val="20"/>
                <w:szCs w:val="20"/>
              </w:rPr>
              <w:t>Health services</w:t>
            </w:r>
          </w:p>
        </w:tc>
        <w:tc>
          <w:tcPr>
            <w:tcW w:w="2512" w:type="pct"/>
            <w:tcBorders>
              <w:top w:val="nil"/>
              <w:bottom w:val="nil"/>
            </w:tcBorders>
          </w:tcPr>
          <w:p w:rsidR="00D168BA" w:rsidRDefault="00D168BA" w:rsidP="0061508C">
            <w:pPr>
              <w:keepNext/>
              <w:spacing w:before="20" w:after="20"/>
              <w:rPr>
                <w:sz w:val="20"/>
                <w:szCs w:val="20"/>
              </w:rPr>
            </w:pPr>
          </w:p>
        </w:tc>
        <w:tc>
          <w:tcPr>
            <w:tcW w:w="565" w:type="pct"/>
            <w:tcBorders>
              <w:top w:val="nil"/>
              <w:bottom w:val="nil"/>
            </w:tcBorders>
          </w:tcPr>
          <w:p w:rsidR="00D168BA" w:rsidRDefault="00D168BA" w:rsidP="0061508C">
            <w:pPr>
              <w:keepNext/>
              <w:spacing w:before="20" w:after="20"/>
              <w:jc w:val="right"/>
              <w:rPr>
                <w:sz w:val="20"/>
                <w:szCs w:val="20"/>
              </w:rPr>
            </w:pPr>
          </w:p>
        </w:tc>
        <w:tc>
          <w:tcPr>
            <w:tcW w:w="576" w:type="pct"/>
            <w:tcBorders>
              <w:top w:val="nil"/>
              <w:bottom w:val="nil"/>
            </w:tcBorders>
          </w:tcPr>
          <w:p w:rsidR="00D168BA" w:rsidRDefault="00D168BA" w:rsidP="0061508C">
            <w:pPr>
              <w:keepNext/>
              <w:spacing w:before="20" w:after="20"/>
              <w:jc w:val="right"/>
              <w:rPr>
                <w:sz w:val="20"/>
                <w:szCs w:val="20"/>
              </w:rPr>
            </w:pPr>
          </w:p>
        </w:tc>
      </w:tr>
      <w:tr w:rsidR="00D168BA" w:rsidTr="00B6572A">
        <w:trPr>
          <w:cantSplit/>
        </w:trPr>
        <w:tc>
          <w:tcPr>
            <w:tcW w:w="1347" w:type="pct"/>
            <w:tcBorders>
              <w:top w:val="nil"/>
              <w:bottom w:val="single" w:sz="4" w:space="0" w:color="auto"/>
            </w:tcBorders>
          </w:tcPr>
          <w:p w:rsidR="00D168BA" w:rsidRPr="000F71CA" w:rsidRDefault="00D168BA" w:rsidP="00D168BA">
            <w:pPr>
              <w:spacing w:before="20" w:after="20"/>
              <w:rPr>
                <w:rFonts w:ascii="Calibri" w:hAnsi="Calibri"/>
                <w:color w:val="000000"/>
                <w:sz w:val="20"/>
                <w:szCs w:val="20"/>
              </w:rPr>
            </w:pPr>
            <w:r>
              <w:rPr>
                <w:rFonts w:ascii="Calibri" w:hAnsi="Calibri"/>
                <w:color w:val="000000"/>
                <w:sz w:val="20"/>
                <w:szCs w:val="20"/>
              </w:rPr>
              <w:t>Canberra Hospital - dedicated paediatric emergency care</w:t>
            </w:r>
          </w:p>
        </w:tc>
        <w:tc>
          <w:tcPr>
            <w:tcW w:w="2512" w:type="pct"/>
            <w:tcBorders>
              <w:top w:val="nil"/>
              <w:bottom w:val="single" w:sz="4" w:space="0" w:color="auto"/>
            </w:tcBorders>
          </w:tcPr>
          <w:p w:rsidR="00D168BA" w:rsidRDefault="00D168BA" w:rsidP="0061508C">
            <w:pPr>
              <w:keepNext/>
              <w:spacing w:before="20" w:after="20"/>
              <w:rPr>
                <w:sz w:val="20"/>
                <w:szCs w:val="20"/>
              </w:rPr>
            </w:pPr>
            <w:r>
              <w:rPr>
                <w:sz w:val="20"/>
                <w:szCs w:val="20"/>
              </w:rPr>
              <w:t xml:space="preserve">One-off payment to the ACT for the development of a dedicated service for children within the emergency department of the Canberra Hospital. </w:t>
            </w:r>
          </w:p>
        </w:tc>
        <w:tc>
          <w:tcPr>
            <w:tcW w:w="565" w:type="pct"/>
            <w:tcBorders>
              <w:top w:val="nil"/>
              <w:bottom w:val="single" w:sz="4" w:space="0" w:color="auto"/>
            </w:tcBorders>
          </w:tcPr>
          <w:p w:rsidR="00D168BA" w:rsidRDefault="00D168BA" w:rsidP="0061508C">
            <w:pPr>
              <w:keepNext/>
              <w:spacing w:before="20" w:after="20"/>
              <w:jc w:val="right"/>
              <w:rPr>
                <w:sz w:val="20"/>
                <w:szCs w:val="20"/>
              </w:rPr>
            </w:pPr>
            <w:r>
              <w:rPr>
                <w:sz w:val="20"/>
                <w:szCs w:val="20"/>
              </w:rPr>
              <w:t>5.0</w:t>
            </w:r>
          </w:p>
        </w:tc>
        <w:tc>
          <w:tcPr>
            <w:tcW w:w="576" w:type="pct"/>
            <w:tcBorders>
              <w:top w:val="nil"/>
              <w:bottom w:val="single" w:sz="4" w:space="0" w:color="auto"/>
            </w:tcBorders>
          </w:tcPr>
          <w:p w:rsidR="00D168BA" w:rsidRDefault="00D168BA" w:rsidP="0061508C">
            <w:pPr>
              <w:keepNext/>
              <w:spacing w:before="20" w:after="20"/>
              <w:jc w:val="right"/>
              <w:rPr>
                <w:sz w:val="20"/>
                <w:szCs w:val="20"/>
              </w:rPr>
            </w:pPr>
          </w:p>
        </w:tc>
      </w:tr>
      <w:tr w:rsidR="00D248AD" w:rsidTr="00B6572A">
        <w:trPr>
          <w:cantSplit/>
        </w:trPr>
        <w:tc>
          <w:tcPr>
            <w:tcW w:w="1347" w:type="pct"/>
            <w:tcBorders>
              <w:top w:val="single" w:sz="4" w:space="0" w:color="auto"/>
              <w:bottom w:val="nil"/>
            </w:tcBorders>
          </w:tcPr>
          <w:p w:rsidR="00D248AD" w:rsidRPr="000F71CA" w:rsidRDefault="00D248AD" w:rsidP="00D248AD">
            <w:pPr>
              <w:keepNext/>
              <w:spacing w:before="20" w:after="20"/>
              <w:rPr>
                <w:rFonts w:ascii="Calibri" w:hAnsi="Calibri"/>
                <w:b/>
                <w:bCs/>
                <w:color w:val="000000"/>
                <w:sz w:val="20"/>
                <w:szCs w:val="20"/>
              </w:rPr>
            </w:pPr>
            <w:r>
              <w:rPr>
                <w:rFonts w:ascii="Calibri" w:hAnsi="Calibri"/>
                <w:b/>
                <w:bCs/>
                <w:color w:val="000000"/>
                <w:sz w:val="20"/>
                <w:szCs w:val="20"/>
              </w:rPr>
              <w:lastRenderedPageBreak/>
              <w:t>Other Health payments</w:t>
            </w:r>
          </w:p>
        </w:tc>
        <w:tc>
          <w:tcPr>
            <w:tcW w:w="2512" w:type="pct"/>
            <w:tcBorders>
              <w:top w:val="single" w:sz="4" w:space="0" w:color="auto"/>
              <w:bottom w:val="nil"/>
            </w:tcBorders>
          </w:tcPr>
          <w:p w:rsidR="00D248AD" w:rsidRDefault="00D248AD" w:rsidP="000422F7">
            <w:pPr>
              <w:spacing w:before="20" w:after="20"/>
              <w:rPr>
                <w:sz w:val="20"/>
                <w:szCs w:val="20"/>
              </w:rPr>
            </w:pPr>
          </w:p>
        </w:tc>
        <w:tc>
          <w:tcPr>
            <w:tcW w:w="565" w:type="pct"/>
            <w:tcBorders>
              <w:top w:val="single" w:sz="4" w:space="0" w:color="auto"/>
              <w:bottom w:val="nil"/>
            </w:tcBorders>
          </w:tcPr>
          <w:p w:rsidR="00D248AD" w:rsidRDefault="00D248AD" w:rsidP="000422F7">
            <w:pPr>
              <w:spacing w:before="20" w:after="20"/>
              <w:jc w:val="right"/>
              <w:rPr>
                <w:sz w:val="20"/>
                <w:szCs w:val="20"/>
              </w:rPr>
            </w:pPr>
          </w:p>
        </w:tc>
        <w:tc>
          <w:tcPr>
            <w:tcW w:w="576" w:type="pct"/>
            <w:tcBorders>
              <w:top w:val="single" w:sz="4" w:space="0" w:color="auto"/>
              <w:bottom w:val="nil"/>
            </w:tcBorders>
          </w:tcPr>
          <w:p w:rsidR="00D248AD" w:rsidRDefault="00D248AD" w:rsidP="000422F7">
            <w:pPr>
              <w:spacing w:before="20" w:after="20"/>
              <w:jc w:val="right"/>
              <w:rPr>
                <w:sz w:val="20"/>
                <w:szCs w:val="20"/>
              </w:rPr>
            </w:pPr>
          </w:p>
        </w:tc>
      </w:tr>
      <w:tr w:rsidR="00D248AD" w:rsidTr="006379E7">
        <w:trPr>
          <w:cantSplit/>
        </w:trPr>
        <w:tc>
          <w:tcPr>
            <w:tcW w:w="1347" w:type="pct"/>
            <w:tcBorders>
              <w:top w:val="nil"/>
              <w:bottom w:val="nil"/>
            </w:tcBorders>
          </w:tcPr>
          <w:p w:rsidR="00D248AD" w:rsidRPr="000F71CA" w:rsidRDefault="00D248AD" w:rsidP="000422F7">
            <w:pPr>
              <w:spacing w:before="20" w:after="20"/>
              <w:rPr>
                <w:sz w:val="20"/>
                <w:szCs w:val="20"/>
              </w:rPr>
            </w:pPr>
            <w:r w:rsidRPr="000F71CA">
              <w:rPr>
                <w:sz w:val="20"/>
                <w:szCs w:val="20"/>
              </w:rPr>
              <w:t>Adult public dental services</w:t>
            </w:r>
          </w:p>
        </w:tc>
        <w:tc>
          <w:tcPr>
            <w:tcW w:w="2512" w:type="pct"/>
            <w:tcBorders>
              <w:top w:val="nil"/>
              <w:bottom w:val="nil"/>
            </w:tcBorders>
          </w:tcPr>
          <w:p w:rsidR="00D248AD" w:rsidRDefault="00D248AD" w:rsidP="000422F7">
            <w:pPr>
              <w:spacing w:before="20" w:after="20"/>
              <w:rPr>
                <w:sz w:val="20"/>
                <w:szCs w:val="20"/>
              </w:rPr>
            </w:pPr>
            <w:r>
              <w:rPr>
                <w:sz w:val="20"/>
                <w:szCs w:val="20"/>
              </w:rPr>
              <w:t>Funding to support the provision of dental services to adults who rely on the public dental system. This initiative will contribute to long-term improvement in dental health by assisting low</w:t>
            </w:r>
            <w:r w:rsidR="00AC0364">
              <w:rPr>
                <w:sz w:val="20"/>
                <w:szCs w:val="20"/>
              </w:rPr>
              <w:t>-</w:t>
            </w:r>
            <w:r>
              <w:rPr>
                <w:sz w:val="20"/>
                <w:szCs w:val="20"/>
              </w:rPr>
              <w:t>income adults to receive treatment.</w:t>
            </w:r>
          </w:p>
        </w:tc>
        <w:tc>
          <w:tcPr>
            <w:tcW w:w="565" w:type="pct"/>
            <w:tcBorders>
              <w:top w:val="nil"/>
              <w:bottom w:val="nil"/>
            </w:tcBorders>
          </w:tcPr>
          <w:p w:rsidR="00D248AD" w:rsidRDefault="00D248AD" w:rsidP="000422F7">
            <w:pPr>
              <w:spacing w:before="20" w:after="20"/>
              <w:jc w:val="right"/>
              <w:rPr>
                <w:sz w:val="20"/>
                <w:szCs w:val="20"/>
              </w:rPr>
            </w:pPr>
          </w:p>
        </w:tc>
        <w:tc>
          <w:tcPr>
            <w:tcW w:w="576" w:type="pct"/>
            <w:tcBorders>
              <w:top w:val="nil"/>
              <w:bottom w:val="nil"/>
            </w:tcBorders>
          </w:tcPr>
          <w:p w:rsidR="00D248AD" w:rsidRDefault="00D248AD" w:rsidP="000422F7">
            <w:pPr>
              <w:spacing w:before="20" w:after="20"/>
              <w:jc w:val="right"/>
              <w:rPr>
                <w:sz w:val="20"/>
                <w:szCs w:val="20"/>
              </w:rPr>
            </w:pPr>
            <w:r>
              <w:rPr>
                <w:sz w:val="20"/>
                <w:szCs w:val="20"/>
              </w:rPr>
              <w:t>200.0</w:t>
            </w:r>
          </w:p>
        </w:tc>
      </w:tr>
      <w:tr w:rsidR="00D248AD" w:rsidTr="006379E7">
        <w:trPr>
          <w:cantSplit/>
        </w:trPr>
        <w:tc>
          <w:tcPr>
            <w:tcW w:w="1347" w:type="pct"/>
            <w:tcBorders>
              <w:top w:val="nil"/>
              <w:bottom w:val="nil"/>
            </w:tcBorders>
          </w:tcPr>
          <w:p w:rsidR="00D248AD" w:rsidRPr="000F71CA" w:rsidRDefault="00D248AD" w:rsidP="000422F7">
            <w:pPr>
              <w:spacing w:before="20" w:after="20"/>
              <w:rPr>
                <w:rFonts w:ascii="Calibri" w:hAnsi="Calibri"/>
                <w:b/>
                <w:bCs/>
                <w:color w:val="000000"/>
                <w:sz w:val="20"/>
                <w:szCs w:val="20"/>
              </w:rPr>
            </w:pPr>
            <w:r>
              <w:rPr>
                <w:rFonts w:ascii="Calibri" w:hAnsi="Calibri"/>
                <w:b/>
                <w:bCs/>
                <w:color w:val="000000"/>
                <w:sz w:val="20"/>
                <w:szCs w:val="20"/>
              </w:rPr>
              <w:t>Community Services</w:t>
            </w:r>
          </w:p>
        </w:tc>
        <w:tc>
          <w:tcPr>
            <w:tcW w:w="2512" w:type="pct"/>
            <w:tcBorders>
              <w:top w:val="nil"/>
              <w:bottom w:val="nil"/>
            </w:tcBorders>
          </w:tcPr>
          <w:p w:rsidR="00D248AD" w:rsidRDefault="00D248AD" w:rsidP="000422F7">
            <w:pPr>
              <w:spacing w:before="20" w:after="20"/>
              <w:rPr>
                <w:sz w:val="20"/>
                <w:szCs w:val="20"/>
              </w:rPr>
            </w:pPr>
          </w:p>
        </w:tc>
        <w:tc>
          <w:tcPr>
            <w:tcW w:w="565" w:type="pct"/>
            <w:tcBorders>
              <w:top w:val="nil"/>
              <w:bottom w:val="nil"/>
            </w:tcBorders>
          </w:tcPr>
          <w:p w:rsidR="00D248AD" w:rsidRDefault="00D248AD" w:rsidP="000422F7">
            <w:pPr>
              <w:spacing w:before="20" w:after="20"/>
              <w:jc w:val="right"/>
              <w:rPr>
                <w:sz w:val="20"/>
                <w:szCs w:val="20"/>
              </w:rPr>
            </w:pPr>
          </w:p>
        </w:tc>
        <w:tc>
          <w:tcPr>
            <w:tcW w:w="576" w:type="pct"/>
            <w:tcBorders>
              <w:top w:val="nil"/>
              <w:bottom w:val="nil"/>
            </w:tcBorders>
          </w:tcPr>
          <w:p w:rsidR="00D248AD" w:rsidRDefault="00D248AD" w:rsidP="000422F7">
            <w:pPr>
              <w:spacing w:before="20" w:after="20"/>
              <w:jc w:val="right"/>
              <w:rPr>
                <w:sz w:val="20"/>
                <w:szCs w:val="20"/>
              </w:rPr>
            </w:pPr>
          </w:p>
        </w:tc>
      </w:tr>
      <w:tr w:rsidR="00D248AD" w:rsidTr="006379E7">
        <w:trPr>
          <w:cantSplit/>
        </w:trPr>
        <w:tc>
          <w:tcPr>
            <w:tcW w:w="1347" w:type="pct"/>
            <w:tcBorders>
              <w:top w:val="nil"/>
              <w:bottom w:val="nil"/>
            </w:tcBorders>
          </w:tcPr>
          <w:p w:rsidR="00D248AD" w:rsidRPr="000F71CA" w:rsidRDefault="00D248AD" w:rsidP="000422F7">
            <w:pPr>
              <w:spacing w:before="20" w:after="20"/>
              <w:rPr>
                <w:sz w:val="20"/>
                <w:szCs w:val="20"/>
              </w:rPr>
            </w:pPr>
            <w:r w:rsidRPr="000F71CA">
              <w:rPr>
                <w:sz w:val="20"/>
                <w:szCs w:val="20"/>
              </w:rPr>
              <w:t>National Occasional Care program</w:t>
            </w:r>
          </w:p>
        </w:tc>
        <w:tc>
          <w:tcPr>
            <w:tcW w:w="2512" w:type="pct"/>
            <w:tcBorders>
              <w:top w:val="nil"/>
              <w:bottom w:val="nil"/>
            </w:tcBorders>
          </w:tcPr>
          <w:p w:rsidR="00D248AD" w:rsidRDefault="00D248AD" w:rsidP="000422F7">
            <w:pPr>
              <w:spacing w:before="20" w:after="20"/>
              <w:rPr>
                <w:sz w:val="20"/>
                <w:szCs w:val="20"/>
              </w:rPr>
            </w:pPr>
            <w:r>
              <w:rPr>
                <w:sz w:val="20"/>
                <w:szCs w:val="20"/>
              </w:rPr>
              <w:t>Funding to support non-Child Care Benefit approved child care service providers, particularly in rural, regional and remote areas.</w:t>
            </w:r>
          </w:p>
        </w:tc>
        <w:tc>
          <w:tcPr>
            <w:tcW w:w="565" w:type="pct"/>
            <w:tcBorders>
              <w:top w:val="nil"/>
              <w:bottom w:val="nil"/>
            </w:tcBorders>
          </w:tcPr>
          <w:p w:rsidR="00D248AD" w:rsidRDefault="00D248AD" w:rsidP="000422F7">
            <w:pPr>
              <w:spacing w:before="20" w:after="20"/>
              <w:jc w:val="right"/>
              <w:rPr>
                <w:sz w:val="20"/>
                <w:szCs w:val="20"/>
              </w:rPr>
            </w:pPr>
            <w:r>
              <w:rPr>
                <w:sz w:val="20"/>
                <w:szCs w:val="20"/>
              </w:rPr>
              <w:t>3.1</w:t>
            </w:r>
          </w:p>
        </w:tc>
        <w:tc>
          <w:tcPr>
            <w:tcW w:w="576" w:type="pct"/>
            <w:tcBorders>
              <w:top w:val="nil"/>
              <w:bottom w:val="nil"/>
            </w:tcBorders>
          </w:tcPr>
          <w:p w:rsidR="00D248AD" w:rsidRDefault="00D248AD" w:rsidP="000422F7">
            <w:pPr>
              <w:spacing w:before="20" w:after="20"/>
              <w:jc w:val="right"/>
              <w:rPr>
                <w:sz w:val="20"/>
                <w:szCs w:val="20"/>
              </w:rPr>
            </w:pPr>
          </w:p>
        </w:tc>
      </w:tr>
      <w:tr w:rsidR="00D248AD" w:rsidTr="00B6572A">
        <w:trPr>
          <w:cantSplit/>
        </w:trPr>
        <w:tc>
          <w:tcPr>
            <w:tcW w:w="1347" w:type="pct"/>
            <w:tcBorders>
              <w:top w:val="nil"/>
              <w:bottom w:val="nil"/>
            </w:tcBorders>
          </w:tcPr>
          <w:p w:rsidR="00D248AD" w:rsidRPr="000F71CA" w:rsidRDefault="00D248AD" w:rsidP="000422F7">
            <w:pPr>
              <w:spacing w:before="20" w:after="20"/>
              <w:rPr>
                <w:rFonts w:ascii="Calibri" w:hAnsi="Calibri"/>
                <w:color w:val="000000"/>
                <w:sz w:val="20"/>
                <w:szCs w:val="20"/>
              </w:rPr>
            </w:pPr>
            <w:r>
              <w:rPr>
                <w:rFonts w:ascii="Calibri" w:hAnsi="Calibri"/>
                <w:color w:val="000000"/>
                <w:sz w:val="20"/>
                <w:szCs w:val="20"/>
              </w:rPr>
              <w:t xml:space="preserve">Payments from the </w:t>
            </w:r>
            <w:proofErr w:type="spellStart"/>
            <w:r>
              <w:rPr>
                <w:rFonts w:ascii="Calibri" w:hAnsi="Calibri"/>
                <w:color w:val="000000"/>
                <w:sz w:val="20"/>
                <w:szCs w:val="20"/>
              </w:rPr>
              <w:t>DisabilityCare</w:t>
            </w:r>
            <w:proofErr w:type="spellEnd"/>
            <w:r>
              <w:rPr>
                <w:rFonts w:ascii="Calibri" w:hAnsi="Calibri"/>
                <w:color w:val="000000"/>
                <w:sz w:val="20"/>
                <w:szCs w:val="20"/>
              </w:rPr>
              <w:t xml:space="preserve"> Australia Fund</w:t>
            </w:r>
          </w:p>
        </w:tc>
        <w:tc>
          <w:tcPr>
            <w:tcW w:w="2512" w:type="pct"/>
            <w:tcBorders>
              <w:top w:val="nil"/>
              <w:bottom w:val="nil"/>
            </w:tcBorders>
          </w:tcPr>
          <w:p w:rsidR="00D248AD" w:rsidRDefault="00D248AD" w:rsidP="001C1829">
            <w:pPr>
              <w:spacing w:before="20" w:after="20"/>
              <w:rPr>
                <w:sz w:val="20"/>
                <w:szCs w:val="20"/>
              </w:rPr>
            </w:pPr>
            <w:r>
              <w:rPr>
                <w:sz w:val="20"/>
                <w:szCs w:val="20"/>
              </w:rPr>
              <w:t xml:space="preserve">Funding to assist the States with their contribution to the National Disability Insurance Scheme (NDIS) for 10 years by allocating some of the payments going into the </w:t>
            </w:r>
            <w:proofErr w:type="spellStart"/>
            <w:r>
              <w:rPr>
                <w:sz w:val="20"/>
                <w:szCs w:val="20"/>
              </w:rPr>
              <w:t>DisabilityCare</w:t>
            </w:r>
            <w:proofErr w:type="spellEnd"/>
            <w:r>
              <w:rPr>
                <w:sz w:val="20"/>
                <w:szCs w:val="20"/>
              </w:rPr>
              <w:t xml:space="preserve"> Australia Fund, </w:t>
            </w:r>
            <w:proofErr w:type="gramStart"/>
            <w:r>
              <w:rPr>
                <w:sz w:val="20"/>
                <w:szCs w:val="20"/>
              </w:rPr>
              <w:t>which comes into effect on 1 July 2014.</w:t>
            </w:r>
            <w:proofErr w:type="gramEnd"/>
            <w:r>
              <w:rPr>
                <w:sz w:val="20"/>
                <w:szCs w:val="20"/>
              </w:rPr>
              <w:t xml:space="preserve"> The States will be able to draw down from the Fund when they meet key conditions such as agreement to fully roll out the NDIS and milestones relating to the participation of people with significant and permanent disability in the scheme.</w:t>
            </w:r>
          </w:p>
        </w:tc>
        <w:tc>
          <w:tcPr>
            <w:tcW w:w="565" w:type="pct"/>
            <w:tcBorders>
              <w:top w:val="nil"/>
              <w:bottom w:val="nil"/>
            </w:tcBorders>
          </w:tcPr>
          <w:p w:rsidR="00D248AD" w:rsidRDefault="00D248AD" w:rsidP="000422F7">
            <w:pPr>
              <w:spacing w:before="20" w:after="20"/>
              <w:jc w:val="right"/>
              <w:rPr>
                <w:sz w:val="20"/>
                <w:szCs w:val="20"/>
              </w:rPr>
            </w:pPr>
          </w:p>
        </w:tc>
        <w:tc>
          <w:tcPr>
            <w:tcW w:w="576" w:type="pct"/>
            <w:tcBorders>
              <w:top w:val="nil"/>
              <w:bottom w:val="nil"/>
            </w:tcBorders>
          </w:tcPr>
          <w:p w:rsidR="00D248AD" w:rsidRDefault="00D248AD" w:rsidP="000422F7">
            <w:pPr>
              <w:spacing w:before="20" w:after="20"/>
              <w:jc w:val="right"/>
              <w:rPr>
                <w:sz w:val="20"/>
                <w:szCs w:val="20"/>
              </w:rPr>
            </w:pPr>
            <w:r>
              <w:rPr>
                <w:sz w:val="20"/>
                <w:szCs w:val="20"/>
              </w:rPr>
              <w:t>73.9</w:t>
            </w:r>
          </w:p>
        </w:tc>
      </w:tr>
      <w:tr w:rsidR="00D248AD" w:rsidTr="00B6572A">
        <w:trPr>
          <w:cantSplit/>
        </w:trPr>
        <w:tc>
          <w:tcPr>
            <w:tcW w:w="1347" w:type="pct"/>
            <w:tcBorders>
              <w:top w:val="nil"/>
              <w:bottom w:val="nil"/>
            </w:tcBorders>
          </w:tcPr>
          <w:p w:rsidR="00D248AD" w:rsidRPr="000F71CA" w:rsidRDefault="00D248AD" w:rsidP="000422F7">
            <w:pPr>
              <w:spacing w:before="20" w:after="20"/>
              <w:rPr>
                <w:sz w:val="20"/>
                <w:szCs w:val="20"/>
              </w:rPr>
            </w:pPr>
            <w:r w:rsidRPr="000F71CA">
              <w:rPr>
                <w:sz w:val="20"/>
                <w:szCs w:val="20"/>
              </w:rPr>
              <w:t>Trial of My Way sites</w:t>
            </w:r>
          </w:p>
        </w:tc>
        <w:tc>
          <w:tcPr>
            <w:tcW w:w="2512" w:type="pct"/>
            <w:tcBorders>
              <w:top w:val="nil"/>
              <w:bottom w:val="nil"/>
            </w:tcBorders>
          </w:tcPr>
          <w:p w:rsidR="00D248AD" w:rsidRDefault="00D248AD" w:rsidP="000422F7">
            <w:pPr>
              <w:spacing w:before="20" w:after="20"/>
              <w:rPr>
                <w:sz w:val="20"/>
                <w:szCs w:val="20"/>
              </w:rPr>
            </w:pPr>
            <w:r w:rsidRPr="007064FF">
              <w:rPr>
                <w:sz w:val="20"/>
                <w:szCs w:val="20"/>
              </w:rPr>
              <w:t xml:space="preserve">This Agreement builds on the Agreement between the Commonwealth and Western Australia for disability reform in </w:t>
            </w:r>
            <w:r>
              <w:rPr>
                <w:sz w:val="20"/>
                <w:szCs w:val="20"/>
              </w:rPr>
              <w:t>the State</w:t>
            </w:r>
            <w:r w:rsidRPr="007064FF">
              <w:rPr>
                <w:sz w:val="20"/>
                <w:szCs w:val="20"/>
              </w:rPr>
              <w:t xml:space="preserve"> signed on 5 August 2013, which provides for a two-year trial of two service delivery models. </w:t>
            </w:r>
          </w:p>
          <w:p w:rsidR="00D248AD" w:rsidRPr="007064FF" w:rsidRDefault="00D248AD" w:rsidP="000422F7">
            <w:pPr>
              <w:spacing w:before="20" w:after="20"/>
              <w:rPr>
                <w:sz w:val="20"/>
                <w:szCs w:val="20"/>
              </w:rPr>
            </w:pPr>
            <w:r w:rsidRPr="007064FF">
              <w:rPr>
                <w:sz w:val="20"/>
                <w:szCs w:val="20"/>
              </w:rPr>
              <w:t xml:space="preserve">It supports the trial of the My Way model implemented by the WA Disability Services Commission (DSC) under State legislation in two sites: the Lower South West region from July 2014 and the Cockburn/Kwinana DSC region from </w:t>
            </w:r>
            <w:r w:rsidR="00AC0364" w:rsidRPr="007064FF">
              <w:rPr>
                <w:sz w:val="20"/>
                <w:szCs w:val="20"/>
              </w:rPr>
              <w:t>July</w:t>
            </w:r>
            <w:r w:rsidR="00AC0364">
              <w:rPr>
                <w:sz w:val="20"/>
                <w:szCs w:val="20"/>
              </w:rPr>
              <w:t> </w:t>
            </w:r>
            <w:r w:rsidRPr="007064FF">
              <w:rPr>
                <w:sz w:val="20"/>
                <w:szCs w:val="20"/>
              </w:rPr>
              <w:t xml:space="preserve">2015. It will </w:t>
            </w:r>
            <w:r>
              <w:rPr>
                <w:sz w:val="20"/>
                <w:szCs w:val="20"/>
              </w:rPr>
              <w:t xml:space="preserve">run </w:t>
            </w:r>
            <w:r w:rsidRPr="007064FF">
              <w:rPr>
                <w:sz w:val="20"/>
                <w:szCs w:val="20"/>
              </w:rPr>
              <w:t xml:space="preserve">in parallel </w:t>
            </w:r>
            <w:r>
              <w:rPr>
                <w:sz w:val="20"/>
                <w:szCs w:val="20"/>
              </w:rPr>
              <w:t xml:space="preserve">with the NDIS trial site </w:t>
            </w:r>
            <w:r w:rsidRPr="007064FF">
              <w:rPr>
                <w:sz w:val="20"/>
                <w:szCs w:val="20"/>
              </w:rPr>
              <w:t>in the Perth Hills region.</w:t>
            </w:r>
          </w:p>
          <w:p w:rsidR="00D248AD" w:rsidRDefault="00D248AD" w:rsidP="000422F7">
            <w:pPr>
              <w:spacing w:before="20" w:after="20"/>
              <w:rPr>
                <w:sz w:val="20"/>
                <w:szCs w:val="20"/>
              </w:rPr>
            </w:pPr>
            <w:r w:rsidRPr="007064FF">
              <w:rPr>
                <w:sz w:val="20"/>
                <w:szCs w:val="20"/>
              </w:rPr>
              <w:t xml:space="preserve">The trial will allow for the assessment and comparison of the merits of the My Way model with the NDIS model and allow the lessons learned to inform the national roll-out of disability reform. </w:t>
            </w:r>
          </w:p>
        </w:tc>
        <w:tc>
          <w:tcPr>
            <w:tcW w:w="565" w:type="pct"/>
            <w:tcBorders>
              <w:top w:val="nil"/>
              <w:bottom w:val="nil"/>
            </w:tcBorders>
          </w:tcPr>
          <w:p w:rsidR="00D248AD" w:rsidRDefault="00D248AD" w:rsidP="000422F7">
            <w:pPr>
              <w:spacing w:before="20" w:after="20"/>
              <w:jc w:val="right"/>
              <w:rPr>
                <w:sz w:val="20"/>
                <w:szCs w:val="20"/>
              </w:rPr>
            </w:pPr>
            <w:r>
              <w:rPr>
                <w:sz w:val="20"/>
                <w:szCs w:val="20"/>
              </w:rPr>
              <w:t>11.8</w:t>
            </w:r>
          </w:p>
        </w:tc>
        <w:tc>
          <w:tcPr>
            <w:tcW w:w="576" w:type="pct"/>
            <w:tcBorders>
              <w:top w:val="nil"/>
              <w:bottom w:val="nil"/>
            </w:tcBorders>
          </w:tcPr>
          <w:p w:rsidR="00D248AD" w:rsidRDefault="00D248AD" w:rsidP="000422F7">
            <w:pPr>
              <w:spacing w:before="20" w:after="20"/>
              <w:jc w:val="right"/>
              <w:rPr>
                <w:sz w:val="20"/>
                <w:szCs w:val="20"/>
              </w:rPr>
            </w:pPr>
          </w:p>
        </w:tc>
      </w:tr>
      <w:tr w:rsidR="00B6572A" w:rsidTr="00B6572A">
        <w:trPr>
          <w:cantSplit/>
        </w:trPr>
        <w:tc>
          <w:tcPr>
            <w:tcW w:w="1347" w:type="pct"/>
            <w:tcBorders>
              <w:top w:val="nil"/>
              <w:bottom w:val="nil"/>
            </w:tcBorders>
          </w:tcPr>
          <w:p w:rsidR="00B6572A" w:rsidRPr="00E82A61" w:rsidRDefault="00B6572A" w:rsidP="0061508C">
            <w:pPr>
              <w:keepNext/>
              <w:spacing w:before="20" w:after="20"/>
              <w:rPr>
                <w:b/>
                <w:sz w:val="20"/>
                <w:szCs w:val="20"/>
              </w:rPr>
            </w:pPr>
            <w:r w:rsidRPr="00E82A61">
              <w:rPr>
                <w:b/>
                <w:sz w:val="20"/>
                <w:szCs w:val="20"/>
              </w:rPr>
              <w:t>Infrastructure</w:t>
            </w:r>
          </w:p>
        </w:tc>
        <w:tc>
          <w:tcPr>
            <w:tcW w:w="2512" w:type="pct"/>
            <w:tcBorders>
              <w:top w:val="nil"/>
              <w:bottom w:val="nil"/>
            </w:tcBorders>
          </w:tcPr>
          <w:p w:rsidR="00B6572A" w:rsidRPr="00790EB7" w:rsidRDefault="00B6572A" w:rsidP="0061508C">
            <w:pPr>
              <w:keepNext/>
              <w:spacing w:before="20" w:after="20"/>
              <w:rPr>
                <w:sz w:val="20"/>
                <w:szCs w:val="20"/>
              </w:rPr>
            </w:pPr>
          </w:p>
        </w:tc>
        <w:tc>
          <w:tcPr>
            <w:tcW w:w="565" w:type="pct"/>
            <w:tcBorders>
              <w:top w:val="nil"/>
              <w:bottom w:val="nil"/>
            </w:tcBorders>
          </w:tcPr>
          <w:p w:rsidR="00B6572A" w:rsidRDefault="00B6572A" w:rsidP="0061508C">
            <w:pPr>
              <w:keepNext/>
              <w:spacing w:before="20" w:after="20"/>
              <w:jc w:val="right"/>
              <w:rPr>
                <w:sz w:val="20"/>
                <w:szCs w:val="20"/>
              </w:rPr>
            </w:pPr>
          </w:p>
        </w:tc>
        <w:tc>
          <w:tcPr>
            <w:tcW w:w="576" w:type="pct"/>
            <w:tcBorders>
              <w:top w:val="nil"/>
              <w:bottom w:val="nil"/>
            </w:tcBorders>
          </w:tcPr>
          <w:p w:rsidR="00B6572A" w:rsidRDefault="00B6572A" w:rsidP="0061508C">
            <w:pPr>
              <w:keepNext/>
              <w:spacing w:before="20" w:after="20"/>
              <w:jc w:val="right"/>
              <w:rPr>
                <w:sz w:val="20"/>
                <w:szCs w:val="20"/>
              </w:rPr>
            </w:pPr>
          </w:p>
        </w:tc>
      </w:tr>
      <w:tr w:rsidR="00B6572A" w:rsidTr="00B6572A">
        <w:trPr>
          <w:cantSplit/>
        </w:trPr>
        <w:tc>
          <w:tcPr>
            <w:tcW w:w="1347" w:type="pct"/>
            <w:tcBorders>
              <w:top w:val="nil"/>
              <w:bottom w:val="single" w:sz="4" w:space="0" w:color="auto"/>
            </w:tcBorders>
          </w:tcPr>
          <w:p w:rsidR="00B6572A" w:rsidRDefault="00B6572A" w:rsidP="00B6572A">
            <w:pPr>
              <w:spacing w:before="20" w:after="20"/>
              <w:rPr>
                <w:sz w:val="20"/>
                <w:szCs w:val="20"/>
              </w:rPr>
            </w:pPr>
            <w:r w:rsidRPr="00E82A61">
              <w:rPr>
                <w:sz w:val="20"/>
                <w:szCs w:val="20"/>
              </w:rPr>
              <w:t>Infrastructure Investment program (fo</w:t>
            </w:r>
            <w:r>
              <w:rPr>
                <w:sz w:val="20"/>
                <w:szCs w:val="20"/>
              </w:rPr>
              <w:t>rmer Nation Building program) —</w:t>
            </w:r>
          </w:p>
          <w:p w:rsidR="00B6572A" w:rsidRDefault="00B6572A" w:rsidP="00B6572A">
            <w:pPr>
              <w:spacing w:before="20" w:after="20"/>
              <w:ind w:firstLine="284"/>
              <w:rPr>
                <w:sz w:val="20"/>
                <w:szCs w:val="20"/>
              </w:rPr>
            </w:pPr>
            <w:r w:rsidRPr="00E82A61">
              <w:rPr>
                <w:sz w:val="20"/>
                <w:szCs w:val="20"/>
              </w:rPr>
              <w:t xml:space="preserve">Bridges renewal </w:t>
            </w:r>
            <w:r>
              <w:rPr>
                <w:sz w:val="20"/>
                <w:szCs w:val="20"/>
              </w:rPr>
              <w:t>component</w:t>
            </w:r>
          </w:p>
        </w:tc>
        <w:tc>
          <w:tcPr>
            <w:tcW w:w="2512" w:type="pct"/>
            <w:tcBorders>
              <w:top w:val="nil"/>
              <w:bottom w:val="single" w:sz="4" w:space="0" w:color="auto"/>
            </w:tcBorders>
          </w:tcPr>
          <w:p w:rsidR="00B6572A" w:rsidRPr="00790EB7" w:rsidRDefault="00B6572A" w:rsidP="00B6572A">
            <w:pPr>
              <w:spacing w:before="20" w:after="20"/>
              <w:rPr>
                <w:sz w:val="20"/>
                <w:szCs w:val="20"/>
              </w:rPr>
            </w:pPr>
            <w:r>
              <w:rPr>
                <w:sz w:val="20"/>
                <w:szCs w:val="20"/>
              </w:rPr>
              <w:t>Payments direct to local governments for the upgrade of bridges across the nation to deliver on a commitment made as part of the 2013 election. The program will renew and replace bridges to improve productivity and community access.</w:t>
            </w:r>
          </w:p>
        </w:tc>
        <w:tc>
          <w:tcPr>
            <w:tcW w:w="565" w:type="pct"/>
            <w:tcBorders>
              <w:top w:val="nil"/>
              <w:bottom w:val="single" w:sz="4" w:space="0" w:color="auto"/>
            </w:tcBorders>
          </w:tcPr>
          <w:p w:rsidR="00B6572A" w:rsidRDefault="00B6572A" w:rsidP="00B6572A">
            <w:pPr>
              <w:spacing w:before="20" w:after="20"/>
              <w:jc w:val="right"/>
              <w:rPr>
                <w:sz w:val="20"/>
                <w:szCs w:val="20"/>
              </w:rPr>
            </w:pPr>
            <w:r>
              <w:rPr>
                <w:sz w:val="20"/>
                <w:szCs w:val="20"/>
              </w:rPr>
              <w:t>60.0</w:t>
            </w:r>
          </w:p>
        </w:tc>
        <w:tc>
          <w:tcPr>
            <w:tcW w:w="576" w:type="pct"/>
            <w:tcBorders>
              <w:top w:val="nil"/>
              <w:bottom w:val="single" w:sz="4" w:space="0" w:color="auto"/>
            </w:tcBorders>
          </w:tcPr>
          <w:p w:rsidR="00B6572A" w:rsidRDefault="00B6572A" w:rsidP="00B6572A">
            <w:pPr>
              <w:spacing w:before="20" w:after="20"/>
              <w:jc w:val="right"/>
              <w:rPr>
                <w:sz w:val="20"/>
                <w:szCs w:val="20"/>
              </w:rPr>
            </w:pPr>
          </w:p>
        </w:tc>
      </w:tr>
      <w:tr w:rsidR="00D248AD" w:rsidTr="00B6572A">
        <w:trPr>
          <w:cantSplit/>
        </w:trPr>
        <w:tc>
          <w:tcPr>
            <w:tcW w:w="1347" w:type="pct"/>
            <w:tcBorders>
              <w:top w:val="single" w:sz="4" w:space="0" w:color="auto"/>
              <w:bottom w:val="nil"/>
            </w:tcBorders>
          </w:tcPr>
          <w:p w:rsidR="00D248AD" w:rsidRPr="00E82A61" w:rsidRDefault="00D248AD" w:rsidP="000422F7">
            <w:pPr>
              <w:spacing w:before="20" w:after="20"/>
              <w:rPr>
                <w:sz w:val="20"/>
                <w:szCs w:val="20"/>
              </w:rPr>
            </w:pPr>
            <w:r w:rsidRPr="00E82A61">
              <w:rPr>
                <w:sz w:val="20"/>
                <w:szCs w:val="20"/>
              </w:rPr>
              <w:lastRenderedPageBreak/>
              <w:t xml:space="preserve">Infrastructure Growth Package </w:t>
            </w:r>
            <w:r>
              <w:rPr>
                <w:sz w:val="20"/>
                <w:szCs w:val="20"/>
              </w:rPr>
              <w:t>—</w:t>
            </w:r>
            <w:r w:rsidRPr="00E82A61">
              <w:rPr>
                <w:sz w:val="20"/>
                <w:szCs w:val="20"/>
              </w:rPr>
              <w:t xml:space="preserve"> </w:t>
            </w:r>
          </w:p>
          <w:p w:rsidR="00D248AD" w:rsidRPr="00E82A61" w:rsidRDefault="00D248AD" w:rsidP="000422F7">
            <w:pPr>
              <w:spacing w:before="20" w:after="20"/>
              <w:ind w:firstLine="284"/>
              <w:rPr>
                <w:sz w:val="20"/>
                <w:szCs w:val="20"/>
              </w:rPr>
            </w:pPr>
            <w:r w:rsidRPr="00E82A61">
              <w:rPr>
                <w:sz w:val="20"/>
                <w:szCs w:val="20"/>
              </w:rPr>
              <w:t>Asset Recycling Fund</w:t>
            </w:r>
          </w:p>
          <w:p w:rsidR="00D248AD" w:rsidRPr="00E82A61" w:rsidRDefault="00D248AD" w:rsidP="000422F7">
            <w:pPr>
              <w:spacing w:before="20" w:after="20"/>
              <w:ind w:firstLine="426"/>
              <w:rPr>
                <w:sz w:val="20"/>
                <w:szCs w:val="20"/>
              </w:rPr>
            </w:pPr>
            <w:r w:rsidRPr="00E82A61">
              <w:rPr>
                <w:sz w:val="20"/>
                <w:szCs w:val="20"/>
              </w:rPr>
              <w:t>Asset Recycling Initiative</w:t>
            </w:r>
          </w:p>
          <w:p w:rsidR="00D248AD" w:rsidRPr="00E82A61" w:rsidRDefault="00D248AD" w:rsidP="000422F7">
            <w:pPr>
              <w:spacing w:before="20" w:after="20"/>
              <w:ind w:firstLine="426"/>
              <w:rPr>
                <w:sz w:val="20"/>
                <w:szCs w:val="20"/>
              </w:rPr>
            </w:pPr>
            <w:r w:rsidRPr="00E82A61">
              <w:rPr>
                <w:sz w:val="20"/>
                <w:szCs w:val="20"/>
              </w:rPr>
              <w:t>New investments</w:t>
            </w:r>
          </w:p>
          <w:p w:rsidR="00D248AD" w:rsidRDefault="00D248AD" w:rsidP="000422F7">
            <w:pPr>
              <w:spacing w:before="20" w:after="20"/>
              <w:ind w:firstLine="426"/>
              <w:rPr>
                <w:sz w:val="20"/>
                <w:szCs w:val="20"/>
              </w:rPr>
            </w:pPr>
            <w:r w:rsidRPr="00E82A61">
              <w:rPr>
                <w:sz w:val="20"/>
                <w:szCs w:val="20"/>
              </w:rPr>
              <w:t>Western Sydney Infrastructure Plan</w:t>
            </w:r>
          </w:p>
          <w:p w:rsidR="00D248AD" w:rsidRDefault="00D248AD" w:rsidP="000422F7">
            <w:pPr>
              <w:spacing w:before="20" w:after="20"/>
              <w:ind w:left="284"/>
              <w:rPr>
                <w:sz w:val="20"/>
                <w:szCs w:val="20"/>
              </w:rPr>
            </w:pPr>
            <w:r>
              <w:rPr>
                <w:sz w:val="20"/>
                <w:szCs w:val="20"/>
              </w:rPr>
              <w:t>(State allocations have not been determined for Asset Recycling Initiative and New investments)</w:t>
            </w:r>
          </w:p>
        </w:tc>
        <w:tc>
          <w:tcPr>
            <w:tcW w:w="2512" w:type="pct"/>
            <w:tcBorders>
              <w:top w:val="single" w:sz="4" w:space="0" w:color="auto"/>
              <w:bottom w:val="nil"/>
            </w:tcBorders>
          </w:tcPr>
          <w:p w:rsidR="00D248AD" w:rsidRDefault="00D248AD" w:rsidP="000422F7">
            <w:pPr>
              <w:spacing w:before="20" w:after="20"/>
              <w:rPr>
                <w:sz w:val="20"/>
                <w:szCs w:val="20"/>
              </w:rPr>
            </w:pPr>
            <w:r>
              <w:rPr>
                <w:sz w:val="20"/>
                <w:szCs w:val="20"/>
              </w:rPr>
              <w:t>The Commonwealth will establish an Asset Recycling Fund to provide funding for additional investment in high quality economic infrastructure.</w:t>
            </w:r>
          </w:p>
          <w:p w:rsidR="00D248AD" w:rsidRDefault="00D248AD" w:rsidP="000422F7">
            <w:pPr>
              <w:spacing w:before="20" w:after="20"/>
              <w:rPr>
                <w:sz w:val="20"/>
                <w:szCs w:val="20"/>
              </w:rPr>
            </w:pPr>
            <w:r>
              <w:rPr>
                <w:sz w:val="20"/>
                <w:szCs w:val="20"/>
              </w:rPr>
              <w:t>Asset Recycling Initiative — financial incentive to States that sell assets and reinvest the sale proceeds into new productive infrastructure. Funding will be allocated to specific projects as agreed between the Commonwealth and States.</w:t>
            </w:r>
          </w:p>
          <w:p w:rsidR="00D248AD" w:rsidRDefault="00D248AD" w:rsidP="000422F7">
            <w:pPr>
              <w:spacing w:before="20" w:after="20"/>
              <w:rPr>
                <w:sz w:val="20"/>
                <w:szCs w:val="20"/>
              </w:rPr>
            </w:pPr>
            <w:r>
              <w:rPr>
                <w:sz w:val="20"/>
                <w:szCs w:val="20"/>
              </w:rPr>
              <w:t xml:space="preserve">New investment — funding for high quality, high priority infrastructure projects and upgrades that support economic growth and employment. </w:t>
            </w:r>
          </w:p>
          <w:p w:rsidR="00D248AD" w:rsidRPr="00790EB7" w:rsidRDefault="00D248AD" w:rsidP="000422F7">
            <w:pPr>
              <w:spacing w:before="20" w:after="20"/>
              <w:rPr>
                <w:sz w:val="20"/>
                <w:szCs w:val="20"/>
              </w:rPr>
            </w:pPr>
            <w:r>
              <w:rPr>
                <w:sz w:val="20"/>
                <w:szCs w:val="20"/>
              </w:rPr>
              <w:t>Western Sydney Infrastructure Plan — funding to enhance capacity and improve transport infrastructure, including the development of an airport at Badgerys Creek.</w:t>
            </w:r>
          </w:p>
        </w:tc>
        <w:tc>
          <w:tcPr>
            <w:tcW w:w="565" w:type="pct"/>
            <w:tcBorders>
              <w:top w:val="single" w:sz="4" w:space="0" w:color="auto"/>
              <w:bottom w:val="nil"/>
            </w:tcBorders>
          </w:tcPr>
          <w:p w:rsidR="00D248AD" w:rsidRDefault="00D248AD" w:rsidP="000422F7">
            <w:pPr>
              <w:spacing w:before="20" w:after="20"/>
              <w:jc w:val="right"/>
              <w:rPr>
                <w:sz w:val="20"/>
                <w:szCs w:val="20"/>
              </w:rPr>
            </w:pPr>
          </w:p>
          <w:p w:rsidR="00D248AD" w:rsidRDefault="00D248AD" w:rsidP="000422F7">
            <w:pPr>
              <w:spacing w:before="20" w:after="20"/>
              <w:jc w:val="right"/>
              <w:rPr>
                <w:sz w:val="20"/>
                <w:szCs w:val="20"/>
              </w:rPr>
            </w:pPr>
          </w:p>
          <w:p w:rsidR="00D248AD" w:rsidRPr="00E82A61" w:rsidRDefault="00D248AD" w:rsidP="000422F7">
            <w:pPr>
              <w:spacing w:before="20" w:after="20"/>
              <w:jc w:val="right"/>
              <w:rPr>
                <w:sz w:val="20"/>
                <w:szCs w:val="20"/>
              </w:rPr>
            </w:pPr>
            <w:r w:rsidRPr="00E82A61">
              <w:rPr>
                <w:sz w:val="20"/>
                <w:szCs w:val="20"/>
              </w:rPr>
              <w:t>335.0</w:t>
            </w:r>
          </w:p>
          <w:p w:rsidR="00D248AD" w:rsidRPr="00E82A61" w:rsidRDefault="00D248AD" w:rsidP="000422F7">
            <w:pPr>
              <w:spacing w:before="20" w:after="20"/>
              <w:jc w:val="right"/>
              <w:rPr>
                <w:sz w:val="20"/>
                <w:szCs w:val="20"/>
              </w:rPr>
            </w:pPr>
            <w:r w:rsidRPr="00E82A61">
              <w:rPr>
                <w:sz w:val="20"/>
                <w:szCs w:val="20"/>
              </w:rPr>
              <w:t>201.7</w:t>
            </w:r>
          </w:p>
          <w:p w:rsidR="00D248AD" w:rsidRDefault="00D248AD" w:rsidP="000422F7">
            <w:pPr>
              <w:spacing w:before="20" w:after="20"/>
              <w:jc w:val="right"/>
              <w:rPr>
                <w:sz w:val="20"/>
                <w:szCs w:val="20"/>
              </w:rPr>
            </w:pPr>
            <w:r w:rsidRPr="00E82A61">
              <w:rPr>
                <w:sz w:val="20"/>
                <w:szCs w:val="20"/>
              </w:rPr>
              <w:t>103.0</w:t>
            </w:r>
          </w:p>
          <w:p w:rsidR="00D248AD" w:rsidRDefault="00D248AD" w:rsidP="000422F7">
            <w:pPr>
              <w:spacing w:before="20" w:after="20"/>
              <w:jc w:val="right"/>
              <w:rPr>
                <w:sz w:val="20"/>
                <w:szCs w:val="20"/>
              </w:rPr>
            </w:pPr>
          </w:p>
        </w:tc>
        <w:tc>
          <w:tcPr>
            <w:tcW w:w="576" w:type="pct"/>
            <w:tcBorders>
              <w:top w:val="single" w:sz="4" w:space="0" w:color="auto"/>
              <w:bottom w:val="nil"/>
            </w:tcBorders>
          </w:tcPr>
          <w:p w:rsidR="00D248AD" w:rsidRDefault="00D248AD" w:rsidP="000422F7">
            <w:pPr>
              <w:spacing w:before="20" w:after="20"/>
              <w:jc w:val="right"/>
              <w:rPr>
                <w:sz w:val="20"/>
                <w:szCs w:val="20"/>
              </w:rPr>
            </w:pPr>
          </w:p>
        </w:tc>
      </w:tr>
      <w:tr w:rsidR="00D248AD" w:rsidTr="00C674BF">
        <w:trPr>
          <w:cantSplit/>
        </w:trPr>
        <w:tc>
          <w:tcPr>
            <w:tcW w:w="1347" w:type="pct"/>
            <w:tcBorders>
              <w:top w:val="nil"/>
              <w:bottom w:val="nil"/>
            </w:tcBorders>
          </w:tcPr>
          <w:p w:rsidR="00D248AD" w:rsidRPr="00E82A61" w:rsidRDefault="00D248AD" w:rsidP="000422F7">
            <w:pPr>
              <w:spacing w:before="20" w:after="20"/>
              <w:rPr>
                <w:rFonts w:ascii="Calibri" w:hAnsi="Calibri"/>
                <w:b/>
                <w:bCs/>
                <w:color w:val="000000"/>
                <w:sz w:val="20"/>
                <w:szCs w:val="20"/>
              </w:rPr>
            </w:pPr>
            <w:r>
              <w:rPr>
                <w:rFonts w:ascii="Calibri" w:hAnsi="Calibri"/>
                <w:b/>
                <w:bCs/>
                <w:color w:val="000000"/>
                <w:sz w:val="20"/>
                <w:szCs w:val="20"/>
              </w:rPr>
              <w:t>Environment</w:t>
            </w:r>
          </w:p>
        </w:tc>
        <w:tc>
          <w:tcPr>
            <w:tcW w:w="2512" w:type="pct"/>
            <w:tcBorders>
              <w:top w:val="nil"/>
              <w:bottom w:val="nil"/>
            </w:tcBorders>
          </w:tcPr>
          <w:p w:rsidR="00D248AD" w:rsidRPr="00790EB7" w:rsidRDefault="00D248AD" w:rsidP="000422F7">
            <w:pPr>
              <w:spacing w:before="20" w:after="20"/>
              <w:rPr>
                <w:sz w:val="20"/>
                <w:szCs w:val="20"/>
              </w:rPr>
            </w:pPr>
          </w:p>
        </w:tc>
        <w:tc>
          <w:tcPr>
            <w:tcW w:w="565" w:type="pct"/>
            <w:tcBorders>
              <w:top w:val="nil"/>
              <w:bottom w:val="nil"/>
            </w:tcBorders>
          </w:tcPr>
          <w:p w:rsidR="00D248AD" w:rsidRDefault="00D248AD" w:rsidP="000422F7">
            <w:pPr>
              <w:spacing w:before="20" w:after="20"/>
              <w:jc w:val="right"/>
              <w:rPr>
                <w:sz w:val="20"/>
                <w:szCs w:val="20"/>
              </w:rPr>
            </w:pPr>
          </w:p>
        </w:tc>
        <w:tc>
          <w:tcPr>
            <w:tcW w:w="576" w:type="pct"/>
            <w:tcBorders>
              <w:top w:val="nil"/>
              <w:bottom w:val="nil"/>
            </w:tcBorders>
          </w:tcPr>
          <w:p w:rsidR="00D248AD" w:rsidRDefault="00D248AD" w:rsidP="000422F7">
            <w:pPr>
              <w:spacing w:before="20" w:after="20"/>
              <w:jc w:val="right"/>
              <w:rPr>
                <w:sz w:val="20"/>
                <w:szCs w:val="20"/>
              </w:rPr>
            </w:pPr>
          </w:p>
        </w:tc>
      </w:tr>
      <w:tr w:rsidR="00D248AD" w:rsidTr="00C674BF">
        <w:trPr>
          <w:cantSplit/>
        </w:trPr>
        <w:tc>
          <w:tcPr>
            <w:tcW w:w="1347" w:type="pct"/>
            <w:tcBorders>
              <w:top w:val="nil"/>
              <w:bottom w:val="nil"/>
            </w:tcBorders>
          </w:tcPr>
          <w:p w:rsidR="00D248AD" w:rsidRDefault="00D248AD" w:rsidP="000422F7">
            <w:pPr>
              <w:spacing w:before="20" w:after="20"/>
              <w:rPr>
                <w:sz w:val="20"/>
                <w:szCs w:val="20"/>
              </w:rPr>
            </w:pPr>
            <w:r w:rsidRPr="00E82A61">
              <w:rPr>
                <w:sz w:val="20"/>
                <w:szCs w:val="20"/>
              </w:rPr>
              <w:t>Bushfire mitigation</w:t>
            </w:r>
          </w:p>
        </w:tc>
        <w:tc>
          <w:tcPr>
            <w:tcW w:w="2512" w:type="pct"/>
            <w:tcBorders>
              <w:top w:val="nil"/>
              <w:bottom w:val="nil"/>
            </w:tcBorders>
          </w:tcPr>
          <w:p w:rsidR="00D248AD" w:rsidRPr="00790EB7" w:rsidRDefault="00D248AD" w:rsidP="000422F7">
            <w:pPr>
              <w:spacing w:before="20" w:after="20"/>
              <w:rPr>
                <w:sz w:val="20"/>
                <w:szCs w:val="20"/>
              </w:rPr>
            </w:pPr>
            <w:r>
              <w:rPr>
                <w:sz w:val="20"/>
                <w:szCs w:val="20"/>
              </w:rPr>
              <w:t>Funding to implement long-term bushfire mitigation strategies and improved fuel reduction activities.</w:t>
            </w:r>
          </w:p>
        </w:tc>
        <w:tc>
          <w:tcPr>
            <w:tcW w:w="565" w:type="pct"/>
            <w:tcBorders>
              <w:top w:val="nil"/>
              <w:bottom w:val="nil"/>
            </w:tcBorders>
          </w:tcPr>
          <w:p w:rsidR="00D248AD" w:rsidRDefault="00D248AD" w:rsidP="000422F7">
            <w:pPr>
              <w:spacing w:before="20" w:after="20"/>
              <w:jc w:val="right"/>
              <w:rPr>
                <w:sz w:val="20"/>
                <w:szCs w:val="20"/>
              </w:rPr>
            </w:pPr>
            <w:r w:rsidRPr="00E82A61">
              <w:rPr>
                <w:sz w:val="20"/>
                <w:szCs w:val="20"/>
              </w:rPr>
              <w:t>5.0</w:t>
            </w:r>
          </w:p>
        </w:tc>
        <w:tc>
          <w:tcPr>
            <w:tcW w:w="576" w:type="pct"/>
            <w:tcBorders>
              <w:top w:val="nil"/>
              <w:bottom w:val="nil"/>
            </w:tcBorders>
          </w:tcPr>
          <w:p w:rsidR="00D248AD" w:rsidRDefault="00D248AD" w:rsidP="000422F7">
            <w:pPr>
              <w:spacing w:before="20" w:after="20"/>
              <w:jc w:val="right"/>
              <w:rPr>
                <w:sz w:val="20"/>
                <w:szCs w:val="20"/>
              </w:rPr>
            </w:pPr>
          </w:p>
        </w:tc>
      </w:tr>
      <w:tr w:rsidR="00D248AD" w:rsidTr="00C674BF">
        <w:trPr>
          <w:cantSplit/>
        </w:trPr>
        <w:tc>
          <w:tcPr>
            <w:tcW w:w="1347" w:type="pct"/>
            <w:tcBorders>
              <w:top w:val="nil"/>
              <w:bottom w:val="nil"/>
            </w:tcBorders>
          </w:tcPr>
          <w:p w:rsidR="00D248AD" w:rsidRDefault="00D248AD" w:rsidP="000422F7">
            <w:pPr>
              <w:spacing w:before="20" w:after="20"/>
              <w:rPr>
                <w:sz w:val="20"/>
                <w:szCs w:val="20"/>
              </w:rPr>
            </w:pPr>
            <w:r w:rsidRPr="00E82A61">
              <w:rPr>
                <w:sz w:val="20"/>
                <w:szCs w:val="20"/>
              </w:rPr>
              <w:t>Whale and dolphin entanglements</w:t>
            </w:r>
          </w:p>
        </w:tc>
        <w:tc>
          <w:tcPr>
            <w:tcW w:w="2512" w:type="pct"/>
            <w:tcBorders>
              <w:top w:val="nil"/>
              <w:bottom w:val="nil"/>
            </w:tcBorders>
          </w:tcPr>
          <w:p w:rsidR="00D248AD" w:rsidRPr="00790EB7" w:rsidRDefault="00D248AD" w:rsidP="000422F7">
            <w:pPr>
              <w:spacing w:before="20" w:after="20"/>
              <w:rPr>
                <w:sz w:val="20"/>
                <w:szCs w:val="20"/>
              </w:rPr>
            </w:pPr>
            <w:r>
              <w:rPr>
                <w:sz w:val="20"/>
                <w:szCs w:val="20"/>
              </w:rPr>
              <w:t>Funding to support the purchase of equipment and training aimed at improving responses to whale and dolphin entanglements. The funding forms part of the Commonwealth’s broader Whale and Dolphin Protection Plan.</w:t>
            </w:r>
          </w:p>
        </w:tc>
        <w:tc>
          <w:tcPr>
            <w:tcW w:w="565" w:type="pct"/>
            <w:tcBorders>
              <w:top w:val="nil"/>
              <w:bottom w:val="nil"/>
            </w:tcBorders>
          </w:tcPr>
          <w:p w:rsidR="00D248AD" w:rsidRDefault="00D248AD" w:rsidP="000422F7">
            <w:pPr>
              <w:spacing w:before="20" w:after="20"/>
              <w:jc w:val="right"/>
              <w:rPr>
                <w:sz w:val="20"/>
                <w:szCs w:val="20"/>
              </w:rPr>
            </w:pPr>
            <w:r w:rsidRPr="00E82A61">
              <w:rPr>
                <w:sz w:val="20"/>
                <w:szCs w:val="20"/>
              </w:rPr>
              <w:t>0.3</w:t>
            </w:r>
          </w:p>
        </w:tc>
        <w:tc>
          <w:tcPr>
            <w:tcW w:w="576" w:type="pct"/>
            <w:tcBorders>
              <w:top w:val="nil"/>
              <w:bottom w:val="nil"/>
            </w:tcBorders>
          </w:tcPr>
          <w:p w:rsidR="00D248AD" w:rsidRDefault="00D248AD" w:rsidP="000422F7">
            <w:pPr>
              <w:spacing w:before="20" w:after="20"/>
              <w:jc w:val="right"/>
              <w:rPr>
                <w:sz w:val="20"/>
                <w:szCs w:val="20"/>
              </w:rPr>
            </w:pPr>
          </w:p>
        </w:tc>
      </w:tr>
      <w:tr w:rsidR="00D248AD" w:rsidTr="00C674BF">
        <w:trPr>
          <w:cantSplit/>
        </w:trPr>
        <w:tc>
          <w:tcPr>
            <w:tcW w:w="1347" w:type="pct"/>
            <w:tcBorders>
              <w:top w:val="nil"/>
              <w:bottom w:val="nil"/>
            </w:tcBorders>
          </w:tcPr>
          <w:p w:rsidR="00D248AD" w:rsidRPr="00E82A61" w:rsidRDefault="007A39A9" w:rsidP="000422F7">
            <w:pPr>
              <w:spacing w:before="20" w:after="20"/>
              <w:rPr>
                <w:rFonts w:ascii="Calibri" w:hAnsi="Calibri"/>
                <w:b/>
                <w:bCs/>
                <w:color w:val="000000"/>
                <w:sz w:val="20"/>
                <w:szCs w:val="20"/>
              </w:rPr>
            </w:pPr>
            <w:r>
              <w:rPr>
                <w:rFonts w:ascii="Calibri" w:hAnsi="Calibri"/>
                <w:b/>
                <w:bCs/>
                <w:color w:val="000000"/>
                <w:sz w:val="20"/>
                <w:szCs w:val="20"/>
              </w:rPr>
              <w:t>Payments to support other S</w:t>
            </w:r>
            <w:r w:rsidR="00D248AD">
              <w:rPr>
                <w:rFonts w:ascii="Calibri" w:hAnsi="Calibri"/>
                <w:b/>
                <w:bCs/>
                <w:color w:val="000000"/>
                <w:sz w:val="20"/>
                <w:szCs w:val="20"/>
              </w:rPr>
              <w:t>tate services</w:t>
            </w:r>
          </w:p>
        </w:tc>
        <w:tc>
          <w:tcPr>
            <w:tcW w:w="2512" w:type="pct"/>
            <w:tcBorders>
              <w:top w:val="nil"/>
              <w:bottom w:val="nil"/>
            </w:tcBorders>
          </w:tcPr>
          <w:p w:rsidR="00D248AD" w:rsidRPr="00790EB7" w:rsidRDefault="00D248AD" w:rsidP="000422F7">
            <w:pPr>
              <w:spacing w:before="20" w:after="20"/>
              <w:rPr>
                <w:sz w:val="20"/>
                <w:szCs w:val="20"/>
              </w:rPr>
            </w:pPr>
          </w:p>
        </w:tc>
        <w:tc>
          <w:tcPr>
            <w:tcW w:w="565" w:type="pct"/>
            <w:tcBorders>
              <w:top w:val="nil"/>
              <w:bottom w:val="nil"/>
            </w:tcBorders>
          </w:tcPr>
          <w:p w:rsidR="00D248AD" w:rsidRDefault="00D248AD" w:rsidP="000422F7">
            <w:pPr>
              <w:spacing w:before="20" w:after="20"/>
              <w:jc w:val="right"/>
              <w:rPr>
                <w:sz w:val="20"/>
                <w:szCs w:val="20"/>
              </w:rPr>
            </w:pPr>
          </w:p>
        </w:tc>
        <w:tc>
          <w:tcPr>
            <w:tcW w:w="576" w:type="pct"/>
            <w:tcBorders>
              <w:top w:val="nil"/>
              <w:bottom w:val="nil"/>
            </w:tcBorders>
          </w:tcPr>
          <w:p w:rsidR="00D248AD" w:rsidRDefault="00D248AD" w:rsidP="000422F7">
            <w:pPr>
              <w:spacing w:before="20" w:after="20"/>
              <w:jc w:val="right"/>
              <w:rPr>
                <w:sz w:val="20"/>
                <w:szCs w:val="20"/>
              </w:rPr>
            </w:pPr>
          </w:p>
        </w:tc>
      </w:tr>
      <w:tr w:rsidR="00D248AD" w:rsidTr="00C674BF">
        <w:trPr>
          <w:cantSplit/>
        </w:trPr>
        <w:tc>
          <w:tcPr>
            <w:tcW w:w="1347" w:type="pct"/>
            <w:tcBorders>
              <w:top w:val="nil"/>
              <w:bottom w:val="nil"/>
            </w:tcBorders>
          </w:tcPr>
          <w:p w:rsidR="00D248AD" w:rsidRDefault="00D248AD" w:rsidP="000422F7">
            <w:pPr>
              <w:spacing w:before="20" w:after="20"/>
              <w:rPr>
                <w:sz w:val="20"/>
                <w:szCs w:val="20"/>
              </w:rPr>
            </w:pPr>
            <w:r w:rsidRPr="00E82A61">
              <w:rPr>
                <w:sz w:val="20"/>
                <w:szCs w:val="20"/>
              </w:rPr>
              <w:t>Addressing insurance costs in North Queensland</w:t>
            </w:r>
          </w:p>
        </w:tc>
        <w:tc>
          <w:tcPr>
            <w:tcW w:w="2512" w:type="pct"/>
            <w:tcBorders>
              <w:top w:val="nil"/>
              <w:bottom w:val="nil"/>
            </w:tcBorders>
          </w:tcPr>
          <w:p w:rsidR="00D248AD" w:rsidRPr="00790EB7" w:rsidRDefault="00D248AD" w:rsidP="000422F7">
            <w:pPr>
              <w:spacing w:before="20" w:after="20"/>
              <w:rPr>
                <w:sz w:val="20"/>
                <w:szCs w:val="20"/>
              </w:rPr>
            </w:pPr>
            <w:r>
              <w:rPr>
                <w:sz w:val="20"/>
                <w:szCs w:val="20"/>
              </w:rPr>
              <w:t>Funding for a grants program for engineering inspections of North Queensland strata title properties. The assessments will provide better information to insurers which will enable them to set premiums that more accurately reflect individual property risks, and help residents of strata title properties to be fully aware of the risks to their properties from natural disasters.</w:t>
            </w:r>
          </w:p>
        </w:tc>
        <w:tc>
          <w:tcPr>
            <w:tcW w:w="565" w:type="pct"/>
            <w:tcBorders>
              <w:top w:val="nil"/>
              <w:bottom w:val="nil"/>
            </w:tcBorders>
          </w:tcPr>
          <w:p w:rsidR="00D248AD" w:rsidRDefault="00D248AD" w:rsidP="000422F7">
            <w:pPr>
              <w:spacing w:before="20" w:after="20"/>
              <w:jc w:val="right"/>
              <w:rPr>
                <w:sz w:val="20"/>
                <w:szCs w:val="20"/>
              </w:rPr>
            </w:pPr>
            <w:r w:rsidRPr="00E82A61">
              <w:rPr>
                <w:sz w:val="20"/>
                <w:szCs w:val="20"/>
              </w:rPr>
              <w:t>3.1</w:t>
            </w:r>
          </w:p>
        </w:tc>
        <w:tc>
          <w:tcPr>
            <w:tcW w:w="576" w:type="pct"/>
            <w:tcBorders>
              <w:top w:val="nil"/>
              <w:bottom w:val="nil"/>
            </w:tcBorders>
          </w:tcPr>
          <w:p w:rsidR="00D248AD" w:rsidRDefault="00D248AD" w:rsidP="000422F7">
            <w:pPr>
              <w:spacing w:before="20" w:after="20"/>
              <w:jc w:val="right"/>
              <w:rPr>
                <w:sz w:val="20"/>
                <w:szCs w:val="20"/>
              </w:rPr>
            </w:pPr>
          </w:p>
        </w:tc>
      </w:tr>
      <w:tr w:rsidR="00D248AD" w:rsidTr="00C674BF">
        <w:trPr>
          <w:cantSplit/>
        </w:trPr>
        <w:tc>
          <w:tcPr>
            <w:tcW w:w="1347" w:type="pct"/>
            <w:tcBorders>
              <w:top w:val="nil"/>
              <w:bottom w:val="nil"/>
            </w:tcBorders>
          </w:tcPr>
          <w:p w:rsidR="00D248AD" w:rsidRDefault="00D248AD" w:rsidP="000422F7">
            <w:pPr>
              <w:spacing w:before="20" w:after="20"/>
              <w:rPr>
                <w:sz w:val="20"/>
                <w:szCs w:val="20"/>
              </w:rPr>
            </w:pPr>
            <w:r w:rsidRPr="00E82A61">
              <w:rPr>
                <w:sz w:val="20"/>
                <w:szCs w:val="20"/>
              </w:rPr>
              <w:t>Developing demand-driver infrastructure for the tourism industry</w:t>
            </w:r>
          </w:p>
        </w:tc>
        <w:tc>
          <w:tcPr>
            <w:tcW w:w="2512" w:type="pct"/>
            <w:tcBorders>
              <w:top w:val="nil"/>
              <w:bottom w:val="nil"/>
            </w:tcBorders>
          </w:tcPr>
          <w:p w:rsidR="00D248AD" w:rsidRPr="00D84727" w:rsidRDefault="00D248AD" w:rsidP="000422F7">
            <w:pPr>
              <w:spacing w:before="20" w:after="20"/>
              <w:rPr>
                <w:sz w:val="20"/>
                <w:szCs w:val="20"/>
              </w:rPr>
            </w:pPr>
            <w:r>
              <w:rPr>
                <w:sz w:val="20"/>
                <w:szCs w:val="20"/>
              </w:rPr>
              <w:t xml:space="preserve">Funding for projects that create and encourage tourism, and assist the tourism industry to meet the national tourism strategy, </w:t>
            </w:r>
            <w:r>
              <w:rPr>
                <w:i/>
                <w:sz w:val="20"/>
                <w:szCs w:val="20"/>
              </w:rPr>
              <w:t>Tourism 2020</w:t>
            </w:r>
            <w:r>
              <w:rPr>
                <w:sz w:val="20"/>
                <w:szCs w:val="20"/>
              </w:rPr>
              <w:t>.</w:t>
            </w:r>
          </w:p>
        </w:tc>
        <w:tc>
          <w:tcPr>
            <w:tcW w:w="565" w:type="pct"/>
            <w:tcBorders>
              <w:top w:val="nil"/>
              <w:bottom w:val="nil"/>
            </w:tcBorders>
          </w:tcPr>
          <w:p w:rsidR="00D248AD" w:rsidRDefault="00D248AD" w:rsidP="000422F7">
            <w:pPr>
              <w:spacing w:before="20" w:after="20"/>
              <w:jc w:val="right"/>
              <w:rPr>
                <w:sz w:val="20"/>
                <w:szCs w:val="20"/>
              </w:rPr>
            </w:pPr>
            <w:r>
              <w:rPr>
                <w:sz w:val="20"/>
                <w:szCs w:val="20"/>
              </w:rPr>
              <w:t>11.0</w:t>
            </w:r>
          </w:p>
        </w:tc>
        <w:tc>
          <w:tcPr>
            <w:tcW w:w="576" w:type="pct"/>
            <w:tcBorders>
              <w:top w:val="nil"/>
              <w:bottom w:val="nil"/>
            </w:tcBorders>
          </w:tcPr>
          <w:p w:rsidR="00D248AD" w:rsidRDefault="00D248AD" w:rsidP="000422F7">
            <w:pPr>
              <w:spacing w:before="20" w:after="20"/>
              <w:jc w:val="right"/>
              <w:rPr>
                <w:sz w:val="20"/>
                <w:szCs w:val="20"/>
              </w:rPr>
            </w:pPr>
          </w:p>
        </w:tc>
      </w:tr>
      <w:tr w:rsidR="00D248AD" w:rsidTr="00C674BF">
        <w:trPr>
          <w:cantSplit/>
        </w:trPr>
        <w:tc>
          <w:tcPr>
            <w:tcW w:w="1347" w:type="pct"/>
            <w:tcBorders>
              <w:top w:val="nil"/>
            </w:tcBorders>
          </w:tcPr>
          <w:p w:rsidR="00D248AD" w:rsidRDefault="00D248AD" w:rsidP="000422F7">
            <w:pPr>
              <w:spacing w:before="20" w:after="20"/>
              <w:rPr>
                <w:sz w:val="20"/>
                <w:szCs w:val="20"/>
              </w:rPr>
            </w:pPr>
            <w:r w:rsidRPr="00E82A61">
              <w:rPr>
                <w:sz w:val="20"/>
                <w:szCs w:val="20"/>
              </w:rPr>
              <w:t>Port Arthur penitentiary restoration</w:t>
            </w:r>
          </w:p>
        </w:tc>
        <w:tc>
          <w:tcPr>
            <w:tcW w:w="2512" w:type="pct"/>
            <w:tcBorders>
              <w:top w:val="nil"/>
            </w:tcBorders>
          </w:tcPr>
          <w:p w:rsidR="00D248AD" w:rsidRPr="00790EB7" w:rsidRDefault="00D248AD" w:rsidP="000422F7">
            <w:pPr>
              <w:spacing w:before="20" w:after="20"/>
              <w:rPr>
                <w:sz w:val="20"/>
                <w:szCs w:val="20"/>
              </w:rPr>
            </w:pPr>
            <w:r>
              <w:rPr>
                <w:sz w:val="20"/>
                <w:szCs w:val="20"/>
              </w:rPr>
              <w:t xml:space="preserve">Funding to support conservation works on the Port Arthur Historic Site’s Penitentiary ruin in Tasmania. </w:t>
            </w:r>
          </w:p>
        </w:tc>
        <w:tc>
          <w:tcPr>
            <w:tcW w:w="565" w:type="pct"/>
            <w:tcBorders>
              <w:top w:val="nil"/>
            </w:tcBorders>
          </w:tcPr>
          <w:p w:rsidR="00D248AD" w:rsidRDefault="00D248AD" w:rsidP="000422F7">
            <w:pPr>
              <w:spacing w:before="20" w:after="20"/>
              <w:jc w:val="right"/>
              <w:rPr>
                <w:sz w:val="20"/>
                <w:szCs w:val="20"/>
              </w:rPr>
            </w:pPr>
            <w:r>
              <w:rPr>
                <w:sz w:val="20"/>
                <w:szCs w:val="20"/>
              </w:rPr>
              <w:t>1.5</w:t>
            </w:r>
          </w:p>
        </w:tc>
        <w:tc>
          <w:tcPr>
            <w:tcW w:w="576" w:type="pct"/>
            <w:tcBorders>
              <w:top w:val="nil"/>
            </w:tcBorders>
          </w:tcPr>
          <w:p w:rsidR="00D248AD" w:rsidRDefault="00D248AD" w:rsidP="000422F7">
            <w:pPr>
              <w:spacing w:before="20" w:after="20"/>
              <w:jc w:val="right"/>
              <w:rPr>
                <w:sz w:val="20"/>
                <w:szCs w:val="20"/>
              </w:rPr>
            </w:pPr>
          </w:p>
        </w:tc>
      </w:tr>
    </w:tbl>
    <w:p w:rsidR="00D248AD" w:rsidRPr="00D248AD" w:rsidRDefault="00D168BA" w:rsidP="00D168BA">
      <w:pPr>
        <w:pStyle w:val="CGCTableFootnote"/>
        <w:sectPr w:rsidR="00D248AD" w:rsidRPr="00D248AD" w:rsidSect="00445CFD">
          <w:headerReference w:type="default" r:id="rId16"/>
          <w:footerReference w:type="default" r:id="rId17"/>
          <w:headerReference w:type="first" r:id="rId18"/>
          <w:footerReference w:type="first" r:id="rId19"/>
          <w:footnotePr>
            <w:numRestart w:val="eachSect"/>
          </w:footnotePr>
          <w:pgSz w:w="16838" w:h="11906" w:orient="landscape" w:code="9"/>
          <w:pgMar w:top="1474" w:right="1701" w:bottom="1474" w:left="1701" w:header="709" w:footer="709" w:gutter="0"/>
          <w:cols w:space="708"/>
          <w:titlePg/>
          <w:docGrid w:linePitch="360"/>
        </w:sectPr>
      </w:pPr>
      <w:r>
        <w:t>Source:</w:t>
      </w:r>
      <w:r>
        <w:tab/>
      </w:r>
      <w:r w:rsidRPr="00AC0364">
        <w:rPr>
          <w:i/>
        </w:rPr>
        <w:t>Federal Financial Relations, Budget Paper No. 3</w:t>
      </w:r>
      <w:r w:rsidRPr="00D168BA">
        <w:t>, 2014</w:t>
      </w:r>
      <w:r w:rsidR="00AC0364">
        <w:noBreakHyphen/>
      </w:r>
      <w:r w:rsidRPr="00D168BA">
        <w:t>15</w:t>
      </w:r>
      <w:r w:rsidR="00B018D0">
        <w:t>.</w:t>
      </w:r>
    </w:p>
    <w:p w:rsidR="00886A8C" w:rsidRDefault="00FC647D" w:rsidP="00886A8C">
      <w:pPr>
        <w:pStyle w:val="Heading1"/>
      </w:pPr>
      <w:r>
        <w:rPr>
          <w:caps w:val="0"/>
        </w:rPr>
        <w:lastRenderedPageBreak/>
        <w:t>ATTACHMENT 3</w:t>
      </w:r>
    </w:p>
    <w:p w:rsidR="00886A8C" w:rsidRDefault="00FC647D" w:rsidP="00886A8C">
      <w:pPr>
        <w:pStyle w:val="Heading2"/>
      </w:pPr>
      <w:r>
        <w:rPr>
          <w:caps w:val="0"/>
        </w:rPr>
        <w:t>THE ADJUSTED BUDGET</w:t>
      </w:r>
    </w:p>
    <w:p w:rsidR="00886A8C" w:rsidRDefault="00886A8C" w:rsidP="00886A8C">
      <w:pPr>
        <w:pStyle w:val="Heading3"/>
      </w:pPr>
      <w:r>
        <w:t>Introduction</w:t>
      </w:r>
    </w:p>
    <w:p w:rsidR="00886A8C" w:rsidRDefault="00886A8C" w:rsidP="00886A8C">
      <w:pPr>
        <w:pStyle w:val="CGCNumberedPara"/>
        <w:numPr>
          <w:ilvl w:val="1"/>
          <w:numId w:val="42"/>
        </w:numPr>
      </w:pPr>
      <w:r>
        <w:t xml:space="preserve">The adjusted budget is a comprehensive representation of State budgets. It is used to calculate average per capita State revenues and expenditures used in assessing State fiscal capacities. </w:t>
      </w:r>
    </w:p>
    <w:p w:rsidR="00886A8C" w:rsidRDefault="00886A8C" w:rsidP="00886A8C">
      <w:pPr>
        <w:pStyle w:val="CGCNumberedPara"/>
      </w:pPr>
      <w:r>
        <w:t>We start with data from the Australian Bureau of Statistics (ABS) Government Finance Statistics (GFS). They are supplemented by data from the States and other sources to allow the most recently completed financial year to be included, to improve comparability between States and to ensure the composition of each revenue and expense category is consistent with our requirements.</w:t>
      </w:r>
    </w:p>
    <w:p w:rsidR="00886A8C" w:rsidRDefault="00886A8C" w:rsidP="00886A8C">
      <w:pPr>
        <w:pStyle w:val="Heading3"/>
      </w:pPr>
      <w:r>
        <w:t>Scope of the adjusted budget</w:t>
      </w:r>
    </w:p>
    <w:p w:rsidR="00886A8C" w:rsidRDefault="00886A8C" w:rsidP="00886A8C">
      <w:pPr>
        <w:pStyle w:val="CGCNumberedPara"/>
      </w:pPr>
      <w:r>
        <w:t xml:space="preserve">The GST distribution provides financial support to State governments for operating expenses as well as for the acquisition of new assets. In the 2010 Review, we included all transactions of the State general government sector that are in whole or part financed by GST revenue. </w:t>
      </w:r>
    </w:p>
    <w:p w:rsidR="00886A8C" w:rsidRDefault="00886A8C" w:rsidP="00886A8C">
      <w:pPr>
        <w:pStyle w:val="CGCNumberedPara"/>
      </w:pPr>
      <w:r>
        <w:t>In this review, we have changed our coverage of State activities to include the operation of public non-financial corporations (PNFCs) providing social housing and urban transport. This is because we concluded housing and urban transport services provided by PNFCs have strong similarities to the services provided by general government agencies. They are not fully commercial and depend on government funds to meet recurrent expenses and investment, the services stem from social policy objectives, and governments make the major policies on service delivery and charges.</w:t>
      </w:r>
    </w:p>
    <w:p w:rsidR="00886A8C" w:rsidRDefault="00886A8C" w:rsidP="00886A8C">
      <w:pPr>
        <w:pStyle w:val="CGCNumberedPara"/>
      </w:pPr>
      <w:r>
        <w:t xml:space="preserve">The scope of the adjusted budget now covers all transactions recorded in the GFS State general government (GG) operating statement and the transactions of State PNFCs that provide social housing and urban transport services. </w:t>
      </w:r>
    </w:p>
    <w:p w:rsidR="00886A8C" w:rsidRDefault="00886A8C" w:rsidP="00886A8C">
      <w:pPr>
        <w:pStyle w:val="CGCNumberedPara"/>
      </w:pPr>
      <w:r>
        <w:t>The relevant transactions are:</w:t>
      </w:r>
    </w:p>
    <w:p w:rsidR="00886A8C" w:rsidRDefault="00886A8C" w:rsidP="00886A8C">
      <w:pPr>
        <w:pStyle w:val="CGCBulletlist"/>
        <w:numPr>
          <w:ilvl w:val="0"/>
          <w:numId w:val="11"/>
        </w:numPr>
        <w:tabs>
          <w:tab w:val="clear" w:pos="927"/>
          <w:tab w:val="left" w:pos="1134"/>
        </w:tabs>
        <w:ind w:left="1134" w:hanging="567"/>
      </w:pPr>
      <w:r>
        <w:t>State GG sector revenue</w:t>
      </w:r>
    </w:p>
    <w:p w:rsidR="00886A8C" w:rsidRDefault="00886A8C" w:rsidP="00886A8C">
      <w:pPr>
        <w:pStyle w:val="CGCSubbulletlist"/>
        <w:numPr>
          <w:ilvl w:val="0"/>
          <w:numId w:val="14"/>
        </w:numPr>
      </w:pPr>
      <w:r>
        <w:t>own-source revenues (taxation, fees and charges, other revenue)</w:t>
      </w:r>
    </w:p>
    <w:p w:rsidR="00886A8C" w:rsidRDefault="00886A8C" w:rsidP="00886A8C">
      <w:pPr>
        <w:pStyle w:val="CGCSubbulletlist"/>
        <w:numPr>
          <w:ilvl w:val="0"/>
          <w:numId w:val="14"/>
        </w:numPr>
      </w:pPr>
      <w:r>
        <w:lastRenderedPageBreak/>
        <w:t>GST, recurrent and capital payments from the Commonwealth</w:t>
      </w:r>
    </w:p>
    <w:p w:rsidR="00886A8C" w:rsidRDefault="00886A8C" w:rsidP="00886A8C">
      <w:pPr>
        <w:pStyle w:val="CGCBulletlist"/>
        <w:numPr>
          <w:ilvl w:val="0"/>
          <w:numId w:val="11"/>
        </w:numPr>
        <w:tabs>
          <w:tab w:val="clear" w:pos="927"/>
          <w:tab w:val="left" w:pos="1134"/>
        </w:tabs>
        <w:ind w:left="1134" w:hanging="567"/>
      </w:pPr>
      <w:r>
        <w:t>State GG sector operating expenses consolidated with housing and urban transport PNFCs operating expenses</w:t>
      </w:r>
    </w:p>
    <w:p w:rsidR="00886A8C" w:rsidRDefault="00886A8C" w:rsidP="00886A8C">
      <w:pPr>
        <w:pStyle w:val="CGCBulletlist"/>
        <w:numPr>
          <w:ilvl w:val="0"/>
          <w:numId w:val="11"/>
        </w:numPr>
        <w:tabs>
          <w:tab w:val="clear" w:pos="927"/>
          <w:tab w:val="left" w:pos="1134"/>
        </w:tabs>
        <w:ind w:left="1134" w:hanging="567"/>
      </w:pPr>
      <w:r>
        <w:t xml:space="preserve">State GG sector net acquisition of assets consolidated with housing and urban transport PNFCs net acquisition of assets. </w:t>
      </w:r>
    </w:p>
    <w:p w:rsidR="00886A8C" w:rsidRDefault="00886A8C" w:rsidP="00886A8C">
      <w:pPr>
        <w:pStyle w:val="CGCNumberedPara"/>
      </w:pPr>
      <w:r>
        <w:t xml:space="preserve">Other direct spending or revenue raised by the Commonwealth, local government, most State PNFCs and non-government bodies on State-type services and infrastructure are excluded. </w:t>
      </w:r>
    </w:p>
    <w:p w:rsidR="00886A8C" w:rsidRDefault="00886A8C" w:rsidP="00886A8C">
      <w:pPr>
        <w:pStyle w:val="CGCNumberedPara"/>
      </w:pPr>
      <w:r>
        <w:t>GFS includes ACT municipal transactions with the State transactions. Normally, we would remove these transactions from the adjusted budget so that only ‘State-type’ expenses are reflected in the financial averages. Because the effect of including ACT municipal transactions on the relativities is immaterial, we followed the GFS process and left these transactions in the relevant categories for simplicity. We treated ACT rate revenue as ‘Other revenue’ which is assessed equal per capita (EPC) and does not affect the relativities.</w:t>
      </w:r>
    </w:p>
    <w:p w:rsidR="00886A8C" w:rsidRDefault="00886A8C" w:rsidP="00886A8C">
      <w:pPr>
        <w:pStyle w:val="Heading4"/>
      </w:pPr>
      <w:r>
        <w:t>Adjustments to GFS GG operating statement</w:t>
      </w:r>
    </w:p>
    <w:p w:rsidR="00886A8C" w:rsidRDefault="00886A8C" w:rsidP="00886A8C">
      <w:pPr>
        <w:pStyle w:val="CGCNumberedPara"/>
      </w:pPr>
      <w:r>
        <w:t xml:space="preserve">We used </w:t>
      </w:r>
      <w:r w:rsidR="00EF0636">
        <w:t xml:space="preserve">the </w:t>
      </w:r>
      <w:r>
        <w:t>published ABS GFS Operating statement for the GG sector as the starting point of the adjusted budget. Then we made the following adjustments.</w:t>
      </w:r>
    </w:p>
    <w:p w:rsidR="00886A8C" w:rsidRDefault="00886A8C" w:rsidP="00886A8C">
      <w:pPr>
        <w:pStyle w:val="CGCBulletlist"/>
        <w:numPr>
          <w:ilvl w:val="0"/>
          <w:numId w:val="11"/>
        </w:numPr>
        <w:tabs>
          <w:tab w:val="clear" w:pos="927"/>
          <w:tab w:val="left" w:pos="1134"/>
        </w:tabs>
        <w:ind w:left="1134" w:hanging="567"/>
      </w:pPr>
      <w:r>
        <w:t>We added on h</w:t>
      </w:r>
      <w:r w:rsidR="0098785E">
        <w:t>ousing and urban transport PNFC</w:t>
      </w:r>
      <w:r>
        <w:t xml:space="preserve"> operating revenue, expense</w:t>
      </w:r>
      <w:r w:rsidR="0098785E">
        <w:t>s,</w:t>
      </w:r>
      <w:r>
        <w:t xml:space="preserve"> net acquisition of assets </w:t>
      </w:r>
      <w:r w:rsidR="0098785E">
        <w:t>and increases in liabilities. (T</w:t>
      </w:r>
      <w:r>
        <w:t>ransfers between the GG and PNFC sectors for these services are excluded</w:t>
      </w:r>
      <w:r w:rsidR="0098785E">
        <w:t>.)</w:t>
      </w:r>
      <w:r>
        <w:t xml:space="preserve"> </w:t>
      </w:r>
    </w:p>
    <w:p w:rsidR="00886A8C" w:rsidRDefault="00886A8C" w:rsidP="00886A8C">
      <w:pPr>
        <w:pStyle w:val="CGCBulletlist"/>
        <w:numPr>
          <w:ilvl w:val="0"/>
          <w:numId w:val="11"/>
        </w:numPr>
        <w:tabs>
          <w:tab w:val="clear" w:pos="927"/>
          <w:tab w:val="left" w:pos="1134"/>
        </w:tabs>
        <w:ind w:left="1134" w:hanging="567"/>
      </w:pPr>
      <w:r>
        <w:t>We added on the cross-subsidies between electricity PNFCs in Western Australia</w:t>
      </w:r>
      <w:r w:rsidR="0098785E">
        <w:t>. (W</w:t>
      </w:r>
      <w:r>
        <w:t xml:space="preserve">e consider these </w:t>
      </w:r>
      <w:r w:rsidR="0098785E">
        <w:t>are</w:t>
      </w:r>
      <w:r>
        <w:t xml:space="preserve"> equivalent to the dividends received and subsidies paid in other States but are presented in a non-standard way by Western Australia</w:t>
      </w:r>
      <w:r w:rsidR="0098785E">
        <w:t>.</w:t>
      </w:r>
      <w:r>
        <w:t>)</w:t>
      </w:r>
    </w:p>
    <w:p w:rsidR="00886A8C" w:rsidRDefault="00886A8C" w:rsidP="00886A8C">
      <w:pPr>
        <w:pStyle w:val="CGCNumberedPara"/>
      </w:pPr>
      <w:r>
        <w:t xml:space="preserve">Because of these and other small adjustments, the outcome of the adjusted budget does not equal the outcome of State GG budgets as published in GFS. The difference between these two budgets is included as a ‘net balancing transaction’ in the </w:t>
      </w:r>
      <w:proofErr w:type="gramStart"/>
      <w:r>
        <w:t>Other</w:t>
      </w:r>
      <w:proofErr w:type="gramEnd"/>
      <w:r>
        <w:t xml:space="preserve"> revenue category.</w:t>
      </w:r>
    </w:p>
    <w:p w:rsidR="00886A8C" w:rsidRPr="00886A8C" w:rsidRDefault="00886A8C" w:rsidP="00886A8C">
      <w:pPr>
        <w:pStyle w:val="Heading3"/>
      </w:pPr>
      <w:r>
        <w:t>S</w:t>
      </w:r>
      <w:r w:rsidRPr="00886A8C">
        <w:t>tructure of the adjusted budget</w:t>
      </w:r>
    </w:p>
    <w:p w:rsidR="00886A8C" w:rsidRDefault="00886A8C" w:rsidP="00886A8C">
      <w:pPr>
        <w:pStyle w:val="CGCNumberedPara"/>
      </w:pPr>
      <w:r>
        <w:t xml:space="preserve">Our starting position for the 2015 Review was the category structure from the 2010 Review. Some changes have been made where we considered it necessary to properly assess disabilities and/or improve transparency. </w:t>
      </w:r>
    </w:p>
    <w:p w:rsidR="00886A8C" w:rsidRDefault="00886A8C" w:rsidP="00886A8C">
      <w:pPr>
        <w:pStyle w:val="CGCNumberedPara"/>
      </w:pPr>
      <w:r>
        <w:t xml:space="preserve">Seven categories of State revenue and 13 categories of State expenditure have been assessed in this review. </w:t>
      </w:r>
      <w:r w:rsidR="00893326">
        <w:fldChar w:fldCharType="begin"/>
      </w:r>
      <w:r w:rsidR="00893326">
        <w:instrText xml:space="preserve"> REF _Ref411329429 \h </w:instrText>
      </w:r>
      <w:r w:rsidR="00893326">
        <w:fldChar w:fldCharType="separate"/>
      </w:r>
      <w:r w:rsidR="007B6A4C">
        <w:t xml:space="preserve">Table </w:t>
      </w:r>
      <w:r w:rsidR="007B6A4C">
        <w:rPr>
          <w:noProof/>
        </w:rPr>
        <w:t>1</w:t>
      </w:r>
      <w:r w:rsidR="00893326">
        <w:fldChar w:fldCharType="end"/>
      </w:r>
      <w:r w:rsidR="00893326">
        <w:t xml:space="preserve"> </w:t>
      </w:r>
      <w:r>
        <w:t xml:space="preserve">shows the adjusted budget structure and the average </w:t>
      </w:r>
      <w:r>
        <w:lastRenderedPageBreak/>
        <w:t>amount for each category for 2011</w:t>
      </w:r>
      <w:r>
        <w:noBreakHyphen/>
        <w:t>12 to 2013</w:t>
      </w:r>
      <w:r>
        <w:noBreakHyphen/>
        <w:t>14. More detailed definitions of each category are in Appendix A to this attachment.</w:t>
      </w:r>
    </w:p>
    <w:p w:rsidR="00886A8C" w:rsidRDefault="00886A8C" w:rsidP="003A7DFC">
      <w:pPr>
        <w:pStyle w:val="Caption"/>
      </w:pPr>
      <w:bookmarkStart w:id="20" w:name="_Ref411329429"/>
      <w:r>
        <w:t xml:space="preserve">Table </w:t>
      </w:r>
      <w:fldSimple w:instr=" SEQ Table \* ARABIC \r1 ">
        <w:r w:rsidR="007B6A4C">
          <w:rPr>
            <w:noProof/>
          </w:rPr>
          <w:t>1</w:t>
        </w:r>
      </w:fldSimple>
      <w:bookmarkEnd w:id="20"/>
      <w:r w:rsidRPr="006E14D6">
        <w:tab/>
        <w:t>Adjusted budget categories for the 2015 Review</w:t>
      </w:r>
    </w:p>
    <w:tbl>
      <w:tblPr>
        <w:tblW w:w="8940" w:type="dxa"/>
        <w:tblInd w:w="93" w:type="dxa"/>
        <w:tblLook w:val="04A0" w:firstRow="1" w:lastRow="0" w:firstColumn="1" w:lastColumn="0" w:noHBand="0" w:noVBand="1"/>
      </w:tblPr>
      <w:tblGrid>
        <w:gridCol w:w="3180"/>
        <w:gridCol w:w="1052"/>
        <w:gridCol w:w="868"/>
        <w:gridCol w:w="1052"/>
        <w:gridCol w:w="868"/>
        <w:gridCol w:w="1052"/>
        <w:gridCol w:w="868"/>
      </w:tblGrid>
      <w:tr w:rsidR="002B3DDB" w:rsidRPr="002B3DDB" w:rsidTr="002B3DDB">
        <w:trPr>
          <w:trHeight w:val="255"/>
        </w:trPr>
        <w:tc>
          <w:tcPr>
            <w:tcW w:w="3180" w:type="dxa"/>
            <w:tcBorders>
              <w:top w:val="single" w:sz="4" w:space="0" w:color="auto"/>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r w:rsidRPr="002B3DDB">
              <w:rPr>
                <w:rFonts w:ascii="Calibri" w:eastAsia="Times New Roman" w:hAnsi="Calibri" w:cs="Arial"/>
                <w:sz w:val="20"/>
                <w:szCs w:val="20"/>
                <w:lang w:eastAsia="en-AU"/>
              </w:rPr>
              <w:t> </w:t>
            </w:r>
          </w:p>
        </w:tc>
        <w:tc>
          <w:tcPr>
            <w:tcW w:w="1920" w:type="dxa"/>
            <w:gridSpan w:val="2"/>
            <w:tcBorders>
              <w:top w:val="single" w:sz="4" w:space="0" w:color="auto"/>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center"/>
              <w:rPr>
                <w:rFonts w:ascii="Calibri" w:eastAsia="Times New Roman" w:hAnsi="Calibri" w:cs="Arial"/>
                <w:sz w:val="20"/>
                <w:szCs w:val="20"/>
                <w:lang w:eastAsia="en-AU"/>
              </w:rPr>
            </w:pPr>
            <w:r w:rsidRPr="002B3DDB">
              <w:rPr>
                <w:rFonts w:ascii="Calibri" w:eastAsia="Times New Roman" w:hAnsi="Calibri" w:cs="Arial"/>
                <w:sz w:val="20"/>
                <w:szCs w:val="20"/>
                <w:lang w:eastAsia="en-AU"/>
              </w:rPr>
              <w:t xml:space="preserve">      </w:t>
            </w:r>
            <w:r>
              <w:rPr>
                <w:rFonts w:ascii="Calibri" w:eastAsia="Times New Roman" w:hAnsi="Calibri" w:cs="Arial"/>
                <w:sz w:val="20"/>
                <w:szCs w:val="20"/>
                <w:lang w:eastAsia="en-AU"/>
              </w:rPr>
              <w:t xml:space="preserve">     </w:t>
            </w:r>
            <w:r w:rsidRPr="002B3DDB">
              <w:rPr>
                <w:rFonts w:ascii="Calibri" w:eastAsia="Times New Roman" w:hAnsi="Calibri" w:cs="Arial"/>
                <w:sz w:val="20"/>
                <w:szCs w:val="20"/>
                <w:lang w:eastAsia="en-AU"/>
              </w:rPr>
              <w:t>2011-12</w:t>
            </w:r>
          </w:p>
        </w:tc>
        <w:tc>
          <w:tcPr>
            <w:tcW w:w="1920" w:type="dxa"/>
            <w:gridSpan w:val="2"/>
            <w:tcBorders>
              <w:top w:val="single" w:sz="4" w:space="0" w:color="auto"/>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center"/>
              <w:rPr>
                <w:rFonts w:ascii="Calibri" w:eastAsia="Times New Roman" w:hAnsi="Calibri" w:cs="Arial"/>
                <w:sz w:val="20"/>
                <w:szCs w:val="20"/>
                <w:lang w:eastAsia="en-AU"/>
              </w:rPr>
            </w:pPr>
            <w:r w:rsidRPr="002B3DDB">
              <w:rPr>
                <w:rFonts w:ascii="Calibri" w:eastAsia="Times New Roman" w:hAnsi="Calibri" w:cs="Arial"/>
                <w:sz w:val="20"/>
                <w:szCs w:val="20"/>
                <w:lang w:eastAsia="en-AU"/>
              </w:rPr>
              <w:t xml:space="preserve">   </w:t>
            </w:r>
            <w:r>
              <w:rPr>
                <w:rFonts w:ascii="Calibri" w:eastAsia="Times New Roman" w:hAnsi="Calibri" w:cs="Arial"/>
                <w:sz w:val="20"/>
                <w:szCs w:val="20"/>
                <w:lang w:eastAsia="en-AU"/>
              </w:rPr>
              <w:t xml:space="preserve">       </w:t>
            </w:r>
            <w:r w:rsidRPr="002B3DDB">
              <w:rPr>
                <w:rFonts w:ascii="Calibri" w:eastAsia="Times New Roman" w:hAnsi="Calibri" w:cs="Arial"/>
                <w:sz w:val="20"/>
                <w:szCs w:val="20"/>
                <w:lang w:eastAsia="en-AU"/>
              </w:rPr>
              <w:t xml:space="preserve"> 2012-13</w:t>
            </w:r>
          </w:p>
        </w:tc>
        <w:tc>
          <w:tcPr>
            <w:tcW w:w="1920" w:type="dxa"/>
            <w:gridSpan w:val="2"/>
            <w:tcBorders>
              <w:top w:val="single" w:sz="4" w:space="0" w:color="auto"/>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center"/>
              <w:rPr>
                <w:rFonts w:ascii="Calibri" w:eastAsia="Times New Roman" w:hAnsi="Calibri" w:cs="Arial"/>
                <w:sz w:val="20"/>
                <w:szCs w:val="20"/>
                <w:lang w:eastAsia="en-AU"/>
              </w:rPr>
            </w:pPr>
            <w:r w:rsidRPr="002B3DDB">
              <w:rPr>
                <w:rFonts w:ascii="Calibri" w:eastAsia="Times New Roman" w:hAnsi="Calibri" w:cs="Arial"/>
                <w:sz w:val="20"/>
                <w:szCs w:val="20"/>
                <w:lang w:eastAsia="en-AU"/>
              </w:rPr>
              <w:t xml:space="preserve">    </w:t>
            </w:r>
            <w:r>
              <w:rPr>
                <w:rFonts w:ascii="Calibri" w:eastAsia="Times New Roman" w:hAnsi="Calibri" w:cs="Arial"/>
                <w:sz w:val="20"/>
                <w:szCs w:val="20"/>
                <w:lang w:eastAsia="en-AU"/>
              </w:rPr>
              <w:t xml:space="preserve">     </w:t>
            </w:r>
            <w:r w:rsidRPr="002B3DDB">
              <w:rPr>
                <w:rFonts w:ascii="Calibri" w:eastAsia="Times New Roman" w:hAnsi="Calibri" w:cs="Arial"/>
                <w:sz w:val="20"/>
                <w:szCs w:val="20"/>
                <w:lang w:eastAsia="en-AU"/>
              </w:rPr>
              <w:t>2013-14</w:t>
            </w:r>
          </w:p>
        </w:tc>
      </w:tr>
      <w:tr w:rsidR="002B3DDB" w:rsidRPr="002B3DDB" w:rsidTr="002B3DDB">
        <w:trPr>
          <w:trHeight w:val="255"/>
        </w:trPr>
        <w:tc>
          <w:tcPr>
            <w:tcW w:w="3180" w:type="dxa"/>
            <w:tcBorders>
              <w:top w:val="nil"/>
              <w:left w:val="nil"/>
              <w:bottom w:val="single" w:sz="4" w:space="0" w:color="auto"/>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r w:rsidRPr="002B3DDB">
              <w:rPr>
                <w:rFonts w:ascii="Calibri" w:eastAsia="Times New Roman" w:hAnsi="Calibri" w:cs="Arial"/>
                <w:sz w:val="20"/>
                <w:szCs w:val="20"/>
                <w:lang w:eastAsia="en-AU"/>
              </w:rPr>
              <w:t> </w:t>
            </w:r>
          </w:p>
        </w:tc>
        <w:tc>
          <w:tcPr>
            <w:tcW w:w="1052" w:type="dxa"/>
            <w:tcBorders>
              <w:top w:val="nil"/>
              <w:left w:val="nil"/>
              <w:bottom w:val="single" w:sz="4" w:space="0" w:color="auto"/>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$m</w:t>
            </w:r>
          </w:p>
        </w:tc>
        <w:tc>
          <w:tcPr>
            <w:tcW w:w="868" w:type="dxa"/>
            <w:tcBorders>
              <w:top w:val="nil"/>
              <w:left w:val="nil"/>
              <w:bottom w:val="single" w:sz="4" w:space="0" w:color="auto"/>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$pc</w:t>
            </w:r>
          </w:p>
        </w:tc>
        <w:tc>
          <w:tcPr>
            <w:tcW w:w="1052" w:type="dxa"/>
            <w:tcBorders>
              <w:top w:val="nil"/>
              <w:left w:val="nil"/>
              <w:bottom w:val="single" w:sz="4" w:space="0" w:color="auto"/>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$m</w:t>
            </w:r>
          </w:p>
        </w:tc>
        <w:tc>
          <w:tcPr>
            <w:tcW w:w="868" w:type="dxa"/>
            <w:tcBorders>
              <w:top w:val="nil"/>
              <w:left w:val="nil"/>
              <w:bottom w:val="single" w:sz="4" w:space="0" w:color="auto"/>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$pc</w:t>
            </w:r>
          </w:p>
        </w:tc>
        <w:tc>
          <w:tcPr>
            <w:tcW w:w="1052" w:type="dxa"/>
            <w:tcBorders>
              <w:top w:val="nil"/>
              <w:left w:val="nil"/>
              <w:bottom w:val="single" w:sz="4" w:space="0" w:color="auto"/>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$m</w:t>
            </w:r>
          </w:p>
        </w:tc>
        <w:tc>
          <w:tcPr>
            <w:tcW w:w="868" w:type="dxa"/>
            <w:tcBorders>
              <w:top w:val="nil"/>
              <w:left w:val="nil"/>
              <w:bottom w:val="single" w:sz="4" w:space="0" w:color="auto"/>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$pc</w:t>
            </w:r>
          </w:p>
        </w:tc>
      </w:tr>
      <w:tr w:rsidR="002B3DDB" w:rsidRPr="002B3DDB" w:rsidTr="002B3DDB">
        <w:trPr>
          <w:trHeight w:val="255"/>
        </w:trPr>
        <w:tc>
          <w:tcPr>
            <w:tcW w:w="3180"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b/>
                <w:bCs/>
                <w:sz w:val="20"/>
                <w:szCs w:val="20"/>
                <w:lang w:eastAsia="en-AU"/>
              </w:rPr>
            </w:pPr>
            <w:r w:rsidRPr="002B3DDB">
              <w:rPr>
                <w:rFonts w:ascii="Calibri" w:eastAsia="Times New Roman" w:hAnsi="Calibri" w:cs="Arial"/>
                <w:b/>
                <w:bCs/>
                <w:sz w:val="20"/>
                <w:szCs w:val="20"/>
                <w:lang w:eastAsia="en-AU"/>
              </w:rPr>
              <w:t>Revenue from Commonwealth</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p>
        </w:tc>
      </w:tr>
      <w:tr w:rsidR="002B3DDB" w:rsidRPr="002B3DDB" w:rsidTr="002B3DDB">
        <w:trPr>
          <w:trHeight w:val="255"/>
        </w:trPr>
        <w:tc>
          <w:tcPr>
            <w:tcW w:w="3180"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r w:rsidRPr="002B3DDB">
              <w:rPr>
                <w:rFonts w:ascii="Calibri" w:eastAsia="Times New Roman" w:hAnsi="Calibri" w:cs="Arial"/>
                <w:sz w:val="20"/>
                <w:szCs w:val="20"/>
                <w:lang w:eastAsia="en-AU"/>
              </w:rPr>
              <w:t>GST revenue</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46 040</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2 045</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48 061</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2 097</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51 090</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2 192</w:t>
            </w:r>
          </w:p>
        </w:tc>
      </w:tr>
      <w:tr w:rsidR="002B3DDB" w:rsidRPr="002B3DDB" w:rsidTr="002B3DDB">
        <w:trPr>
          <w:trHeight w:val="255"/>
        </w:trPr>
        <w:tc>
          <w:tcPr>
            <w:tcW w:w="3180"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r w:rsidRPr="002B3DDB">
              <w:rPr>
                <w:rFonts w:ascii="Calibri" w:eastAsia="Times New Roman" w:hAnsi="Calibri" w:cs="Arial"/>
                <w:sz w:val="20"/>
                <w:szCs w:val="20"/>
                <w:lang w:eastAsia="en-AU"/>
              </w:rPr>
              <w:t>Payments impact on relativities (a)</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37 367</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1 659</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35 252</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1 538</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38 511</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1 652</w:t>
            </w:r>
          </w:p>
        </w:tc>
      </w:tr>
      <w:tr w:rsidR="002B3DDB" w:rsidRPr="002B3DDB" w:rsidTr="002B3DDB">
        <w:trPr>
          <w:trHeight w:val="255"/>
        </w:trPr>
        <w:tc>
          <w:tcPr>
            <w:tcW w:w="3180"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b/>
                <w:bCs/>
                <w:sz w:val="20"/>
                <w:szCs w:val="20"/>
                <w:lang w:eastAsia="en-AU"/>
              </w:rPr>
            </w:pPr>
            <w:r w:rsidRPr="002B3DDB">
              <w:rPr>
                <w:rFonts w:ascii="Calibri" w:eastAsia="Times New Roman" w:hAnsi="Calibri" w:cs="Arial"/>
                <w:b/>
                <w:bCs/>
                <w:sz w:val="20"/>
                <w:szCs w:val="20"/>
                <w:lang w:eastAsia="en-AU"/>
              </w:rPr>
              <w:t>State own-source revenue</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p>
        </w:tc>
      </w:tr>
      <w:tr w:rsidR="002B3DDB" w:rsidRPr="002B3DDB" w:rsidTr="002B3DDB">
        <w:trPr>
          <w:trHeight w:val="255"/>
        </w:trPr>
        <w:tc>
          <w:tcPr>
            <w:tcW w:w="3180"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r w:rsidRPr="002B3DDB">
              <w:rPr>
                <w:rFonts w:ascii="Calibri" w:eastAsia="Times New Roman" w:hAnsi="Calibri" w:cs="Arial"/>
                <w:sz w:val="20"/>
                <w:szCs w:val="20"/>
                <w:lang w:eastAsia="en-AU"/>
              </w:rPr>
              <w:t>Payroll tax</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19 639</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872</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20 647</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901</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21 230</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911</w:t>
            </w:r>
          </w:p>
        </w:tc>
      </w:tr>
      <w:tr w:rsidR="002B3DDB" w:rsidRPr="002B3DDB" w:rsidTr="002B3DDB">
        <w:trPr>
          <w:trHeight w:val="255"/>
        </w:trPr>
        <w:tc>
          <w:tcPr>
            <w:tcW w:w="3180"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r w:rsidRPr="002B3DDB">
              <w:rPr>
                <w:rFonts w:ascii="Calibri" w:eastAsia="Times New Roman" w:hAnsi="Calibri" w:cs="Arial"/>
                <w:sz w:val="20"/>
                <w:szCs w:val="20"/>
                <w:lang w:eastAsia="en-AU"/>
              </w:rPr>
              <w:t>Land tax</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6 760</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300</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6 904</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301</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7 988</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343</w:t>
            </w:r>
          </w:p>
        </w:tc>
      </w:tr>
      <w:tr w:rsidR="002B3DDB" w:rsidRPr="002B3DDB" w:rsidTr="002B3DDB">
        <w:trPr>
          <w:trHeight w:val="255"/>
        </w:trPr>
        <w:tc>
          <w:tcPr>
            <w:tcW w:w="3180"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r w:rsidRPr="002B3DDB">
              <w:rPr>
                <w:rFonts w:ascii="Calibri" w:eastAsia="Times New Roman" w:hAnsi="Calibri" w:cs="Arial"/>
                <w:sz w:val="20"/>
                <w:szCs w:val="20"/>
                <w:lang w:eastAsia="en-AU"/>
              </w:rPr>
              <w:t>Stamp duty</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14 566</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647</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15 789</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689</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18 957</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813</w:t>
            </w:r>
          </w:p>
        </w:tc>
      </w:tr>
      <w:tr w:rsidR="002B3DDB" w:rsidRPr="002B3DDB" w:rsidTr="002B3DDB">
        <w:trPr>
          <w:trHeight w:val="255"/>
        </w:trPr>
        <w:tc>
          <w:tcPr>
            <w:tcW w:w="3180"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r w:rsidRPr="002B3DDB">
              <w:rPr>
                <w:rFonts w:ascii="Calibri" w:eastAsia="Times New Roman" w:hAnsi="Calibri" w:cs="Arial"/>
                <w:sz w:val="20"/>
                <w:szCs w:val="20"/>
                <w:lang w:eastAsia="en-AU"/>
              </w:rPr>
              <w:t>Insurance tax</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4 888</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217</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5 093</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222</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4 841</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208</w:t>
            </w:r>
          </w:p>
        </w:tc>
      </w:tr>
      <w:tr w:rsidR="002B3DDB" w:rsidRPr="002B3DDB" w:rsidTr="002B3DDB">
        <w:trPr>
          <w:trHeight w:val="255"/>
        </w:trPr>
        <w:tc>
          <w:tcPr>
            <w:tcW w:w="3180"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r w:rsidRPr="002B3DDB">
              <w:rPr>
                <w:rFonts w:ascii="Calibri" w:eastAsia="Times New Roman" w:hAnsi="Calibri" w:cs="Arial"/>
                <w:sz w:val="20"/>
                <w:szCs w:val="20"/>
                <w:lang w:eastAsia="en-AU"/>
              </w:rPr>
              <w:t>Motor taxes</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5 870</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261</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6 347</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277</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6 672</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286</w:t>
            </w:r>
          </w:p>
        </w:tc>
      </w:tr>
      <w:tr w:rsidR="002B3DDB" w:rsidRPr="002B3DDB" w:rsidTr="002B3DDB">
        <w:trPr>
          <w:trHeight w:val="255"/>
        </w:trPr>
        <w:tc>
          <w:tcPr>
            <w:tcW w:w="3180"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r w:rsidRPr="002B3DDB">
              <w:rPr>
                <w:rFonts w:ascii="Calibri" w:eastAsia="Times New Roman" w:hAnsi="Calibri" w:cs="Arial"/>
                <w:sz w:val="20"/>
                <w:szCs w:val="20"/>
                <w:lang w:eastAsia="en-AU"/>
              </w:rPr>
              <w:t>Mining revenue</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10 039</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446</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9 368</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409</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11 427</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490</w:t>
            </w:r>
          </w:p>
        </w:tc>
      </w:tr>
      <w:tr w:rsidR="002B3DDB" w:rsidRPr="002B3DDB" w:rsidTr="002B3DDB">
        <w:trPr>
          <w:trHeight w:val="255"/>
        </w:trPr>
        <w:tc>
          <w:tcPr>
            <w:tcW w:w="3180"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r w:rsidRPr="002B3DDB">
              <w:rPr>
                <w:rFonts w:ascii="Calibri" w:eastAsia="Times New Roman" w:hAnsi="Calibri" w:cs="Arial"/>
                <w:sz w:val="20"/>
                <w:szCs w:val="20"/>
                <w:lang w:eastAsia="en-AU"/>
              </w:rPr>
              <w:t>Other revenue (b)</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41 568</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1 846</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39 497</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1 723</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47 295</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2 029</w:t>
            </w:r>
          </w:p>
        </w:tc>
      </w:tr>
      <w:tr w:rsidR="002B3DDB" w:rsidRPr="002B3DDB" w:rsidTr="002B3DDB">
        <w:trPr>
          <w:trHeight w:val="255"/>
        </w:trPr>
        <w:tc>
          <w:tcPr>
            <w:tcW w:w="3180"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b/>
                <w:bCs/>
                <w:sz w:val="20"/>
                <w:szCs w:val="20"/>
                <w:lang w:eastAsia="en-AU"/>
              </w:rPr>
            </w:pPr>
            <w:r w:rsidRPr="002B3DDB">
              <w:rPr>
                <w:rFonts w:ascii="Calibri" w:eastAsia="Times New Roman" w:hAnsi="Calibri" w:cs="Arial"/>
                <w:b/>
                <w:bCs/>
                <w:sz w:val="20"/>
                <w:szCs w:val="20"/>
                <w:lang w:eastAsia="en-AU"/>
              </w:rPr>
              <w:t>Operating expenses (c)</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p>
        </w:tc>
      </w:tr>
      <w:tr w:rsidR="002B3DDB" w:rsidRPr="002B3DDB" w:rsidTr="002B3DDB">
        <w:trPr>
          <w:trHeight w:val="255"/>
        </w:trPr>
        <w:tc>
          <w:tcPr>
            <w:tcW w:w="3180"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r w:rsidRPr="002B3DDB">
              <w:rPr>
                <w:rFonts w:ascii="Calibri" w:eastAsia="Times New Roman" w:hAnsi="Calibri" w:cs="Arial"/>
                <w:sz w:val="20"/>
                <w:szCs w:val="20"/>
                <w:lang w:eastAsia="en-AU"/>
              </w:rPr>
              <w:t>Schools education (a)</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41 742</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1 854</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43 619</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1 903</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45 660</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1 959</w:t>
            </w:r>
          </w:p>
        </w:tc>
      </w:tr>
      <w:tr w:rsidR="002B3DDB" w:rsidRPr="002B3DDB" w:rsidTr="002B3DDB">
        <w:trPr>
          <w:trHeight w:val="255"/>
        </w:trPr>
        <w:tc>
          <w:tcPr>
            <w:tcW w:w="3180"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r w:rsidRPr="002B3DDB">
              <w:rPr>
                <w:rFonts w:ascii="Calibri" w:eastAsia="Times New Roman" w:hAnsi="Calibri" w:cs="Arial"/>
                <w:sz w:val="20"/>
                <w:szCs w:val="20"/>
                <w:lang w:eastAsia="en-AU"/>
              </w:rPr>
              <w:t>Post-secondary education (d)</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5 748</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255</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5 707</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249</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5 733</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246</w:t>
            </w:r>
          </w:p>
        </w:tc>
      </w:tr>
      <w:tr w:rsidR="002B3DDB" w:rsidRPr="002B3DDB" w:rsidTr="002B3DDB">
        <w:trPr>
          <w:trHeight w:val="255"/>
        </w:trPr>
        <w:tc>
          <w:tcPr>
            <w:tcW w:w="3180"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r w:rsidRPr="002B3DDB">
              <w:rPr>
                <w:rFonts w:ascii="Calibri" w:eastAsia="Times New Roman" w:hAnsi="Calibri" w:cs="Arial"/>
                <w:sz w:val="20"/>
                <w:szCs w:val="20"/>
                <w:lang w:eastAsia="en-AU"/>
              </w:rPr>
              <w:t>Health (d)</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45 355</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2 014</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48 239</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2 105</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50 505</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2 167</w:t>
            </w:r>
          </w:p>
        </w:tc>
      </w:tr>
      <w:tr w:rsidR="002B3DDB" w:rsidRPr="002B3DDB" w:rsidTr="002B3DDB">
        <w:trPr>
          <w:trHeight w:val="255"/>
        </w:trPr>
        <w:tc>
          <w:tcPr>
            <w:tcW w:w="3180"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r w:rsidRPr="002B3DDB">
              <w:rPr>
                <w:rFonts w:ascii="Calibri" w:eastAsia="Times New Roman" w:hAnsi="Calibri" w:cs="Arial"/>
                <w:sz w:val="20"/>
                <w:szCs w:val="20"/>
                <w:lang w:eastAsia="en-AU"/>
              </w:rPr>
              <w:t>Housing (d)</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3 098</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138</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2 872</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125</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3 163</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136</w:t>
            </w:r>
          </w:p>
        </w:tc>
      </w:tr>
      <w:tr w:rsidR="002B3DDB" w:rsidRPr="002B3DDB" w:rsidTr="002B3DDB">
        <w:trPr>
          <w:trHeight w:val="255"/>
        </w:trPr>
        <w:tc>
          <w:tcPr>
            <w:tcW w:w="3180"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r w:rsidRPr="002B3DDB">
              <w:rPr>
                <w:rFonts w:ascii="Calibri" w:eastAsia="Times New Roman" w:hAnsi="Calibri" w:cs="Arial"/>
                <w:sz w:val="20"/>
                <w:szCs w:val="20"/>
                <w:lang w:eastAsia="en-AU"/>
              </w:rPr>
              <w:t>Welfare</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13 901</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617</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14 179</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619</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15 258</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655</w:t>
            </w:r>
          </w:p>
        </w:tc>
      </w:tr>
      <w:tr w:rsidR="002B3DDB" w:rsidRPr="002B3DDB" w:rsidTr="002B3DDB">
        <w:trPr>
          <w:trHeight w:val="255"/>
        </w:trPr>
        <w:tc>
          <w:tcPr>
            <w:tcW w:w="3180"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r w:rsidRPr="002B3DDB">
              <w:rPr>
                <w:rFonts w:ascii="Calibri" w:eastAsia="Times New Roman" w:hAnsi="Calibri" w:cs="Arial"/>
                <w:sz w:val="20"/>
                <w:szCs w:val="20"/>
                <w:lang w:eastAsia="en-AU"/>
              </w:rPr>
              <w:t>Services to communities (d)</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6 308</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280</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5 863</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256</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6 257</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268</w:t>
            </w:r>
          </w:p>
        </w:tc>
      </w:tr>
      <w:tr w:rsidR="002B3DDB" w:rsidRPr="002B3DDB" w:rsidTr="002B3DDB">
        <w:trPr>
          <w:trHeight w:val="255"/>
        </w:trPr>
        <w:tc>
          <w:tcPr>
            <w:tcW w:w="3180"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r w:rsidRPr="002B3DDB">
              <w:rPr>
                <w:rFonts w:ascii="Calibri" w:eastAsia="Times New Roman" w:hAnsi="Calibri" w:cs="Arial"/>
                <w:sz w:val="20"/>
                <w:szCs w:val="20"/>
                <w:lang w:eastAsia="en-AU"/>
              </w:rPr>
              <w:t>Justice</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16 005</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711</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16 200</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707</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17 108</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734</w:t>
            </w:r>
          </w:p>
        </w:tc>
      </w:tr>
      <w:tr w:rsidR="002B3DDB" w:rsidRPr="002B3DDB" w:rsidTr="002B3DDB">
        <w:trPr>
          <w:trHeight w:val="255"/>
        </w:trPr>
        <w:tc>
          <w:tcPr>
            <w:tcW w:w="3180"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r w:rsidRPr="002B3DDB">
              <w:rPr>
                <w:rFonts w:ascii="Calibri" w:eastAsia="Times New Roman" w:hAnsi="Calibri" w:cs="Arial"/>
                <w:sz w:val="20"/>
                <w:szCs w:val="20"/>
                <w:lang w:eastAsia="en-AU"/>
              </w:rPr>
              <w:t>Roads</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6 519</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289</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6 739</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294</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6 981</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300</w:t>
            </w:r>
          </w:p>
        </w:tc>
      </w:tr>
      <w:tr w:rsidR="002B3DDB" w:rsidRPr="002B3DDB" w:rsidTr="002B3DDB">
        <w:trPr>
          <w:trHeight w:val="255"/>
        </w:trPr>
        <w:tc>
          <w:tcPr>
            <w:tcW w:w="3180"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r w:rsidRPr="002B3DDB">
              <w:rPr>
                <w:rFonts w:ascii="Calibri" w:eastAsia="Times New Roman" w:hAnsi="Calibri" w:cs="Arial"/>
                <w:sz w:val="20"/>
                <w:szCs w:val="20"/>
                <w:lang w:eastAsia="en-AU"/>
              </w:rPr>
              <w:t>Transport (d)</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9 532</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423</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10 220</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446</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11 156</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479</w:t>
            </w:r>
          </w:p>
        </w:tc>
      </w:tr>
      <w:tr w:rsidR="002B3DDB" w:rsidRPr="002B3DDB" w:rsidTr="002B3DDB">
        <w:trPr>
          <w:trHeight w:val="255"/>
        </w:trPr>
        <w:tc>
          <w:tcPr>
            <w:tcW w:w="3180"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r w:rsidRPr="002B3DDB">
              <w:rPr>
                <w:rFonts w:ascii="Calibri" w:eastAsia="Times New Roman" w:hAnsi="Calibri" w:cs="Arial"/>
                <w:sz w:val="20"/>
                <w:szCs w:val="20"/>
                <w:lang w:eastAsia="en-AU"/>
              </w:rPr>
              <w:t>Services to Industry</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5 565</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247</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5 439</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237</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5 929</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254</w:t>
            </w:r>
          </w:p>
        </w:tc>
      </w:tr>
      <w:tr w:rsidR="002B3DDB" w:rsidRPr="002B3DDB" w:rsidTr="002B3DDB">
        <w:trPr>
          <w:trHeight w:val="255"/>
        </w:trPr>
        <w:tc>
          <w:tcPr>
            <w:tcW w:w="3180"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r w:rsidRPr="002B3DDB">
              <w:rPr>
                <w:rFonts w:ascii="Calibri" w:eastAsia="Times New Roman" w:hAnsi="Calibri" w:cs="Arial"/>
                <w:sz w:val="20"/>
                <w:szCs w:val="20"/>
                <w:lang w:eastAsia="en-AU"/>
              </w:rPr>
              <w:t>Depreciation (e)</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10 759</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478</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12 000</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524</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12 655</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543</w:t>
            </w:r>
          </w:p>
        </w:tc>
      </w:tr>
      <w:tr w:rsidR="002B3DDB" w:rsidRPr="002B3DDB" w:rsidTr="002B3DDB">
        <w:trPr>
          <w:trHeight w:val="255"/>
        </w:trPr>
        <w:tc>
          <w:tcPr>
            <w:tcW w:w="3180"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r w:rsidRPr="002B3DDB">
              <w:rPr>
                <w:rFonts w:ascii="Calibri" w:eastAsia="Times New Roman" w:hAnsi="Calibri" w:cs="Arial"/>
                <w:sz w:val="20"/>
                <w:szCs w:val="20"/>
                <w:lang w:eastAsia="en-AU"/>
              </w:rPr>
              <w:t>Other expenses</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24 727</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1 098</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24 241</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1 058</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27 003</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1 159</w:t>
            </w:r>
          </w:p>
        </w:tc>
      </w:tr>
      <w:tr w:rsidR="002B3DDB" w:rsidRPr="002B3DDB" w:rsidTr="002B3DDB">
        <w:trPr>
          <w:trHeight w:val="255"/>
        </w:trPr>
        <w:tc>
          <w:tcPr>
            <w:tcW w:w="3180"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b/>
                <w:bCs/>
                <w:sz w:val="20"/>
                <w:szCs w:val="20"/>
                <w:lang w:eastAsia="en-AU"/>
              </w:rPr>
            </w:pPr>
            <w:r w:rsidRPr="002B3DDB">
              <w:rPr>
                <w:rFonts w:ascii="Calibri" w:eastAsia="Times New Roman" w:hAnsi="Calibri" w:cs="Arial"/>
                <w:b/>
                <w:bCs/>
                <w:sz w:val="20"/>
                <w:szCs w:val="20"/>
                <w:lang w:eastAsia="en-AU"/>
              </w:rPr>
              <w:t>Capital expenditure</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p>
        </w:tc>
      </w:tr>
      <w:tr w:rsidR="002B3DDB" w:rsidRPr="002B3DDB" w:rsidTr="002B3DDB">
        <w:trPr>
          <w:trHeight w:val="255"/>
        </w:trPr>
        <w:tc>
          <w:tcPr>
            <w:tcW w:w="3180"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r w:rsidRPr="002B3DDB">
              <w:rPr>
                <w:rFonts w:ascii="Calibri" w:eastAsia="Times New Roman" w:hAnsi="Calibri" w:cs="Arial"/>
                <w:sz w:val="20"/>
                <w:szCs w:val="20"/>
                <w:lang w:eastAsia="en-AU"/>
              </w:rPr>
              <w:t>Investment</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17 428</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774</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14 129</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617</w:t>
            </w:r>
          </w:p>
        </w:tc>
        <w:tc>
          <w:tcPr>
            <w:tcW w:w="1052"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11 970</w:t>
            </w:r>
          </w:p>
        </w:tc>
        <w:tc>
          <w:tcPr>
            <w:tcW w:w="868" w:type="dxa"/>
            <w:tcBorders>
              <w:top w:val="nil"/>
              <w:left w:val="nil"/>
              <w:bottom w:val="nil"/>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514</w:t>
            </w:r>
          </w:p>
        </w:tc>
      </w:tr>
      <w:tr w:rsidR="002B3DDB" w:rsidRPr="002B3DDB" w:rsidTr="002B3DDB">
        <w:trPr>
          <w:trHeight w:val="255"/>
        </w:trPr>
        <w:tc>
          <w:tcPr>
            <w:tcW w:w="3180" w:type="dxa"/>
            <w:tcBorders>
              <w:top w:val="nil"/>
              <w:left w:val="nil"/>
              <w:bottom w:val="single" w:sz="4" w:space="0" w:color="auto"/>
              <w:right w:val="nil"/>
            </w:tcBorders>
            <w:shd w:val="clear" w:color="auto" w:fill="auto"/>
            <w:noWrap/>
            <w:vAlign w:val="bottom"/>
            <w:hideMark/>
          </w:tcPr>
          <w:p w:rsidR="002B3DDB" w:rsidRPr="002B3DDB" w:rsidRDefault="002B3DDB" w:rsidP="002B3DDB">
            <w:pPr>
              <w:tabs>
                <w:tab w:val="clear" w:pos="567"/>
              </w:tabs>
              <w:spacing w:after="0" w:line="240" w:lineRule="auto"/>
              <w:rPr>
                <w:rFonts w:ascii="Calibri" w:eastAsia="Times New Roman" w:hAnsi="Calibri" w:cs="Arial"/>
                <w:sz w:val="20"/>
                <w:szCs w:val="20"/>
                <w:lang w:eastAsia="en-AU"/>
              </w:rPr>
            </w:pPr>
            <w:r w:rsidRPr="002B3DDB">
              <w:rPr>
                <w:rFonts w:ascii="Calibri" w:eastAsia="Times New Roman" w:hAnsi="Calibri" w:cs="Arial"/>
                <w:sz w:val="20"/>
                <w:szCs w:val="20"/>
                <w:lang w:eastAsia="en-AU"/>
              </w:rPr>
              <w:t>Net borrowing (f)</w:t>
            </w:r>
          </w:p>
        </w:tc>
        <w:tc>
          <w:tcPr>
            <w:tcW w:w="1052" w:type="dxa"/>
            <w:tcBorders>
              <w:top w:val="nil"/>
              <w:left w:val="nil"/>
              <w:bottom w:val="single" w:sz="4" w:space="0" w:color="auto"/>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19 952</w:t>
            </w:r>
          </w:p>
        </w:tc>
        <w:tc>
          <w:tcPr>
            <w:tcW w:w="868" w:type="dxa"/>
            <w:tcBorders>
              <w:top w:val="nil"/>
              <w:left w:val="nil"/>
              <w:bottom w:val="single" w:sz="4" w:space="0" w:color="auto"/>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886</w:t>
            </w:r>
          </w:p>
        </w:tc>
        <w:tc>
          <w:tcPr>
            <w:tcW w:w="1052" w:type="dxa"/>
            <w:tcBorders>
              <w:top w:val="nil"/>
              <w:left w:val="nil"/>
              <w:bottom w:val="single" w:sz="4" w:space="0" w:color="auto"/>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22 488</w:t>
            </w:r>
          </w:p>
        </w:tc>
        <w:tc>
          <w:tcPr>
            <w:tcW w:w="868" w:type="dxa"/>
            <w:tcBorders>
              <w:top w:val="nil"/>
              <w:left w:val="nil"/>
              <w:bottom w:val="single" w:sz="4" w:space="0" w:color="auto"/>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981</w:t>
            </w:r>
          </w:p>
        </w:tc>
        <w:tc>
          <w:tcPr>
            <w:tcW w:w="1052" w:type="dxa"/>
            <w:tcBorders>
              <w:top w:val="nil"/>
              <w:left w:val="nil"/>
              <w:bottom w:val="single" w:sz="4" w:space="0" w:color="auto"/>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11 368</w:t>
            </w:r>
          </w:p>
        </w:tc>
        <w:tc>
          <w:tcPr>
            <w:tcW w:w="868" w:type="dxa"/>
            <w:tcBorders>
              <w:top w:val="nil"/>
              <w:left w:val="nil"/>
              <w:bottom w:val="single" w:sz="4" w:space="0" w:color="auto"/>
              <w:right w:val="nil"/>
            </w:tcBorders>
            <w:shd w:val="clear" w:color="auto" w:fill="auto"/>
            <w:noWrap/>
            <w:vAlign w:val="bottom"/>
            <w:hideMark/>
          </w:tcPr>
          <w:p w:rsidR="002B3DDB" w:rsidRPr="002B3DDB" w:rsidRDefault="002B3DDB" w:rsidP="002B3DDB">
            <w:pPr>
              <w:tabs>
                <w:tab w:val="clear" w:pos="567"/>
              </w:tabs>
              <w:spacing w:after="0" w:line="240" w:lineRule="auto"/>
              <w:jc w:val="right"/>
              <w:rPr>
                <w:rFonts w:ascii="Calibri" w:eastAsia="Times New Roman" w:hAnsi="Calibri" w:cs="Arial"/>
                <w:sz w:val="20"/>
                <w:szCs w:val="20"/>
                <w:lang w:eastAsia="en-AU"/>
              </w:rPr>
            </w:pPr>
            <w:r w:rsidRPr="002B3DDB">
              <w:rPr>
                <w:rFonts w:ascii="Calibri" w:eastAsia="Times New Roman" w:hAnsi="Calibri" w:cs="Arial"/>
                <w:sz w:val="20"/>
                <w:szCs w:val="20"/>
                <w:lang w:eastAsia="en-AU"/>
              </w:rPr>
              <w:t>488</w:t>
            </w:r>
          </w:p>
        </w:tc>
      </w:tr>
    </w:tbl>
    <w:p w:rsidR="003A7DFC" w:rsidRPr="005B1188" w:rsidRDefault="003A7DFC" w:rsidP="005B1188">
      <w:pPr>
        <w:pStyle w:val="CGCTableFootnote"/>
      </w:pPr>
      <w:r>
        <w:t>(a)</w:t>
      </w:r>
      <w:r>
        <w:tab/>
      </w:r>
      <w:r w:rsidR="009963DC" w:rsidRPr="005B1188">
        <w:t>Includes the non-governme</w:t>
      </w:r>
      <w:r w:rsidR="00B04C31">
        <w:t>nt schools SPP (Students First f</w:t>
      </w:r>
      <w:r w:rsidR="009963DC" w:rsidRPr="005B1188">
        <w:t xml:space="preserve">unding). </w:t>
      </w:r>
      <w:r w:rsidRPr="005B1188">
        <w:t xml:space="preserve">Both the revenue and related </w:t>
      </w:r>
      <w:r w:rsidR="00B04C31">
        <w:t xml:space="preserve">expenditure </w:t>
      </w:r>
      <w:r w:rsidRPr="005B1188">
        <w:t xml:space="preserve">of </w:t>
      </w:r>
      <w:r w:rsidR="00B04C31">
        <w:t>this payment</w:t>
      </w:r>
      <w:r w:rsidRPr="005B1188">
        <w:t xml:space="preserve"> to non-government schools are assessed using the same distribution. In effect, these payments do not impact on the relativities.</w:t>
      </w:r>
    </w:p>
    <w:p w:rsidR="003A7DFC" w:rsidRPr="005B1188" w:rsidRDefault="003A7DFC" w:rsidP="005B1188">
      <w:pPr>
        <w:pStyle w:val="CGCTableFootnote"/>
      </w:pPr>
      <w:r w:rsidRPr="005B1188">
        <w:t>(b)</w:t>
      </w:r>
      <w:r w:rsidRPr="005B1188">
        <w:tab/>
        <w:t>Includes a net budget balancing transaction.</w:t>
      </w:r>
    </w:p>
    <w:p w:rsidR="003A7DFC" w:rsidRPr="005B1188" w:rsidRDefault="003A7DFC" w:rsidP="005B1188">
      <w:pPr>
        <w:pStyle w:val="CGCTableFootnote"/>
      </w:pPr>
      <w:r w:rsidRPr="005B1188">
        <w:t>(c)</w:t>
      </w:r>
      <w:r w:rsidRPr="005B1188">
        <w:tab/>
        <w:t>Relevant superannuation expenses are included in each expense category.</w:t>
      </w:r>
    </w:p>
    <w:p w:rsidR="003A7DFC" w:rsidRPr="005B1188" w:rsidRDefault="003A7DFC" w:rsidP="005B1188">
      <w:pPr>
        <w:pStyle w:val="CGCTableFootnote"/>
      </w:pPr>
      <w:r w:rsidRPr="005B1188">
        <w:t>(d)</w:t>
      </w:r>
      <w:r w:rsidRPr="005B1188">
        <w:tab/>
        <w:t>Net categories – user charges (all or part) are removed from the expenses.</w:t>
      </w:r>
    </w:p>
    <w:p w:rsidR="003A7DFC" w:rsidRDefault="003A7DFC" w:rsidP="005B1188">
      <w:pPr>
        <w:pStyle w:val="CGCTableFootnote"/>
      </w:pPr>
      <w:r w:rsidRPr="005B1188">
        <w:t>(e)</w:t>
      </w:r>
      <w:r w:rsidRPr="005B1188">
        <w:tab/>
        <w:t>Excludes depreciation expenses for urban transport services. They are assessed in Transport.</w:t>
      </w:r>
    </w:p>
    <w:p w:rsidR="0098785E" w:rsidRPr="0098785E" w:rsidRDefault="0098785E" w:rsidP="0098785E">
      <w:pPr>
        <w:pStyle w:val="CGCTableFootnote"/>
      </w:pPr>
      <w:r>
        <w:t>(f)</w:t>
      </w:r>
      <w:r>
        <w:tab/>
        <w:t>Net borrowing is shown without a negative sign. It reduces net financial worth.</w:t>
      </w:r>
    </w:p>
    <w:p w:rsidR="00886A8C" w:rsidRPr="005B1188" w:rsidRDefault="003A7DFC" w:rsidP="005B1188">
      <w:pPr>
        <w:pStyle w:val="CGCTableFootnote"/>
      </w:pPr>
      <w:r w:rsidRPr="005B1188">
        <w:t>Source:</w:t>
      </w:r>
      <w:r w:rsidRPr="005B1188">
        <w:tab/>
        <w:t xml:space="preserve">Commission calculation using GFS data, data from Australia’s </w:t>
      </w:r>
      <w:r w:rsidRPr="00BA282B">
        <w:rPr>
          <w:i/>
        </w:rPr>
        <w:t>Final Budget Outcome</w:t>
      </w:r>
      <w:r w:rsidRPr="005B1188">
        <w:t>, and data collected from Commonwealth departments and States</w:t>
      </w:r>
      <w:r w:rsidR="00886A8C" w:rsidRPr="005B1188">
        <w:t>.</w:t>
      </w:r>
    </w:p>
    <w:p w:rsidR="00886A8C" w:rsidRDefault="005864CF" w:rsidP="00886A8C">
      <w:pPr>
        <w:pStyle w:val="CGCNumberedPara"/>
      </w:pPr>
      <w:r>
        <w:fldChar w:fldCharType="begin"/>
      </w:r>
      <w:r>
        <w:instrText xml:space="preserve"> REF _Ref411329465 \h </w:instrText>
      </w:r>
      <w:r>
        <w:fldChar w:fldCharType="separate"/>
      </w:r>
      <w:r w:rsidR="007B6A4C">
        <w:t xml:space="preserve">Table </w:t>
      </w:r>
      <w:r w:rsidR="007B6A4C">
        <w:rPr>
          <w:noProof/>
        </w:rPr>
        <w:t>2</w:t>
      </w:r>
      <w:r>
        <w:fldChar w:fldCharType="end"/>
      </w:r>
      <w:r>
        <w:t xml:space="preserve"> </w:t>
      </w:r>
      <w:r w:rsidR="00886A8C" w:rsidRPr="00674D00">
        <w:t>shows the changes in category structure from the 2010 Review.</w:t>
      </w:r>
    </w:p>
    <w:p w:rsidR="00886A8C" w:rsidRDefault="00886A8C" w:rsidP="00886A8C">
      <w:pPr>
        <w:pStyle w:val="Caption"/>
      </w:pPr>
      <w:bookmarkStart w:id="21" w:name="_Ref411329465"/>
      <w:r>
        <w:lastRenderedPageBreak/>
        <w:t xml:space="preserve">Table </w:t>
      </w:r>
      <w:fldSimple w:instr=" SEQ Table \* ARABIC ">
        <w:r w:rsidR="007B6A4C">
          <w:rPr>
            <w:noProof/>
          </w:rPr>
          <w:t>2</w:t>
        </w:r>
      </w:fldSimple>
      <w:bookmarkEnd w:id="21"/>
      <w:r w:rsidRPr="00674D00">
        <w:tab/>
        <w:t>Changes to categories between the 2010 and 2015 Reviews</w:t>
      </w:r>
    </w:p>
    <w:tbl>
      <w:tblPr>
        <w:tblW w:w="8960" w:type="dxa"/>
        <w:tblLayout w:type="fixed"/>
        <w:tblCellMar>
          <w:left w:w="0" w:type="dxa"/>
          <w:right w:w="0" w:type="dxa"/>
        </w:tblCellMar>
        <w:tblLook w:val="04A0" w:firstRow="1" w:lastRow="0" w:firstColumn="1" w:lastColumn="0" w:noHBand="0" w:noVBand="1"/>
      </w:tblPr>
      <w:tblGrid>
        <w:gridCol w:w="2500"/>
        <w:gridCol w:w="6460"/>
      </w:tblGrid>
      <w:tr w:rsidR="00886A8C" w:rsidRPr="00674D00" w:rsidTr="005864CF">
        <w:trPr>
          <w:trHeight w:val="426"/>
        </w:trPr>
        <w:tc>
          <w:tcPr>
            <w:tcW w:w="2500" w:type="dxa"/>
            <w:tcBorders>
              <w:top w:val="single" w:sz="4" w:space="0" w:color="auto"/>
              <w:left w:val="nil"/>
              <w:bottom w:val="single" w:sz="4" w:space="0" w:color="auto"/>
              <w:right w:val="nil"/>
            </w:tcBorders>
            <w:shd w:val="clear" w:color="auto" w:fill="auto"/>
            <w:vAlign w:val="center"/>
            <w:hideMark/>
          </w:tcPr>
          <w:p w:rsidR="00886A8C" w:rsidRPr="00674D00"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2015 Review category</w:t>
            </w:r>
          </w:p>
        </w:tc>
        <w:tc>
          <w:tcPr>
            <w:tcW w:w="6460" w:type="dxa"/>
            <w:tcBorders>
              <w:top w:val="single" w:sz="4" w:space="0" w:color="auto"/>
              <w:left w:val="nil"/>
              <w:bottom w:val="single" w:sz="4" w:space="0" w:color="auto"/>
              <w:right w:val="nil"/>
            </w:tcBorders>
            <w:shd w:val="clear" w:color="auto" w:fill="auto"/>
            <w:vAlign w:val="center"/>
            <w:hideMark/>
          </w:tcPr>
          <w:p w:rsidR="00886A8C" w:rsidRPr="00674D00" w:rsidRDefault="00886A8C" w:rsidP="005864CF">
            <w:pPr>
              <w:keepNext/>
              <w:keepLines/>
              <w:tabs>
                <w:tab w:val="clear" w:pos="567"/>
              </w:tabs>
              <w:spacing w:after="0" w:line="240" w:lineRule="auto"/>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Changes since 2010 Review</w:t>
            </w:r>
          </w:p>
        </w:tc>
      </w:tr>
      <w:tr w:rsidR="00886A8C" w:rsidRPr="00674D00" w:rsidTr="005864CF">
        <w:trPr>
          <w:trHeight w:val="315"/>
        </w:trPr>
        <w:tc>
          <w:tcPr>
            <w:tcW w:w="250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Payroll tax</w:t>
            </w:r>
          </w:p>
        </w:tc>
        <w:tc>
          <w:tcPr>
            <w:tcW w:w="646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No change</w:t>
            </w:r>
            <w:r w:rsidR="00BA282B">
              <w:rPr>
                <w:rFonts w:ascii="Calibri" w:eastAsia="Times New Roman" w:hAnsi="Calibri" w:cstheme="minorHAnsi"/>
                <w:sz w:val="20"/>
                <w:szCs w:val="20"/>
                <w:lang w:eastAsia="en-AU"/>
              </w:rPr>
              <w:t>.</w:t>
            </w:r>
          </w:p>
        </w:tc>
      </w:tr>
      <w:tr w:rsidR="00886A8C" w:rsidRPr="00674D00" w:rsidTr="005864CF">
        <w:trPr>
          <w:trHeight w:val="315"/>
        </w:trPr>
        <w:tc>
          <w:tcPr>
            <w:tcW w:w="250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Land tax</w:t>
            </w:r>
          </w:p>
        </w:tc>
        <w:tc>
          <w:tcPr>
            <w:tcW w:w="646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Fire and emergency levies collected from landholder included.</w:t>
            </w:r>
          </w:p>
        </w:tc>
      </w:tr>
      <w:tr w:rsidR="00886A8C" w:rsidRPr="00674D00" w:rsidTr="005864CF">
        <w:trPr>
          <w:trHeight w:val="315"/>
        </w:trPr>
        <w:tc>
          <w:tcPr>
            <w:tcW w:w="250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Stamp duty</w:t>
            </w:r>
          </w:p>
        </w:tc>
        <w:tc>
          <w:tcPr>
            <w:tcW w:w="646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 xml:space="preserve">Was Stamp duty on </w:t>
            </w:r>
            <w:proofErr w:type="gramStart"/>
            <w:r w:rsidRPr="00674D00">
              <w:rPr>
                <w:rFonts w:ascii="Calibri" w:eastAsia="Times New Roman" w:hAnsi="Calibri" w:cstheme="minorHAnsi"/>
                <w:sz w:val="20"/>
                <w:szCs w:val="20"/>
                <w:lang w:eastAsia="en-AU"/>
              </w:rPr>
              <w:t>conveyances.</w:t>
            </w:r>
            <w:proofErr w:type="gramEnd"/>
            <w:r w:rsidRPr="00674D00">
              <w:rPr>
                <w:rFonts w:ascii="Calibri" w:eastAsia="Times New Roman" w:hAnsi="Calibri" w:cstheme="minorHAnsi"/>
                <w:sz w:val="20"/>
                <w:szCs w:val="20"/>
                <w:lang w:eastAsia="en-AU"/>
              </w:rPr>
              <w:t xml:space="preserve"> Vehicle transfer duty included.</w:t>
            </w:r>
          </w:p>
        </w:tc>
      </w:tr>
      <w:tr w:rsidR="00886A8C" w:rsidRPr="00674D00" w:rsidTr="005864CF">
        <w:trPr>
          <w:trHeight w:val="315"/>
        </w:trPr>
        <w:tc>
          <w:tcPr>
            <w:tcW w:w="250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Insurance tax</w:t>
            </w:r>
          </w:p>
        </w:tc>
        <w:tc>
          <w:tcPr>
            <w:tcW w:w="646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Fire and emergency levies collected from insurance policy holders included.</w:t>
            </w:r>
          </w:p>
        </w:tc>
      </w:tr>
      <w:tr w:rsidR="00886A8C" w:rsidRPr="00674D00" w:rsidTr="005864CF">
        <w:trPr>
          <w:trHeight w:val="555"/>
        </w:trPr>
        <w:tc>
          <w:tcPr>
            <w:tcW w:w="250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Motor taxes</w:t>
            </w:r>
          </w:p>
        </w:tc>
        <w:tc>
          <w:tcPr>
            <w:tcW w:w="646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Vehicle transfer duty removed and placed in Stamp duty category. Fire and emergency levies collected from vehicle owners included.</w:t>
            </w:r>
          </w:p>
        </w:tc>
      </w:tr>
      <w:tr w:rsidR="00886A8C" w:rsidRPr="00674D00" w:rsidTr="005864CF">
        <w:trPr>
          <w:trHeight w:val="315"/>
        </w:trPr>
        <w:tc>
          <w:tcPr>
            <w:tcW w:w="250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Mining revenue</w:t>
            </w:r>
          </w:p>
        </w:tc>
        <w:tc>
          <w:tcPr>
            <w:tcW w:w="646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No change</w:t>
            </w:r>
            <w:r w:rsidR="00BA282B">
              <w:rPr>
                <w:rFonts w:ascii="Calibri" w:eastAsia="Times New Roman" w:hAnsi="Calibri" w:cstheme="minorHAnsi"/>
                <w:sz w:val="20"/>
                <w:szCs w:val="20"/>
                <w:lang w:eastAsia="en-AU"/>
              </w:rPr>
              <w:t>.</w:t>
            </w:r>
          </w:p>
        </w:tc>
      </w:tr>
      <w:tr w:rsidR="00886A8C" w:rsidRPr="00674D00" w:rsidTr="005864CF">
        <w:trPr>
          <w:trHeight w:val="555"/>
        </w:trPr>
        <w:tc>
          <w:tcPr>
            <w:tcW w:w="250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Other revenue</w:t>
            </w:r>
          </w:p>
        </w:tc>
        <w:tc>
          <w:tcPr>
            <w:tcW w:w="6460" w:type="dxa"/>
            <w:tcBorders>
              <w:top w:val="nil"/>
              <w:left w:val="nil"/>
              <w:bottom w:val="nil"/>
              <w:right w:val="nil"/>
            </w:tcBorders>
            <w:shd w:val="clear" w:color="auto" w:fill="auto"/>
            <w:hideMark/>
          </w:tcPr>
          <w:p w:rsidR="00886A8C" w:rsidRDefault="00886A8C" w:rsidP="005864CF">
            <w:pPr>
              <w:keepNext/>
              <w:keepLines/>
              <w:tabs>
                <w:tab w:val="clear" w:pos="567"/>
              </w:tabs>
              <w:spacing w:after="0" w:line="240" w:lineRule="auto"/>
              <w:rPr>
                <w:rFonts w:ascii="Calibri" w:eastAsia="Times New Roman" w:hAnsi="Calibri" w:cstheme="minorHAnsi"/>
                <w:sz w:val="20"/>
                <w:szCs w:val="20"/>
                <w:lang w:eastAsia="en-AU"/>
              </w:rPr>
            </w:pPr>
            <w:r w:rsidRPr="00674D00">
              <w:rPr>
                <w:rFonts w:ascii="Calibri" w:eastAsia="Times New Roman" w:hAnsi="Calibri" w:cstheme="minorHAnsi"/>
                <w:sz w:val="20"/>
                <w:szCs w:val="20"/>
                <w:lang w:eastAsia="en-AU"/>
              </w:rPr>
              <w:t>Fire and emergency service levies moved to land tax, insurance tax and motor taxes categories.</w:t>
            </w:r>
          </w:p>
          <w:p w:rsidR="00886A8C" w:rsidRDefault="00886A8C" w:rsidP="005864CF">
            <w:pPr>
              <w:keepNext/>
              <w:keepLines/>
              <w:tabs>
                <w:tab w:val="clear" w:pos="567"/>
              </w:tabs>
              <w:spacing w:after="0" w:line="240" w:lineRule="auto"/>
              <w:rPr>
                <w:rFonts w:ascii="Calibri" w:eastAsia="Times New Roman" w:hAnsi="Calibri" w:cstheme="minorHAnsi"/>
                <w:sz w:val="20"/>
                <w:szCs w:val="20"/>
                <w:lang w:eastAsia="en-AU"/>
              </w:rPr>
            </w:pPr>
            <w:r w:rsidRPr="00674D00">
              <w:rPr>
                <w:rFonts w:ascii="Calibri" w:eastAsia="Times New Roman" w:hAnsi="Calibri" w:cstheme="minorHAnsi"/>
                <w:sz w:val="20"/>
                <w:szCs w:val="20"/>
                <w:lang w:eastAsia="en-AU"/>
              </w:rPr>
              <w:t>Net budget balancing transaction included.</w:t>
            </w:r>
          </w:p>
          <w:p w:rsidR="0061508C" w:rsidRPr="00674D00" w:rsidRDefault="0061508C" w:rsidP="005864CF">
            <w:pPr>
              <w:keepNext/>
              <w:keepLines/>
              <w:tabs>
                <w:tab w:val="clear" w:pos="567"/>
              </w:tabs>
              <w:spacing w:after="0" w:line="240" w:lineRule="auto"/>
              <w:rPr>
                <w:rFonts w:ascii="Calibri" w:eastAsia="Times New Roman" w:hAnsi="Calibri" w:cs="Arial"/>
                <w:sz w:val="20"/>
                <w:szCs w:val="20"/>
                <w:lang w:eastAsia="en-AU"/>
              </w:rPr>
            </w:pPr>
          </w:p>
        </w:tc>
      </w:tr>
      <w:tr w:rsidR="00886A8C" w:rsidRPr="00674D00" w:rsidTr="005864CF">
        <w:trPr>
          <w:trHeight w:val="315"/>
        </w:trPr>
        <w:tc>
          <w:tcPr>
            <w:tcW w:w="250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Schools education</w:t>
            </w:r>
          </w:p>
        </w:tc>
        <w:tc>
          <w:tcPr>
            <w:tcW w:w="646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Administrative scale expenses moved to Other expenses.</w:t>
            </w:r>
          </w:p>
        </w:tc>
      </w:tr>
      <w:tr w:rsidR="00886A8C" w:rsidRPr="00674D00" w:rsidTr="005864CF">
        <w:trPr>
          <w:trHeight w:val="555"/>
        </w:trPr>
        <w:tc>
          <w:tcPr>
            <w:tcW w:w="250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Post-secondary education</w:t>
            </w:r>
          </w:p>
        </w:tc>
        <w:tc>
          <w:tcPr>
            <w:tcW w:w="646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Vocational training included. Administrative scale expenses moved to Other expenses.</w:t>
            </w:r>
          </w:p>
        </w:tc>
      </w:tr>
      <w:tr w:rsidR="00886A8C" w:rsidRPr="00674D00" w:rsidTr="005864CF">
        <w:trPr>
          <w:trHeight w:val="795"/>
        </w:trPr>
        <w:tc>
          <w:tcPr>
            <w:tcW w:w="250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Health</w:t>
            </w:r>
          </w:p>
        </w:tc>
        <w:tc>
          <w:tcPr>
            <w:tcW w:w="6460" w:type="dxa"/>
            <w:tcBorders>
              <w:top w:val="nil"/>
              <w:left w:val="nil"/>
              <w:bottom w:val="nil"/>
              <w:right w:val="nil"/>
            </w:tcBorders>
            <w:shd w:val="clear" w:color="auto" w:fill="auto"/>
            <w:hideMark/>
          </w:tcPr>
          <w:p w:rsidR="00886A8C" w:rsidRPr="00674D00" w:rsidRDefault="00886A8C" w:rsidP="00BA282B">
            <w:pPr>
              <w:keepNext/>
              <w:keepLines/>
              <w:tabs>
                <w:tab w:val="clear" w:pos="567"/>
              </w:tabs>
              <w:spacing w:after="0" w:line="240" w:lineRule="auto"/>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 xml:space="preserve">New category combining Admitted </w:t>
            </w:r>
            <w:proofErr w:type="gramStart"/>
            <w:r w:rsidRPr="00674D00">
              <w:rPr>
                <w:rFonts w:ascii="Calibri" w:eastAsia="Times New Roman" w:hAnsi="Calibri" w:cstheme="minorHAnsi"/>
                <w:sz w:val="20"/>
                <w:szCs w:val="20"/>
                <w:lang w:eastAsia="en-AU"/>
              </w:rPr>
              <w:t>patients</w:t>
            </w:r>
            <w:proofErr w:type="gramEnd"/>
            <w:r w:rsidRPr="00674D00">
              <w:rPr>
                <w:rFonts w:ascii="Calibri" w:eastAsia="Times New Roman" w:hAnsi="Calibri" w:cstheme="minorHAnsi"/>
                <w:sz w:val="20"/>
                <w:szCs w:val="20"/>
                <w:lang w:eastAsia="en-AU"/>
              </w:rPr>
              <w:t xml:space="preserve"> category and Community and other health </w:t>
            </w:r>
            <w:r w:rsidR="00BA282B">
              <w:rPr>
                <w:rFonts w:ascii="Calibri" w:eastAsia="Times New Roman" w:hAnsi="Calibri" w:cstheme="minorHAnsi"/>
                <w:sz w:val="20"/>
                <w:szCs w:val="20"/>
                <w:lang w:eastAsia="en-AU"/>
              </w:rPr>
              <w:t xml:space="preserve">services </w:t>
            </w:r>
            <w:r w:rsidRPr="00674D00">
              <w:rPr>
                <w:rFonts w:ascii="Calibri" w:eastAsia="Times New Roman" w:hAnsi="Calibri" w:cstheme="minorHAnsi"/>
                <w:sz w:val="20"/>
                <w:szCs w:val="20"/>
                <w:lang w:eastAsia="en-AU"/>
              </w:rPr>
              <w:t>category. Administrative scale expenses moved to Other expenses.</w:t>
            </w:r>
          </w:p>
        </w:tc>
      </w:tr>
      <w:tr w:rsidR="00886A8C" w:rsidRPr="00674D00" w:rsidTr="005864CF">
        <w:trPr>
          <w:trHeight w:val="555"/>
        </w:trPr>
        <w:tc>
          <w:tcPr>
            <w:tcW w:w="250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Welfare</w:t>
            </w:r>
          </w:p>
        </w:tc>
        <w:tc>
          <w:tcPr>
            <w:tcW w:w="646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New category created by splitting welfare expenses from the Welfare and housing category. Administrative scale expenses moved to Other expenses.</w:t>
            </w:r>
          </w:p>
        </w:tc>
      </w:tr>
      <w:tr w:rsidR="00886A8C" w:rsidRPr="00674D00" w:rsidTr="005864CF">
        <w:trPr>
          <w:trHeight w:val="795"/>
        </w:trPr>
        <w:tc>
          <w:tcPr>
            <w:tcW w:w="250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Housing</w:t>
            </w:r>
          </w:p>
        </w:tc>
        <w:tc>
          <w:tcPr>
            <w:tcW w:w="646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New category created by splitting housing expenses from the Welfare and housing category. Housing PNFC transactions included. Administrative scale</w:t>
            </w:r>
            <w:r w:rsidR="00BA282B">
              <w:rPr>
                <w:rFonts w:ascii="Calibri" w:eastAsia="Times New Roman" w:hAnsi="Calibri" w:cstheme="minorHAnsi"/>
                <w:sz w:val="20"/>
                <w:szCs w:val="20"/>
                <w:lang w:eastAsia="en-AU"/>
              </w:rPr>
              <w:t xml:space="preserve"> expenses</w:t>
            </w:r>
            <w:r w:rsidRPr="00674D00">
              <w:rPr>
                <w:rFonts w:ascii="Calibri" w:eastAsia="Times New Roman" w:hAnsi="Calibri" w:cstheme="minorHAnsi"/>
                <w:sz w:val="20"/>
                <w:szCs w:val="20"/>
                <w:lang w:eastAsia="en-AU"/>
              </w:rPr>
              <w:t>, native title and land rights expenses moved to Other expenses.</w:t>
            </w:r>
          </w:p>
        </w:tc>
      </w:tr>
      <w:tr w:rsidR="00886A8C" w:rsidRPr="00674D00" w:rsidTr="005864CF">
        <w:trPr>
          <w:trHeight w:val="795"/>
        </w:trPr>
        <w:tc>
          <w:tcPr>
            <w:tcW w:w="250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Services to communities</w:t>
            </w:r>
          </w:p>
        </w:tc>
        <w:tc>
          <w:tcPr>
            <w:tcW w:w="646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Capital grants to local governments for community development moved to Other expenses. Administrative scale, native title and land rights expenses moved to Other expenses.</w:t>
            </w:r>
          </w:p>
        </w:tc>
      </w:tr>
      <w:tr w:rsidR="00886A8C" w:rsidRPr="00674D00" w:rsidTr="005864CF">
        <w:trPr>
          <w:trHeight w:val="555"/>
        </w:trPr>
        <w:tc>
          <w:tcPr>
            <w:tcW w:w="250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Justice</w:t>
            </w:r>
          </w:p>
        </w:tc>
        <w:tc>
          <w:tcPr>
            <w:tcW w:w="646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Administrative scale</w:t>
            </w:r>
            <w:r w:rsidR="00BA282B">
              <w:rPr>
                <w:rFonts w:ascii="Calibri" w:eastAsia="Times New Roman" w:hAnsi="Calibri" w:cstheme="minorHAnsi"/>
                <w:sz w:val="20"/>
                <w:szCs w:val="20"/>
                <w:lang w:eastAsia="en-AU"/>
              </w:rPr>
              <w:t xml:space="preserve"> expenses</w:t>
            </w:r>
            <w:r w:rsidRPr="00674D00">
              <w:rPr>
                <w:rFonts w:ascii="Calibri" w:eastAsia="Times New Roman" w:hAnsi="Calibri" w:cstheme="minorHAnsi"/>
                <w:sz w:val="20"/>
                <w:szCs w:val="20"/>
                <w:lang w:eastAsia="en-AU"/>
              </w:rPr>
              <w:t>, native title and land rights expenses moved to Other expenses.</w:t>
            </w:r>
          </w:p>
        </w:tc>
      </w:tr>
      <w:tr w:rsidR="00886A8C" w:rsidRPr="00674D00" w:rsidTr="005864CF">
        <w:trPr>
          <w:trHeight w:val="555"/>
        </w:trPr>
        <w:tc>
          <w:tcPr>
            <w:tcW w:w="250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Roads</w:t>
            </w:r>
          </w:p>
        </w:tc>
        <w:tc>
          <w:tcPr>
            <w:tcW w:w="646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Administrative scale</w:t>
            </w:r>
            <w:r w:rsidR="00BA282B">
              <w:rPr>
                <w:rFonts w:ascii="Calibri" w:eastAsia="Times New Roman" w:hAnsi="Calibri" w:cstheme="minorHAnsi"/>
                <w:sz w:val="20"/>
                <w:szCs w:val="20"/>
                <w:lang w:eastAsia="en-AU"/>
              </w:rPr>
              <w:t xml:space="preserve"> expenses, native title and land rights</w:t>
            </w:r>
            <w:r w:rsidRPr="00674D00">
              <w:rPr>
                <w:rFonts w:ascii="Calibri" w:eastAsia="Times New Roman" w:hAnsi="Calibri" w:cstheme="minorHAnsi"/>
                <w:sz w:val="20"/>
                <w:szCs w:val="20"/>
                <w:lang w:eastAsia="en-AU"/>
              </w:rPr>
              <w:t xml:space="preserve"> </w:t>
            </w:r>
            <w:r w:rsidR="00A225BC">
              <w:rPr>
                <w:rFonts w:ascii="Calibri" w:eastAsia="Times New Roman" w:hAnsi="Calibri" w:cstheme="minorHAnsi"/>
                <w:sz w:val="20"/>
                <w:szCs w:val="20"/>
                <w:lang w:eastAsia="en-AU"/>
              </w:rPr>
              <w:t xml:space="preserve">and national capital allowance </w:t>
            </w:r>
            <w:r w:rsidRPr="00674D00">
              <w:rPr>
                <w:rFonts w:ascii="Calibri" w:eastAsia="Times New Roman" w:hAnsi="Calibri" w:cstheme="minorHAnsi"/>
                <w:sz w:val="20"/>
                <w:szCs w:val="20"/>
                <w:lang w:eastAsia="en-AU"/>
              </w:rPr>
              <w:t>moved to Other expenses.</w:t>
            </w:r>
          </w:p>
        </w:tc>
      </w:tr>
      <w:tr w:rsidR="00886A8C" w:rsidRPr="00674D00" w:rsidTr="005864CF">
        <w:trPr>
          <w:trHeight w:val="795"/>
        </w:trPr>
        <w:tc>
          <w:tcPr>
            <w:tcW w:w="250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Transport</w:t>
            </w:r>
          </w:p>
        </w:tc>
        <w:tc>
          <w:tcPr>
            <w:tcW w:w="646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Urban transport PNFC transactions included. GG and PNFC Urban transport depreciation expenses included. Administrative scale expenses moved to Other expenses.</w:t>
            </w:r>
          </w:p>
        </w:tc>
      </w:tr>
      <w:tr w:rsidR="00886A8C" w:rsidRPr="00674D00" w:rsidTr="005864CF">
        <w:trPr>
          <w:trHeight w:val="555"/>
        </w:trPr>
        <w:tc>
          <w:tcPr>
            <w:tcW w:w="250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Services to industry</w:t>
            </w:r>
          </w:p>
        </w:tc>
        <w:tc>
          <w:tcPr>
            <w:tcW w:w="646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Vocational training moved to Post-secondary education. Administrative scale</w:t>
            </w:r>
            <w:r w:rsidR="00BA282B">
              <w:rPr>
                <w:rFonts w:ascii="Calibri" w:eastAsia="Times New Roman" w:hAnsi="Calibri" w:cstheme="minorHAnsi"/>
                <w:sz w:val="20"/>
                <w:szCs w:val="20"/>
                <w:lang w:eastAsia="en-AU"/>
              </w:rPr>
              <w:t xml:space="preserve"> expenses</w:t>
            </w:r>
            <w:r w:rsidRPr="00674D00">
              <w:rPr>
                <w:rFonts w:ascii="Calibri" w:eastAsia="Times New Roman" w:hAnsi="Calibri" w:cstheme="minorHAnsi"/>
                <w:sz w:val="20"/>
                <w:szCs w:val="20"/>
                <w:lang w:eastAsia="en-AU"/>
              </w:rPr>
              <w:t>, native title and land rights expenses moved to Other expenses.</w:t>
            </w:r>
          </w:p>
        </w:tc>
      </w:tr>
      <w:tr w:rsidR="00886A8C" w:rsidRPr="00674D00" w:rsidTr="005864CF">
        <w:trPr>
          <w:trHeight w:val="315"/>
        </w:trPr>
        <w:tc>
          <w:tcPr>
            <w:tcW w:w="250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Depreciation</w:t>
            </w:r>
          </w:p>
        </w:tc>
        <w:tc>
          <w:tcPr>
            <w:tcW w:w="646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All deprecation expenses, except Urban transport, included.</w:t>
            </w:r>
          </w:p>
        </w:tc>
      </w:tr>
      <w:tr w:rsidR="00886A8C" w:rsidRPr="00674D00" w:rsidTr="005864CF">
        <w:trPr>
          <w:trHeight w:val="555"/>
        </w:trPr>
        <w:tc>
          <w:tcPr>
            <w:tcW w:w="250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Other expenses</w:t>
            </w:r>
          </w:p>
        </w:tc>
        <w:tc>
          <w:tcPr>
            <w:tcW w:w="646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All administrative scale</w:t>
            </w:r>
            <w:r w:rsidR="00BA282B">
              <w:rPr>
                <w:rFonts w:ascii="Calibri" w:eastAsia="Times New Roman" w:hAnsi="Calibri" w:cstheme="minorHAnsi"/>
                <w:sz w:val="20"/>
                <w:szCs w:val="20"/>
                <w:lang w:eastAsia="en-AU"/>
              </w:rPr>
              <w:t xml:space="preserve"> expenses</w:t>
            </w:r>
            <w:r w:rsidRPr="00674D00">
              <w:rPr>
                <w:rFonts w:ascii="Calibri" w:eastAsia="Times New Roman" w:hAnsi="Calibri" w:cstheme="minorHAnsi"/>
                <w:sz w:val="20"/>
                <w:szCs w:val="20"/>
                <w:lang w:eastAsia="en-AU"/>
              </w:rPr>
              <w:t>, native</w:t>
            </w:r>
            <w:r w:rsidR="00BA282B">
              <w:rPr>
                <w:rFonts w:ascii="Calibri" w:eastAsia="Times New Roman" w:hAnsi="Calibri" w:cstheme="minorHAnsi"/>
                <w:sz w:val="20"/>
                <w:szCs w:val="20"/>
                <w:lang w:eastAsia="en-AU"/>
              </w:rPr>
              <w:t xml:space="preserve"> title and land rights expenses</w:t>
            </w:r>
            <w:r w:rsidRPr="00674D00">
              <w:rPr>
                <w:rFonts w:ascii="Calibri" w:eastAsia="Times New Roman" w:hAnsi="Calibri" w:cstheme="minorHAnsi"/>
                <w:sz w:val="20"/>
                <w:szCs w:val="20"/>
                <w:lang w:eastAsia="en-AU"/>
              </w:rPr>
              <w:t xml:space="preserve"> and national capital allowance for Roads included.</w:t>
            </w:r>
          </w:p>
        </w:tc>
      </w:tr>
      <w:tr w:rsidR="00886A8C" w:rsidRPr="00674D00" w:rsidTr="005864CF">
        <w:trPr>
          <w:trHeight w:val="555"/>
        </w:trPr>
        <w:tc>
          <w:tcPr>
            <w:tcW w:w="2500" w:type="dxa"/>
            <w:tcBorders>
              <w:top w:val="nil"/>
              <w:left w:val="nil"/>
              <w:bottom w:val="nil"/>
              <w:right w:val="nil"/>
            </w:tcBorders>
            <w:shd w:val="clear" w:color="auto" w:fill="auto"/>
            <w:hideMark/>
          </w:tcPr>
          <w:p w:rsidR="00886A8C" w:rsidRPr="00674D00"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Investment</w:t>
            </w:r>
          </w:p>
        </w:tc>
        <w:tc>
          <w:tcPr>
            <w:tcW w:w="6460" w:type="dxa"/>
            <w:tcBorders>
              <w:top w:val="nil"/>
              <w:left w:val="nil"/>
              <w:bottom w:val="nil"/>
              <w:right w:val="nil"/>
            </w:tcBorders>
            <w:shd w:val="clear" w:color="auto" w:fill="auto"/>
            <w:hideMark/>
          </w:tcPr>
          <w:p w:rsidR="00886A8C" w:rsidRPr="00674D00" w:rsidRDefault="00886A8C" w:rsidP="00BA282B">
            <w:pPr>
              <w:keepNext/>
              <w:keepLines/>
              <w:tabs>
                <w:tab w:val="clear" w:pos="567"/>
              </w:tabs>
              <w:spacing w:after="0" w:line="240" w:lineRule="auto"/>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All investment including investment of urban transport and social housing PNFCs included.</w:t>
            </w:r>
          </w:p>
        </w:tc>
      </w:tr>
      <w:tr w:rsidR="00886A8C" w:rsidRPr="00674D00" w:rsidTr="005864CF">
        <w:trPr>
          <w:trHeight w:val="795"/>
        </w:trPr>
        <w:tc>
          <w:tcPr>
            <w:tcW w:w="2500" w:type="dxa"/>
            <w:tcBorders>
              <w:top w:val="nil"/>
              <w:left w:val="nil"/>
              <w:bottom w:val="single" w:sz="4" w:space="0" w:color="auto"/>
              <w:right w:val="nil"/>
            </w:tcBorders>
            <w:shd w:val="clear" w:color="auto" w:fill="auto"/>
            <w:hideMark/>
          </w:tcPr>
          <w:p w:rsidR="00886A8C" w:rsidRPr="00674D00"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Net borrowing</w:t>
            </w:r>
          </w:p>
        </w:tc>
        <w:tc>
          <w:tcPr>
            <w:tcW w:w="6460" w:type="dxa"/>
            <w:tcBorders>
              <w:top w:val="nil"/>
              <w:left w:val="nil"/>
              <w:bottom w:val="single" w:sz="4" w:space="0" w:color="auto"/>
              <w:right w:val="nil"/>
            </w:tcBorders>
            <w:shd w:val="clear" w:color="auto" w:fill="auto"/>
            <w:hideMark/>
          </w:tcPr>
          <w:p w:rsidR="00886A8C" w:rsidRPr="00674D00" w:rsidRDefault="00886A8C" w:rsidP="005864CF">
            <w:pPr>
              <w:keepNext/>
              <w:keepLines/>
              <w:tabs>
                <w:tab w:val="clear" w:pos="567"/>
              </w:tabs>
              <w:spacing w:after="0" w:line="240" w:lineRule="auto"/>
              <w:rPr>
                <w:rFonts w:ascii="Calibri" w:eastAsia="Times New Roman" w:hAnsi="Calibri" w:cs="Arial"/>
                <w:sz w:val="20"/>
                <w:szCs w:val="20"/>
                <w:lang w:eastAsia="en-AU"/>
              </w:rPr>
            </w:pPr>
            <w:r w:rsidRPr="00674D00">
              <w:rPr>
                <w:rFonts w:ascii="Calibri" w:eastAsia="Times New Roman" w:hAnsi="Calibri" w:cstheme="minorHAnsi"/>
                <w:sz w:val="20"/>
                <w:szCs w:val="20"/>
                <w:lang w:eastAsia="en-AU"/>
              </w:rPr>
              <w:t>Non-financial assets of urban transport and social housing PNFCs (including land) moved to Investment (in the 2010 Review, these assets affect State net financial worth).</w:t>
            </w:r>
          </w:p>
        </w:tc>
      </w:tr>
    </w:tbl>
    <w:p w:rsidR="00886A8C" w:rsidRDefault="00886A8C" w:rsidP="00886A8C">
      <w:pPr>
        <w:pStyle w:val="CGCTableFootnote"/>
      </w:pPr>
      <w:r w:rsidRPr="00674D00">
        <w:t>Source:</w:t>
      </w:r>
      <w:r w:rsidRPr="00674D00">
        <w:tab/>
        <w:t>Commission decisions.</w:t>
      </w:r>
    </w:p>
    <w:p w:rsidR="00886A8C" w:rsidRPr="00886A8C" w:rsidRDefault="00886A8C" w:rsidP="00886A8C">
      <w:pPr>
        <w:pStyle w:val="Heading3"/>
      </w:pPr>
      <w:r>
        <w:lastRenderedPageBreak/>
        <w:t>D</w:t>
      </w:r>
      <w:r w:rsidRPr="00886A8C">
        <w:t>ata sources</w:t>
      </w:r>
    </w:p>
    <w:p w:rsidR="00886A8C" w:rsidRDefault="00886A8C" w:rsidP="00886A8C">
      <w:pPr>
        <w:pStyle w:val="CGCNumberedPara"/>
      </w:pPr>
      <w:r>
        <w:t xml:space="preserve">Where possible, we use GFS data from the ABS to compile the adjusted budget. GFS data are compiled using standard definitions, classifications and treatment of government financial transactions and are available for the general government sector of all States. While they sometimes reflect interstate differences in the administrative and accounting arrangements and are not always compiled on a consistent basis across States, the quality of the data are improving and adjustments can be made for known differences. In addition, the ABS is committed to maintaining and further improving the quality of these data. We concluded that GFS data are fit for our purpose. </w:t>
      </w:r>
    </w:p>
    <w:p w:rsidR="00886A8C" w:rsidRDefault="00886A8C" w:rsidP="00886A8C">
      <w:pPr>
        <w:pStyle w:val="CGCNumberedPara"/>
      </w:pPr>
      <w:r>
        <w:t>There are two cases where we are unable to use GFS data.</w:t>
      </w:r>
    </w:p>
    <w:p w:rsidR="00886A8C" w:rsidRDefault="00886A8C" w:rsidP="00886A8C">
      <w:pPr>
        <w:pStyle w:val="CGCBulletlist"/>
        <w:numPr>
          <w:ilvl w:val="0"/>
          <w:numId w:val="11"/>
        </w:numPr>
        <w:tabs>
          <w:tab w:val="clear" w:pos="927"/>
          <w:tab w:val="left" w:pos="1134"/>
        </w:tabs>
        <w:ind w:left="1134" w:hanging="567"/>
      </w:pPr>
      <w:r>
        <w:t>GFS data for the last assessment year are not available in sufficient time. Therefore, for the final year, we use data from the States. We replace these data with GFS data in the next update of the relativities. We work with States each year to improve the data and maximise comparability between States.</w:t>
      </w:r>
    </w:p>
    <w:p w:rsidR="00886A8C" w:rsidRDefault="00886A8C" w:rsidP="00886A8C">
      <w:pPr>
        <w:pStyle w:val="CGCBulletlist"/>
        <w:numPr>
          <w:ilvl w:val="0"/>
          <w:numId w:val="11"/>
        </w:numPr>
        <w:tabs>
          <w:tab w:val="clear" w:pos="927"/>
          <w:tab w:val="left" w:pos="1134"/>
        </w:tabs>
        <w:ind w:left="1134" w:hanging="567"/>
      </w:pPr>
      <w:r>
        <w:t>GFS data do not contain detailed accounts for PNFCs but we require such data since we now consolidate the transactions of urban transport and social housing PNFCs with GG transactions in the adjusted budget. States provide those PNFC data for all assessment years.</w:t>
      </w:r>
    </w:p>
    <w:p w:rsidR="00886A8C" w:rsidRDefault="00886A8C" w:rsidP="00886A8C">
      <w:pPr>
        <w:pStyle w:val="CGCNumberedPara"/>
      </w:pPr>
      <w:r>
        <w:t xml:space="preserve">GFS data cannot be used to compile data on Commonwealth payments for any assessment year because they do not contain the necessary level of detail. Commonwealth budget </w:t>
      </w:r>
      <w:r w:rsidR="00117391">
        <w:t xml:space="preserve">outcome </w:t>
      </w:r>
      <w:r>
        <w:t>data are available and have been used because they are reliable and fit for purpose.</w:t>
      </w:r>
    </w:p>
    <w:p w:rsidR="00886A8C" w:rsidRDefault="005864CF" w:rsidP="00886A8C">
      <w:pPr>
        <w:pStyle w:val="CGCNumberedPara"/>
      </w:pPr>
      <w:r>
        <w:fldChar w:fldCharType="begin"/>
      </w:r>
      <w:r>
        <w:instrText xml:space="preserve"> REF _Ref411329488 \h </w:instrText>
      </w:r>
      <w:r>
        <w:fldChar w:fldCharType="separate"/>
      </w:r>
      <w:r w:rsidR="007B6A4C">
        <w:t xml:space="preserve">Table </w:t>
      </w:r>
      <w:r w:rsidR="007B6A4C">
        <w:rPr>
          <w:noProof/>
        </w:rPr>
        <w:t>3</w:t>
      </w:r>
      <w:r>
        <w:fldChar w:fldCharType="end"/>
      </w:r>
      <w:r>
        <w:t xml:space="preserve"> </w:t>
      </w:r>
      <w:r w:rsidR="00886A8C">
        <w:t>summarises the data sources used in compiling the adjusted budget for the 2015 Review.</w:t>
      </w:r>
    </w:p>
    <w:p w:rsidR="00886A8C" w:rsidRDefault="00886A8C" w:rsidP="00886A8C">
      <w:pPr>
        <w:pStyle w:val="Caption"/>
      </w:pPr>
      <w:bookmarkStart w:id="22" w:name="_Ref411329488"/>
      <w:r>
        <w:lastRenderedPageBreak/>
        <w:t xml:space="preserve">Table </w:t>
      </w:r>
      <w:fldSimple w:instr=" SEQ Table \* ARABIC ">
        <w:r w:rsidR="007B6A4C">
          <w:rPr>
            <w:noProof/>
          </w:rPr>
          <w:t>3</w:t>
        </w:r>
      </w:fldSimple>
      <w:bookmarkEnd w:id="22"/>
      <w:r w:rsidRPr="00674D00">
        <w:tab/>
        <w:t>Data sources for compiling the adjusted budget for the 2015 Review</w:t>
      </w:r>
    </w:p>
    <w:tbl>
      <w:tblPr>
        <w:tblW w:w="8960" w:type="dxa"/>
        <w:tblLayout w:type="fixed"/>
        <w:tblCellMar>
          <w:left w:w="0" w:type="dxa"/>
          <w:right w:w="0" w:type="dxa"/>
        </w:tblCellMar>
        <w:tblLook w:val="04A0" w:firstRow="1" w:lastRow="0" w:firstColumn="1" w:lastColumn="0" w:noHBand="0" w:noVBand="1"/>
      </w:tblPr>
      <w:tblGrid>
        <w:gridCol w:w="2400"/>
        <w:gridCol w:w="3280"/>
        <w:gridCol w:w="3280"/>
      </w:tblGrid>
      <w:tr w:rsidR="00886A8C" w:rsidRPr="00DB0D0F" w:rsidTr="005864CF">
        <w:trPr>
          <w:trHeight w:val="375"/>
        </w:trPr>
        <w:tc>
          <w:tcPr>
            <w:tcW w:w="2400" w:type="dxa"/>
            <w:tcBorders>
              <w:top w:val="single" w:sz="4" w:space="0" w:color="auto"/>
              <w:left w:val="nil"/>
              <w:bottom w:val="single" w:sz="4" w:space="0" w:color="auto"/>
              <w:right w:val="nil"/>
            </w:tcBorders>
            <w:shd w:val="clear" w:color="auto" w:fill="auto"/>
            <w:vAlign w:val="center"/>
            <w:hideMark/>
          </w:tcPr>
          <w:p w:rsidR="00886A8C" w:rsidRPr="00DB0D0F"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DB0D0F">
              <w:rPr>
                <w:rFonts w:ascii="Calibri" w:eastAsia="Times New Roman" w:hAnsi="Calibri" w:cs="Arial"/>
                <w:sz w:val="20"/>
                <w:szCs w:val="20"/>
                <w:lang w:eastAsia="en-AU"/>
              </w:rPr>
              <w:t> </w:t>
            </w:r>
          </w:p>
        </w:tc>
        <w:tc>
          <w:tcPr>
            <w:tcW w:w="3280" w:type="dxa"/>
            <w:tcBorders>
              <w:top w:val="single" w:sz="4" w:space="0" w:color="auto"/>
              <w:left w:val="nil"/>
              <w:bottom w:val="single" w:sz="4" w:space="0" w:color="auto"/>
              <w:right w:val="nil"/>
            </w:tcBorders>
            <w:shd w:val="clear" w:color="auto" w:fill="auto"/>
            <w:vAlign w:val="center"/>
            <w:hideMark/>
          </w:tcPr>
          <w:p w:rsidR="00886A8C" w:rsidRPr="00DB0D0F" w:rsidRDefault="00886A8C" w:rsidP="005864CF">
            <w:pPr>
              <w:keepNext/>
              <w:keepLines/>
              <w:tabs>
                <w:tab w:val="clear" w:pos="567"/>
              </w:tabs>
              <w:spacing w:after="0" w:line="240" w:lineRule="auto"/>
              <w:rPr>
                <w:rFonts w:ascii="Calibri" w:eastAsia="Times New Roman" w:hAnsi="Calibri" w:cs="Arial"/>
                <w:sz w:val="20"/>
                <w:szCs w:val="20"/>
                <w:lang w:eastAsia="en-AU"/>
              </w:rPr>
            </w:pPr>
            <w:r w:rsidRPr="00DB0D0F">
              <w:rPr>
                <w:rFonts w:ascii="Calibri" w:eastAsia="Times New Roman" w:hAnsi="Calibri" w:cs="Arial"/>
                <w:sz w:val="20"/>
                <w:szCs w:val="20"/>
                <w:lang w:eastAsia="en-AU"/>
              </w:rPr>
              <w:t>Prior to last assessment year</w:t>
            </w:r>
          </w:p>
        </w:tc>
        <w:tc>
          <w:tcPr>
            <w:tcW w:w="3280" w:type="dxa"/>
            <w:tcBorders>
              <w:top w:val="single" w:sz="4" w:space="0" w:color="auto"/>
              <w:left w:val="nil"/>
              <w:bottom w:val="single" w:sz="4" w:space="0" w:color="auto"/>
              <w:right w:val="nil"/>
            </w:tcBorders>
            <w:shd w:val="clear" w:color="auto" w:fill="auto"/>
            <w:vAlign w:val="center"/>
            <w:hideMark/>
          </w:tcPr>
          <w:p w:rsidR="00886A8C" w:rsidRPr="00DB0D0F" w:rsidRDefault="00886A8C" w:rsidP="005864CF">
            <w:pPr>
              <w:keepNext/>
              <w:keepLines/>
              <w:tabs>
                <w:tab w:val="clear" w:pos="567"/>
              </w:tabs>
              <w:spacing w:after="0" w:line="240" w:lineRule="auto"/>
              <w:rPr>
                <w:rFonts w:ascii="Calibri" w:eastAsia="Times New Roman" w:hAnsi="Calibri" w:cs="Arial"/>
                <w:sz w:val="20"/>
                <w:szCs w:val="20"/>
                <w:lang w:eastAsia="en-AU"/>
              </w:rPr>
            </w:pPr>
            <w:r w:rsidRPr="00DB0D0F">
              <w:rPr>
                <w:rFonts w:ascii="Calibri" w:eastAsia="Times New Roman" w:hAnsi="Calibri" w:cs="Arial"/>
                <w:sz w:val="20"/>
                <w:szCs w:val="20"/>
                <w:lang w:eastAsia="en-AU"/>
              </w:rPr>
              <w:t>Last assessment year</w:t>
            </w:r>
          </w:p>
        </w:tc>
      </w:tr>
      <w:tr w:rsidR="00886A8C" w:rsidRPr="00DB0D0F" w:rsidTr="005864CF">
        <w:trPr>
          <w:trHeight w:val="765"/>
        </w:trPr>
        <w:tc>
          <w:tcPr>
            <w:tcW w:w="2400" w:type="dxa"/>
            <w:tcBorders>
              <w:top w:val="nil"/>
              <w:left w:val="nil"/>
              <w:bottom w:val="nil"/>
              <w:right w:val="nil"/>
            </w:tcBorders>
            <w:shd w:val="clear" w:color="auto" w:fill="auto"/>
            <w:hideMark/>
          </w:tcPr>
          <w:p w:rsidR="00886A8C" w:rsidRPr="00DB0D0F"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DB0D0F">
              <w:rPr>
                <w:rFonts w:ascii="Calibri" w:eastAsia="Times New Roman" w:hAnsi="Calibri" w:cs="Arial"/>
                <w:sz w:val="20"/>
                <w:szCs w:val="20"/>
                <w:lang w:eastAsia="en-AU"/>
              </w:rPr>
              <w:t>Commonwealth payments (including COPEs)</w:t>
            </w:r>
          </w:p>
        </w:tc>
        <w:tc>
          <w:tcPr>
            <w:tcW w:w="3280" w:type="dxa"/>
            <w:tcBorders>
              <w:top w:val="nil"/>
              <w:left w:val="nil"/>
              <w:bottom w:val="nil"/>
              <w:right w:val="nil"/>
            </w:tcBorders>
            <w:shd w:val="clear" w:color="auto" w:fill="auto"/>
            <w:hideMark/>
          </w:tcPr>
          <w:p w:rsidR="00886A8C" w:rsidRPr="00DB0D0F" w:rsidRDefault="00886A8C" w:rsidP="005864CF">
            <w:pPr>
              <w:keepNext/>
              <w:keepLines/>
              <w:tabs>
                <w:tab w:val="clear" w:pos="567"/>
              </w:tabs>
              <w:spacing w:after="0" w:line="240" w:lineRule="auto"/>
              <w:rPr>
                <w:rFonts w:ascii="Calibri" w:eastAsia="Times New Roman" w:hAnsi="Calibri" w:cs="Arial"/>
                <w:sz w:val="20"/>
                <w:szCs w:val="20"/>
                <w:lang w:eastAsia="en-AU"/>
              </w:rPr>
            </w:pPr>
            <w:r w:rsidRPr="00DB0D0F">
              <w:rPr>
                <w:rFonts w:ascii="Calibri" w:eastAsia="Times New Roman" w:hAnsi="Calibri" w:cs="Arial"/>
                <w:sz w:val="20"/>
                <w:szCs w:val="20"/>
                <w:lang w:eastAsia="en-AU"/>
              </w:rPr>
              <w:t>Commonwealth Final Budget Outcome and extra information from Commonwealth agencies</w:t>
            </w:r>
          </w:p>
        </w:tc>
        <w:tc>
          <w:tcPr>
            <w:tcW w:w="3280" w:type="dxa"/>
            <w:tcBorders>
              <w:top w:val="nil"/>
              <w:left w:val="nil"/>
              <w:bottom w:val="nil"/>
              <w:right w:val="nil"/>
            </w:tcBorders>
            <w:shd w:val="clear" w:color="auto" w:fill="auto"/>
            <w:hideMark/>
          </w:tcPr>
          <w:p w:rsidR="00886A8C" w:rsidRPr="00DB0D0F" w:rsidRDefault="00886A8C" w:rsidP="005864CF">
            <w:pPr>
              <w:keepNext/>
              <w:keepLines/>
              <w:tabs>
                <w:tab w:val="clear" w:pos="567"/>
              </w:tabs>
              <w:spacing w:after="0" w:line="240" w:lineRule="auto"/>
              <w:rPr>
                <w:rFonts w:ascii="Calibri" w:eastAsia="Times New Roman" w:hAnsi="Calibri" w:cs="Arial"/>
                <w:sz w:val="20"/>
                <w:szCs w:val="20"/>
                <w:lang w:eastAsia="en-AU"/>
              </w:rPr>
            </w:pPr>
            <w:r w:rsidRPr="00DB0D0F">
              <w:rPr>
                <w:rFonts w:ascii="Calibri" w:eastAsia="Times New Roman" w:hAnsi="Calibri" w:cs="Arial"/>
                <w:sz w:val="20"/>
                <w:szCs w:val="20"/>
                <w:lang w:eastAsia="en-AU"/>
              </w:rPr>
              <w:t xml:space="preserve">Commonwealth </w:t>
            </w:r>
            <w:r w:rsidRPr="00913D3D">
              <w:rPr>
                <w:rFonts w:ascii="Calibri" w:eastAsia="Times New Roman" w:hAnsi="Calibri" w:cs="Arial"/>
                <w:i/>
                <w:sz w:val="20"/>
                <w:szCs w:val="20"/>
                <w:lang w:eastAsia="en-AU"/>
              </w:rPr>
              <w:t>Final Budget Outcome</w:t>
            </w:r>
            <w:r w:rsidRPr="00DB0D0F">
              <w:rPr>
                <w:rFonts w:ascii="Calibri" w:eastAsia="Times New Roman" w:hAnsi="Calibri" w:cs="Arial"/>
                <w:sz w:val="20"/>
                <w:szCs w:val="20"/>
                <w:lang w:eastAsia="en-AU"/>
              </w:rPr>
              <w:t xml:space="preserve"> and extra information from Commonwealth agencies</w:t>
            </w:r>
          </w:p>
        </w:tc>
      </w:tr>
      <w:tr w:rsidR="00886A8C" w:rsidRPr="00DB0D0F" w:rsidTr="005864CF">
        <w:trPr>
          <w:trHeight w:val="510"/>
        </w:trPr>
        <w:tc>
          <w:tcPr>
            <w:tcW w:w="2400" w:type="dxa"/>
            <w:tcBorders>
              <w:top w:val="nil"/>
              <w:left w:val="nil"/>
              <w:bottom w:val="nil"/>
              <w:right w:val="nil"/>
            </w:tcBorders>
            <w:shd w:val="clear" w:color="auto" w:fill="auto"/>
            <w:hideMark/>
          </w:tcPr>
          <w:p w:rsidR="00886A8C" w:rsidRPr="00DB0D0F"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DB0D0F">
              <w:rPr>
                <w:rFonts w:ascii="Calibri" w:eastAsia="Times New Roman" w:hAnsi="Calibri" w:cs="Arial"/>
                <w:sz w:val="20"/>
                <w:szCs w:val="20"/>
                <w:lang w:eastAsia="en-AU"/>
              </w:rPr>
              <w:t>Own-source revenue</w:t>
            </w:r>
          </w:p>
        </w:tc>
        <w:tc>
          <w:tcPr>
            <w:tcW w:w="3280" w:type="dxa"/>
            <w:tcBorders>
              <w:top w:val="nil"/>
              <w:left w:val="nil"/>
              <w:bottom w:val="nil"/>
              <w:right w:val="nil"/>
            </w:tcBorders>
            <w:shd w:val="clear" w:color="auto" w:fill="auto"/>
            <w:hideMark/>
          </w:tcPr>
          <w:p w:rsidR="00886A8C" w:rsidRPr="00DB0D0F" w:rsidRDefault="00886A8C" w:rsidP="005864CF">
            <w:pPr>
              <w:keepNext/>
              <w:keepLines/>
              <w:tabs>
                <w:tab w:val="clear" w:pos="567"/>
              </w:tabs>
              <w:spacing w:after="0" w:line="240" w:lineRule="auto"/>
              <w:rPr>
                <w:rFonts w:ascii="Calibri" w:eastAsia="Times New Roman" w:hAnsi="Calibri" w:cs="Arial"/>
                <w:sz w:val="20"/>
                <w:szCs w:val="20"/>
                <w:lang w:eastAsia="en-AU"/>
              </w:rPr>
            </w:pPr>
            <w:r w:rsidRPr="00DB0D0F">
              <w:rPr>
                <w:rFonts w:ascii="Calibri" w:eastAsia="Times New Roman" w:hAnsi="Calibri" w:cs="Arial"/>
                <w:sz w:val="20"/>
                <w:szCs w:val="20"/>
                <w:lang w:eastAsia="en-AU"/>
              </w:rPr>
              <w:t>GFS and extra information from States</w:t>
            </w:r>
          </w:p>
        </w:tc>
        <w:tc>
          <w:tcPr>
            <w:tcW w:w="3280" w:type="dxa"/>
            <w:tcBorders>
              <w:top w:val="nil"/>
              <w:left w:val="nil"/>
              <w:bottom w:val="nil"/>
              <w:right w:val="nil"/>
            </w:tcBorders>
            <w:shd w:val="clear" w:color="auto" w:fill="auto"/>
            <w:hideMark/>
          </w:tcPr>
          <w:p w:rsidR="00886A8C" w:rsidRPr="00DB0D0F" w:rsidRDefault="00886A8C" w:rsidP="005864CF">
            <w:pPr>
              <w:keepNext/>
              <w:keepLines/>
              <w:tabs>
                <w:tab w:val="clear" w:pos="567"/>
              </w:tabs>
              <w:spacing w:after="0" w:line="240" w:lineRule="auto"/>
              <w:rPr>
                <w:rFonts w:ascii="Calibri" w:eastAsia="Times New Roman" w:hAnsi="Calibri" w:cs="Arial"/>
                <w:sz w:val="20"/>
                <w:szCs w:val="20"/>
                <w:lang w:eastAsia="en-AU"/>
              </w:rPr>
            </w:pPr>
            <w:r w:rsidRPr="00DB0D0F">
              <w:rPr>
                <w:rFonts w:ascii="Calibri" w:eastAsia="Times New Roman" w:hAnsi="Calibri" w:cs="Arial"/>
                <w:sz w:val="20"/>
                <w:szCs w:val="20"/>
                <w:lang w:eastAsia="en-AU"/>
              </w:rPr>
              <w:t>Information from States, replaced by GFS in following year</w:t>
            </w:r>
          </w:p>
        </w:tc>
      </w:tr>
      <w:tr w:rsidR="00886A8C" w:rsidRPr="00DB0D0F" w:rsidTr="005864CF">
        <w:trPr>
          <w:trHeight w:val="765"/>
        </w:trPr>
        <w:tc>
          <w:tcPr>
            <w:tcW w:w="2400" w:type="dxa"/>
            <w:tcBorders>
              <w:top w:val="nil"/>
              <w:left w:val="nil"/>
              <w:bottom w:val="nil"/>
              <w:right w:val="nil"/>
            </w:tcBorders>
            <w:shd w:val="clear" w:color="auto" w:fill="auto"/>
            <w:hideMark/>
          </w:tcPr>
          <w:p w:rsidR="00886A8C" w:rsidRPr="00DB0D0F"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DB0D0F">
              <w:rPr>
                <w:rFonts w:ascii="Calibri" w:eastAsia="Times New Roman" w:hAnsi="Calibri" w:cs="Arial"/>
                <w:sz w:val="20"/>
                <w:szCs w:val="20"/>
                <w:lang w:eastAsia="en-AU"/>
              </w:rPr>
              <w:t>Expenses, user charges, investment and net borrowing</w:t>
            </w:r>
          </w:p>
        </w:tc>
        <w:tc>
          <w:tcPr>
            <w:tcW w:w="3280" w:type="dxa"/>
            <w:tcBorders>
              <w:top w:val="nil"/>
              <w:left w:val="nil"/>
              <w:bottom w:val="nil"/>
              <w:right w:val="nil"/>
            </w:tcBorders>
            <w:shd w:val="clear" w:color="auto" w:fill="auto"/>
            <w:hideMark/>
          </w:tcPr>
          <w:p w:rsidR="00886A8C" w:rsidRPr="00DB0D0F" w:rsidRDefault="00886A8C" w:rsidP="005864CF">
            <w:pPr>
              <w:keepNext/>
              <w:keepLines/>
              <w:tabs>
                <w:tab w:val="clear" w:pos="567"/>
              </w:tabs>
              <w:spacing w:after="0" w:line="240" w:lineRule="auto"/>
              <w:rPr>
                <w:rFonts w:ascii="Calibri" w:eastAsia="Times New Roman" w:hAnsi="Calibri" w:cs="Arial"/>
                <w:sz w:val="20"/>
                <w:szCs w:val="20"/>
                <w:lang w:eastAsia="en-AU"/>
              </w:rPr>
            </w:pPr>
            <w:r w:rsidRPr="00DB0D0F">
              <w:rPr>
                <w:rFonts w:ascii="Calibri" w:eastAsia="Times New Roman" w:hAnsi="Calibri" w:cs="Arial"/>
                <w:sz w:val="20"/>
                <w:szCs w:val="20"/>
                <w:lang w:eastAsia="en-AU"/>
              </w:rPr>
              <w:t>GFS and extra information from States</w:t>
            </w:r>
          </w:p>
        </w:tc>
        <w:tc>
          <w:tcPr>
            <w:tcW w:w="3280" w:type="dxa"/>
            <w:tcBorders>
              <w:top w:val="nil"/>
              <w:left w:val="nil"/>
              <w:bottom w:val="nil"/>
              <w:right w:val="nil"/>
            </w:tcBorders>
            <w:shd w:val="clear" w:color="auto" w:fill="auto"/>
            <w:hideMark/>
          </w:tcPr>
          <w:p w:rsidR="00886A8C" w:rsidRPr="00DB0D0F" w:rsidRDefault="00886A8C" w:rsidP="005864CF">
            <w:pPr>
              <w:keepNext/>
              <w:keepLines/>
              <w:tabs>
                <w:tab w:val="clear" w:pos="567"/>
              </w:tabs>
              <w:spacing w:after="0" w:line="240" w:lineRule="auto"/>
              <w:rPr>
                <w:rFonts w:ascii="Calibri" w:eastAsia="Times New Roman" w:hAnsi="Calibri" w:cs="Arial"/>
                <w:sz w:val="20"/>
                <w:szCs w:val="20"/>
                <w:lang w:eastAsia="en-AU"/>
              </w:rPr>
            </w:pPr>
            <w:r w:rsidRPr="00DB0D0F">
              <w:rPr>
                <w:rFonts w:ascii="Calibri" w:eastAsia="Times New Roman" w:hAnsi="Calibri" w:cs="Arial"/>
                <w:sz w:val="20"/>
                <w:szCs w:val="20"/>
                <w:lang w:eastAsia="en-AU"/>
              </w:rPr>
              <w:t>State financial reports or data from States, replaced by GFS in following year</w:t>
            </w:r>
          </w:p>
        </w:tc>
      </w:tr>
      <w:tr w:rsidR="00886A8C" w:rsidRPr="00DB0D0F" w:rsidTr="005864CF">
        <w:trPr>
          <w:trHeight w:val="556"/>
        </w:trPr>
        <w:tc>
          <w:tcPr>
            <w:tcW w:w="2400" w:type="dxa"/>
            <w:tcBorders>
              <w:top w:val="nil"/>
              <w:left w:val="nil"/>
              <w:bottom w:val="single" w:sz="4" w:space="0" w:color="auto"/>
              <w:right w:val="nil"/>
            </w:tcBorders>
            <w:shd w:val="clear" w:color="auto" w:fill="auto"/>
            <w:hideMark/>
          </w:tcPr>
          <w:p w:rsidR="00886A8C" w:rsidRPr="00DB0D0F"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DB0D0F">
              <w:rPr>
                <w:rFonts w:ascii="Calibri" w:eastAsia="Times New Roman" w:hAnsi="Calibri" w:cs="Arial"/>
                <w:sz w:val="20"/>
                <w:szCs w:val="20"/>
                <w:lang w:eastAsia="en-AU"/>
              </w:rPr>
              <w:t>PNFC data (urban transport and social housing)</w:t>
            </w:r>
          </w:p>
        </w:tc>
        <w:tc>
          <w:tcPr>
            <w:tcW w:w="3280" w:type="dxa"/>
            <w:tcBorders>
              <w:top w:val="nil"/>
              <w:left w:val="nil"/>
              <w:bottom w:val="single" w:sz="4" w:space="0" w:color="auto"/>
              <w:right w:val="nil"/>
            </w:tcBorders>
            <w:shd w:val="clear" w:color="auto" w:fill="auto"/>
            <w:hideMark/>
          </w:tcPr>
          <w:p w:rsidR="00886A8C" w:rsidRPr="00DB0D0F" w:rsidRDefault="00886A8C" w:rsidP="005864CF">
            <w:pPr>
              <w:keepNext/>
              <w:keepLines/>
              <w:tabs>
                <w:tab w:val="clear" w:pos="567"/>
              </w:tabs>
              <w:spacing w:after="0" w:line="240" w:lineRule="auto"/>
              <w:rPr>
                <w:rFonts w:ascii="Calibri" w:eastAsia="Times New Roman" w:hAnsi="Calibri" w:cs="Arial"/>
                <w:sz w:val="20"/>
                <w:szCs w:val="20"/>
                <w:lang w:eastAsia="en-AU"/>
              </w:rPr>
            </w:pPr>
            <w:r w:rsidRPr="00DB0D0F">
              <w:rPr>
                <w:rFonts w:ascii="Calibri" w:eastAsia="Times New Roman" w:hAnsi="Calibri" w:cs="Arial"/>
                <w:sz w:val="20"/>
                <w:szCs w:val="20"/>
                <w:lang w:eastAsia="en-AU"/>
              </w:rPr>
              <w:t>States</w:t>
            </w:r>
          </w:p>
        </w:tc>
        <w:tc>
          <w:tcPr>
            <w:tcW w:w="3280" w:type="dxa"/>
            <w:tcBorders>
              <w:top w:val="nil"/>
              <w:left w:val="nil"/>
              <w:bottom w:val="single" w:sz="4" w:space="0" w:color="auto"/>
              <w:right w:val="nil"/>
            </w:tcBorders>
            <w:shd w:val="clear" w:color="auto" w:fill="auto"/>
            <w:hideMark/>
          </w:tcPr>
          <w:p w:rsidR="00886A8C" w:rsidRPr="00DB0D0F" w:rsidRDefault="00886A8C" w:rsidP="005864CF">
            <w:pPr>
              <w:keepNext/>
              <w:keepLines/>
              <w:tabs>
                <w:tab w:val="clear" w:pos="567"/>
              </w:tabs>
              <w:spacing w:after="0" w:line="240" w:lineRule="auto"/>
              <w:rPr>
                <w:rFonts w:ascii="Calibri" w:eastAsia="Times New Roman" w:hAnsi="Calibri" w:cs="Arial"/>
                <w:sz w:val="20"/>
                <w:szCs w:val="20"/>
                <w:lang w:eastAsia="en-AU"/>
              </w:rPr>
            </w:pPr>
            <w:r w:rsidRPr="00DB0D0F">
              <w:rPr>
                <w:rFonts w:ascii="Calibri" w:eastAsia="Times New Roman" w:hAnsi="Calibri" w:cs="Arial"/>
                <w:sz w:val="20"/>
                <w:szCs w:val="20"/>
                <w:lang w:eastAsia="en-AU"/>
              </w:rPr>
              <w:t>States</w:t>
            </w:r>
          </w:p>
        </w:tc>
      </w:tr>
    </w:tbl>
    <w:p w:rsidR="00886A8C" w:rsidRPr="00886A8C" w:rsidRDefault="00886A8C" w:rsidP="00886A8C">
      <w:pPr>
        <w:pStyle w:val="Heading3"/>
      </w:pPr>
      <w:r>
        <w:t>D</w:t>
      </w:r>
      <w:r w:rsidRPr="00886A8C">
        <w:t>ata adjustments</w:t>
      </w:r>
    </w:p>
    <w:p w:rsidR="00886A8C" w:rsidRDefault="00886A8C" w:rsidP="00886A8C">
      <w:pPr>
        <w:pStyle w:val="CGCNumberedPara"/>
      </w:pPr>
      <w:r>
        <w:t>Adjustments are applied to State revenue and expenses to improve interstate comparability where GFS data are not comparable across States or where the treatment of the transaction in GFS differs from what our assessments require.</w:t>
      </w:r>
    </w:p>
    <w:p w:rsidR="00886A8C" w:rsidRDefault="00886A8C" w:rsidP="00886A8C">
      <w:pPr>
        <w:pStyle w:val="CGCNumberedPara"/>
      </w:pPr>
      <w:r>
        <w:t xml:space="preserve">Major adjustments undertaken for the 2015 Review are summarised in </w:t>
      </w:r>
      <w:r w:rsidR="001475A3">
        <w:fldChar w:fldCharType="begin"/>
      </w:r>
      <w:r w:rsidR="001475A3">
        <w:instrText xml:space="preserve"> REF _Ref411344242 \h </w:instrText>
      </w:r>
      <w:r w:rsidR="001475A3">
        <w:fldChar w:fldCharType="separate"/>
      </w:r>
      <w:r w:rsidR="007B6A4C">
        <w:t xml:space="preserve">Table </w:t>
      </w:r>
      <w:r w:rsidR="007B6A4C">
        <w:rPr>
          <w:noProof/>
        </w:rPr>
        <w:t>4</w:t>
      </w:r>
      <w:r w:rsidR="001475A3">
        <w:fldChar w:fldCharType="end"/>
      </w:r>
      <w:r w:rsidR="001475A3">
        <w:t xml:space="preserve">. </w:t>
      </w:r>
      <w:r>
        <w:t>They are based on analysis of GFS unit records and information collected from the States.</w:t>
      </w:r>
    </w:p>
    <w:p w:rsidR="00886A8C" w:rsidRDefault="001475A3" w:rsidP="001475A3">
      <w:pPr>
        <w:pStyle w:val="Caption"/>
      </w:pPr>
      <w:bookmarkStart w:id="23" w:name="_Ref411344242"/>
      <w:r>
        <w:t xml:space="preserve">Table </w:t>
      </w:r>
      <w:fldSimple w:instr=" SEQ Table \* ARABIC ">
        <w:r w:rsidR="007B6A4C">
          <w:rPr>
            <w:noProof/>
          </w:rPr>
          <w:t>4</w:t>
        </w:r>
      </w:fldSimple>
      <w:bookmarkEnd w:id="23"/>
      <w:r w:rsidR="00886A8C">
        <w:tab/>
        <w:t>Major adjustments to State GG revenue and expenses for 2015 Review</w:t>
      </w:r>
    </w:p>
    <w:tbl>
      <w:tblPr>
        <w:tblW w:w="8960" w:type="dxa"/>
        <w:tblLayout w:type="fixed"/>
        <w:tblCellMar>
          <w:left w:w="0" w:type="dxa"/>
          <w:right w:w="0" w:type="dxa"/>
        </w:tblCellMar>
        <w:tblLook w:val="04A0" w:firstRow="1" w:lastRow="0" w:firstColumn="1" w:lastColumn="0" w:noHBand="0" w:noVBand="1"/>
      </w:tblPr>
      <w:tblGrid>
        <w:gridCol w:w="2410"/>
        <w:gridCol w:w="6550"/>
      </w:tblGrid>
      <w:tr w:rsidR="00886A8C" w:rsidRPr="00DB0D0F" w:rsidTr="00B71A91">
        <w:trPr>
          <w:trHeight w:val="375"/>
        </w:trPr>
        <w:tc>
          <w:tcPr>
            <w:tcW w:w="2410" w:type="dxa"/>
            <w:tcBorders>
              <w:top w:val="single" w:sz="4" w:space="0" w:color="auto"/>
              <w:left w:val="nil"/>
              <w:bottom w:val="single" w:sz="4" w:space="0" w:color="auto"/>
              <w:right w:val="nil"/>
            </w:tcBorders>
            <w:shd w:val="clear" w:color="auto" w:fill="auto"/>
            <w:vAlign w:val="center"/>
            <w:hideMark/>
          </w:tcPr>
          <w:p w:rsidR="00886A8C" w:rsidRPr="00DB0D0F"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DB0D0F">
              <w:rPr>
                <w:rFonts w:ascii="Calibri" w:eastAsia="Times New Roman" w:hAnsi="Calibri" w:cs="Arial"/>
                <w:sz w:val="20"/>
                <w:szCs w:val="20"/>
                <w:lang w:eastAsia="en-AU"/>
              </w:rPr>
              <w:t>Affected categories</w:t>
            </w:r>
          </w:p>
        </w:tc>
        <w:tc>
          <w:tcPr>
            <w:tcW w:w="6550" w:type="dxa"/>
            <w:tcBorders>
              <w:top w:val="single" w:sz="4" w:space="0" w:color="auto"/>
              <w:left w:val="nil"/>
              <w:bottom w:val="single" w:sz="4" w:space="0" w:color="auto"/>
              <w:right w:val="nil"/>
            </w:tcBorders>
            <w:shd w:val="clear" w:color="auto" w:fill="auto"/>
            <w:vAlign w:val="center"/>
            <w:hideMark/>
          </w:tcPr>
          <w:p w:rsidR="00886A8C" w:rsidRPr="00DB0D0F" w:rsidRDefault="00886A8C" w:rsidP="005864CF">
            <w:pPr>
              <w:keepNext/>
              <w:keepLines/>
              <w:tabs>
                <w:tab w:val="clear" w:pos="567"/>
              </w:tabs>
              <w:spacing w:after="0" w:line="240" w:lineRule="auto"/>
              <w:rPr>
                <w:rFonts w:ascii="Calibri" w:eastAsia="Times New Roman" w:hAnsi="Calibri" w:cs="Arial"/>
                <w:sz w:val="20"/>
                <w:szCs w:val="20"/>
                <w:lang w:eastAsia="en-AU"/>
              </w:rPr>
            </w:pPr>
            <w:r w:rsidRPr="00DB0D0F">
              <w:rPr>
                <w:rFonts w:ascii="Calibri" w:eastAsia="Times New Roman" w:hAnsi="Calibri" w:cs="Arial"/>
                <w:sz w:val="20"/>
                <w:szCs w:val="20"/>
                <w:lang w:eastAsia="en-AU"/>
              </w:rPr>
              <w:t>Adjustments (for some or all States)</w:t>
            </w:r>
          </w:p>
        </w:tc>
      </w:tr>
      <w:tr w:rsidR="00886A8C" w:rsidRPr="00DB0D0F" w:rsidTr="00B71A91">
        <w:trPr>
          <w:trHeight w:val="765"/>
        </w:trPr>
        <w:tc>
          <w:tcPr>
            <w:tcW w:w="2410" w:type="dxa"/>
            <w:tcBorders>
              <w:top w:val="nil"/>
              <w:left w:val="nil"/>
              <w:bottom w:val="nil"/>
              <w:right w:val="nil"/>
            </w:tcBorders>
            <w:shd w:val="clear" w:color="auto" w:fill="auto"/>
            <w:hideMark/>
          </w:tcPr>
          <w:p w:rsidR="00886A8C" w:rsidRPr="00DB0D0F"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DB0D0F">
              <w:rPr>
                <w:rFonts w:ascii="Calibri" w:eastAsia="Times New Roman" w:hAnsi="Calibri" w:cs="Arial"/>
                <w:sz w:val="20"/>
                <w:szCs w:val="20"/>
                <w:lang w:eastAsia="en-AU"/>
              </w:rPr>
              <w:t>Insurance tax, Other revenue, Health</w:t>
            </w:r>
          </w:p>
        </w:tc>
        <w:tc>
          <w:tcPr>
            <w:tcW w:w="6550" w:type="dxa"/>
            <w:tcBorders>
              <w:top w:val="nil"/>
              <w:left w:val="nil"/>
              <w:bottom w:val="nil"/>
              <w:right w:val="nil"/>
            </w:tcBorders>
            <w:shd w:val="clear" w:color="auto" w:fill="auto"/>
            <w:hideMark/>
          </w:tcPr>
          <w:p w:rsidR="00886A8C" w:rsidRPr="00DB0D0F" w:rsidRDefault="00BA282B" w:rsidP="00BA282B">
            <w:pPr>
              <w:keepNext/>
              <w:keepLines/>
              <w:tabs>
                <w:tab w:val="clear" w:pos="567"/>
              </w:tabs>
              <w:spacing w:after="0" w:line="240" w:lineRule="auto"/>
              <w:rPr>
                <w:rFonts w:ascii="Calibri" w:eastAsia="Times New Roman" w:hAnsi="Calibri" w:cs="Arial"/>
                <w:sz w:val="20"/>
                <w:szCs w:val="20"/>
                <w:lang w:eastAsia="en-AU"/>
              </w:rPr>
            </w:pPr>
            <w:r>
              <w:rPr>
                <w:rFonts w:ascii="Calibri" w:eastAsia="Times New Roman" w:hAnsi="Calibri" w:cs="Arial"/>
                <w:sz w:val="20"/>
                <w:szCs w:val="20"/>
                <w:lang w:eastAsia="en-AU"/>
              </w:rPr>
              <w:t>Reclassification of</w:t>
            </w:r>
            <w:r w:rsidR="00886A8C" w:rsidRPr="00DB0D0F">
              <w:rPr>
                <w:rFonts w:ascii="Calibri" w:eastAsia="Times New Roman" w:hAnsi="Calibri" w:cs="Arial"/>
                <w:sz w:val="20"/>
                <w:szCs w:val="20"/>
                <w:lang w:eastAsia="en-AU"/>
              </w:rPr>
              <w:t xml:space="preserve"> contributions to workers compensation funds from Insurance tax to Other revenue and offset health insurance and ambulance levies against </w:t>
            </w:r>
            <w:r>
              <w:rPr>
                <w:rFonts w:ascii="Calibri" w:eastAsia="Times New Roman" w:hAnsi="Calibri" w:cs="Arial"/>
                <w:sz w:val="20"/>
                <w:szCs w:val="20"/>
                <w:lang w:eastAsia="en-AU"/>
              </w:rPr>
              <w:t>H</w:t>
            </w:r>
            <w:r w:rsidR="00886A8C" w:rsidRPr="00DB0D0F">
              <w:rPr>
                <w:rFonts w:ascii="Calibri" w:eastAsia="Times New Roman" w:hAnsi="Calibri" w:cs="Arial"/>
                <w:sz w:val="20"/>
                <w:szCs w:val="20"/>
                <w:lang w:eastAsia="en-AU"/>
              </w:rPr>
              <w:t>ealth expenses.</w:t>
            </w:r>
          </w:p>
        </w:tc>
      </w:tr>
      <w:tr w:rsidR="00886A8C" w:rsidRPr="00DB0D0F" w:rsidTr="00B71A91">
        <w:trPr>
          <w:trHeight w:val="510"/>
        </w:trPr>
        <w:tc>
          <w:tcPr>
            <w:tcW w:w="2410" w:type="dxa"/>
            <w:tcBorders>
              <w:top w:val="nil"/>
              <w:left w:val="nil"/>
              <w:bottom w:val="nil"/>
              <w:right w:val="nil"/>
            </w:tcBorders>
            <w:shd w:val="clear" w:color="auto" w:fill="auto"/>
            <w:hideMark/>
          </w:tcPr>
          <w:p w:rsidR="00886A8C" w:rsidRPr="00DB0D0F"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DB0D0F">
              <w:rPr>
                <w:rFonts w:ascii="Calibri" w:eastAsia="Times New Roman" w:hAnsi="Calibri" w:cs="Arial"/>
                <w:sz w:val="20"/>
                <w:szCs w:val="20"/>
                <w:lang w:eastAsia="en-AU"/>
              </w:rPr>
              <w:t>Motor taxes, Other revenue</w:t>
            </w:r>
          </w:p>
        </w:tc>
        <w:tc>
          <w:tcPr>
            <w:tcW w:w="6550" w:type="dxa"/>
            <w:tcBorders>
              <w:top w:val="nil"/>
              <w:left w:val="nil"/>
              <w:bottom w:val="nil"/>
              <w:right w:val="nil"/>
            </w:tcBorders>
            <w:shd w:val="clear" w:color="auto" w:fill="auto"/>
            <w:hideMark/>
          </w:tcPr>
          <w:p w:rsidR="00886A8C" w:rsidRPr="00DB0D0F" w:rsidRDefault="00886A8C" w:rsidP="00BA282B">
            <w:pPr>
              <w:keepNext/>
              <w:keepLines/>
              <w:tabs>
                <w:tab w:val="clear" w:pos="567"/>
              </w:tabs>
              <w:spacing w:after="0" w:line="240" w:lineRule="auto"/>
              <w:rPr>
                <w:rFonts w:ascii="Calibri" w:eastAsia="Times New Roman" w:hAnsi="Calibri" w:cs="Arial"/>
                <w:sz w:val="20"/>
                <w:szCs w:val="20"/>
                <w:lang w:eastAsia="en-AU"/>
              </w:rPr>
            </w:pPr>
            <w:r w:rsidRPr="00DB0D0F">
              <w:rPr>
                <w:rFonts w:ascii="Calibri" w:eastAsia="Times New Roman" w:hAnsi="Calibri" w:cs="Arial"/>
                <w:sz w:val="20"/>
                <w:szCs w:val="20"/>
                <w:lang w:eastAsia="en-AU"/>
              </w:rPr>
              <w:t>Reclassif</w:t>
            </w:r>
            <w:r w:rsidR="00BA282B">
              <w:rPr>
                <w:rFonts w:ascii="Calibri" w:eastAsia="Times New Roman" w:hAnsi="Calibri" w:cs="Arial"/>
                <w:sz w:val="20"/>
                <w:szCs w:val="20"/>
                <w:lang w:eastAsia="en-AU"/>
              </w:rPr>
              <w:t>ication of</w:t>
            </w:r>
            <w:r w:rsidRPr="00DB0D0F">
              <w:rPr>
                <w:rFonts w:ascii="Calibri" w:eastAsia="Times New Roman" w:hAnsi="Calibri" w:cs="Arial"/>
                <w:sz w:val="20"/>
                <w:szCs w:val="20"/>
                <w:lang w:eastAsia="en-AU"/>
              </w:rPr>
              <w:t xml:space="preserve"> number plate fees classified as user charges in GFS from Other revenue to Motor taxes.</w:t>
            </w:r>
          </w:p>
        </w:tc>
      </w:tr>
      <w:tr w:rsidR="00886A8C" w:rsidRPr="00DB0D0F" w:rsidTr="00B71A91">
        <w:trPr>
          <w:trHeight w:val="765"/>
        </w:trPr>
        <w:tc>
          <w:tcPr>
            <w:tcW w:w="2410" w:type="dxa"/>
            <w:tcBorders>
              <w:top w:val="nil"/>
              <w:left w:val="nil"/>
              <w:bottom w:val="nil"/>
              <w:right w:val="nil"/>
            </w:tcBorders>
            <w:shd w:val="clear" w:color="auto" w:fill="auto"/>
            <w:hideMark/>
          </w:tcPr>
          <w:p w:rsidR="00886A8C" w:rsidRPr="00DB0D0F"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DB0D0F">
              <w:rPr>
                <w:rFonts w:ascii="Calibri" w:eastAsia="Times New Roman" w:hAnsi="Calibri" w:cs="Arial"/>
                <w:sz w:val="20"/>
                <w:szCs w:val="20"/>
                <w:lang w:eastAsia="en-AU"/>
              </w:rPr>
              <w:t>Housing, Transport, Depreciation, Investment</w:t>
            </w:r>
          </w:p>
        </w:tc>
        <w:tc>
          <w:tcPr>
            <w:tcW w:w="6550" w:type="dxa"/>
            <w:tcBorders>
              <w:top w:val="nil"/>
              <w:left w:val="nil"/>
              <w:bottom w:val="nil"/>
              <w:right w:val="nil"/>
            </w:tcBorders>
            <w:shd w:val="clear" w:color="auto" w:fill="auto"/>
            <w:hideMark/>
          </w:tcPr>
          <w:p w:rsidR="00886A8C" w:rsidRPr="00DB0D0F" w:rsidRDefault="0098785E" w:rsidP="0098785E">
            <w:pPr>
              <w:keepNext/>
              <w:keepLines/>
              <w:tabs>
                <w:tab w:val="clear" w:pos="567"/>
              </w:tabs>
              <w:spacing w:after="0" w:line="240" w:lineRule="auto"/>
              <w:rPr>
                <w:rFonts w:ascii="Calibri" w:eastAsia="Times New Roman" w:hAnsi="Calibri" w:cs="Arial"/>
                <w:sz w:val="20"/>
                <w:szCs w:val="20"/>
                <w:lang w:eastAsia="en-AU"/>
              </w:rPr>
            </w:pPr>
            <w:r>
              <w:rPr>
                <w:rFonts w:ascii="Calibri" w:eastAsia="Times New Roman" w:hAnsi="Calibri" w:cs="Arial"/>
                <w:sz w:val="20"/>
                <w:szCs w:val="20"/>
                <w:lang w:eastAsia="en-AU"/>
              </w:rPr>
              <w:t>Consolidation of</w:t>
            </w:r>
            <w:r w:rsidR="00886A8C" w:rsidRPr="00DB0D0F">
              <w:rPr>
                <w:rFonts w:ascii="Calibri" w:eastAsia="Times New Roman" w:hAnsi="Calibri" w:cs="Arial"/>
                <w:sz w:val="20"/>
                <w:szCs w:val="20"/>
                <w:lang w:eastAsia="en-AU"/>
              </w:rPr>
              <w:t xml:space="preserve"> housing and urban transport GG and PNFCs operating revenue, expenses</w:t>
            </w:r>
            <w:r>
              <w:rPr>
                <w:rFonts w:ascii="Calibri" w:eastAsia="Times New Roman" w:hAnsi="Calibri" w:cs="Arial"/>
                <w:sz w:val="20"/>
                <w:szCs w:val="20"/>
                <w:lang w:eastAsia="en-AU"/>
              </w:rPr>
              <w:t>,</w:t>
            </w:r>
            <w:r w:rsidR="00886A8C" w:rsidRPr="00DB0D0F">
              <w:rPr>
                <w:rFonts w:ascii="Calibri" w:eastAsia="Times New Roman" w:hAnsi="Calibri" w:cs="Arial"/>
                <w:sz w:val="20"/>
                <w:szCs w:val="20"/>
                <w:lang w:eastAsia="en-AU"/>
              </w:rPr>
              <w:t xml:space="preserve"> investment</w:t>
            </w:r>
            <w:r>
              <w:rPr>
                <w:rFonts w:ascii="Calibri" w:eastAsia="Times New Roman" w:hAnsi="Calibri" w:cs="Arial"/>
                <w:sz w:val="20"/>
                <w:szCs w:val="20"/>
                <w:lang w:eastAsia="en-AU"/>
              </w:rPr>
              <w:t xml:space="preserve"> and increases in liabilities</w:t>
            </w:r>
            <w:r w:rsidR="00886A8C" w:rsidRPr="00DB0D0F">
              <w:rPr>
                <w:rFonts w:ascii="Calibri" w:eastAsia="Times New Roman" w:hAnsi="Calibri" w:cs="Arial"/>
                <w:sz w:val="20"/>
                <w:szCs w:val="20"/>
                <w:lang w:eastAsia="en-AU"/>
              </w:rPr>
              <w:t>. Urban transport depreciation assessed in Depreciation.</w:t>
            </w:r>
          </w:p>
        </w:tc>
      </w:tr>
      <w:tr w:rsidR="00886A8C" w:rsidRPr="00DB0D0F" w:rsidTr="00B71A91">
        <w:trPr>
          <w:trHeight w:val="510"/>
        </w:trPr>
        <w:tc>
          <w:tcPr>
            <w:tcW w:w="2410" w:type="dxa"/>
            <w:tcBorders>
              <w:top w:val="nil"/>
              <w:left w:val="nil"/>
              <w:bottom w:val="nil"/>
              <w:right w:val="nil"/>
            </w:tcBorders>
            <w:shd w:val="clear" w:color="auto" w:fill="auto"/>
            <w:hideMark/>
          </w:tcPr>
          <w:p w:rsidR="00886A8C" w:rsidRPr="00DB0D0F"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DB0D0F">
              <w:rPr>
                <w:rFonts w:ascii="Calibri" w:eastAsia="Times New Roman" w:hAnsi="Calibri" w:cs="Arial"/>
                <w:sz w:val="20"/>
                <w:szCs w:val="20"/>
                <w:lang w:eastAsia="en-AU"/>
              </w:rPr>
              <w:t>Welfare, Transport, Services to communities, Health</w:t>
            </w:r>
          </w:p>
        </w:tc>
        <w:tc>
          <w:tcPr>
            <w:tcW w:w="6550" w:type="dxa"/>
            <w:tcBorders>
              <w:top w:val="nil"/>
              <w:left w:val="nil"/>
              <w:bottom w:val="nil"/>
              <w:right w:val="nil"/>
            </w:tcBorders>
            <w:shd w:val="clear" w:color="auto" w:fill="auto"/>
            <w:hideMark/>
          </w:tcPr>
          <w:p w:rsidR="00886A8C" w:rsidRPr="00DB0D0F" w:rsidRDefault="00BA282B" w:rsidP="005864CF">
            <w:pPr>
              <w:keepNext/>
              <w:keepLines/>
              <w:tabs>
                <w:tab w:val="clear" w:pos="567"/>
              </w:tabs>
              <w:spacing w:after="0" w:line="240" w:lineRule="auto"/>
              <w:rPr>
                <w:rFonts w:ascii="Calibri" w:eastAsia="Times New Roman" w:hAnsi="Calibri" w:cs="Arial"/>
                <w:sz w:val="20"/>
                <w:szCs w:val="20"/>
                <w:lang w:eastAsia="en-AU"/>
              </w:rPr>
            </w:pPr>
            <w:r>
              <w:rPr>
                <w:rFonts w:ascii="Calibri" w:eastAsia="Times New Roman" w:hAnsi="Calibri" w:cs="Arial"/>
                <w:sz w:val="20"/>
                <w:szCs w:val="20"/>
                <w:lang w:eastAsia="en-AU"/>
              </w:rPr>
              <w:t>Reclassification of</w:t>
            </w:r>
            <w:r w:rsidR="00886A8C" w:rsidRPr="00DB0D0F">
              <w:rPr>
                <w:rFonts w:ascii="Calibri" w:eastAsia="Times New Roman" w:hAnsi="Calibri" w:cs="Arial"/>
                <w:sz w:val="20"/>
                <w:szCs w:val="20"/>
                <w:lang w:eastAsia="en-AU"/>
              </w:rPr>
              <w:t xml:space="preserve"> concessions for water and electricity from Services to communities to Welfare. Also reclassify concessions for transport from Welfare to Transport.</w:t>
            </w:r>
          </w:p>
        </w:tc>
      </w:tr>
      <w:tr w:rsidR="00886A8C" w:rsidRPr="00DB0D0F" w:rsidTr="00B71A91">
        <w:trPr>
          <w:trHeight w:val="765"/>
        </w:trPr>
        <w:tc>
          <w:tcPr>
            <w:tcW w:w="2410" w:type="dxa"/>
            <w:tcBorders>
              <w:top w:val="nil"/>
              <w:left w:val="nil"/>
              <w:bottom w:val="nil"/>
              <w:right w:val="nil"/>
            </w:tcBorders>
            <w:shd w:val="clear" w:color="auto" w:fill="auto"/>
            <w:hideMark/>
          </w:tcPr>
          <w:p w:rsidR="00886A8C" w:rsidRPr="00DB0D0F"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DB0D0F">
              <w:rPr>
                <w:rFonts w:ascii="Calibri" w:eastAsia="Times New Roman" w:hAnsi="Calibri" w:cs="Arial"/>
                <w:sz w:val="20"/>
                <w:szCs w:val="20"/>
                <w:lang w:eastAsia="en-AU"/>
              </w:rPr>
              <w:t>Welfare, Services to communities, Services to industry, Other expenses</w:t>
            </w:r>
          </w:p>
        </w:tc>
        <w:tc>
          <w:tcPr>
            <w:tcW w:w="6550" w:type="dxa"/>
            <w:tcBorders>
              <w:top w:val="nil"/>
              <w:left w:val="nil"/>
              <w:bottom w:val="nil"/>
              <w:right w:val="nil"/>
            </w:tcBorders>
            <w:shd w:val="clear" w:color="auto" w:fill="auto"/>
            <w:hideMark/>
          </w:tcPr>
          <w:p w:rsidR="00886A8C" w:rsidRPr="00DB0D0F" w:rsidRDefault="00886A8C" w:rsidP="00BA282B">
            <w:pPr>
              <w:keepNext/>
              <w:keepLines/>
              <w:tabs>
                <w:tab w:val="clear" w:pos="567"/>
              </w:tabs>
              <w:spacing w:after="0" w:line="240" w:lineRule="auto"/>
              <w:rPr>
                <w:rFonts w:ascii="Calibri" w:eastAsia="Times New Roman" w:hAnsi="Calibri" w:cs="Arial"/>
                <w:sz w:val="20"/>
                <w:szCs w:val="20"/>
                <w:lang w:eastAsia="en-AU"/>
              </w:rPr>
            </w:pPr>
            <w:r w:rsidRPr="00DB0D0F">
              <w:rPr>
                <w:rFonts w:ascii="Calibri" w:eastAsia="Times New Roman" w:hAnsi="Calibri" w:cs="Arial"/>
                <w:sz w:val="20"/>
                <w:szCs w:val="20"/>
                <w:lang w:eastAsia="en-AU"/>
              </w:rPr>
              <w:t>Reclassif</w:t>
            </w:r>
            <w:r w:rsidR="00BA282B">
              <w:rPr>
                <w:rFonts w:ascii="Calibri" w:eastAsia="Times New Roman" w:hAnsi="Calibri" w:cs="Arial"/>
                <w:sz w:val="20"/>
                <w:szCs w:val="20"/>
                <w:lang w:eastAsia="en-AU"/>
              </w:rPr>
              <w:t>ication of</w:t>
            </w:r>
            <w:r w:rsidRPr="00DB0D0F">
              <w:rPr>
                <w:rFonts w:ascii="Calibri" w:eastAsia="Times New Roman" w:hAnsi="Calibri" w:cs="Arial"/>
                <w:sz w:val="20"/>
                <w:szCs w:val="20"/>
                <w:lang w:eastAsia="en-AU"/>
              </w:rPr>
              <w:t xml:space="preserve"> subsidies for the provision of electricity and water services to PNFCs and local government from Welfare, Services to industry and Other expenses to Services to communities.</w:t>
            </w:r>
          </w:p>
        </w:tc>
      </w:tr>
      <w:tr w:rsidR="00886A8C" w:rsidRPr="00DB0D0F" w:rsidTr="00B71A91">
        <w:trPr>
          <w:trHeight w:val="317"/>
        </w:trPr>
        <w:tc>
          <w:tcPr>
            <w:tcW w:w="2410" w:type="dxa"/>
            <w:tcBorders>
              <w:top w:val="nil"/>
              <w:left w:val="nil"/>
              <w:bottom w:val="nil"/>
              <w:right w:val="nil"/>
            </w:tcBorders>
            <w:shd w:val="clear" w:color="auto" w:fill="auto"/>
            <w:hideMark/>
          </w:tcPr>
          <w:p w:rsidR="00886A8C" w:rsidRPr="00DB0D0F" w:rsidRDefault="00886A8C" w:rsidP="005864CF">
            <w:pPr>
              <w:keepNext/>
              <w:keepLines/>
              <w:tabs>
                <w:tab w:val="clear" w:pos="567"/>
              </w:tabs>
              <w:spacing w:after="0" w:line="240" w:lineRule="auto"/>
              <w:ind w:left="193" w:hanging="142"/>
              <w:rPr>
                <w:rFonts w:ascii="Calibri" w:eastAsia="Times New Roman" w:hAnsi="Calibri" w:cs="Arial"/>
                <w:sz w:val="20"/>
                <w:szCs w:val="20"/>
                <w:lang w:eastAsia="en-AU"/>
              </w:rPr>
            </w:pPr>
            <w:r w:rsidRPr="00DB0D0F">
              <w:rPr>
                <w:rFonts w:ascii="Calibri" w:eastAsia="Times New Roman" w:hAnsi="Calibri" w:cs="Arial"/>
                <w:sz w:val="20"/>
                <w:szCs w:val="20"/>
                <w:lang w:eastAsia="en-AU"/>
              </w:rPr>
              <w:t>Services to communities</w:t>
            </w:r>
          </w:p>
        </w:tc>
        <w:tc>
          <w:tcPr>
            <w:tcW w:w="6550" w:type="dxa"/>
            <w:tcBorders>
              <w:top w:val="nil"/>
              <w:left w:val="nil"/>
              <w:bottom w:val="nil"/>
              <w:right w:val="nil"/>
            </w:tcBorders>
            <w:shd w:val="clear" w:color="auto" w:fill="auto"/>
            <w:hideMark/>
          </w:tcPr>
          <w:p w:rsidR="00886A8C" w:rsidRPr="00DB0D0F" w:rsidRDefault="00886A8C" w:rsidP="0098785E">
            <w:pPr>
              <w:keepNext/>
              <w:keepLines/>
              <w:tabs>
                <w:tab w:val="clear" w:pos="567"/>
              </w:tabs>
              <w:spacing w:after="0" w:line="240" w:lineRule="auto"/>
              <w:rPr>
                <w:rFonts w:ascii="Calibri" w:eastAsia="Times New Roman" w:hAnsi="Calibri" w:cs="Arial"/>
                <w:sz w:val="20"/>
                <w:szCs w:val="20"/>
                <w:lang w:eastAsia="en-AU"/>
              </w:rPr>
            </w:pPr>
            <w:r w:rsidRPr="00DB0D0F">
              <w:rPr>
                <w:rFonts w:ascii="Calibri" w:eastAsia="Times New Roman" w:hAnsi="Calibri" w:cs="Arial"/>
                <w:sz w:val="20"/>
                <w:szCs w:val="20"/>
                <w:lang w:eastAsia="en-AU"/>
              </w:rPr>
              <w:t>Add</w:t>
            </w:r>
            <w:r w:rsidR="0098785E">
              <w:rPr>
                <w:rFonts w:ascii="Calibri" w:eastAsia="Times New Roman" w:hAnsi="Calibri" w:cs="Arial"/>
                <w:sz w:val="20"/>
                <w:szCs w:val="20"/>
                <w:lang w:eastAsia="en-AU"/>
              </w:rPr>
              <w:t xml:space="preserve">ition of </w:t>
            </w:r>
            <w:r w:rsidRPr="00DB0D0F">
              <w:rPr>
                <w:rFonts w:ascii="Calibri" w:eastAsia="Times New Roman" w:hAnsi="Calibri" w:cs="Arial"/>
                <w:sz w:val="20"/>
                <w:szCs w:val="20"/>
                <w:lang w:eastAsia="en-AU"/>
              </w:rPr>
              <w:t>Western Australia’s cross-subsidies between its electricity PNFCs.</w:t>
            </w:r>
          </w:p>
        </w:tc>
      </w:tr>
      <w:tr w:rsidR="00886A8C" w:rsidRPr="00DB0D0F" w:rsidTr="00B71A91">
        <w:trPr>
          <w:trHeight w:val="317"/>
        </w:trPr>
        <w:tc>
          <w:tcPr>
            <w:tcW w:w="2410" w:type="dxa"/>
            <w:tcBorders>
              <w:top w:val="nil"/>
              <w:left w:val="nil"/>
              <w:bottom w:val="single" w:sz="4" w:space="0" w:color="auto"/>
              <w:right w:val="nil"/>
            </w:tcBorders>
            <w:shd w:val="clear" w:color="auto" w:fill="auto"/>
            <w:hideMark/>
          </w:tcPr>
          <w:p w:rsidR="00886A8C" w:rsidRPr="00DB0D0F" w:rsidRDefault="00886A8C" w:rsidP="009963DC">
            <w:pPr>
              <w:keepNext/>
              <w:keepLines/>
              <w:tabs>
                <w:tab w:val="clear" w:pos="567"/>
              </w:tabs>
              <w:spacing w:after="0" w:line="240" w:lineRule="auto"/>
              <w:ind w:left="193" w:hanging="142"/>
              <w:rPr>
                <w:rFonts w:ascii="Calibri" w:eastAsia="Times New Roman" w:hAnsi="Calibri" w:cs="Arial"/>
                <w:sz w:val="20"/>
                <w:szCs w:val="20"/>
                <w:lang w:eastAsia="en-AU"/>
              </w:rPr>
            </w:pPr>
            <w:r w:rsidRPr="00DB0D0F">
              <w:rPr>
                <w:rFonts w:ascii="Calibri" w:eastAsia="Times New Roman" w:hAnsi="Calibri" w:cs="Arial"/>
                <w:sz w:val="20"/>
                <w:szCs w:val="20"/>
                <w:lang w:eastAsia="en-AU"/>
              </w:rPr>
              <w:t>Roads, Transport</w:t>
            </w:r>
          </w:p>
        </w:tc>
        <w:tc>
          <w:tcPr>
            <w:tcW w:w="6550" w:type="dxa"/>
            <w:tcBorders>
              <w:top w:val="nil"/>
              <w:left w:val="nil"/>
              <w:bottom w:val="single" w:sz="4" w:space="0" w:color="auto"/>
              <w:right w:val="nil"/>
            </w:tcBorders>
            <w:shd w:val="clear" w:color="auto" w:fill="auto"/>
            <w:hideMark/>
          </w:tcPr>
          <w:p w:rsidR="00886A8C" w:rsidRPr="00DB0D0F" w:rsidRDefault="00BA282B" w:rsidP="009963DC">
            <w:pPr>
              <w:keepNext/>
              <w:keepLines/>
              <w:tabs>
                <w:tab w:val="clear" w:pos="567"/>
              </w:tabs>
              <w:spacing w:after="0" w:line="240" w:lineRule="auto"/>
              <w:rPr>
                <w:rFonts w:ascii="Calibri" w:eastAsia="Times New Roman" w:hAnsi="Calibri" w:cs="Arial"/>
                <w:sz w:val="20"/>
                <w:szCs w:val="20"/>
                <w:lang w:eastAsia="en-AU"/>
              </w:rPr>
            </w:pPr>
            <w:r>
              <w:rPr>
                <w:rFonts w:ascii="Calibri" w:eastAsia="Times New Roman" w:hAnsi="Calibri" w:cs="Arial"/>
                <w:sz w:val="20"/>
                <w:szCs w:val="20"/>
                <w:lang w:eastAsia="en-AU"/>
              </w:rPr>
              <w:t>Reclassification of</w:t>
            </w:r>
            <w:r w:rsidR="00886A8C" w:rsidRPr="00DB0D0F">
              <w:rPr>
                <w:rFonts w:ascii="Calibri" w:eastAsia="Times New Roman" w:hAnsi="Calibri" w:cs="Arial"/>
                <w:sz w:val="20"/>
                <w:szCs w:val="20"/>
                <w:lang w:eastAsia="en-AU"/>
              </w:rPr>
              <w:t xml:space="preserve"> bus service expenses from Roads to Transport</w:t>
            </w:r>
            <w:r w:rsidR="009963DC">
              <w:rPr>
                <w:rFonts w:ascii="Calibri" w:eastAsia="Times New Roman" w:hAnsi="Calibri" w:cs="Arial"/>
                <w:sz w:val="20"/>
                <w:szCs w:val="20"/>
                <w:lang w:eastAsia="en-AU"/>
              </w:rPr>
              <w:t>.</w:t>
            </w:r>
          </w:p>
        </w:tc>
      </w:tr>
    </w:tbl>
    <w:p w:rsidR="00886A8C" w:rsidRDefault="00886A8C" w:rsidP="00886A8C"/>
    <w:p w:rsidR="00886A8C" w:rsidRDefault="00886A8C" w:rsidP="00886A8C">
      <w:pPr>
        <w:pStyle w:val="Heading3"/>
      </w:pPr>
      <w:r>
        <w:lastRenderedPageBreak/>
        <w:t>U</w:t>
      </w:r>
      <w:r w:rsidRPr="00886A8C">
        <w:t xml:space="preserve">pdate process </w:t>
      </w:r>
      <w:r>
        <w:t>and further information</w:t>
      </w:r>
    </w:p>
    <w:p w:rsidR="00886A8C" w:rsidRDefault="00886A8C" w:rsidP="00886A8C">
      <w:pPr>
        <w:pStyle w:val="CGCNumberedPara"/>
      </w:pPr>
      <w:r>
        <w:t>We will use up-to-date figures from the following sources to compile the adjusted budget annually:</w:t>
      </w:r>
    </w:p>
    <w:p w:rsidR="00886A8C" w:rsidRDefault="00886A8C" w:rsidP="00886A8C">
      <w:pPr>
        <w:pStyle w:val="CGCBulletlist"/>
        <w:numPr>
          <w:ilvl w:val="0"/>
          <w:numId w:val="11"/>
        </w:numPr>
        <w:tabs>
          <w:tab w:val="clear" w:pos="927"/>
          <w:tab w:val="left" w:pos="1134"/>
        </w:tabs>
        <w:ind w:left="1134" w:hanging="567"/>
      </w:pPr>
      <w:r>
        <w:t>Commonwealth payments — Commonwealth Final Budget Outcome and extra information from Commonwealth agencies for all assessment years</w:t>
      </w:r>
    </w:p>
    <w:p w:rsidR="00886A8C" w:rsidRDefault="00886A8C" w:rsidP="00886A8C">
      <w:pPr>
        <w:pStyle w:val="CGCBulletlist"/>
        <w:numPr>
          <w:ilvl w:val="0"/>
          <w:numId w:val="11"/>
        </w:numPr>
        <w:tabs>
          <w:tab w:val="clear" w:pos="927"/>
          <w:tab w:val="left" w:pos="1134"/>
        </w:tabs>
        <w:ind w:left="1134" w:hanging="567"/>
      </w:pPr>
      <w:r>
        <w:t>own-source revenue, user charges, expenses, investment and net borrowing — GFS and extra information from States for years prior to last assessment year and information from States for last assessment year.</w:t>
      </w:r>
    </w:p>
    <w:p w:rsidR="00886A8C" w:rsidRDefault="00886A8C" w:rsidP="00886A8C">
      <w:pPr>
        <w:pStyle w:val="Heading3"/>
      </w:pPr>
      <w:r>
        <w:lastRenderedPageBreak/>
        <w:t>A</w:t>
      </w:r>
      <w:r w:rsidR="008E181B">
        <w:t>ppendix</w:t>
      </w:r>
      <w:r>
        <w:t xml:space="preserve"> A: Category definitions for the 2015 Review</w:t>
      </w:r>
    </w:p>
    <w:p w:rsidR="00886A8C" w:rsidRDefault="00886A8C" w:rsidP="00886A8C">
      <w:pPr>
        <w:pStyle w:val="CGCTableHeading"/>
      </w:pPr>
      <w:r>
        <w:t>Table A-</w:t>
      </w:r>
      <w:fldSimple w:instr=" SEQ Table \* ARABIC \r1 ">
        <w:r w:rsidR="007B6A4C">
          <w:rPr>
            <w:noProof/>
          </w:rPr>
          <w:t>1</w:t>
        </w:r>
      </w:fldSimple>
      <w:r>
        <w:tab/>
      </w:r>
      <w:r w:rsidRPr="0004092D">
        <w:t>Category definitions for the 2015 Review, Revenue</w:t>
      </w:r>
    </w:p>
    <w:tbl>
      <w:tblPr>
        <w:tblW w:w="5000" w:type="pct"/>
        <w:tblCellMar>
          <w:left w:w="85" w:type="dxa"/>
          <w:right w:w="85" w:type="dxa"/>
        </w:tblCellMar>
        <w:tblLook w:val="0000" w:firstRow="0" w:lastRow="0" w:firstColumn="0" w:lastColumn="0" w:noHBand="0" w:noVBand="0"/>
      </w:tblPr>
      <w:tblGrid>
        <w:gridCol w:w="937"/>
        <w:gridCol w:w="5670"/>
        <w:gridCol w:w="2521"/>
      </w:tblGrid>
      <w:tr w:rsidR="00886A8C" w:rsidRPr="008E43D9" w:rsidTr="00275086">
        <w:trPr>
          <w:cantSplit/>
          <w:tblHeader/>
        </w:trPr>
        <w:tc>
          <w:tcPr>
            <w:tcW w:w="513" w:type="pct"/>
            <w:tcBorders>
              <w:top w:val="single" w:sz="6" w:space="0" w:color="auto"/>
              <w:bottom w:val="single" w:sz="4" w:space="0" w:color="auto"/>
            </w:tcBorders>
            <w:vAlign w:val="center"/>
          </w:tcPr>
          <w:p w:rsidR="00886A8C" w:rsidRPr="008E43D9" w:rsidRDefault="00886A8C" w:rsidP="005864CF">
            <w:pPr>
              <w:pStyle w:val="TableColHeadings"/>
              <w:jc w:val="left"/>
              <w:rPr>
                <w:rFonts w:cstheme="minorHAnsi"/>
                <w:sz w:val="18"/>
                <w:szCs w:val="18"/>
              </w:rPr>
            </w:pPr>
            <w:r w:rsidRPr="008E43D9">
              <w:rPr>
                <w:rFonts w:cstheme="minorHAnsi"/>
                <w:sz w:val="18"/>
                <w:szCs w:val="18"/>
              </w:rPr>
              <w:t>Category code</w:t>
            </w:r>
          </w:p>
        </w:tc>
        <w:tc>
          <w:tcPr>
            <w:tcW w:w="3106" w:type="pct"/>
            <w:tcBorders>
              <w:top w:val="single" w:sz="6" w:space="0" w:color="auto"/>
              <w:bottom w:val="single" w:sz="4" w:space="0" w:color="auto"/>
            </w:tcBorders>
            <w:vAlign w:val="center"/>
          </w:tcPr>
          <w:p w:rsidR="00886A8C" w:rsidRPr="008E43D9" w:rsidRDefault="00886A8C" w:rsidP="005864CF">
            <w:pPr>
              <w:pStyle w:val="TableColHeadings"/>
              <w:jc w:val="left"/>
              <w:rPr>
                <w:rFonts w:cstheme="minorHAnsi"/>
                <w:sz w:val="18"/>
                <w:szCs w:val="18"/>
              </w:rPr>
            </w:pPr>
            <w:r w:rsidRPr="008E43D9">
              <w:rPr>
                <w:rFonts w:cstheme="minorHAnsi"/>
                <w:sz w:val="18"/>
                <w:szCs w:val="18"/>
              </w:rPr>
              <w:t>Definition</w:t>
            </w:r>
          </w:p>
        </w:tc>
        <w:tc>
          <w:tcPr>
            <w:tcW w:w="1381" w:type="pct"/>
            <w:tcBorders>
              <w:top w:val="single" w:sz="6" w:space="0" w:color="auto"/>
              <w:bottom w:val="single" w:sz="4" w:space="0" w:color="auto"/>
            </w:tcBorders>
            <w:vAlign w:val="center"/>
          </w:tcPr>
          <w:p w:rsidR="00886A8C" w:rsidRPr="008E43D9" w:rsidRDefault="00886A8C" w:rsidP="005864CF">
            <w:pPr>
              <w:pStyle w:val="TableColHeadings"/>
              <w:jc w:val="left"/>
              <w:rPr>
                <w:rFonts w:cstheme="minorHAnsi"/>
                <w:sz w:val="18"/>
                <w:szCs w:val="18"/>
              </w:rPr>
            </w:pPr>
            <w:r w:rsidRPr="008E43D9">
              <w:rPr>
                <w:rFonts w:cstheme="minorHAnsi"/>
                <w:sz w:val="18"/>
                <w:szCs w:val="18"/>
              </w:rPr>
              <w:t>ABS Taxes classification (TC) or Economic transaction framework (ETF) codes</w:t>
            </w:r>
          </w:p>
        </w:tc>
      </w:tr>
      <w:tr w:rsidR="00886A8C" w:rsidRPr="008E43D9" w:rsidTr="00275086">
        <w:trPr>
          <w:cantSplit/>
        </w:trPr>
        <w:tc>
          <w:tcPr>
            <w:tcW w:w="513" w:type="pct"/>
            <w:tcBorders>
              <w:top w:val="single" w:sz="4" w:space="0" w:color="auto"/>
            </w:tcBorders>
          </w:tcPr>
          <w:p w:rsidR="00886A8C" w:rsidRPr="008E43D9" w:rsidRDefault="00886A8C" w:rsidP="005864CF">
            <w:pPr>
              <w:pStyle w:val="TableColHeadings"/>
              <w:jc w:val="left"/>
              <w:rPr>
                <w:rFonts w:cstheme="minorHAnsi"/>
                <w:sz w:val="18"/>
                <w:szCs w:val="18"/>
              </w:rPr>
            </w:pPr>
            <w:r w:rsidRPr="008E43D9">
              <w:rPr>
                <w:rFonts w:cstheme="minorHAnsi"/>
                <w:sz w:val="18"/>
                <w:szCs w:val="18"/>
              </w:rPr>
              <w:t>210  Payroll tax</w:t>
            </w:r>
          </w:p>
        </w:tc>
        <w:tc>
          <w:tcPr>
            <w:tcW w:w="3106" w:type="pct"/>
            <w:tcBorders>
              <w:top w:val="single" w:sz="4" w:space="0" w:color="auto"/>
            </w:tcBorders>
          </w:tcPr>
          <w:p w:rsidR="00886A8C" w:rsidRDefault="00886A8C" w:rsidP="00FF539A">
            <w:pPr>
              <w:pStyle w:val="TableRowNormal"/>
              <w:spacing w:after="80"/>
              <w:ind w:left="0" w:firstLine="0"/>
              <w:jc w:val="left"/>
              <w:rPr>
                <w:rFonts w:cstheme="minorHAnsi"/>
                <w:sz w:val="18"/>
                <w:szCs w:val="18"/>
              </w:rPr>
            </w:pPr>
            <w:r w:rsidRPr="008E43D9">
              <w:rPr>
                <w:rFonts w:cstheme="minorHAnsi"/>
                <w:sz w:val="18"/>
                <w:szCs w:val="18"/>
              </w:rPr>
              <w:t xml:space="preserve">This category includes taxes levied on the payrolls of employers.  More specifically, the category includes: </w:t>
            </w:r>
          </w:p>
          <w:p w:rsidR="00886A8C" w:rsidRPr="00E502EC" w:rsidRDefault="00886A8C" w:rsidP="00886A8C">
            <w:pPr>
              <w:pStyle w:val="ListParagraph"/>
              <w:numPr>
                <w:ilvl w:val="0"/>
                <w:numId w:val="40"/>
              </w:numPr>
              <w:spacing w:line="240" w:lineRule="auto"/>
              <w:ind w:left="284" w:hanging="284"/>
              <w:rPr>
                <w:sz w:val="18"/>
                <w:szCs w:val="18"/>
              </w:rPr>
            </w:pPr>
            <w:proofErr w:type="gramStart"/>
            <w:r w:rsidRPr="00E502EC">
              <w:rPr>
                <w:sz w:val="18"/>
                <w:szCs w:val="18"/>
              </w:rPr>
              <w:t>net</w:t>
            </w:r>
            <w:proofErr w:type="gramEnd"/>
            <w:r w:rsidRPr="00E502EC">
              <w:rPr>
                <w:sz w:val="18"/>
                <w:szCs w:val="18"/>
              </w:rPr>
              <w:t xml:space="preserve"> payroll tax collections, including the surcharges imposed on large employers by some States, less the tax paid by those government departments and authorities covered by the Commission’s expense comparisons.</w:t>
            </w:r>
          </w:p>
          <w:p w:rsidR="00886A8C" w:rsidRPr="008E43D9" w:rsidRDefault="00886A8C" w:rsidP="00FF539A">
            <w:pPr>
              <w:pStyle w:val="TableRowNormal"/>
              <w:spacing w:after="80"/>
              <w:ind w:left="0" w:firstLine="0"/>
              <w:jc w:val="left"/>
              <w:rPr>
                <w:rFonts w:cstheme="minorHAnsi"/>
                <w:sz w:val="18"/>
                <w:szCs w:val="18"/>
              </w:rPr>
            </w:pPr>
            <w:r w:rsidRPr="008E43D9">
              <w:rPr>
                <w:rFonts w:cstheme="minorHAnsi"/>
                <w:sz w:val="18"/>
                <w:szCs w:val="18"/>
              </w:rPr>
              <w:t>Payroll tax collected from public non-financial corporations, except those that provide social housing and urban transport services, is included in this category.</w:t>
            </w:r>
          </w:p>
        </w:tc>
        <w:tc>
          <w:tcPr>
            <w:tcW w:w="1381" w:type="pct"/>
            <w:tcBorders>
              <w:top w:val="single" w:sz="4" w:space="0" w:color="auto"/>
            </w:tcBorders>
          </w:tcPr>
          <w:p w:rsidR="00886A8C" w:rsidRPr="008E43D9" w:rsidRDefault="00886A8C" w:rsidP="00FF539A">
            <w:pPr>
              <w:pStyle w:val="TableRowNormal"/>
              <w:spacing w:after="80"/>
              <w:ind w:left="0" w:firstLine="0"/>
              <w:jc w:val="left"/>
              <w:rPr>
                <w:rFonts w:cstheme="minorHAnsi"/>
                <w:sz w:val="18"/>
                <w:szCs w:val="18"/>
              </w:rPr>
            </w:pPr>
            <w:r>
              <w:rPr>
                <w:rFonts w:cstheme="minorHAnsi"/>
                <w:sz w:val="18"/>
                <w:szCs w:val="18"/>
              </w:rPr>
              <w:t>TC</w:t>
            </w:r>
            <w:r w:rsidRPr="008E43D9">
              <w:rPr>
                <w:rFonts w:cstheme="minorHAnsi"/>
                <w:sz w:val="18"/>
                <w:szCs w:val="18"/>
              </w:rPr>
              <w:t xml:space="preserve"> 211 </w:t>
            </w:r>
            <w:r>
              <w:rPr>
                <w:rFonts w:cstheme="minorHAnsi"/>
                <w:sz w:val="18"/>
                <w:szCs w:val="18"/>
              </w:rPr>
              <w:noBreakHyphen/>
              <w:t xml:space="preserve"> </w:t>
            </w:r>
            <w:r w:rsidRPr="008E43D9">
              <w:rPr>
                <w:rFonts w:cstheme="minorHAnsi"/>
                <w:sz w:val="18"/>
                <w:szCs w:val="18"/>
              </w:rPr>
              <w:t>Payroll taxes</w:t>
            </w:r>
          </w:p>
          <w:p w:rsidR="00886A8C" w:rsidRPr="008E43D9" w:rsidRDefault="00886A8C" w:rsidP="00FF539A">
            <w:pPr>
              <w:pStyle w:val="TableRowNormal"/>
              <w:spacing w:after="80"/>
              <w:ind w:left="0" w:firstLine="0"/>
              <w:jc w:val="left"/>
              <w:rPr>
                <w:rFonts w:cstheme="minorHAnsi"/>
                <w:sz w:val="18"/>
                <w:szCs w:val="18"/>
              </w:rPr>
            </w:pPr>
            <w:r w:rsidRPr="008E43D9">
              <w:rPr>
                <w:rFonts w:cstheme="minorHAnsi"/>
                <w:sz w:val="18"/>
                <w:szCs w:val="18"/>
              </w:rPr>
              <w:t xml:space="preserve">TC 221 </w:t>
            </w:r>
            <w:r>
              <w:rPr>
                <w:rFonts w:cstheme="minorHAnsi"/>
                <w:sz w:val="18"/>
                <w:szCs w:val="18"/>
              </w:rPr>
              <w:noBreakHyphen/>
            </w:r>
            <w:r w:rsidRPr="008E43D9">
              <w:rPr>
                <w:rFonts w:cstheme="minorHAnsi"/>
                <w:sz w:val="18"/>
                <w:szCs w:val="18"/>
              </w:rPr>
              <w:t xml:space="preserve"> Stevedoring industry charges</w:t>
            </w:r>
          </w:p>
        </w:tc>
      </w:tr>
      <w:tr w:rsidR="00886A8C" w:rsidRPr="008E43D9" w:rsidTr="00275086">
        <w:trPr>
          <w:cantSplit/>
        </w:trPr>
        <w:tc>
          <w:tcPr>
            <w:tcW w:w="513" w:type="pct"/>
            <w:tcMar>
              <w:top w:w="0" w:type="dxa"/>
              <w:bottom w:w="0" w:type="dxa"/>
            </w:tcMar>
          </w:tcPr>
          <w:p w:rsidR="00886A8C" w:rsidRPr="008E43D9" w:rsidRDefault="00886A8C" w:rsidP="005864CF">
            <w:pPr>
              <w:pStyle w:val="TableRowUnits"/>
              <w:spacing w:after="80"/>
              <w:jc w:val="left"/>
              <w:rPr>
                <w:rFonts w:cstheme="minorHAnsi"/>
                <w:sz w:val="18"/>
                <w:szCs w:val="18"/>
              </w:rPr>
            </w:pPr>
            <w:r w:rsidRPr="008E43D9">
              <w:rPr>
                <w:rFonts w:cstheme="minorHAnsi"/>
                <w:sz w:val="18"/>
                <w:szCs w:val="18"/>
              </w:rPr>
              <w:t>220  Land tax</w:t>
            </w:r>
          </w:p>
        </w:tc>
        <w:tc>
          <w:tcPr>
            <w:tcW w:w="3106" w:type="pct"/>
            <w:tcMar>
              <w:top w:w="0" w:type="dxa"/>
              <w:bottom w:w="0" w:type="dxa"/>
            </w:tcMar>
          </w:tcPr>
          <w:p w:rsidR="00886A8C" w:rsidRPr="008E43D9" w:rsidRDefault="00886A8C" w:rsidP="00FF539A">
            <w:pPr>
              <w:pStyle w:val="TableRowNormal"/>
              <w:spacing w:after="80"/>
              <w:ind w:left="0" w:firstLine="0"/>
              <w:jc w:val="left"/>
              <w:rPr>
                <w:rFonts w:cstheme="minorHAnsi"/>
                <w:sz w:val="18"/>
                <w:szCs w:val="18"/>
              </w:rPr>
            </w:pPr>
            <w:r w:rsidRPr="008E43D9">
              <w:rPr>
                <w:rFonts w:cstheme="minorHAnsi"/>
                <w:sz w:val="18"/>
                <w:szCs w:val="18"/>
              </w:rPr>
              <w:t xml:space="preserve">This category includes taxes on the ownership of land based on the assessed value of land.  More specifically, the category includes: </w:t>
            </w:r>
          </w:p>
          <w:p w:rsidR="00886A8C" w:rsidRPr="00E502EC" w:rsidRDefault="00886A8C" w:rsidP="00886A8C">
            <w:pPr>
              <w:pStyle w:val="ListParagraph"/>
              <w:numPr>
                <w:ilvl w:val="0"/>
                <w:numId w:val="40"/>
              </w:numPr>
              <w:spacing w:line="240" w:lineRule="auto"/>
              <w:ind w:left="284" w:hanging="284"/>
              <w:rPr>
                <w:sz w:val="18"/>
                <w:szCs w:val="18"/>
              </w:rPr>
            </w:pPr>
            <w:r w:rsidRPr="00E502EC">
              <w:rPr>
                <w:sz w:val="18"/>
                <w:szCs w:val="18"/>
              </w:rPr>
              <w:t>levies on property owners intended specifically for financing the planning and development of land within the metropolitan region</w:t>
            </w:r>
          </w:p>
          <w:p w:rsidR="00886A8C" w:rsidRPr="00E502EC" w:rsidRDefault="00886A8C" w:rsidP="00886A8C">
            <w:pPr>
              <w:pStyle w:val="ListParagraph"/>
              <w:numPr>
                <w:ilvl w:val="0"/>
                <w:numId w:val="40"/>
              </w:numPr>
              <w:spacing w:line="240" w:lineRule="auto"/>
              <w:ind w:left="284" w:hanging="284"/>
              <w:rPr>
                <w:sz w:val="18"/>
                <w:szCs w:val="18"/>
              </w:rPr>
            </w:pPr>
            <w:proofErr w:type="gramStart"/>
            <w:r w:rsidRPr="00E502EC">
              <w:rPr>
                <w:sz w:val="18"/>
                <w:szCs w:val="18"/>
              </w:rPr>
              <w:t>land</w:t>
            </w:r>
            <w:proofErr w:type="gramEnd"/>
            <w:r w:rsidRPr="00E502EC">
              <w:rPr>
                <w:sz w:val="18"/>
                <w:szCs w:val="18"/>
              </w:rPr>
              <w:t xml:space="preserve"> tax on some rural land.</w:t>
            </w:r>
          </w:p>
          <w:p w:rsidR="00886A8C" w:rsidRPr="008E43D9" w:rsidRDefault="00886A8C" w:rsidP="00FF539A">
            <w:pPr>
              <w:pStyle w:val="TableRowNormal"/>
              <w:spacing w:after="80"/>
              <w:ind w:left="0" w:firstLine="0"/>
              <w:jc w:val="left"/>
              <w:rPr>
                <w:rFonts w:cstheme="minorHAnsi"/>
                <w:sz w:val="18"/>
                <w:szCs w:val="18"/>
              </w:rPr>
            </w:pPr>
            <w:r w:rsidRPr="008E43D9">
              <w:rPr>
                <w:rFonts w:cstheme="minorHAnsi"/>
                <w:sz w:val="18"/>
                <w:szCs w:val="18"/>
              </w:rPr>
              <w:t>The category also include</w:t>
            </w:r>
            <w:r w:rsidR="00BA282B">
              <w:rPr>
                <w:rFonts w:cstheme="minorHAnsi"/>
                <w:sz w:val="18"/>
                <w:szCs w:val="18"/>
              </w:rPr>
              <w:t>s</w:t>
            </w:r>
            <w:r w:rsidRPr="008E43D9">
              <w:rPr>
                <w:rFonts w:cstheme="minorHAnsi"/>
                <w:sz w:val="18"/>
                <w:szCs w:val="18"/>
              </w:rPr>
              <w:t xml:space="preserve"> revenue from fire and emergency service levies where they are levied on property and that part of ACT general rates that is a replacement for conveyance duty.</w:t>
            </w:r>
          </w:p>
        </w:tc>
        <w:tc>
          <w:tcPr>
            <w:tcW w:w="1381" w:type="pct"/>
            <w:tcMar>
              <w:top w:w="0" w:type="dxa"/>
              <w:bottom w:w="0" w:type="dxa"/>
            </w:tcMar>
          </w:tcPr>
          <w:p w:rsidR="00886A8C" w:rsidRPr="008E43D9" w:rsidRDefault="00886A8C" w:rsidP="00FF539A">
            <w:pPr>
              <w:pStyle w:val="TableRowNormal"/>
              <w:spacing w:after="80"/>
              <w:ind w:left="0" w:firstLine="0"/>
              <w:jc w:val="left"/>
              <w:rPr>
                <w:rFonts w:cstheme="minorHAnsi"/>
                <w:sz w:val="18"/>
                <w:szCs w:val="18"/>
              </w:rPr>
            </w:pPr>
            <w:r w:rsidRPr="008E43D9">
              <w:rPr>
                <w:rFonts w:cstheme="minorHAnsi"/>
                <w:sz w:val="18"/>
                <w:szCs w:val="18"/>
              </w:rPr>
              <w:t xml:space="preserve">TC 311 </w:t>
            </w:r>
            <w:r>
              <w:rPr>
                <w:rFonts w:cstheme="minorHAnsi"/>
                <w:sz w:val="18"/>
                <w:szCs w:val="18"/>
              </w:rPr>
              <w:noBreakHyphen/>
            </w:r>
            <w:r w:rsidRPr="008E43D9">
              <w:rPr>
                <w:rFonts w:cstheme="minorHAnsi"/>
                <w:sz w:val="18"/>
                <w:szCs w:val="18"/>
              </w:rPr>
              <w:t xml:space="preserve">  Land taxes</w:t>
            </w:r>
          </w:p>
          <w:p w:rsidR="00886A8C" w:rsidRPr="008E43D9" w:rsidRDefault="00886A8C" w:rsidP="00FF539A">
            <w:pPr>
              <w:pStyle w:val="TableRowNormal"/>
              <w:spacing w:after="80"/>
              <w:ind w:left="0" w:firstLine="0"/>
              <w:jc w:val="left"/>
              <w:rPr>
                <w:rFonts w:cstheme="minorHAnsi"/>
                <w:sz w:val="18"/>
                <w:szCs w:val="18"/>
              </w:rPr>
            </w:pPr>
            <w:r>
              <w:rPr>
                <w:rFonts w:cstheme="minorHAnsi"/>
                <w:sz w:val="18"/>
                <w:szCs w:val="18"/>
              </w:rPr>
              <w:t>TC 313</w:t>
            </w:r>
            <w:r w:rsidR="009963DC">
              <w:rPr>
                <w:rFonts w:cstheme="minorHAnsi"/>
                <w:sz w:val="18"/>
                <w:szCs w:val="18"/>
              </w:rPr>
              <w:t xml:space="preserve"> </w:t>
            </w:r>
            <w:r w:rsidR="009963DC">
              <w:rPr>
                <w:rFonts w:cstheme="minorHAnsi"/>
                <w:sz w:val="18"/>
                <w:szCs w:val="18"/>
              </w:rPr>
              <w:noBreakHyphen/>
              <w:t xml:space="preserve"> </w:t>
            </w:r>
            <w:r w:rsidRPr="008E43D9">
              <w:rPr>
                <w:rFonts w:cstheme="minorHAnsi"/>
                <w:sz w:val="18"/>
                <w:szCs w:val="18"/>
              </w:rPr>
              <w:t>Metropolitan improvement rates</w:t>
            </w:r>
          </w:p>
          <w:p w:rsidR="00886A8C" w:rsidRPr="008E43D9" w:rsidRDefault="00886A8C" w:rsidP="00FF539A">
            <w:pPr>
              <w:pStyle w:val="TableRowNormal"/>
              <w:spacing w:after="80"/>
              <w:ind w:left="0" w:firstLine="0"/>
              <w:jc w:val="left"/>
              <w:rPr>
                <w:rFonts w:cstheme="minorHAnsi"/>
                <w:sz w:val="18"/>
                <w:szCs w:val="18"/>
              </w:rPr>
            </w:pPr>
            <w:r>
              <w:rPr>
                <w:rFonts w:cstheme="minorHAnsi"/>
                <w:sz w:val="18"/>
                <w:szCs w:val="18"/>
              </w:rPr>
              <w:t xml:space="preserve">TC 314 </w:t>
            </w:r>
            <w:r>
              <w:rPr>
                <w:rFonts w:cstheme="minorHAnsi"/>
                <w:sz w:val="18"/>
                <w:szCs w:val="18"/>
              </w:rPr>
              <w:noBreakHyphen/>
              <w:t xml:space="preserve"> </w:t>
            </w:r>
            <w:r w:rsidRPr="008E43D9">
              <w:rPr>
                <w:rFonts w:cstheme="minorHAnsi"/>
                <w:sz w:val="18"/>
                <w:szCs w:val="18"/>
              </w:rPr>
              <w:t>Property owner’s contributions to fire brigades</w:t>
            </w:r>
          </w:p>
        </w:tc>
      </w:tr>
      <w:tr w:rsidR="00886A8C" w:rsidRPr="008E43D9" w:rsidTr="00275086">
        <w:trPr>
          <w:cantSplit/>
        </w:trPr>
        <w:tc>
          <w:tcPr>
            <w:tcW w:w="513" w:type="pct"/>
          </w:tcPr>
          <w:p w:rsidR="00886A8C" w:rsidRPr="008E43D9" w:rsidRDefault="00886A8C" w:rsidP="005864CF">
            <w:pPr>
              <w:pStyle w:val="CGCTableStub"/>
              <w:spacing w:after="80"/>
              <w:rPr>
                <w:rFonts w:cstheme="minorHAnsi"/>
                <w:sz w:val="18"/>
                <w:szCs w:val="18"/>
              </w:rPr>
            </w:pPr>
            <w:r w:rsidRPr="008E43D9">
              <w:rPr>
                <w:rFonts w:cstheme="minorHAnsi"/>
                <w:sz w:val="18"/>
                <w:szCs w:val="18"/>
              </w:rPr>
              <w:t>230  Stamp duty</w:t>
            </w:r>
          </w:p>
        </w:tc>
        <w:tc>
          <w:tcPr>
            <w:tcW w:w="3106" w:type="pct"/>
          </w:tcPr>
          <w:p w:rsidR="00886A8C" w:rsidRPr="008E43D9" w:rsidRDefault="00886A8C" w:rsidP="00FF539A">
            <w:pPr>
              <w:pStyle w:val="TableRowNormal"/>
              <w:spacing w:after="80"/>
              <w:ind w:left="0" w:firstLine="0"/>
              <w:jc w:val="left"/>
              <w:rPr>
                <w:rFonts w:cstheme="minorHAnsi"/>
                <w:sz w:val="18"/>
                <w:szCs w:val="18"/>
              </w:rPr>
            </w:pPr>
            <w:r w:rsidRPr="008E43D9">
              <w:rPr>
                <w:rFonts w:cstheme="minorHAnsi"/>
                <w:sz w:val="18"/>
                <w:szCs w:val="18"/>
              </w:rPr>
              <w:t>This category includes stamp duties raised upon the transfer of ownership of property and motor vehicles. More specifically, the category includes:</w:t>
            </w:r>
          </w:p>
          <w:p w:rsidR="00886A8C" w:rsidRPr="00E502EC" w:rsidRDefault="00886A8C" w:rsidP="00886A8C">
            <w:pPr>
              <w:pStyle w:val="ListParagraph"/>
              <w:numPr>
                <w:ilvl w:val="0"/>
                <w:numId w:val="40"/>
              </w:numPr>
              <w:spacing w:line="240" w:lineRule="auto"/>
              <w:ind w:left="284" w:hanging="284"/>
              <w:rPr>
                <w:sz w:val="18"/>
                <w:szCs w:val="18"/>
              </w:rPr>
            </w:pPr>
            <w:r w:rsidRPr="00E502EC">
              <w:rPr>
                <w:sz w:val="18"/>
                <w:szCs w:val="18"/>
              </w:rPr>
              <w:t>stamp duties on the transfer of real estate, business and other property, including those from the sale of major government assets and corporate reconstructions</w:t>
            </w:r>
          </w:p>
          <w:p w:rsidR="00886A8C" w:rsidRPr="008E43D9" w:rsidRDefault="00886A8C" w:rsidP="00886A8C">
            <w:pPr>
              <w:pStyle w:val="ListParagraph"/>
              <w:numPr>
                <w:ilvl w:val="0"/>
                <w:numId w:val="40"/>
              </w:numPr>
              <w:spacing w:line="240" w:lineRule="auto"/>
              <w:ind w:left="284" w:hanging="284"/>
              <w:rPr>
                <w:rFonts w:cstheme="minorHAnsi"/>
                <w:sz w:val="18"/>
                <w:szCs w:val="18"/>
              </w:rPr>
            </w:pPr>
            <w:proofErr w:type="gramStart"/>
            <w:r>
              <w:rPr>
                <w:sz w:val="18"/>
                <w:szCs w:val="18"/>
              </w:rPr>
              <w:t>s</w:t>
            </w:r>
            <w:r w:rsidRPr="00E502EC">
              <w:rPr>
                <w:sz w:val="18"/>
                <w:szCs w:val="18"/>
              </w:rPr>
              <w:t>tamp</w:t>
            </w:r>
            <w:proofErr w:type="gramEnd"/>
            <w:r w:rsidRPr="00E502EC">
              <w:rPr>
                <w:sz w:val="18"/>
                <w:szCs w:val="18"/>
              </w:rPr>
              <w:t xml:space="preserve"> duties imposed on motor vehicle registration and transfers.</w:t>
            </w:r>
          </w:p>
        </w:tc>
        <w:tc>
          <w:tcPr>
            <w:tcW w:w="1381" w:type="pct"/>
          </w:tcPr>
          <w:p w:rsidR="00886A8C" w:rsidRPr="008E43D9" w:rsidRDefault="00886A8C" w:rsidP="00FF539A">
            <w:pPr>
              <w:pStyle w:val="TableRowNormal"/>
              <w:spacing w:after="80"/>
              <w:ind w:left="0" w:firstLine="0"/>
              <w:jc w:val="left"/>
              <w:rPr>
                <w:rFonts w:cstheme="minorHAnsi"/>
                <w:sz w:val="18"/>
                <w:szCs w:val="18"/>
              </w:rPr>
            </w:pPr>
            <w:r>
              <w:rPr>
                <w:rFonts w:cstheme="minorHAnsi"/>
                <w:sz w:val="18"/>
                <w:szCs w:val="18"/>
              </w:rPr>
              <w:t xml:space="preserve">TC 334 </w:t>
            </w:r>
            <w:r>
              <w:rPr>
                <w:rFonts w:cstheme="minorHAnsi"/>
                <w:sz w:val="18"/>
                <w:szCs w:val="18"/>
              </w:rPr>
              <w:noBreakHyphen/>
            </w:r>
            <w:r w:rsidRPr="008E43D9">
              <w:rPr>
                <w:rFonts w:cstheme="minorHAnsi"/>
                <w:sz w:val="18"/>
                <w:szCs w:val="18"/>
              </w:rPr>
              <w:t xml:space="preserve"> Stamp duties on conveyances</w:t>
            </w:r>
          </w:p>
          <w:p w:rsidR="00886A8C" w:rsidRPr="008E43D9" w:rsidRDefault="00886A8C" w:rsidP="00FF539A">
            <w:pPr>
              <w:pStyle w:val="TableRowNormal"/>
              <w:spacing w:after="80"/>
              <w:ind w:left="0" w:firstLine="0"/>
              <w:jc w:val="left"/>
              <w:rPr>
                <w:rFonts w:cstheme="minorHAnsi"/>
                <w:sz w:val="18"/>
                <w:szCs w:val="18"/>
              </w:rPr>
            </w:pPr>
            <w:r>
              <w:rPr>
                <w:rFonts w:cstheme="minorHAnsi"/>
                <w:sz w:val="18"/>
                <w:szCs w:val="18"/>
              </w:rPr>
              <w:t xml:space="preserve">TC 512 </w:t>
            </w:r>
            <w:r>
              <w:rPr>
                <w:rFonts w:cstheme="minorHAnsi"/>
                <w:sz w:val="18"/>
                <w:szCs w:val="18"/>
              </w:rPr>
              <w:noBreakHyphen/>
            </w:r>
            <w:r w:rsidRPr="008E43D9">
              <w:rPr>
                <w:rFonts w:cstheme="minorHAnsi"/>
                <w:sz w:val="18"/>
                <w:szCs w:val="18"/>
              </w:rPr>
              <w:t xml:space="preserve"> Stamp duty on vehicle registration</w:t>
            </w:r>
          </w:p>
        </w:tc>
      </w:tr>
      <w:tr w:rsidR="00886A8C" w:rsidRPr="008E43D9" w:rsidTr="00275086">
        <w:trPr>
          <w:cantSplit/>
        </w:trPr>
        <w:tc>
          <w:tcPr>
            <w:tcW w:w="513" w:type="pct"/>
          </w:tcPr>
          <w:p w:rsidR="00886A8C" w:rsidRPr="008E43D9" w:rsidRDefault="00886A8C" w:rsidP="005864CF">
            <w:pPr>
              <w:pStyle w:val="CGCTableStub"/>
              <w:spacing w:after="80" w:line="240" w:lineRule="auto"/>
              <w:rPr>
                <w:rFonts w:cstheme="minorHAnsi"/>
                <w:sz w:val="18"/>
                <w:szCs w:val="18"/>
              </w:rPr>
            </w:pPr>
            <w:r w:rsidRPr="008E43D9">
              <w:rPr>
                <w:rFonts w:cstheme="minorHAnsi"/>
                <w:sz w:val="18"/>
                <w:szCs w:val="18"/>
              </w:rPr>
              <w:t>240  Insurance tax</w:t>
            </w:r>
          </w:p>
        </w:tc>
        <w:tc>
          <w:tcPr>
            <w:tcW w:w="3106" w:type="pct"/>
          </w:tcPr>
          <w:p w:rsidR="00886A8C" w:rsidRPr="008E43D9" w:rsidRDefault="00886A8C" w:rsidP="00FF539A">
            <w:pPr>
              <w:pStyle w:val="TableRowNormal"/>
              <w:spacing w:after="80"/>
              <w:ind w:left="0" w:firstLine="0"/>
              <w:jc w:val="left"/>
              <w:rPr>
                <w:rFonts w:cstheme="minorHAnsi"/>
                <w:sz w:val="18"/>
                <w:szCs w:val="18"/>
              </w:rPr>
            </w:pPr>
            <w:r w:rsidRPr="008E43D9">
              <w:rPr>
                <w:rFonts w:cstheme="minorHAnsi"/>
                <w:sz w:val="18"/>
                <w:szCs w:val="18"/>
              </w:rPr>
              <w:t>This category includes taxes levied on the premiums of a range of insurance products (such as life, general and compulsory third party motor vehicle insurance) and emergency service levies collected from policy holders by some States.</w:t>
            </w:r>
          </w:p>
          <w:p w:rsidR="00886A8C" w:rsidRPr="008E43D9" w:rsidRDefault="00886A8C" w:rsidP="00FF539A">
            <w:pPr>
              <w:pStyle w:val="TableRowNormal"/>
              <w:spacing w:after="80"/>
              <w:ind w:left="0" w:firstLine="0"/>
              <w:jc w:val="left"/>
              <w:rPr>
                <w:rFonts w:cstheme="minorHAnsi"/>
                <w:sz w:val="18"/>
                <w:szCs w:val="18"/>
              </w:rPr>
            </w:pPr>
            <w:r w:rsidRPr="008E43D9">
              <w:rPr>
                <w:rFonts w:cstheme="minorHAnsi"/>
                <w:sz w:val="18"/>
                <w:szCs w:val="18"/>
              </w:rPr>
              <w:t>The category excludes ambulance levies (offset against Health expenses).</w:t>
            </w:r>
          </w:p>
        </w:tc>
        <w:tc>
          <w:tcPr>
            <w:tcW w:w="1381" w:type="pct"/>
          </w:tcPr>
          <w:p w:rsidR="00886A8C" w:rsidRPr="008E43D9" w:rsidRDefault="00886A8C" w:rsidP="00FF539A">
            <w:pPr>
              <w:pStyle w:val="TableRowNormal"/>
              <w:spacing w:after="80"/>
              <w:ind w:left="0" w:firstLine="0"/>
              <w:jc w:val="left"/>
              <w:rPr>
                <w:rFonts w:cstheme="minorHAnsi"/>
                <w:sz w:val="18"/>
                <w:szCs w:val="18"/>
              </w:rPr>
            </w:pPr>
            <w:r>
              <w:rPr>
                <w:rFonts w:cstheme="minorHAnsi"/>
                <w:sz w:val="18"/>
                <w:szCs w:val="18"/>
              </w:rPr>
              <w:t xml:space="preserve">TC 451 - </w:t>
            </w:r>
            <w:r w:rsidRPr="008E43D9">
              <w:rPr>
                <w:rFonts w:cstheme="minorHAnsi"/>
                <w:sz w:val="18"/>
                <w:szCs w:val="18"/>
              </w:rPr>
              <w:t>Insurance companies’ contributions to fire brigades</w:t>
            </w:r>
          </w:p>
          <w:p w:rsidR="00886A8C" w:rsidRPr="008E43D9" w:rsidRDefault="00886A8C" w:rsidP="00FF539A">
            <w:pPr>
              <w:pStyle w:val="TableRowNormal"/>
              <w:spacing w:after="80"/>
              <w:ind w:left="0" w:firstLine="0"/>
              <w:jc w:val="left"/>
              <w:rPr>
                <w:rFonts w:cstheme="minorHAnsi"/>
                <w:sz w:val="18"/>
                <w:szCs w:val="18"/>
              </w:rPr>
            </w:pPr>
            <w:r>
              <w:rPr>
                <w:rFonts w:cstheme="minorHAnsi"/>
                <w:sz w:val="18"/>
                <w:szCs w:val="18"/>
              </w:rPr>
              <w:t xml:space="preserve">TC 452 - </w:t>
            </w:r>
            <w:r w:rsidRPr="008E43D9">
              <w:rPr>
                <w:rFonts w:cstheme="minorHAnsi"/>
                <w:sz w:val="18"/>
                <w:szCs w:val="18"/>
              </w:rPr>
              <w:t xml:space="preserve">Third party insurance taxes </w:t>
            </w:r>
          </w:p>
          <w:p w:rsidR="00886A8C" w:rsidRPr="008E43D9" w:rsidRDefault="00886A8C" w:rsidP="00FF539A">
            <w:pPr>
              <w:pStyle w:val="TableRowNormal"/>
              <w:spacing w:after="80"/>
              <w:ind w:left="0" w:firstLine="0"/>
              <w:jc w:val="left"/>
              <w:rPr>
                <w:rFonts w:cstheme="minorHAnsi"/>
                <w:sz w:val="18"/>
                <w:szCs w:val="18"/>
              </w:rPr>
            </w:pPr>
            <w:r>
              <w:rPr>
                <w:rFonts w:cstheme="minorHAnsi"/>
                <w:sz w:val="18"/>
                <w:szCs w:val="18"/>
              </w:rPr>
              <w:t xml:space="preserve">TC 459 - </w:t>
            </w:r>
            <w:r w:rsidRPr="008E43D9">
              <w:rPr>
                <w:rFonts w:cstheme="minorHAnsi"/>
                <w:sz w:val="18"/>
                <w:szCs w:val="18"/>
              </w:rPr>
              <w:t>Taxes on insurance not elsewhere classified (</w:t>
            </w:r>
            <w:proofErr w:type="spellStart"/>
            <w:r w:rsidRPr="008E43D9">
              <w:rPr>
                <w:rFonts w:cstheme="minorHAnsi"/>
                <w:sz w:val="18"/>
                <w:szCs w:val="18"/>
              </w:rPr>
              <w:t>n.e.c</w:t>
            </w:r>
            <w:proofErr w:type="spellEnd"/>
            <w:r w:rsidRPr="008E43D9">
              <w:rPr>
                <w:rFonts w:cstheme="minorHAnsi"/>
                <w:sz w:val="18"/>
                <w:szCs w:val="18"/>
              </w:rPr>
              <w:t>.)</w:t>
            </w:r>
          </w:p>
        </w:tc>
      </w:tr>
      <w:tr w:rsidR="00886A8C" w:rsidRPr="008E43D9" w:rsidTr="00B71A91">
        <w:trPr>
          <w:cantSplit/>
        </w:trPr>
        <w:tc>
          <w:tcPr>
            <w:tcW w:w="513" w:type="pct"/>
          </w:tcPr>
          <w:p w:rsidR="00886A8C" w:rsidRPr="008E43D9" w:rsidRDefault="00886A8C" w:rsidP="005864CF">
            <w:pPr>
              <w:pStyle w:val="CGCTableStub"/>
              <w:spacing w:after="80"/>
              <w:rPr>
                <w:rFonts w:cstheme="minorHAnsi"/>
                <w:sz w:val="18"/>
                <w:szCs w:val="18"/>
              </w:rPr>
            </w:pPr>
            <w:r w:rsidRPr="008E43D9">
              <w:rPr>
                <w:rFonts w:cstheme="minorHAnsi"/>
                <w:sz w:val="18"/>
                <w:szCs w:val="18"/>
              </w:rPr>
              <w:t>250  Motor taxes</w:t>
            </w:r>
          </w:p>
        </w:tc>
        <w:tc>
          <w:tcPr>
            <w:tcW w:w="3106" w:type="pct"/>
          </w:tcPr>
          <w:p w:rsidR="00886A8C" w:rsidRPr="008E43D9" w:rsidRDefault="00886A8C" w:rsidP="00FF539A">
            <w:pPr>
              <w:pStyle w:val="TableRowNormal"/>
              <w:spacing w:after="80"/>
              <w:ind w:left="0" w:firstLine="0"/>
              <w:jc w:val="left"/>
              <w:rPr>
                <w:rFonts w:cstheme="minorHAnsi"/>
                <w:sz w:val="18"/>
                <w:szCs w:val="18"/>
              </w:rPr>
            </w:pPr>
            <w:r w:rsidRPr="008E43D9">
              <w:rPr>
                <w:rFonts w:cstheme="minorHAnsi"/>
                <w:sz w:val="18"/>
                <w:szCs w:val="18"/>
              </w:rPr>
              <w:t>This category includes annual motor vehicle registration, fire and emergency levies imposed on motor vehicles, traffic improvement and number plate fees, and revenues raised by the Commonwealth under its Federal Interstate Registration Scheme (FIRS).</w:t>
            </w:r>
          </w:p>
          <w:p w:rsidR="00886A8C" w:rsidRPr="008E43D9" w:rsidRDefault="00886A8C" w:rsidP="00FF539A">
            <w:pPr>
              <w:pStyle w:val="TableRowNormal"/>
              <w:spacing w:after="80"/>
              <w:ind w:left="0" w:firstLine="0"/>
              <w:jc w:val="left"/>
              <w:rPr>
                <w:rFonts w:cstheme="minorHAnsi"/>
                <w:sz w:val="18"/>
                <w:szCs w:val="18"/>
              </w:rPr>
            </w:pPr>
            <w:r w:rsidRPr="008E43D9">
              <w:rPr>
                <w:rFonts w:cstheme="minorHAnsi"/>
                <w:sz w:val="18"/>
                <w:szCs w:val="18"/>
              </w:rPr>
              <w:t xml:space="preserve"> It excludes stamp duty on motor vehicle transfers, duty collected on compulsory third party insurance premiums, driver licence and permit fees.</w:t>
            </w:r>
          </w:p>
        </w:tc>
        <w:tc>
          <w:tcPr>
            <w:tcW w:w="1381" w:type="pct"/>
          </w:tcPr>
          <w:p w:rsidR="00886A8C" w:rsidRPr="008E43D9" w:rsidRDefault="00886A8C" w:rsidP="00FF539A">
            <w:pPr>
              <w:pStyle w:val="TableRowNormal"/>
              <w:spacing w:after="80"/>
              <w:ind w:left="0" w:firstLine="0"/>
              <w:jc w:val="left"/>
              <w:rPr>
                <w:rFonts w:cstheme="minorHAnsi"/>
                <w:sz w:val="18"/>
                <w:szCs w:val="18"/>
              </w:rPr>
            </w:pPr>
            <w:r>
              <w:rPr>
                <w:rFonts w:cstheme="minorHAnsi"/>
                <w:sz w:val="18"/>
                <w:szCs w:val="18"/>
              </w:rPr>
              <w:t xml:space="preserve">TC 514 - </w:t>
            </w:r>
            <w:r w:rsidRPr="008E43D9">
              <w:rPr>
                <w:rFonts w:cstheme="minorHAnsi"/>
                <w:sz w:val="18"/>
                <w:szCs w:val="18"/>
              </w:rPr>
              <w:t>Road transport and maintenance taxes</w:t>
            </w:r>
          </w:p>
          <w:p w:rsidR="00886A8C" w:rsidRPr="008E43D9" w:rsidRDefault="00886A8C" w:rsidP="00FF539A">
            <w:pPr>
              <w:pStyle w:val="TableRowNormal"/>
              <w:spacing w:after="80"/>
              <w:ind w:left="0" w:firstLine="0"/>
              <w:jc w:val="left"/>
              <w:rPr>
                <w:rFonts w:cstheme="minorHAnsi"/>
                <w:sz w:val="18"/>
                <w:szCs w:val="18"/>
              </w:rPr>
            </w:pPr>
            <w:r>
              <w:rPr>
                <w:rFonts w:cstheme="minorHAnsi"/>
                <w:sz w:val="18"/>
                <w:szCs w:val="18"/>
              </w:rPr>
              <w:t xml:space="preserve">TC 515 - </w:t>
            </w:r>
            <w:r w:rsidRPr="008E43D9">
              <w:rPr>
                <w:rFonts w:cstheme="minorHAnsi"/>
                <w:sz w:val="18"/>
                <w:szCs w:val="18"/>
              </w:rPr>
              <w:t>Heavy vehicle registration fees and taxes</w:t>
            </w:r>
          </w:p>
          <w:p w:rsidR="00886A8C" w:rsidRPr="008E43D9" w:rsidRDefault="00886A8C" w:rsidP="00FF539A">
            <w:pPr>
              <w:pStyle w:val="TableRowNormal"/>
              <w:spacing w:after="80"/>
              <w:ind w:left="0" w:firstLine="0"/>
              <w:jc w:val="left"/>
              <w:rPr>
                <w:rFonts w:cstheme="minorHAnsi"/>
                <w:sz w:val="18"/>
                <w:szCs w:val="18"/>
              </w:rPr>
            </w:pPr>
            <w:r>
              <w:rPr>
                <w:rFonts w:cstheme="minorHAnsi"/>
                <w:sz w:val="18"/>
                <w:szCs w:val="18"/>
              </w:rPr>
              <w:t xml:space="preserve">TC 516 - </w:t>
            </w:r>
            <w:r w:rsidRPr="008E43D9">
              <w:rPr>
                <w:rFonts w:cstheme="minorHAnsi"/>
                <w:sz w:val="18"/>
                <w:szCs w:val="18"/>
              </w:rPr>
              <w:t>Other vehicle registration fees and taxes</w:t>
            </w:r>
          </w:p>
        </w:tc>
      </w:tr>
      <w:tr w:rsidR="00886A8C" w:rsidRPr="008E43D9" w:rsidTr="00B71A91">
        <w:trPr>
          <w:cantSplit/>
        </w:trPr>
        <w:tc>
          <w:tcPr>
            <w:tcW w:w="513" w:type="pct"/>
            <w:tcBorders>
              <w:bottom w:val="single" w:sz="4" w:space="0" w:color="auto"/>
            </w:tcBorders>
          </w:tcPr>
          <w:p w:rsidR="00886A8C" w:rsidRPr="008E43D9" w:rsidRDefault="00886A8C" w:rsidP="005864CF">
            <w:pPr>
              <w:pStyle w:val="CGCTableStub"/>
              <w:spacing w:after="80" w:line="240" w:lineRule="auto"/>
              <w:rPr>
                <w:rFonts w:cstheme="minorHAnsi"/>
                <w:sz w:val="18"/>
                <w:szCs w:val="18"/>
              </w:rPr>
            </w:pPr>
            <w:r w:rsidRPr="008E43D9">
              <w:rPr>
                <w:rFonts w:cstheme="minorHAnsi"/>
                <w:sz w:val="18"/>
                <w:szCs w:val="18"/>
              </w:rPr>
              <w:t>260  Mining</w:t>
            </w:r>
            <w:r>
              <w:rPr>
                <w:rFonts w:cstheme="minorHAnsi"/>
                <w:sz w:val="18"/>
                <w:szCs w:val="18"/>
              </w:rPr>
              <w:t xml:space="preserve"> </w:t>
            </w:r>
            <w:r w:rsidRPr="008E43D9">
              <w:rPr>
                <w:rFonts w:cstheme="minorHAnsi"/>
                <w:sz w:val="18"/>
                <w:szCs w:val="18"/>
              </w:rPr>
              <w:t>revenue</w:t>
            </w:r>
          </w:p>
        </w:tc>
        <w:tc>
          <w:tcPr>
            <w:tcW w:w="3106" w:type="pct"/>
            <w:tcBorders>
              <w:bottom w:val="single" w:sz="4" w:space="0" w:color="auto"/>
            </w:tcBorders>
          </w:tcPr>
          <w:p w:rsidR="00886A8C" w:rsidRPr="008E43D9" w:rsidRDefault="00886A8C" w:rsidP="00FF539A">
            <w:pPr>
              <w:pStyle w:val="TableRowNormal"/>
              <w:spacing w:after="80"/>
              <w:ind w:left="0" w:firstLine="0"/>
              <w:jc w:val="left"/>
              <w:rPr>
                <w:rFonts w:cstheme="minorHAnsi"/>
                <w:sz w:val="18"/>
                <w:szCs w:val="18"/>
              </w:rPr>
            </w:pPr>
            <w:r w:rsidRPr="008E43D9">
              <w:rPr>
                <w:rFonts w:cstheme="minorHAnsi"/>
                <w:sz w:val="18"/>
                <w:szCs w:val="18"/>
              </w:rPr>
              <w:t>This category includes royalties levied on mining production. Royalties represent a payment to the owners of a resource for the right to sell, dispose of, or use the resource.</w:t>
            </w:r>
          </w:p>
          <w:p w:rsidR="00886A8C" w:rsidRPr="008E43D9" w:rsidRDefault="00886A8C" w:rsidP="00FF539A">
            <w:pPr>
              <w:pStyle w:val="TableRowNormal"/>
              <w:spacing w:after="80"/>
              <w:ind w:left="0" w:firstLine="0"/>
              <w:jc w:val="left"/>
              <w:rPr>
                <w:rFonts w:cstheme="minorHAnsi"/>
                <w:sz w:val="18"/>
                <w:szCs w:val="18"/>
              </w:rPr>
            </w:pPr>
            <w:r w:rsidRPr="008E43D9">
              <w:rPr>
                <w:rFonts w:cstheme="minorHAnsi"/>
                <w:sz w:val="18"/>
                <w:szCs w:val="18"/>
              </w:rPr>
              <w:t xml:space="preserve">It also includes grants in lieu of </w:t>
            </w:r>
            <w:proofErr w:type="gramStart"/>
            <w:r w:rsidRPr="008E43D9">
              <w:rPr>
                <w:rFonts w:cstheme="minorHAnsi"/>
                <w:sz w:val="18"/>
                <w:szCs w:val="18"/>
              </w:rPr>
              <w:t>royalties</w:t>
            </w:r>
            <w:proofErr w:type="gramEnd"/>
            <w:r w:rsidRPr="008E43D9">
              <w:rPr>
                <w:rFonts w:cstheme="minorHAnsi"/>
                <w:sz w:val="18"/>
                <w:szCs w:val="18"/>
              </w:rPr>
              <w:t xml:space="preserve"> payments from the Commonwealth under revenue sharing arrangements. Western Australia receives a payment in relation to royalties from the offshore oil and gas product (predominantly from the North-West Shelf) and the Northern Territory receives a payment in relation to royalties on uranium.</w:t>
            </w:r>
          </w:p>
        </w:tc>
        <w:tc>
          <w:tcPr>
            <w:tcW w:w="1381" w:type="pct"/>
            <w:tcBorders>
              <w:bottom w:val="single" w:sz="4" w:space="0" w:color="auto"/>
            </w:tcBorders>
          </w:tcPr>
          <w:p w:rsidR="00886A8C" w:rsidRPr="008E43D9" w:rsidRDefault="00886A8C" w:rsidP="00FF539A">
            <w:pPr>
              <w:pStyle w:val="TableRowNormal"/>
              <w:spacing w:after="80"/>
              <w:ind w:left="0" w:firstLine="0"/>
              <w:jc w:val="left"/>
              <w:rPr>
                <w:rFonts w:cstheme="minorHAnsi"/>
                <w:sz w:val="18"/>
                <w:szCs w:val="18"/>
              </w:rPr>
            </w:pPr>
            <w:r>
              <w:rPr>
                <w:rFonts w:cstheme="minorHAnsi"/>
                <w:sz w:val="18"/>
                <w:szCs w:val="18"/>
              </w:rPr>
              <w:t xml:space="preserve"> </w:t>
            </w:r>
            <w:r w:rsidRPr="008E43D9">
              <w:rPr>
                <w:rFonts w:cstheme="minorHAnsi"/>
                <w:sz w:val="18"/>
                <w:szCs w:val="18"/>
              </w:rPr>
              <w:t>ETF</w:t>
            </w:r>
            <w:r w:rsidR="00F3490E">
              <w:rPr>
                <w:rFonts w:cstheme="minorHAnsi"/>
                <w:sz w:val="18"/>
                <w:szCs w:val="18"/>
              </w:rPr>
              <w:t xml:space="preserve"> 1136 - </w:t>
            </w:r>
            <w:r w:rsidRPr="008E43D9">
              <w:rPr>
                <w:rFonts w:cstheme="minorHAnsi"/>
                <w:sz w:val="18"/>
                <w:szCs w:val="18"/>
              </w:rPr>
              <w:t>Royalty income</w:t>
            </w:r>
          </w:p>
        </w:tc>
      </w:tr>
      <w:tr w:rsidR="00886A8C" w:rsidRPr="008E43D9" w:rsidTr="00B71A91">
        <w:trPr>
          <w:cantSplit/>
        </w:trPr>
        <w:tc>
          <w:tcPr>
            <w:tcW w:w="513" w:type="pct"/>
            <w:tcBorders>
              <w:top w:val="single" w:sz="4" w:space="0" w:color="auto"/>
              <w:bottom w:val="single" w:sz="4" w:space="0" w:color="auto"/>
            </w:tcBorders>
          </w:tcPr>
          <w:p w:rsidR="00886A8C" w:rsidRPr="008E43D9" w:rsidRDefault="00886A8C" w:rsidP="005864CF">
            <w:pPr>
              <w:pStyle w:val="CGCTableStub"/>
              <w:spacing w:after="80"/>
              <w:rPr>
                <w:rFonts w:cstheme="minorHAnsi"/>
                <w:sz w:val="18"/>
                <w:szCs w:val="18"/>
              </w:rPr>
            </w:pPr>
            <w:r w:rsidRPr="008E43D9">
              <w:rPr>
                <w:rFonts w:cstheme="minorHAnsi"/>
                <w:sz w:val="18"/>
                <w:szCs w:val="18"/>
              </w:rPr>
              <w:lastRenderedPageBreak/>
              <w:t>270  Other revenue</w:t>
            </w:r>
          </w:p>
        </w:tc>
        <w:tc>
          <w:tcPr>
            <w:tcW w:w="3106" w:type="pct"/>
            <w:tcBorders>
              <w:top w:val="single" w:sz="4" w:space="0" w:color="auto"/>
              <w:bottom w:val="single" w:sz="4" w:space="0" w:color="auto"/>
            </w:tcBorders>
          </w:tcPr>
          <w:p w:rsidR="00886A8C" w:rsidRPr="008E43D9" w:rsidRDefault="00886A8C" w:rsidP="00FF539A">
            <w:pPr>
              <w:pStyle w:val="TableRowNormal"/>
              <w:spacing w:after="80"/>
              <w:ind w:left="0" w:firstLine="0"/>
              <w:jc w:val="left"/>
              <w:rPr>
                <w:rFonts w:cstheme="minorHAnsi"/>
                <w:sz w:val="18"/>
                <w:szCs w:val="18"/>
              </w:rPr>
            </w:pPr>
            <w:r w:rsidRPr="008E43D9">
              <w:rPr>
                <w:rFonts w:cstheme="minorHAnsi"/>
                <w:sz w:val="18"/>
                <w:szCs w:val="18"/>
              </w:rPr>
              <w:t>This category covers the revenues not separately assessed in other revenue categories. More specifically, the category includes:</w:t>
            </w:r>
          </w:p>
          <w:p w:rsidR="00886A8C" w:rsidRPr="000F12C8" w:rsidRDefault="00886A8C" w:rsidP="00886A8C">
            <w:pPr>
              <w:pStyle w:val="ListParagraph"/>
              <w:numPr>
                <w:ilvl w:val="0"/>
                <w:numId w:val="40"/>
              </w:numPr>
              <w:spacing w:line="240" w:lineRule="auto"/>
              <w:ind w:left="284" w:hanging="284"/>
              <w:rPr>
                <w:sz w:val="18"/>
                <w:szCs w:val="18"/>
              </w:rPr>
            </w:pPr>
            <w:r w:rsidRPr="000F12C8">
              <w:rPr>
                <w:sz w:val="18"/>
                <w:szCs w:val="18"/>
              </w:rPr>
              <w:t>gambling taxation</w:t>
            </w:r>
          </w:p>
          <w:p w:rsidR="00886A8C" w:rsidRPr="000F12C8" w:rsidRDefault="00886A8C" w:rsidP="00886A8C">
            <w:pPr>
              <w:pStyle w:val="ListParagraph"/>
              <w:numPr>
                <w:ilvl w:val="0"/>
                <w:numId w:val="40"/>
              </w:numPr>
              <w:spacing w:line="240" w:lineRule="auto"/>
              <w:ind w:left="284" w:hanging="284"/>
              <w:rPr>
                <w:sz w:val="18"/>
                <w:szCs w:val="18"/>
              </w:rPr>
            </w:pPr>
            <w:r w:rsidRPr="000F12C8">
              <w:rPr>
                <w:sz w:val="18"/>
                <w:szCs w:val="18"/>
              </w:rPr>
              <w:t>fees and fines</w:t>
            </w:r>
          </w:p>
          <w:p w:rsidR="00886A8C" w:rsidRPr="000F12C8" w:rsidRDefault="00886A8C" w:rsidP="00886A8C">
            <w:pPr>
              <w:pStyle w:val="ListParagraph"/>
              <w:numPr>
                <w:ilvl w:val="0"/>
                <w:numId w:val="40"/>
              </w:numPr>
              <w:spacing w:line="240" w:lineRule="auto"/>
              <w:ind w:left="284" w:hanging="284"/>
              <w:rPr>
                <w:sz w:val="18"/>
                <w:szCs w:val="18"/>
              </w:rPr>
            </w:pPr>
            <w:r w:rsidRPr="000F12C8">
              <w:rPr>
                <w:sz w:val="18"/>
                <w:szCs w:val="18"/>
              </w:rPr>
              <w:t>user charges other than those from the provision of  services for post-secondary education, health, housing, mining and minerals other than fuels, water supply, sanitation and protection of the environment, electricity and public transport</w:t>
            </w:r>
          </w:p>
          <w:p w:rsidR="00886A8C" w:rsidRPr="000F12C8" w:rsidRDefault="00886A8C" w:rsidP="00886A8C">
            <w:pPr>
              <w:pStyle w:val="ListParagraph"/>
              <w:numPr>
                <w:ilvl w:val="0"/>
                <w:numId w:val="40"/>
              </w:numPr>
              <w:spacing w:line="240" w:lineRule="auto"/>
              <w:ind w:left="284" w:hanging="284"/>
              <w:rPr>
                <w:sz w:val="18"/>
                <w:szCs w:val="18"/>
              </w:rPr>
            </w:pPr>
            <w:r w:rsidRPr="000F12C8">
              <w:rPr>
                <w:sz w:val="18"/>
                <w:szCs w:val="18"/>
              </w:rPr>
              <w:t>interest and dividend income</w:t>
            </w:r>
          </w:p>
          <w:p w:rsidR="00886A8C" w:rsidRPr="000F12C8" w:rsidRDefault="00886A8C" w:rsidP="00886A8C">
            <w:pPr>
              <w:pStyle w:val="ListParagraph"/>
              <w:numPr>
                <w:ilvl w:val="0"/>
                <w:numId w:val="40"/>
              </w:numPr>
              <w:spacing w:line="240" w:lineRule="auto"/>
              <w:ind w:left="284" w:hanging="284"/>
              <w:rPr>
                <w:sz w:val="18"/>
                <w:szCs w:val="18"/>
              </w:rPr>
            </w:pPr>
            <w:r w:rsidRPr="000F12C8">
              <w:rPr>
                <w:sz w:val="18"/>
                <w:szCs w:val="18"/>
              </w:rPr>
              <w:t>contributions by trading enterprises</w:t>
            </w:r>
          </w:p>
          <w:p w:rsidR="00886A8C" w:rsidRPr="000F12C8" w:rsidRDefault="00886A8C" w:rsidP="00886A8C">
            <w:pPr>
              <w:pStyle w:val="ListParagraph"/>
              <w:numPr>
                <w:ilvl w:val="0"/>
                <w:numId w:val="40"/>
              </w:numPr>
              <w:spacing w:line="240" w:lineRule="auto"/>
              <w:ind w:left="284" w:hanging="284"/>
              <w:rPr>
                <w:sz w:val="18"/>
                <w:szCs w:val="18"/>
              </w:rPr>
            </w:pPr>
            <w:proofErr w:type="gramStart"/>
            <w:r w:rsidRPr="000F12C8">
              <w:rPr>
                <w:sz w:val="18"/>
                <w:szCs w:val="18"/>
              </w:rPr>
              <w:t>other</w:t>
            </w:r>
            <w:proofErr w:type="gramEnd"/>
            <w:r w:rsidRPr="000F12C8">
              <w:rPr>
                <w:sz w:val="18"/>
                <w:szCs w:val="18"/>
              </w:rPr>
              <w:t xml:space="preserve"> (such as minor taxes, capital revenue not elsewhere classified (</w:t>
            </w:r>
            <w:proofErr w:type="spellStart"/>
            <w:r w:rsidRPr="000F12C8">
              <w:rPr>
                <w:sz w:val="18"/>
                <w:szCs w:val="18"/>
              </w:rPr>
              <w:t>n.e.c</w:t>
            </w:r>
            <w:proofErr w:type="spellEnd"/>
            <w:r w:rsidRPr="000F12C8">
              <w:rPr>
                <w:sz w:val="18"/>
                <w:szCs w:val="18"/>
              </w:rPr>
              <w:t>.), revenue from assets acquired below fair value).</w:t>
            </w:r>
          </w:p>
          <w:p w:rsidR="00886A8C" w:rsidRPr="008E43D9" w:rsidRDefault="00886A8C" w:rsidP="00FF539A">
            <w:pPr>
              <w:pStyle w:val="TableRowNormal"/>
              <w:spacing w:after="80"/>
              <w:ind w:left="0" w:firstLine="0"/>
              <w:jc w:val="left"/>
              <w:rPr>
                <w:rFonts w:cstheme="minorHAnsi"/>
                <w:sz w:val="18"/>
                <w:szCs w:val="18"/>
              </w:rPr>
            </w:pPr>
            <w:r w:rsidRPr="008E43D9">
              <w:rPr>
                <w:rFonts w:cstheme="minorHAnsi"/>
                <w:sz w:val="18"/>
                <w:szCs w:val="18"/>
              </w:rPr>
              <w:t>The category also includes the net budget balancing transaction, which is the difference between the adjusted budget and the ABS GFS general government outcomes.</w:t>
            </w:r>
          </w:p>
        </w:tc>
        <w:tc>
          <w:tcPr>
            <w:tcW w:w="1381" w:type="pct"/>
            <w:tcBorders>
              <w:top w:val="single" w:sz="4" w:space="0" w:color="auto"/>
              <w:bottom w:val="single" w:sz="4" w:space="0" w:color="auto"/>
            </w:tcBorders>
          </w:tcPr>
          <w:p w:rsidR="00886A8C" w:rsidRPr="008E43D9" w:rsidRDefault="00886A8C" w:rsidP="00FF539A">
            <w:pPr>
              <w:pStyle w:val="TableRowNormal"/>
              <w:spacing w:after="80"/>
              <w:ind w:left="0" w:firstLine="0"/>
              <w:jc w:val="left"/>
              <w:rPr>
                <w:rFonts w:cstheme="minorHAnsi"/>
                <w:sz w:val="18"/>
                <w:szCs w:val="18"/>
              </w:rPr>
            </w:pPr>
            <w:r w:rsidRPr="008E43D9">
              <w:rPr>
                <w:rFonts w:cstheme="minorHAnsi"/>
                <w:sz w:val="18"/>
                <w:szCs w:val="18"/>
              </w:rPr>
              <w:t>Gambling taxes</w:t>
            </w:r>
            <w:r w:rsidR="00484585">
              <w:rPr>
                <w:rFonts w:cstheme="minorHAnsi"/>
                <w:sz w:val="18"/>
                <w:szCs w:val="18"/>
              </w:rPr>
              <w:t xml:space="preserve"> - </w:t>
            </w:r>
            <w:r w:rsidRPr="008E43D9">
              <w:rPr>
                <w:rFonts w:cstheme="minorHAnsi"/>
                <w:sz w:val="18"/>
                <w:szCs w:val="18"/>
              </w:rPr>
              <w:t>TC</w:t>
            </w:r>
            <w:r>
              <w:rPr>
                <w:rFonts w:cstheme="minorHAnsi"/>
                <w:sz w:val="18"/>
                <w:szCs w:val="18"/>
              </w:rPr>
              <w:t xml:space="preserve"> </w:t>
            </w:r>
            <w:r w:rsidRPr="008E43D9">
              <w:rPr>
                <w:rFonts w:cstheme="minorHAnsi"/>
                <w:sz w:val="18"/>
                <w:szCs w:val="18"/>
              </w:rPr>
              <w:t xml:space="preserve">441 government lotteries, 442 private lotteries, 443 gambling devices, 444 casino taxes, 445 race betting, 449 gambling </w:t>
            </w:r>
            <w:proofErr w:type="spellStart"/>
            <w:r w:rsidRPr="008E43D9">
              <w:rPr>
                <w:rFonts w:cstheme="minorHAnsi"/>
                <w:sz w:val="18"/>
                <w:szCs w:val="18"/>
              </w:rPr>
              <w:t>n.e.c</w:t>
            </w:r>
            <w:proofErr w:type="spellEnd"/>
            <w:r w:rsidRPr="008E43D9">
              <w:rPr>
                <w:rFonts w:cstheme="minorHAnsi"/>
                <w:sz w:val="18"/>
                <w:szCs w:val="18"/>
              </w:rPr>
              <w:t>.</w:t>
            </w:r>
          </w:p>
          <w:p w:rsidR="00886A8C" w:rsidRPr="008E43D9" w:rsidRDefault="00886A8C" w:rsidP="00FF539A">
            <w:pPr>
              <w:pStyle w:val="TableRowNormal"/>
              <w:spacing w:after="80"/>
              <w:ind w:left="0" w:firstLine="0"/>
              <w:jc w:val="left"/>
              <w:rPr>
                <w:rFonts w:cstheme="minorHAnsi"/>
                <w:sz w:val="18"/>
                <w:szCs w:val="18"/>
              </w:rPr>
            </w:pPr>
            <w:r w:rsidRPr="008E43D9">
              <w:rPr>
                <w:rFonts w:cstheme="minorHAnsi"/>
                <w:sz w:val="18"/>
                <w:szCs w:val="18"/>
              </w:rPr>
              <w:t xml:space="preserve">Other user charges </w:t>
            </w:r>
            <w:r w:rsidR="00484585">
              <w:rPr>
                <w:rFonts w:cstheme="minorHAnsi"/>
                <w:sz w:val="18"/>
                <w:szCs w:val="18"/>
              </w:rPr>
              <w:t>-</w:t>
            </w:r>
            <w:r>
              <w:rPr>
                <w:rFonts w:cstheme="minorHAnsi"/>
                <w:sz w:val="18"/>
                <w:szCs w:val="18"/>
              </w:rPr>
              <w:t xml:space="preserve"> </w:t>
            </w:r>
            <w:r w:rsidRPr="008E43D9">
              <w:rPr>
                <w:rFonts w:cstheme="minorHAnsi"/>
                <w:sz w:val="18"/>
                <w:szCs w:val="18"/>
              </w:rPr>
              <w:t xml:space="preserve">ETF1120 Sales </w:t>
            </w:r>
            <w:r w:rsidR="00BA282B">
              <w:rPr>
                <w:rFonts w:cstheme="minorHAnsi"/>
                <w:sz w:val="18"/>
                <w:szCs w:val="18"/>
              </w:rPr>
              <w:t>of goods and services, all GPCs</w:t>
            </w:r>
            <w:r w:rsidRPr="008E43D9">
              <w:rPr>
                <w:rFonts w:cstheme="minorHAnsi"/>
                <w:sz w:val="18"/>
                <w:szCs w:val="18"/>
              </w:rPr>
              <w:t xml:space="preserve"> except for Post-secondary education (GPC 0421, 0422, 0429, 1331), Health (GPC 0511, 0512, 0520, 0530, 0541, 0542, 0549, 0550, 0560,</w:t>
            </w:r>
            <w:r w:rsidR="00BA282B">
              <w:rPr>
                <w:rFonts w:cstheme="minorHAnsi"/>
                <w:sz w:val="18"/>
                <w:szCs w:val="18"/>
              </w:rPr>
              <w:t xml:space="preserve"> 0570, 0590), Housing (GPC 0711</w:t>
            </w:r>
            <w:r w:rsidRPr="008E43D9">
              <w:rPr>
                <w:rFonts w:cstheme="minorHAnsi"/>
                <w:sz w:val="18"/>
                <w:szCs w:val="18"/>
              </w:rPr>
              <w:t>), Electricity, water, sanitation and environment (GPC 0721, 0729, 0731, 0739, 0921, 0922, 0929</w:t>
            </w:r>
            <w:r w:rsidR="0061508C">
              <w:rPr>
                <w:rFonts w:cstheme="minorHAnsi"/>
                <w:sz w:val="18"/>
                <w:szCs w:val="18"/>
              </w:rPr>
              <w:t>),</w:t>
            </w:r>
            <w:r w:rsidRPr="008E43D9">
              <w:rPr>
                <w:rFonts w:cstheme="minorHAnsi"/>
                <w:sz w:val="18"/>
                <w:szCs w:val="18"/>
              </w:rPr>
              <w:t xml:space="preserve"> Transport (GPC 1221, 1222, 1223, 1231, 1232, 1233, 1241, 1249, 1281, 1289).</w:t>
            </w:r>
          </w:p>
          <w:p w:rsidR="00886A8C" w:rsidRPr="008E43D9" w:rsidRDefault="00886A8C" w:rsidP="00FF539A">
            <w:pPr>
              <w:pStyle w:val="TableRowNormal"/>
              <w:spacing w:after="80"/>
              <w:ind w:left="0" w:firstLine="0"/>
              <w:jc w:val="left"/>
              <w:rPr>
                <w:rFonts w:cstheme="minorHAnsi"/>
                <w:sz w:val="18"/>
                <w:szCs w:val="18"/>
              </w:rPr>
            </w:pPr>
            <w:r w:rsidRPr="008E43D9">
              <w:rPr>
                <w:rFonts w:cstheme="minorHAnsi"/>
                <w:sz w:val="18"/>
                <w:szCs w:val="18"/>
              </w:rPr>
              <w:t>ETF 1131</w:t>
            </w:r>
            <w:r>
              <w:rPr>
                <w:rFonts w:cstheme="minorHAnsi"/>
                <w:sz w:val="18"/>
                <w:szCs w:val="18"/>
              </w:rPr>
              <w:t xml:space="preserve"> </w:t>
            </w:r>
            <w:r w:rsidR="00484585">
              <w:rPr>
                <w:rFonts w:cstheme="minorHAnsi"/>
                <w:sz w:val="18"/>
                <w:szCs w:val="18"/>
              </w:rPr>
              <w:t>-</w:t>
            </w:r>
            <w:r>
              <w:rPr>
                <w:rFonts w:cstheme="minorHAnsi"/>
                <w:sz w:val="18"/>
                <w:szCs w:val="18"/>
              </w:rPr>
              <w:t xml:space="preserve"> </w:t>
            </w:r>
            <w:r w:rsidRPr="008E43D9">
              <w:rPr>
                <w:rFonts w:cstheme="minorHAnsi"/>
                <w:sz w:val="18"/>
                <w:szCs w:val="18"/>
              </w:rPr>
              <w:t>Interest income</w:t>
            </w:r>
          </w:p>
          <w:p w:rsidR="00886A8C" w:rsidRPr="008E43D9" w:rsidRDefault="00886A8C" w:rsidP="00FF539A">
            <w:pPr>
              <w:pStyle w:val="TableRowNormal"/>
              <w:spacing w:after="80"/>
              <w:ind w:left="0" w:firstLine="0"/>
              <w:jc w:val="left"/>
              <w:rPr>
                <w:rFonts w:cstheme="minorHAnsi"/>
                <w:sz w:val="18"/>
                <w:szCs w:val="18"/>
              </w:rPr>
            </w:pPr>
            <w:r>
              <w:rPr>
                <w:rFonts w:cstheme="minorHAnsi"/>
                <w:sz w:val="18"/>
                <w:szCs w:val="18"/>
              </w:rPr>
              <w:t xml:space="preserve">ETF 1132 </w:t>
            </w:r>
            <w:r w:rsidR="00484585">
              <w:rPr>
                <w:rFonts w:cstheme="minorHAnsi"/>
                <w:sz w:val="18"/>
                <w:szCs w:val="18"/>
              </w:rPr>
              <w:t xml:space="preserve">- </w:t>
            </w:r>
            <w:r w:rsidRPr="008E43D9">
              <w:rPr>
                <w:rFonts w:cstheme="minorHAnsi"/>
                <w:sz w:val="18"/>
                <w:szCs w:val="18"/>
              </w:rPr>
              <w:t>Dividend income</w:t>
            </w:r>
          </w:p>
          <w:p w:rsidR="00886A8C" w:rsidRPr="008E43D9" w:rsidRDefault="00286384" w:rsidP="00FF539A">
            <w:pPr>
              <w:pStyle w:val="TableRowNormal"/>
              <w:spacing w:after="80"/>
              <w:ind w:left="0" w:firstLine="0"/>
              <w:jc w:val="left"/>
              <w:rPr>
                <w:rFonts w:cstheme="minorHAnsi"/>
                <w:sz w:val="18"/>
                <w:szCs w:val="18"/>
              </w:rPr>
            </w:pPr>
            <w:r>
              <w:rPr>
                <w:rFonts w:cstheme="minorHAnsi"/>
                <w:sz w:val="18"/>
                <w:szCs w:val="18"/>
              </w:rPr>
              <w:t xml:space="preserve">Other taxes </w:t>
            </w:r>
            <w:r w:rsidR="00484585">
              <w:rPr>
                <w:rFonts w:cstheme="minorHAnsi"/>
                <w:sz w:val="18"/>
                <w:szCs w:val="18"/>
              </w:rPr>
              <w:t>- T</w:t>
            </w:r>
            <w:r w:rsidR="00886A8C" w:rsidRPr="008E43D9">
              <w:rPr>
                <w:rFonts w:cstheme="minorHAnsi"/>
                <w:sz w:val="18"/>
                <w:szCs w:val="18"/>
              </w:rPr>
              <w:t xml:space="preserve">C312 municipal rates, 319 taxes on immovable property </w:t>
            </w:r>
            <w:proofErr w:type="spellStart"/>
            <w:r w:rsidR="00886A8C" w:rsidRPr="008E43D9">
              <w:rPr>
                <w:rFonts w:cstheme="minorHAnsi"/>
                <w:sz w:val="18"/>
                <w:szCs w:val="18"/>
              </w:rPr>
              <w:t>n.e.c</w:t>
            </w:r>
            <w:proofErr w:type="spellEnd"/>
            <w:r w:rsidR="00886A8C" w:rsidRPr="008E43D9">
              <w:rPr>
                <w:rFonts w:cstheme="minorHAnsi"/>
                <w:sz w:val="18"/>
                <w:szCs w:val="18"/>
              </w:rPr>
              <w:t>., 332 financial institutions transactions taxes, 333 Government borrowing guarantee levies, 335 Stamp duty on shares and marketable securities,</w:t>
            </w:r>
            <w:r w:rsidR="00886A8C" w:rsidRPr="000F12C8">
              <w:rPr>
                <w:rFonts w:cstheme="minorHAnsi"/>
                <w:sz w:val="18"/>
                <w:szCs w:val="18"/>
              </w:rPr>
              <w:t xml:space="preserve"> </w:t>
            </w:r>
            <w:r w:rsidR="00886A8C" w:rsidRPr="008E43D9">
              <w:rPr>
                <w:rFonts w:cstheme="minorHAnsi"/>
                <w:sz w:val="18"/>
                <w:szCs w:val="18"/>
              </w:rPr>
              <w:t xml:space="preserve">336 Other stamp duty on financial and capital transactions, 427 levies on statutory corporations, 521 Gas franchise fees, 522 Petroleum products franchise fees, 523 Tobacco franchise fees, 524 Liquor franchise fees, 539 Other taxes on the use of goods and performance of activities </w:t>
            </w:r>
            <w:proofErr w:type="spellStart"/>
            <w:r w:rsidR="00886A8C" w:rsidRPr="008E43D9">
              <w:rPr>
                <w:rFonts w:cstheme="minorHAnsi"/>
                <w:sz w:val="18"/>
                <w:szCs w:val="18"/>
              </w:rPr>
              <w:t>n.e.c</w:t>
            </w:r>
            <w:proofErr w:type="spellEnd"/>
            <w:r w:rsidR="00886A8C" w:rsidRPr="008E43D9">
              <w:rPr>
                <w:rFonts w:cstheme="minorHAnsi"/>
                <w:sz w:val="18"/>
                <w:szCs w:val="18"/>
              </w:rPr>
              <w:t xml:space="preserve">. </w:t>
            </w:r>
          </w:p>
          <w:p w:rsidR="00886A8C" w:rsidRPr="008E43D9" w:rsidRDefault="00286384" w:rsidP="00484585">
            <w:pPr>
              <w:pStyle w:val="TableRowNormal"/>
              <w:spacing w:after="80"/>
              <w:ind w:left="0" w:firstLine="0"/>
              <w:jc w:val="left"/>
              <w:rPr>
                <w:rFonts w:cstheme="minorHAnsi"/>
                <w:sz w:val="18"/>
                <w:szCs w:val="18"/>
              </w:rPr>
            </w:pPr>
            <w:r>
              <w:rPr>
                <w:rFonts w:cstheme="minorHAnsi"/>
                <w:sz w:val="18"/>
                <w:szCs w:val="18"/>
              </w:rPr>
              <w:t>Other income</w:t>
            </w:r>
            <w:r w:rsidR="00484585">
              <w:rPr>
                <w:rFonts w:cstheme="minorHAnsi"/>
                <w:sz w:val="18"/>
                <w:szCs w:val="18"/>
              </w:rPr>
              <w:t xml:space="preserve"> - E</w:t>
            </w:r>
            <w:r w:rsidR="00886A8C" w:rsidRPr="008E43D9">
              <w:rPr>
                <w:rFonts w:cstheme="minorHAnsi"/>
                <w:sz w:val="18"/>
                <w:szCs w:val="18"/>
              </w:rPr>
              <w:t xml:space="preserve">TF 1133 Income from public enterprises as income tax equivalent, 1134 Income from public enterprises as wholesale sales tax equivalent, 1135 Land rent income, 1146 Fines, 1149 Current revenue </w:t>
            </w:r>
            <w:proofErr w:type="spellStart"/>
            <w:r w:rsidR="00886A8C" w:rsidRPr="008E43D9">
              <w:rPr>
                <w:rFonts w:cstheme="minorHAnsi"/>
                <w:sz w:val="18"/>
                <w:szCs w:val="18"/>
              </w:rPr>
              <w:t>n.e.c</w:t>
            </w:r>
            <w:proofErr w:type="spellEnd"/>
            <w:r w:rsidR="00886A8C" w:rsidRPr="008E43D9">
              <w:rPr>
                <w:rFonts w:cstheme="minorHAnsi"/>
                <w:sz w:val="18"/>
                <w:szCs w:val="18"/>
              </w:rPr>
              <w:t>., 1152 Assets acquired below fair val</w:t>
            </w:r>
            <w:r>
              <w:rPr>
                <w:rFonts w:cstheme="minorHAnsi"/>
                <w:sz w:val="18"/>
                <w:szCs w:val="18"/>
              </w:rPr>
              <w:t xml:space="preserve">ue, 1159 Capital revenue </w:t>
            </w:r>
            <w:proofErr w:type="spellStart"/>
            <w:r>
              <w:rPr>
                <w:rFonts w:cstheme="minorHAnsi"/>
                <w:sz w:val="18"/>
                <w:szCs w:val="18"/>
              </w:rPr>
              <w:t>n.e.c</w:t>
            </w:r>
            <w:proofErr w:type="spellEnd"/>
            <w:r>
              <w:rPr>
                <w:rFonts w:cstheme="minorHAnsi"/>
                <w:sz w:val="18"/>
                <w:szCs w:val="18"/>
              </w:rPr>
              <w:t>.</w:t>
            </w:r>
            <w:r w:rsidR="00886A8C" w:rsidRPr="008E43D9">
              <w:rPr>
                <w:rFonts w:cstheme="minorHAnsi"/>
                <w:sz w:val="18"/>
                <w:szCs w:val="18"/>
              </w:rPr>
              <w:t xml:space="preserve"> </w:t>
            </w:r>
          </w:p>
        </w:tc>
      </w:tr>
    </w:tbl>
    <w:p w:rsidR="00886A8C" w:rsidRPr="00B02001" w:rsidRDefault="00B02001" w:rsidP="00B02001">
      <w:pPr>
        <w:pStyle w:val="CGCTableFootnote"/>
      </w:pPr>
      <w:r>
        <w:t>Note:</w:t>
      </w:r>
      <w:r>
        <w:tab/>
      </w:r>
      <w:r w:rsidR="00886A8C" w:rsidRPr="00B02001">
        <w:t>Name</w:t>
      </w:r>
      <w:r w:rsidRPr="00B02001">
        <w:t>s</w:t>
      </w:r>
      <w:r w:rsidR="00886A8C" w:rsidRPr="00B02001">
        <w:t xml:space="preserve"> of these GPCs can be found in their related expense category definition in </w:t>
      </w:r>
      <w:r w:rsidRPr="00B02001">
        <w:fldChar w:fldCharType="begin"/>
      </w:r>
      <w:r w:rsidRPr="00B02001">
        <w:instrText xml:space="preserve"> REF _Ref411328652 \h </w:instrText>
      </w:r>
      <w:r>
        <w:instrText xml:space="preserve"> \* MERGEFORMAT </w:instrText>
      </w:r>
      <w:r w:rsidRPr="00B02001">
        <w:fldChar w:fldCharType="separate"/>
      </w:r>
      <w:r w:rsidR="007B6A4C">
        <w:t>Table A-2</w:t>
      </w:r>
      <w:r w:rsidRPr="00B02001">
        <w:fldChar w:fldCharType="end"/>
      </w:r>
      <w:r w:rsidRPr="00B02001">
        <w:t>.</w:t>
      </w:r>
    </w:p>
    <w:p w:rsidR="00886A8C" w:rsidRDefault="00886A8C" w:rsidP="00886A8C">
      <w:pPr>
        <w:pStyle w:val="CGCTableFootnote"/>
      </w:pPr>
      <w:r>
        <w:t>Source:</w:t>
      </w:r>
      <w:r>
        <w:tab/>
      </w:r>
      <w:r w:rsidRPr="008E43D9">
        <w:t>ABS GFS definitions.</w:t>
      </w:r>
    </w:p>
    <w:p w:rsidR="00886A8C" w:rsidRDefault="00886A8C" w:rsidP="00886A8C">
      <w:pPr>
        <w:pStyle w:val="CGCTableHeading"/>
      </w:pPr>
      <w:bookmarkStart w:id="24" w:name="_Ref411328652"/>
      <w:r>
        <w:lastRenderedPageBreak/>
        <w:t>Table A-</w:t>
      </w:r>
      <w:fldSimple w:instr=" SEQ Table \* ARABIC ">
        <w:r w:rsidR="007B6A4C">
          <w:rPr>
            <w:noProof/>
          </w:rPr>
          <w:t>2</w:t>
        </w:r>
      </w:fldSimple>
      <w:bookmarkEnd w:id="24"/>
      <w:r>
        <w:tab/>
      </w:r>
      <w:r w:rsidRPr="00DD0A68">
        <w:t>Category definitions for the 2015 Review, Expenses</w:t>
      </w:r>
    </w:p>
    <w:tbl>
      <w:tblPr>
        <w:tblW w:w="5000" w:type="pct"/>
        <w:tblLayout w:type="fixed"/>
        <w:tblCellMar>
          <w:left w:w="85" w:type="dxa"/>
          <w:right w:w="85" w:type="dxa"/>
        </w:tblCellMar>
        <w:tblLook w:val="0000" w:firstRow="0" w:lastRow="0" w:firstColumn="0" w:lastColumn="0" w:noHBand="0" w:noVBand="0"/>
      </w:tblPr>
      <w:tblGrid>
        <w:gridCol w:w="1362"/>
        <w:gridCol w:w="6096"/>
        <w:gridCol w:w="1670"/>
      </w:tblGrid>
      <w:tr w:rsidR="00886A8C" w:rsidRPr="000011B9" w:rsidTr="00275086">
        <w:trPr>
          <w:cantSplit/>
          <w:tblHeader/>
        </w:trPr>
        <w:tc>
          <w:tcPr>
            <w:tcW w:w="746" w:type="pct"/>
            <w:tcBorders>
              <w:top w:val="single" w:sz="6" w:space="0" w:color="auto"/>
              <w:bottom w:val="single" w:sz="4" w:space="0" w:color="auto"/>
            </w:tcBorders>
            <w:vAlign w:val="center"/>
          </w:tcPr>
          <w:p w:rsidR="00886A8C" w:rsidRPr="000011B9" w:rsidRDefault="00886A8C" w:rsidP="00B02001">
            <w:pPr>
              <w:pStyle w:val="CGCTableStub"/>
              <w:ind w:left="142" w:hanging="142"/>
            </w:pPr>
            <w:r w:rsidRPr="000011B9">
              <w:t>Category code</w:t>
            </w:r>
          </w:p>
        </w:tc>
        <w:tc>
          <w:tcPr>
            <w:tcW w:w="3339" w:type="pct"/>
            <w:tcBorders>
              <w:top w:val="single" w:sz="6" w:space="0" w:color="auto"/>
              <w:bottom w:val="single" w:sz="4" w:space="0" w:color="auto"/>
            </w:tcBorders>
            <w:vAlign w:val="center"/>
          </w:tcPr>
          <w:p w:rsidR="00886A8C" w:rsidRPr="000011B9" w:rsidRDefault="00886A8C" w:rsidP="00B02001">
            <w:pPr>
              <w:pStyle w:val="CGCTableStub"/>
            </w:pPr>
            <w:r w:rsidRPr="000011B9">
              <w:t>Definition</w:t>
            </w:r>
          </w:p>
        </w:tc>
        <w:tc>
          <w:tcPr>
            <w:tcW w:w="916" w:type="pct"/>
            <w:tcBorders>
              <w:top w:val="single" w:sz="6" w:space="0" w:color="auto"/>
              <w:bottom w:val="single" w:sz="4" w:space="0" w:color="auto"/>
            </w:tcBorders>
            <w:vAlign w:val="center"/>
          </w:tcPr>
          <w:p w:rsidR="00886A8C" w:rsidRPr="000011B9" w:rsidRDefault="00886A8C" w:rsidP="00B02001">
            <w:pPr>
              <w:pStyle w:val="CGCTableStub"/>
            </w:pPr>
            <w:r w:rsidRPr="000011B9">
              <w:t>ABS Government purpose classification (GPC) Codes</w:t>
            </w:r>
          </w:p>
        </w:tc>
      </w:tr>
      <w:tr w:rsidR="00886A8C" w:rsidRPr="000011B9" w:rsidTr="00B71A91">
        <w:trPr>
          <w:cantSplit/>
        </w:trPr>
        <w:tc>
          <w:tcPr>
            <w:tcW w:w="746" w:type="pct"/>
            <w:tcBorders>
              <w:top w:val="single" w:sz="4" w:space="0" w:color="auto"/>
            </w:tcBorders>
            <w:tcMar>
              <w:top w:w="0" w:type="dxa"/>
              <w:bottom w:w="0" w:type="dxa"/>
            </w:tcMar>
          </w:tcPr>
          <w:p w:rsidR="00886A8C" w:rsidRPr="000F12C8" w:rsidRDefault="00886A8C" w:rsidP="00B02001">
            <w:pPr>
              <w:pStyle w:val="CGCTableStub"/>
              <w:ind w:left="142" w:hanging="142"/>
              <w:rPr>
                <w:sz w:val="18"/>
                <w:szCs w:val="18"/>
              </w:rPr>
            </w:pPr>
            <w:r w:rsidRPr="000F12C8">
              <w:rPr>
                <w:sz w:val="18"/>
                <w:szCs w:val="18"/>
              </w:rPr>
              <w:t>310  Schools education</w:t>
            </w:r>
          </w:p>
        </w:tc>
        <w:tc>
          <w:tcPr>
            <w:tcW w:w="3339" w:type="pct"/>
            <w:tcBorders>
              <w:top w:val="single" w:sz="4" w:space="0" w:color="auto"/>
            </w:tcBorders>
            <w:tcMar>
              <w:top w:w="0" w:type="dxa"/>
              <w:bottom w:w="0" w:type="dxa"/>
            </w:tcMar>
          </w:tcPr>
          <w:p w:rsidR="00886A8C" w:rsidRPr="000F12C8" w:rsidRDefault="00886A8C" w:rsidP="00B02001">
            <w:pPr>
              <w:pStyle w:val="CGCTableStub"/>
              <w:rPr>
                <w:sz w:val="18"/>
                <w:szCs w:val="18"/>
              </w:rPr>
            </w:pPr>
            <w:r w:rsidRPr="000F12C8">
              <w:rPr>
                <w:sz w:val="18"/>
                <w:szCs w:val="18"/>
              </w:rPr>
              <w:t>This category includes State general government recurrent spending on government and non-government pre-schools, primary and secondary schools and student transport services.</w:t>
            </w:r>
          </w:p>
          <w:p w:rsidR="00886A8C" w:rsidRPr="00FF539A" w:rsidRDefault="00886A8C" w:rsidP="00FF539A">
            <w:pPr>
              <w:spacing w:line="240" w:lineRule="auto"/>
              <w:rPr>
                <w:sz w:val="18"/>
                <w:szCs w:val="18"/>
              </w:rPr>
            </w:pPr>
            <w:r w:rsidRPr="00FF539A">
              <w:rPr>
                <w:sz w:val="18"/>
                <w:szCs w:val="18"/>
              </w:rPr>
              <w:t>More specifically, the category includes:</w:t>
            </w:r>
          </w:p>
          <w:p w:rsidR="00886A8C" w:rsidRPr="000F12C8" w:rsidRDefault="00886A8C" w:rsidP="00FF539A">
            <w:pPr>
              <w:pStyle w:val="ListParagraph"/>
              <w:numPr>
                <w:ilvl w:val="0"/>
                <w:numId w:val="40"/>
              </w:numPr>
              <w:spacing w:line="240" w:lineRule="auto"/>
              <w:ind w:left="284" w:hanging="284"/>
              <w:rPr>
                <w:sz w:val="18"/>
                <w:szCs w:val="18"/>
              </w:rPr>
            </w:pPr>
            <w:r w:rsidRPr="000F12C8">
              <w:rPr>
                <w:sz w:val="18"/>
                <w:szCs w:val="18"/>
              </w:rPr>
              <w:t>education programs in preschool and kindergarten (excludes play centres, crèches, day-care centres), primary schools and secondary schools</w:t>
            </w:r>
          </w:p>
          <w:p w:rsidR="00886A8C" w:rsidRPr="000F12C8" w:rsidRDefault="00886A8C" w:rsidP="00FF539A">
            <w:pPr>
              <w:pStyle w:val="ListParagraph"/>
              <w:numPr>
                <w:ilvl w:val="0"/>
                <w:numId w:val="40"/>
              </w:numPr>
              <w:spacing w:line="240" w:lineRule="auto"/>
              <w:ind w:left="284" w:hanging="284"/>
              <w:rPr>
                <w:sz w:val="18"/>
                <w:szCs w:val="18"/>
              </w:rPr>
            </w:pPr>
            <w:r w:rsidRPr="000F12C8">
              <w:rPr>
                <w:sz w:val="18"/>
                <w:szCs w:val="18"/>
              </w:rPr>
              <w:t>special education programs provided by special schools or integrated into mainstream preschool, primary or secondary education, and</w:t>
            </w:r>
          </w:p>
          <w:p w:rsidR="00886A8C" w:rsidRPr="000F12C8" w:rsidRDefault="00886A8C" w:rsidP="00FF539A">
            <w:pPr>
              <w:pStyle w:val="ListParagraph"/>
              <w:numPr>
                <w:ilvl w:val="0"/>
                <w:numId w:val="40"/>
              </w:numPr>
              <w:spacing w:line="240" w:lineRule="auto"/>
              <w:ind w:left="284" w:hanging="284"/>
              <w:rPr>
                <w:sz w:val="18"/>
                <w:szCs w:val="18"/>
              </w:rPr>
            </w:pPr>
            <w:proofErr w:type="gramStart"/>
            <w:r w:rsidRPr="000F12C8">
              <w:rPr>
                <w:sz w:val="18"/>
                <w:szCs w:val="18"/>
              </w:rPr>
              <w:t>transport</w:t>
            </w:r>
            <w:proofErr w:type="gramEnd"/>
            <w:r w:rsidRPr="000F12C8">
              <w:rPr>
                <w:sz w:val="18"/>
                <w:szCs w:val="18"/>
              </w:rPr>
              <w:t xml:space="preserve"> services to students living in urban and non-urban areas, including contract bus services, conveyance allowances to parents and reimbursement of public trading enterprises and private sector bus operators for concessional fares offered to these students.</w:t>
            </w:r>
          </w:p>
          <w:p w:rsidR="00886A8C" w:rsidRPr="000F12C8" w:rsidRDefault="00886A8C" w:rsidP="00B02001">
            <w:pPr>
              <w:pStyle w:val="CGCTableStub"/>
              <w:rPr>
                <w:sz w:val="18"/>
                <w:szCs w:val="18"/>
              </w:rPr>
            </w:pPr>
            <w:r w:rsidRPr="000F12C8">
              <w:rPr>
                <w:sz w:val="18"/>
                <w:szCs w:val="18"/>
              </w:rPr>
              <w:t>Includes superannuation, excludes depreciation, administrative scale expenses.</w:t>
            </w:r>
          </w:p>
          <w:p w:rsidR="00886A8C" w:rsidRPr="000011B9" w:rsidRDefault="00886A8C" w:rsidP="00B02001">
            <w:pPr>
              <w:pStyle w:val="CGCTableStub"/>
            </w:pPr>
            <w:r w:rsidRPr="000F12C8">
              <w:rPr>
                <w:sz w:val="18"/>
                <w:szCs w:val="18"/>
              </w:rPr>
              <w:t>Associated user charges are included in Other revenue.</w:t>
            </w:r>
          </w:p>
        </w:tc>
        <w:tc>
          <w:tcPr>
            <w:tcW w:w="916" w:type="pct"/>
            <w:tcBorders>
              <w:top w:val="single" w:sz="4" w:space="0" w:color="auto"/>
            </w:tcBorders>
            <w:tcMar>
              <w:top w:w="0" w:type="dxa"/>
              <w:bottom w:w="0" w:type="dxa"/>
            </w:tcMar>
          </w:tcPr>
          <w:p w:rsidR="00886A8C" w:rsidRPr="000F12C8" w:rsidRDefault="00886A8C" w:rsidP="00B02001">
            <w:pPr>
              <w:pStyle w:val="CGCTableStub"/>
              <w:rPr>
                <w:sz w:val="18"/>
                <w:szCs w:val="18"/>
              </w:rPr>
            </w:pPr>
            <w:r>
              <w:rPr>
                <w:sz w:val="18"/>
                <w:szCs w:val="18"/>
              </w:rPr>
              <w:t xml:space="preserve">0411 - </w:t>
            </w:r>
            <w:r w:rsidRPr="000F12C8">
              <w:rPr>
                <w:sz w:val="18"/>
                <w:szCs w:val="18"/>
              </w:rPr>
              <w:t>Primary education</w:t>
            </w:r>
          </w:p>
          <w:p w:rsidR="00886A8C" w:rsidRPr="000F12C8" w:rsidRDefault="00886A8C" w:rsidP="00B02001">
            <w:pPr>
              <w:pStyle w:val="CGCTableStub"/>
              <w:rPr>
                <w:sz w:val="18"/>
                <w:szCs w:val="18"/>
              </w:rPr>
            </w:pPr>
            <w:r>
              <w:rPr>
                <w:sz w:val="18"/>
                <w:szCs w:val="18"/>
              </w:rPr>
              <w:t xml:space="preserve">0412 - </w:t>
            </w:r>
            <w:r w:rsidRPr="000F12C8">
              <w:rPr>
                <w:sz w:val="18"/>
                <w:szCs w:val="18"/>
              </w:rPr>
              <w:t>Secondary education</w:t>
            </w:r>
          </w:p>
          <w:p w:rsidR="00886A8C" w:rsidRPr="000F12C8" w:rsidRDefault="00886A8C" w:rsidP="00B02001">
            <w:pPr>
              <w:pStyle w:val="CGCTableStub"/>
              <w:rPr>
                <w:sz w:val="18"/>
                <w:szCs w:val="18"/>
              </w:rPr>
            </w:pPr>
            <w:r>
              <w:rPr>
                <w:sz w:val="18"/>
                <w:szCs w:val="18"/>
              </w:rPr>
              <w:t xml:space="preserve">0419 - </w:t>
            </w:r>
            <w:r w:rsidRPr="000F12C8">
              <w:rPr>
                <w:sz w:val="18"/>
                <w:szCs w:val="18"/>
              </w:rPr>
              <w:t xml:space="preserve">Primary and secondary education </w:t>
            </w:r>
            <w:proofErr w:type="spellStart"/>
            <w:r w:rsidRPr="000F12C8">
              <w:rPr>
                <w:sz w:val="18"/>
                <w:szCs w:val="18"/>
              </w:rPr>
              <w:t>n.e.c</w:t>
            </w:r>
            <w:proofErr w:type="spellEnd"/>
            <w:r w:rsidRPr="000F12C8">
              <w:rPr>
                <w:sz w:val="18"/>
                <w:szCs w:val="18"/>
              </w:rPr>
              <w:t>.</w:t>
            </w:r>
          </w:p>
          <w:p w:rsidR="00886A8C" w:rsidRPr="000F12C8" w:rsidRDefault="00886A8C" w:rsidP="00B02001">
            <w:pPr>
              <w:pStyle w:val="CGCTableStub"/>
              <w:rPr>
                <w:sz w:val="18"/>
                <w:szCs w:val="18"/>
              </w:rPr>
            </w:pPr>
            <w:r>
              <w:rPr>
                <w:sz w:val="18"/>
                <w:szCs w:val="18"/>
              </w:rPr>
              <w:t xml:space="preserve">0431 - </w:t>
            </w:r>
            <w:r w:rsidRPr="000F12C8">
              <w:rPr>
                <w:sz w:val="18"/>
                <w:szCs w:val="18"/>
              </w:rPr>
              <w:t>Preschool education</w:t>
            </w:r>
          </w:p>
          <w:p w:rsidR="00886A8C" w:rsidRPr="000F12C8" w:rsidRDefault="00886A8C" w:rsidP="00B02001">
            <w:pPr>
              <w:pStyle w:val="CGCTableStub"/>
              <w:rPr>
                <w:sz w:val="18"/>
                <w:szCs w:val="18"/>
              </w:rPr>
            </w:pPr>
            <w:r>
              <w:rPr>
                <w:sz w:val="18"/>
                <w:szCs w:val="18"/>
              </w:rPr>
              <w:t xml:space="preserve">0432 - </w:t>
            </w:r>
            <w:r w:rsidRPr="000F12C8">
              <w:rPr>
                <w:sz w:val="18"/>
                <w:szCs w:val="18"/>
              </w:rPr>
              <w:t>Special education</w:t>
            </w:r>
          </w:p>
          <w:p w:rsidR="00886A8C" w:rsidRPr="000F12C8" w:rsidRDefault="00886A8C" w:rsidP="00B02001">
            <w:pPr>
              <w:pStyle w:val="CGCTableStub"/>
              <w:rPr>
                <w:sz w:val="18"/>
                <w:szCs w:val="18"/>
              </w:rPr>
            </w:pPr>
            <w:r>
              <w:rPr>
                <w:sz w:val="18"/>
                <w:szCs w:val="18"/>
              </w:rPr>
              <w:t xml:space="preserve">0439 - </w:t>
            </w:r>
            <w:r w:rsidRPr="000F12C8">
              <w:rPr>
                <w:sz w:val="18"/>
                <w:szCs w:val="18"/>
              </w:rPr>
              <w:t>Other education not definable by level</w:t>
            </w:r>
          </w:p>
          <w:p w:rsidR="00886A8C" w:rsidRPr="000F12C8" w:rsidRDefault="00886A8C" w:rsidP="00B02001">
            <w:pPr>
              <w:pStyle w:val="CGCTableStub"/>
              <w:rPr>
                <w:sz w:val="18"/>
                <w:szCs w:val="18"/>
              </w:rPr>
            </w:pPr>
            <w:r>
              <w:rPr>
                <w:sz w:val="18"/>
                <w:szCs w:val="18"/>
              </w:rPr>
              <w:t xml:space="preserve">0441 - </w:t>
            </w:r>
            <w:r w:rsidRPr="000F12C8">
              <w:rPr>
                <w:sz w:val="18"/>
                <w:szCs w:val="18"/>
              </w:rPr>
              <w:t>Transportation of non-urban school students</w:t>
            </w:r>
          </w:p>
          <w:p w:rsidR="00886A8C" w:rsidRPr="000F12C8" w:rsidRDefault="00886A8C" w:rsidP="00B02001">
            <w:pPr>
              <w:pStyle w:val="CGCTableStub"/>
              <w:rPr>
                <w:sz w:val="18"/>
                <w:szCs w:val="18"/>
              </w:rPr>
            </w:pPr>
            <w:r>
              <w:rPr>
                <w:sz w:val="18"/>
                <w:szCs w:val="18"/>
              </w:rPr>
              <w:t xml:space="preserve">0449 - </w:t>
            </w:r>
            <w:r w:rsidRPr="000F12C8">
              <w:rPr>
                <w:sz w:val="18"/>
                <w:szCs w:val="18"/>
              </w:rPr>
              <w:t>Transportation of other students</w:t>
            </w:r>
          </w:p>
          <w:p w:rsidR="00886A8C" w:rsidRPr="000011B9" w:rsidRDefault="00886A8C" w:rsidP="00B02001">
            <w:pPr>
              <w:pStyle w:val="CGCTableStub"/>
            </w:pPr>
            <w:r>
              <w:rPr>
                <w:sz w:val="18"/>
                <w:szCs w:val="18"/>
              </w:rPr>
              <w:t xml:space="preserve">0490 - </w:t>
            </w:r>
            <w:r w:rsidRPr="000F12C8">
              <w:rPr>
                <w:sz w:val="18"/>
                <w:szCs w:val="18"/>
              </w:rPr>
              <w:t xml:space="preserve">Education </w:t>
            </w:r>
            <w:proofErr w:type="spellStart"/>
            <w:r w:rsidRPr="000F12C8">
              <w:rPr>
                <w:sz w:val="18"/>
                <w:szCs w:val="18"/>
              </w:rPr>
              <w:t>n.e.c</w:t>
            </w:r>
            <w:proofErr w:type="spellEnd"/>
            <w:r w:rsidRPr="000F12C8">
              <w:rPr>
                <w:sz w:val="18"/>
                <w:szCs w:val="18"/>
              </w:rPr>
              <w:t>.</w:t>
            </w:r>
          </w:p>
        </w:tc>
      </w:tr>
      <w:tr w:rsidR="00886A8C" w:rsidRPr="000011B9" w:rsidTr="00B71A91">
        <w:trPr>
          <w:cantSplit/>
        </w:trPr>
        <w:tc>
          <w:tcPr>
            <w:tcW w:w="746" w:type="pct"/>
            <w:tcBorders>
              <w:bottom w:val="single" w:sz="4" w:space="0" w:color="auto"/>
            </w:tcBorders>
          </w:tcPr>
          <w:p w:rsidR="00886A8C" w:rsidRPr="000F12C8" w:rsidRDefault="00886A8C" w:rsidP="00B02001">
            <w:pPr>
              <w:pStyle w:val="CGCTableStub"/>
              <w:ind w:left="142" w:hanging="142"/>
              <w:rPr>
                <w:sz w:val="18"/>
                <w:szCs w:val="18"/>
              </w:rPr>
            </w:pPr>
            <w:r w:rsidRPr="000F12C8">
              <w:rPr>
                <w:sz w:val="18"/>
                <w:szCs w:val="18"/>
              </w:rPr>
              <w:t>320  Post-secondary education</w:t>
            </w:r>
          </w:p>
        </w:tc>
        <w:tc>
          <w:tcPr>
            <w:tcW w:w="3339" w:type="pct"/>
            <w:tcBorders>
              <w:bottom w:val="single" w:sz="4" w:space="0" w:color="auto"/>
            </w:tcBorders>
          </w:tcPr>
          <w:p w:rsidR="00886A8C" w:rsidRPr="00FC3C59" w:rsidRDefault="00886A8C" w:rsidP="00B02001">
            <w:pPr>
              <w:pStyle w:val="CGCTableStub"/>
              <w:rPr>
                <w:sz w:val="18"/>
                <w:szCs w:val="18"/>
              </w:rPr>
            </w:pPr>
            <w:r w:rsidRPr="00FC3C59">
              <w:rPr>
                <w:sz w:val="18"/>
                <w:szCs w:val="18"/>
              </w:rPr>
              <w:t xml:space="preserve">This category includes State general government recurrent spending on vocational education training (VET) and higher education. </w:t>
            </w:r>
          </w:p>
          <w:p w:rsidR="00886A8C" w:rsidRPr="00FC3C59" w:rsidRDefault="00886A8C" w:rsidP="00B02001">
            <w:pPr>
              <w:pStyle w:val="CGCTableStub"/>
              <w:rPr>
                <w:sz w:val="18"/>
                <w:szCs w:val="18"/>
              </w:rPr>
            </w:pPr>
            <w:r w:rsidRPr="00FC3C59">
              <w:rPr>
                <w:sz w:val="18"/>
                <w:szCs w:val="18"/>
              </w:rPr>
              <w:t>More specifically, the category includes:</w:t>
            </w:r>
          </w:p>
          <w:p w:rsidR="00886A8C" w:rsidRPr="000F12C8" w:rsidRDefault="00886A8C" w:rsidP="00FF539A">
            <w:pPr>
              <w:pStyle w:val="ListParagraph"/>
              <w:numPr>
                <w:ilvl w:val="0"/>
                <w:numId w:val="40"/>
              </w:numPr>
              <w:spacing w:line="240" w:lineRule="auto"/>
              <w:ind w:left="284" w:hanging="284"/>
              <w:rPr>
                <w:sz w:val="18"/>
                <w:szCs w:val="18"/>
              </w:rPr>
            </w:pPr>
            <w:r w:rsidRPr="000F12C8">
              <w:rPr>
                <w:sz w:val="18"/>
                <w:szCs w:val="18"/>
              </w:rPr>
              <w:t>VET services provided by public technical and further education (TAFE) institutes and privately run registered training organisations (RTOs)</w:t>
            </w:r>
          </w:p>
          <w:p w:rsidR="00886A8C" w:rsidRPr="000F12C8" w:rsidRDefault="00886A8C" w:rsidP="00FF539A">
            <w:pPr>
              <w:pStyle w:val="ListParagraph"/>
              <w:numPr>
                <w:ilvl w:val="0"/>
                <w:numId w:val="40"/>
              </w:numPr>
              <w:spacing w:line="240" w:lineRule="auto"/>
              <w:ind w:left="284" w:hanging="284"/>
              <w:rPr>
                <w:sz w:val="18"/>
                <w:szCs w:val="18"/>
              </w:rPr>
            </w:pPr>
            <w:proofErr w:type="gramStart"/>
            <w:r w:rsidRPr="000F12C8">
              <w:rPr>
                <w:sz w:val="18"/>
                <w:szCs w:val="18"/>
              </w:rPr>
              <w:t>higher</w:t>
            </w:r>
            <w:proofErr w:type="gramEnd"/>
            <w:r w:rsidRPr="000F12C8">
              <w:rPr>
                <w:sz w:val="18"/>
                <w:szCs w:val="18"/>
              </w:rPr>
              <w:t xml:space="preserve"> education services provided by universities.</w:t>
            </w:r>
          </w:p>
          <w:p w:rsidR="00886A8C" w:rsidRPr="00FC3C59" w:rsidRDefault="00886A8C" w:rsidP="00B02001">
            <w:pPr>
              <w:pStyle w:val="CGCTableStub"/>
              <w:rPr>
                <w:sz w:val="18"/>
                <w:szCs w:val="18"/>
              </w:rPr>
            </w:pPr>
            <w:r w:rsidRPr="00FC3C59">
              <w:rPr>
                <w:sz w:val="18"/>
                <w:szCs w:val="18"/>
              </w:rPr>
              <w:t>Includes superannuation, excludes depreciation, administrative scale expenses.</w:t>
            </w:r>
          </w:p>
          <w:p w:rsidR="00886A8C" w:rsidRPr="000011B9" w:rsidRDefault="00886A8C" w:rsidP="00B02001">
            <w:pPr>
              <w:pStyle w:val="CGCTableStub"/>
            </w:pPr>
            <w:r>
              <w:rPr>
                <w:sz w:val="18"/>
                <w:szCs w:val="18"/>
              </w:rPr>
              <w:t>Associated user charges are deducted</w:t>
            </w:r>
            <w:r w:rsidRPr="00FC3C59">
              <w:rPr>
                <w:sz w:val="18"/>
                <w:szCs w:val="18"/>
              </w:rPr>
              <w:t xml:space="preserve"> from the expenses.</w:t>
            </w:r>
          </w:p>
        </w:tc>
        <w:tc>
          <w:tcPr>
            <w:tcW w:w="916" w:type="pct"/>
            <w:tcBorders>
              <w:bottom w:val="single" w:sz="4" w:space="0" w:color="auto"/>
            </w:tcBorders>
          </w:tcPr>
          <w:p w:rsidR="00886A8C" w:rsidRPr="000F12C8" w:rsidRDefault="00886A8C" w:rsidP="00B02001">
            <w:pPr>
              <w:pStyle w:val="CGCTableStub"/>
              <w:rPr>
                <w:sz w:val="18"/>
                <w:szCs w:val="18"/>
              </w:rPr>
            </w:pPr>
            <w:r>
              <w:rPr>
                <w:sz w:val="18"/>
                <w:szCs w:val="18"/>
              </w:rPr>
              <w:t xml:space="preserve">0421 - </w:t>
            </w:r>
            <w:r w:rsidRPr="000F12C8">
              <w:rPr>
                <w:sz w:val="18"/>
                <w:szCs w:val="18"/>
              </w:rPr>
              <w:t>University education</w:t>
            </w:r>
          </w:p>
          <w:p w:rsidR="00886A8C" w:rsidRPr="000F12C8" w:rsidRDefault="00886A8C" w:rsidP="00B02001">
            <w:pPr>
              <w:pStyle w:val="CGCTableStub"/>
              <w:rPr>
                <w:sz w:val="18"/>
                <w:szCs w:val="18"/>
              </w:rPr>
            </w:pPr>
            <w:r>
              <w:rPr>
                <w:sz w:val="18"/>
                <w:szCs w:val="18"/>
              </w:rPr>
              <w:t xml:space="preserve">0422 - </w:t>
            </w:r>
            <w:r w:rsidRPr="000F12C8">
              <w:rPr>
                <w:sz w:val="18"/>
                <w:szCs w:val="18"/>
              </w:rPr>
              <w:t>Technical and further education</w:t>
            </w:r>
          </w:p>
          <w:p w:rsidR="00886A8C" w:rsidRPr="000F12C8" w:rsidRDefault="00886A8C" w:rsidP="00B02001">
            <w:pPr>
              <w:pStyle w:val="CGCTableStub"/>
              <w:rPr>
                <w:sz w:val="18"/>
                <w:szCs w:val="18"/>
              </w:rPr>
            </w:pPr>
            <w:r>
              <w:rPr>
                <w:sz w:val="18"/>
                <w:szCs w:val="18"/>
              </w:rPr>
              <w:t xml:space="preserve">0429 - </w:t>
            </w:r>
            <w:r w:rsidRPr="000F12C8">
              <w:rPr>
                <w:sz w:val="18"/>
                <w:szCs w:val="18"/>
              </w:rPr>
              <w:t xml:space="preserve">Tertiary education </w:t>
            </w:r>
            <w:proofErr w:type="spellStart"/>
            <w:r w:rsidRPr="000F12C8">
              <w:rPr>
                <w:sz w:val="18"/>
                <w:szCs w:val="18"/>
              </w:rPr>
              <w:t>n.e.c</w:t>
            </w:r>
            <w:proofErr w:type="spellEnd"/>
            <w:r w:rsidRPr="000F12C8">
              <w:rPr>
                <w:sz w:val="18"/>
                <w:szCs w:val="18"/>
              </w:rPr>
              <w:t>.</w:t>
            </w:r>
          </w:p>
          <w:p w:rsidR="00886A8C" w:rsidRPr="000F12C8" w:rsidRDefault="00886A8C" w:rsidP="00B02001">
            <w:pPr>
              <w:pStyle w:val="CGCTableStub"/>
              <w:rPr>
                <w:sz w:val="18"/>
                <w:szCs w:val="18"/>
              </w:rPr>
            </w:pPr>
            <w:r>
              <w:rPr>
                <w:sz w:val="18"/>
                <w:szCs w:val="18"/>
              </w:rPr>
              <w:t xml:space="preserve">1331 - </w:t>
            </w:r>
            <w:r w:rsidRPr="000F12C8">
              <w:rPr>
                <w:sz w:val="18"/>
                <w:szCs w:val="18"/>
              </w:rPr>
              <w:t>Vocational training</w:t>
            </w:r>
          </w:p>
        </w:tc>
      </w:tr>
      <w:tr w:rsidR="00886A8C" w:rsidRPr="000011B9" w:rsidTr="009963DC">
        <w:trPr>
          <w:cantSplit/>
        </w:trPr>
        <w:tc>
          <w:tcPr>
            <w:tcW w:w="746" w:type="pct"/>
            <w:tcBorders>
              <w:top w:val="single" w:sz="4" w:space="0" w:color="auto"/>
              <w:bottom w:val="single" w:sz="4" w:space="0" w:color="auto"/>
            </w:tcBorders>
          </w:tcPr>
          <w:p w:rsidR="00886A8C" w:rsidRPr="000F12C8" w:rsidRDefault="00886A8C" w:rsidP="00B02001">
            <w:pPr>
              <w:pStyle w:val="CGCTableStub"/>
              <w:ind w:left="142" w:hanging="142"/>
              <w:rPr>
                <w:sz w:val="18"/>
                <w:szCs w:val="18"/>
              </w:rPr>
            </w:pPr>
            <w:r w:rsidRPr="000F12C8">
              <w:rPr>
                <w:sz w:val="18"/>
                <w:szCs w:val="18"/>
              </w:rPr>
              <w:lastRenderedPageBreak/>
              <w:t>415 Health</w:t>
            </w:r>
          </w:p>
        </w:tc>
        <w:tc>
          <w:tcPr>
            <w:tcW w:w="3339" w:type="pct"/>
            <w:tcBorders>
              <w:top w:val="single" w:sz="4" w:space="0" w:color="auto"/>
              <w:bottom w:val="single" w:sz="4" w:space="0" w:color="auto"/>
            </w:tcBorders>
          </w:tcPr>
          <w:p w:rsidR="00886A8C" w:rsidRPr="00FC3C59" w:rsidRDefault="00886A8C" w:rsidP="00B02001">
            <w:pPr>
              <w:pStyle w:val="CGCTableStub"/>
              <w:rPr>
                <w:sz w:val="18"/>
                <w:szCs w:val="18"/>
              </w:rPr>
            </w:pPr>
            <w:r w:rsidRPr="00FC3C59">
              <w:rPr>
                <w:sz w:val="18"/>
                <w:szCs w:val="18"/>
              </w:rPr>
              <w:t>This category includes State general government recurrent spending on public hospitals and community and public health services.</w:t>
            </w:r>
          </w:p>
          <w:p w:rsidR="00886A8C" w:rsidRPr="00FC3C59" w:rsidRDefault="00886A8C" w:rsidP="00B02001">
            <w:pPr>
              <w:pStyle w:val="CGCTableStub"/>
              <w:rPr>
                <w:sz w:val="18"/>
                <w:szCs w:val="18"/>
              </w:rPr>
            </w:pPr>
            <w:r w:rsidRPr="00FC3C59">
              <w:rPr>
                <w:sz w:val="18"/>
                <w:szCs w:val="18"/>
              </w:rPr>
              <w:t>More specifically, the category includes:</w:t>
            </w:r>
          </w:p>
          <w:p w:rsidR="00886A8C" w:rsidRPr="00FC3C59" w:rsidRDefault="00886A8C" w:rsidP="006A50E5">
            <w:pPr>
              <w:pStyle w:val="ListParagraph"/>
              <w:numPr>
                <w:ilvl w:val="0"/>
                <w:numId w:val="40"/>
              </w:numPr>
              <w:spacing w:line="240" w:lineRule="auto"/>
              <w:ind w:left="284" w:hanging="284"/>
              <w:rPr>
                <w:sz w:val="18"/>
                <w:szCs w:val="18"/>
              </w:rPr>
            </w:pPr>
            <w:r w:rsidRPr="00FC3C59">
              <w:rPr>
                <w:sz w:val="18"/>
                <w:szCs w:val="18"/>
              </w:rPr>
              <w:t>admitted patient services — acute and non-acute medical care and treatment for public patients admitted in public hospitals and public patients treated in private hospitals</w:t>
            </w:r>
          </w:p>
          <w:p w:rsidR="00886A8C" w:rsidRPr="00FC3C59" w:rsidRDefault="00886A8C" w:rsidP="006A50E5">
            <w:pPr>
              <w:pStyle w:val="ListParagraph"/>
              <w:numPr>
                <w:ilvl w:val="0"/>
                <w:numId w:val="40"/>
              </w:numPr>
              <w:spacing w:line="240" w:lineRule="auto"/>
              <w:ind w:left="284" w:hanging="284"/>
              <w:rPr>
                <w:sz w:val="18"/>
                <w:szCs w:val="18"/>
              </w:rPr>
            </w:pPr>
            <w:r w:rsidRPr="00FC3C59">
              <w:rPr>
                <w:sz w:val="18"/>
                <w:szCs w:val="18"/>
              </w:rPr>
              <w:t>emergency departments – all emergency care delivered to patients at public hospitals</w:t>
            </w:r>
          </w:p>
          <w:p w:rsidR="00886A8C" w:rsidRPr="00FC3C59" w:rsidRDefault="00886A8C" w:rsidP="006A50E5">
            <w:pPr>
              <w:pStyle w:val="ListParagraph"/>
              <w:numPr>
                <w:ilvl w:val="0"/>
                <w:numId w:val="40"/>
              </w:numPr>
              <w:spacing w:line="240" w:lineRule="auto"/>
              <w:ind w:left="284" w:hanging="284"/>
              <w:rPr>
                <w:sz w:val="18"/>
                <w:szCs w:val="18"/>
              </w:rPr>
            </w:pPr>
            <w:r w:rsidRPr="00FC3C59">
              <w:rPr>
                <w:sz w:val="18"/>
                <w:szCs w:val="18"/>
              </w:rPr>
              <w:t>other non-admitted patient services – all outpatient type services provided at public hospitals such as obstetrics, gynaecology, cardiology, pathology, and radiology and imaging services</w:t>
            </w:r>
          </w:p>
          <w:p w:rsidR="00886A8C" w:rsidRPr="00FC3C59" w:rsidRDefault="00886A8C" w:rsidP="006A50E5">
            <w:pPr>
              <w:pStyle w:val="ListParagraph"/>
              <w:numPr>
                <w:ilvl w:val="0"/>
                <w:numId w:val="40"/>
              </w:numPr>
              <w:spacing w:line="240" w:lineRule="auto"/>
              <w:ind w:left="284" w:hanging="284"/>
              <w:rPr>
                <w:sz w:val="18"/>
                <w:szCs w:val="18"/>
              </w:rPr>
            </w:pPr>
            <w:r w:rsidRPr="00FC3C59">
              <w:rPr>
                <w:sz w:val="18"/>
                <w:szCs w:val="18"/>
              </w:rPr>
              <w:t>non-hospital patient transport – aero-medical ambulance services and the reimbursement of costs through Patient Assisted Travel Schemes</w:t>
            </w:r>
          </w:p>
          <w:p w:rsidR="00886A8C" w:rsidRPr="00FC3C59" w:rsidRDefault="00886A8C" w:rsidP="006A50E5">
            <w:pPr>
              <w:pStyle w:val="ListParagraph"/>
              <w:numPr>
                <w:ilvl w:val="0"/>
                <w:numId w:val="40"/>
              </w:numPr>
              <w:spacing w:line="240" w:lineRule="auto"/>
              <w:ind w:left="284" w:hanging="284"/>
              <w:rPr>
                <w:sz w:val="18"/>
                <w:szCs w:val="18"/>
              </w:rPr>
            </w:pPr>
            <w:r w:rsidRPr="00FC3C59">
              <w:rPr>
                <w:sz w:val="18"/>
                <w:szCs w:val="18"/>
              </w:rPr>
              <w:t>community health centre services –health services provided in a community setting such as domiciliary nursing services, well baby clinics, mental health services, home nursing services, family planning, and alcohol and drug rehabilitation</w:t>
            </w:r>
          </w:p>
          <w:p w:rsidR="00886A8C" w:rsidRPr="00FC3C59" w:rsidRDefault="00886A8C" w:rsidP="006A50E5">
            <w:pPr>
              <w:pStyle w:val="ListParagraph"/>
              <w:numPr>
                <w:ilvl w:val="0"/>
                <w:numId w:val="40"/>
              </w:numPr>
              <w:spacing w:line="240" w:lineRule="auto"/>
              <w:ind w:left="284" w:hanging="284"/>
              <w:rPr>
                <w:sz w:val="18"/>
                <w:szCs w:val="18"/>
              </w:rPr>
            </w:pPr>
            <w:proofErr w:type="gramStart"/>
            <w:r w:rsidRPr="00FC3C59">
              <w:rPr>
                <w:sz w:val="18"/>
                <w:szCs w:val="18"/>
              </w:rPr>
              <w:t>public</w:t>
            </w:r>
            <w:proofErr w:type="gramEnd"/>
            <w:r w:rsidRPr="00FC3C59">
              <w:rPr>
                <w:sz w:val="18"/>
                <w:szCs w:val="18"/>
              </w:rPr>
              <w:t xml:space="preserve"> health services – activities for the protection and promotion of health and the prevention of disease, illness or injury. These include organised immunisation, health promotion, screening programs, communicable disease control, and prevention of hazardous and harmful drug use.</w:t>
            </w:r>
          </w:p>
          <w:p w:rsidR="00886A8C" w:rsidRPr="00FC3C59" w:rsidRDefault="00886A8C" w:rsidP="00B02001">
            <w:pPr>
              <w:pStyle w:val="CGCTableStub"/>
              <w:rPr>
                <w:sz w:val="18"/>
                <w:szCs w:val="18"/>
              </w:rPr>
            </w:pPr>
            <w:r w:rsidRPr="00FC3C59">
              <w:rPr>
                <w:sz w:val="18"/>
                <w:szCs w:val="18"/>
              </w:rPr>
              <w:t>Includes superannuation, excludes depreciation, administrative scale expenses.</w:t>
            </w:r>
          </w:p>
          <w:p w:rsidR="00886A8C" w:rsidRPr="000011B9" w:rsidRDefault="00886A8C" w:rsidP="00B02001">
            <w:pPr>
              <w:pStyle w:val="CGCTableStub"/>
            </w:pPr>
            <w:r w:rsidRPr="00FC3C59">
              <w:rPr>
                <w:sz w:val="18"/>
                <w:szCs w:val="18"/>
              </w:rPr>
              <w:t xml:space="preserve">Associated user charges are </w:t>
            </w:r>
            <w:r>
              <w:rPr>
                <w:sz w:val="18"/>
                <w:szCs w:val="18"/>
              </w:rPr>
              <w:t>deducted</w:t>
            </w:r>
            <w:r w:rsidRPr="00FC3C59">
              <w:rPr>
                <w:sz w:val="18"/>
                <w:szCs w:val="18"/>
              </w:rPr>
              <w:t xml:space="preserve"> from the expenses.</w:t>
            </w:r>
          </w:p>
        </w:tc>
        <w:tc>
          <w:tcPr>
            <w:tcW w:w="916" w:type="pct"/>
            <w:tcBorders>
              <w:top w:val="single" w:sz="4" w:space="0" w:color="auto"/>
              <w:bottom w:val="single" w:sz="4" w:space="0" w:color="auto"/>
            </w:tcBorders>
          </w:tcPr>
          <w:p w:rsidR="00886A8C" w:rsidRPr="000F12C8" w:rsidRDefault="00886A8C" w:rsidP="00B02001">
            <w:pPr>
              <w:pStyle w:val="CGCTableStub"/>
              <w:rPr>
                <w:sz w:val="18"/>
                <w:szCs w:val="18"/>
              </w:rPr>
            </w:pPr>
            <w:r w:rsidRPr="000F12C8">
              <w:rPr>
                <w:sz w:val="18"/>
                <w:szCs w:val="18"/>
              </w:rPr>
              <w:t>0511</w:t>
            </w:r>
            <w:r>
              <w:rPr>
                <w:sz w:val="18"/>
                <w:szCs w:val="18"/>
              </w:rPr>
              <w:t xml:space="preserve"> </w:t>
            </w:r>
            <w:r>
              <w:rPr>
                <w:sz w:val="18"/>
                <w:szCs w:val="18"/>
              </w:rPr>
              <w:noBreakHyphen/>
            </w:r>
            <w:r w:rsidRPr="000F12C8">
              <w:rPr>
                <w:sz w:val="18"/>
                <w:szCs w:val="18"/>
              </w:rPr>
              <w:t xml:space="preserve"> Admitted patient services in acute care institutions</w:t>
            </w:r>
          </w:p>
          <w:p w:rsidR="00886A8C" w:rsidRPr="000F12C8" w:rsidRDefault="00886A8C" w:rsidP="00B02001">
            <w:pPr>
              <w:pStyle w:val="CGCTableStub"/>
              <w:rPr>
                <w:sz w:val="18"/>
                <w:szCs w:val="18"/>
              </w:rPr>
            </w:pPr>
            <w:r w:rsidRPr="000F12C8">
              <w:rPr>
                <w:sz w:val="18"/>
                <w:szCs w:val="18"/>
              </w:rPr>
              <w:t>0512</w:t>
            </w:r>
            <w:r>
              <w:rPr>
                <w:sz w:val="18"/>
                <w:szCs w:val="18"/>
              </w:rPr>
              <w:t xml:space="preserve"> </w:t>
            </w:r>
            <w:r>
              <w:rPr>
                <w:sz w:val="18"/>
                <w:szCs w:val="18"/>
              </w:rPr>
              <w:noBreakHyphen/>
              <w:t xml:space="preserve"> </w:t>
            </w:r>
            <w:r w:rsidRPr="000F12C8">
              <w:rPr>
                <w:sz w:val="18"/>
                <w:szCs w:val="18"/>
              </w:rPr>
              <w:t>Non admitted patients in acute care institutions</w:t>
            </w:r>
          </w:p>
          <w:p w:rsidR="00886A8C" w:rsidRPr="000F12C8" w:rsidRDefault="00886A8C" w:rsidP="00B02001">
            <w:pPr>
              <w:pStyle w:val="CGCTableStub"/>
              <w:rPr>
                <w:sz w:val="18"/>
                <w:szCs w:val="18"/>
              </w:rPr>
            </w:pPr>
            <w:r>
              <w:rPr>
                <w:sz w:val="18"/>
                <w:szCs w:val="18"/>
              </w:rPr>
              <w:t xml:space="preserve">0520 </w:t>
            </w:r>
            <w:r>
              <w:rPr>
                <w:sz w:val="18"/>
                <w:szCs w:val="18"/>
              </w:rPr>
              <w:noBreakHyphen/>
              <w:t xml:space="preserve"> </w:t>
            </w:r>
            <w:r w:rsidRPr="000F12C8">
              <w:rPr>
                <w:sz w:val="18"/>
                <w:szCs w:val="18"/>
              </w:rPr>
              <w:t>Mental health institutions</w:t>
            </w:r>
          </w:p>
          <w:p w:rsidR="00886A8C" w:rsidRPr="000F12C8" w:rsidRDefault="00886A8C" w:rsidP="00B02001">
            <w:pPr>
              <w:pStyle w:val="CGCTableStub"/>
              <w:rPr>
                <w:sz w:val="18"/>
                <w:szCs w:val="18"/>
              </w:rPr>
            </w:pPr>
            <w:r>
              <w:rPr>
                <w:sz w:val="18"/>
                <w:szCs w:val="18"/>
              </w:rPr>
              <w:t xml:space="preserve">0530 </w:t>
            </w:r>
            <w:r>
              <w:rPr>
                <w:sz w:val="18"/>
                <w:szCs w:val="18"/>
              </w:rPr>
              <w:noBreakHyphen/>
              <w:t xml:space="preserve"> </w:t>
            </w:r>
            <w:r w:rsidRPr="000F12C8">
              <w:rPr>
                <w:sz w:val="18"/>
                <w:szCs w:val="18"/>
              </w:rPr>
              <w:t>Nursing homes for the aged</w:t>
            </w:r>
          </w:p>
          <w:p w:rsidR="00886A8C" w:rsidRPr="000F12C8" w:rsidRDefault="00886A8C" w:rsidP="00B02001">
            <w:pPr>
              <w:pStyle w:val="CGCTableStub"/>
              <w:rPr>
                <w:sz w:val="18"/>
                <w:szCs w:val="18"/>
              </w:rPr>
            </w:pPr>
            <w:r>
              <w:rPr>
                <w:sz w:val="18"/>
                <w:szCs w:val="18"/>
              </w:rPr>
              <w:t xml:space="preserve">0541 </w:t>
            </w:r>
            <w:r>
              <w:rPr>
                <w:sz w:val="18"/>
                <w:szCs w:val="18"/>
              </w:rPr>
              <w:noBreakHyphen/>
            </w:r>
            <w:r w:rsidRPr="000F12C8">
              <w:rPr>
                <w:sz w:val="18"/>
                <w:szCs w:val="18"/>
              </w:rPr>
              <w:t xml:space="preserve"> Community mental health services</w:t>
            </w:r>
          </w:p>
          <w:p w:rsidR="00886A8C" w:rsidRPr="000F12C8" w:rsidRDefault="00886A8C" w:rsidP="00B02001">
            <w:pPr>
              <w:pStyle w:val="CGCTableStub"/>
              <w:rPr>
                <w:sz w:val="18"/>
                <w:szCs w:val="18"/>
              </w:rPr>
            </w:pPr>
            <w:r>
              <w:rPr>
                <w:sz w:val="18"/>
                <w:szCs w:val="18"/>
              </w:rPr>
              <w:t xml:space="preserve">0542 </w:t>
            </w:r>
            <w:r>
              <w:rPr>
                <w:sz w:val="18"/>
                <w:szCs w:val="18"/>
              </w:rPr>
              <w:noBreakHyphen/>
              <w:t xml:space="preserve"> </w:t>
            </w:r>
            <w:r w:rsidRPr="000F12C8">
              <w:rPr>
                <w:sz w:val="18"/>
                <w:szCs w:val="18"/>
              </w:rPr>
              <w:t>Patient transport</w:t>
            </w:r>
          </w:p>
          <w:p w:rsidR="00886A8C" w:rsidRPr="000F12C8" w:rsidRDefault="00886A8C" w:rsidP="00B02001">
            <w:pPr>
              <w:pStyle w:val="CGCTableStub"/>
              <w:rPr>
                <w:sz w:val="18"/>
                <w:szCs w:val="18"/>
              </w:rPr>
            </w:pPr>
            <w:r>
              <w:rPr>
                <w:sz w:val="18"/>
                <w:szCs w:val="18"/>
              </w:rPr>
              <w:t xml:space="preserve">0549 </w:t>
            </w:r>
            <w:r>
              <w:rPr>
                <w:sz w:val="18"/>
                <w:szCs w:val="18"/>
              </w:rPr>
              <w:noBreakHyphen/>
              <w:t xml:space="preserve"> </w:t>
            </w:r>
            <w:r w:rsidRPr="000F12C8">
              <w:rPr>
                <w:sz w:val="18"/>
                <w:szCs w:val="18"/>
              </w:rPr>
              <w:t>Other community health services</w:t>
            </w:r>
          </w:p>
          <w:p w:rsidR="00886A8C" w:rsidRPr="000F12C8" w:rsidRDefault="00886A8C" w:rsidP="00B02001">
            <w:pPr>
              <w:pStyle w:val="CGCTableStub"/>
              <w:rPr>
                <w:sz w:val="18"/>
                <w:szCs w:val="18"/>
              </w:rPr>
            </w:pPr>
            <w:r>
              <w:rPr>
                <w:sz w:val="18"/>
                <w:szCs w:val="18"/>
              </w:rPr>
              <w:t xml:space="preserve">0550 </w:t>
            </w:r>
            <w:r>
              <w:rPr>
                <w:sz w:val="18"/>
                <w:szCs w:val="18"/>
              </w:rPr>
              <w:noBreakHyphen/>
              <w:t xml:space="preserve"> </w:t>
            </w:r>
            <w:r w:rsidRPr="000F12C8">
              <w:rPr>
                <w:sz w:val="18"/>
                <w:szCs w:val="18"/>
              </w:rPr>
              <w:t>Public health services</w:t>
            </w:r>
          </w:p>
          <w:p w:rsidR="00886A8C" w:rsidRPr="000F12C8" w:rsidRDefault="00886A8C" w:rsidP="00B02001">
            <w:pPr>
              <w:pStyle w:val="CGCTableStub"/>
              <w:rPr>
                <w:sz w:val="18"/>
                <w:szCs w:val="18"/>
              </w:rPr>
            </w:pPr>
            <w:r>
              <w:rPr>
                <w:sz w:val="18"/>
                <w:szCs w:val="18"/>
              </w:rPr>
              <w:t xml:space="preserve">0560 </w:t>
            </w:r>
            <w:r>
              <w:rPr>
                <w:sz w:val="18"/>
                <w:szCs w:val="18"/>
              </w:rPr>
              <w:noBreakHyphen/>
              <w:t xml:space="preserve"> </w:t>
            </w:r>
            <w:r w:rsidRPr="000F12C8">
              <w:rPr>
                <w:sz w:val="18"/>
                <w:szCs w:val="18"/>
              </w:rPr>
              <w:t>Pharmaceuticals, medical aids and appliances</w:t>
            </w:r>
          </w:p>
          <w:p w:rsidR="00886A8C" w:rsidRPr="000F12C8" w:rsidRDefault="00886A8C" w:rsidP="00B02001">
            <w:pPr>
              <w:pStyle w:val="CGCTableStub"/>
              <w:rPr>
                <w:sz w:val="18"/>
                <w:szCs w:val="18"/>
              </w:rPr>
            </w:pPr>
            <w:r>
              <w:rPr>
                <w:sz w:val="18"/>
                <w:szCs w:val="18"/>
              </w:rPr>
              <w:t xml:space="preserve">0570 </w:t>
            </w:r>
            <w:r>
              <w:rPr>
                <w:sz w:val="18"/>
                <w:szCs w:val="18"/>
              </w:rPr>
              <w:noBreakHyphen/>
              <w:t xml:space="preserve"> </w:t>
            </w:r>
            <w:r w:rsidRPr="000F12C8">
              <w:rPr>
                <w:sz w:val="18"/>
                <w:szCs w:val="18"/>
              </w:rPr>
              <w:t>Health research</w:t>
            </w:r>
          </w:p>
          <w:p w:rsidR="00886A8C" w:rsidRPr="000F12C8" w:rsidRDefault="00886A8C" w:rsidP="00B02001">
            <w:pPr>
              <w:pStyle w:val="CGCTableStub"/>
              <w:rPr>
                <w:sz w:val="18"/>
                <w:szCs w:val="18"/>
              </w:rPr>
            </w:pPr>
            <w:r>
              <w:rPr>
                <w:sz w:val="18"/>
                <w:szCs w:val="18"/>
              </w:rPr>
              <w:t xml:space="preserve">0590 </w:t>
            </w:r>
            <w:r>
              <w:rPr>
                <w:sz w:val="18"/>
                <w:szCs w:val="18"/>
              </w:rPr>
              <w:noBreakHyphen/>
              <w:t xml:space="preserve"> </w:t>
            </w:r>
            <w:r w:rsidRPr="000F12C8">
              <w:rPr>
                <w:sz w:val="18"/>
                <w:szCs w:val="18"/>
              </w:rPr>
              <w:t xml:space="preserve">Health administration </w:t>
            </w:r>
            <w:proofErr w:type="spellStart"/>
            <w:r w:rsidRPr="000F12C8">
              <w:rPr>
                <w:sz w:val="18"/>
                <w:szCs w:val="18"/>
              </w:rPr>
              <w:t>n.e.c</w:t>
            </w:r>
            <w:proofErr w:type="spellEnd"/>
            <w:r w:rsidRPr="000F12C8">
              <w:rPr>
                <w:sz w:val="18"/>
                <w:szCs w:val="18"/>
              </w:rPr>
              <w:t>.</w:t>
            </w:r>
          </w:p>
        </w:tc>
      </w:tr>
      <w:tr w:rsidR="00886A8C" w:rsidRPr="000011B9" w:rsidTr="009963DC">
        <w:trPr>
          <w:cantSplit/>
        </w:trPr>
        <w:tc>
          <w:tcPr>
            <w:tcW w:w="746" w:type="pct"/>
            <w:tcBorders>
              <w:top w:val="single" w:sz="4" w:space="0" w:color="auto"/>
              <w:bottom w:val="single" w:sz="4" w:space="0" w:color="auto"/>
            </w:tcBorders>
          </w:tcPr>
          <w:p w:rsidR="00886A8C" w:rsidRPr="000F12C8" w:rsidRDefault="00886A8C" w:rsidP="00B02001">
            <w:pPr>
              <w:pStyle w:val="CGCTableStub"/>
              <w:ind w:left="142" w:hanging="142"/>
              <w:rPr>
                <w:sz w:val="18"/>
                <w:szCs w:val="18"/>
              </w:rPr>
            </w:pPr>
            <w:r w:rsidRPr="000F12C8">
              <w:rPr>
                <w:sz w:val="18"/>
                <w:szCs w:val="18"/>
              </w:rPr>
              <w:lastRenderedPageBreak/>
              <w:t>511 Housing</w:t>
            </w:r>
          </w:p>
        </w:tc>
        <w:tc>
          <w:tcPr>
            <w:tcW w:w="3339" w:type="pct"/>
            <w:tcBorders>
              <w:top w:val="single" w:sz="4" w:space="0" w:color="auto"/>
              <w:bottom w:val="single" w:sz="4" w:space="0" w:color="auto"/>
            </w:tcBorders>
          </w:tcPr>
          <w:p w:rsidR="00886A8C" w:rsidRPr="00FC3C59" w:rsidRDefault="00886A8C" w:rsidP="00B02001">
            <w:pPr>
              <w:pStyle w:val="CGCTableStub"/>
              <w:rPr>
                <w:sz w:val="18"/>
                <w:szCs w:val="18"/>
              </w:rPr>
            </w:pPr>
            <w:r w:rsidRPr="00FC3C59">
              <w:rPr>
                <w:sz w:val="18"/>
                <w:szCs w:val="18"/>
              </w:rPr>
              <w:t xml:space="preserve">This category includes State general government and public non-financial corporations (PNFCs) recurrent spending on social housing. </w:t>
            </w:r>
          </w:p>
          <w:p w:rsidR="00886A8C" w:rsidRPr="00FC3C59" w:rsidRDefault="00886A8C" w:rsidP="00B02001">
            <w:pPr>
              <w:pStyle w:val="CGCTableStub"/>
              <w:rPr>
                <w:sz w:val="18"/>
                <w:szCs w:val="18"/>
              </w:rPr>
            </w:pPr>
            <w:r w:rsidRPr="00FC3C59">
              <w:rPr>
                <w:sz w:val="18"/>
                <w:szCs w:val="18"/>
              </w:rPr>
              <w:t>More specifically, the category includes:</w:t>
            </w:r>
          </w:p>
          <w:p w:rsidR="00886A8C" w:rsidRPr="00FC3C59" w:rsidRDefault="00886A8C" w:rsidP="006A50E5">
            <w:pPr>
              <w:pStyle w:val="ListParagraph"/>
              <w:numPr>
                <w:ilvl w:val="0"/>
                <w:numId w:val="40"/>
              </w:numPr>
              <w:spacing w:line="240" w:lineRule="auto"/>
              <w:ind w:left="284" w:hanging="284"/>
              <w:rPr>
                <w:sz w:val="18"/>
                <w:szCs w:val="18"/>
              </w:rPr>
            </w:pPr>
            <w:r w:rsidRPr="00FC3C59">
              <w:rPr>
                <w:sz w:val="18"/>
                <w:szCs w:val="18"/>
              </w:rPr>
              <w:t>consolidated expenses on social housing provided by general government and PNFCs, and subsidies to community housing providers</w:t>
            </w:r>
          </w:p>
          <w:p w:rsidR="00886A8C" w:rsidRPr="00FC3C59" w:rsidRDefault="00886A8C" w:rsidP="006A50E5">
            <w:pPr>
              <w:pStyle w:val="ListParagraph"/>
              <w:numPr>
                <w:ilvl w:val="0"/>
                <w:numId w:val="40"/>
              </w:numPr>
              <w:spacing w:line="240" w:lineRule="auto"/>
              <w:ind w:left="284" w:hanging="284"/>
              <w:rPr>
                <w:sz w:val="18"/>
                <w:szCs w:val="18"/>
              </w:rPr>
            </w:pPr>
            <w:r w:rsidRPr="00FC3C59">
              <w:rPr>
                <w:sz w:val="18"/>
                <w:szCs w:val="18"/>
              </w:rPr>
              <w:t>private rental assistance to assist low income households for bonds and rent payments, and</w:t>
            </w:r>
          </w:p>
          <w:p w:rsidR="00886A8C" w:rsidRPr="00FC3C59" w:rsidRDefault="00886A8C" w:rsidP="006A50E5">
            <w:pPr>
              <w:pStyle w:val="ListParagraph"/>
              <w:numPr>
                <w:ilvl w:val="0"/>
                <w:numId w:val="40"/>
              </w:numPr>
              <w:spacing w:line="240" w:lineRule="auto"/>
              <w:ind w:left="284" w:hanging="284"/>
              <w:rPr>
                <w:sz w:val="18"/>
                <w:szCs w:val="18"/>
              </w:rPr>
            </w:pPr>
            <w:proofErr w:type="gramStart"/>
            <w:r w:rsidRPr="00FC3C59">
              <w:rPr>
                <w:sz w:val="18"/>
                <w:szCs w:val="18"/>
              </w:rPr>
              <w:t>home</w:t>
            </w:r>
            <w:proofErr w:type="gramEnd"/>
            <w:r w:rsidRPr="00FC3C59">
              <w:rPr>
                <w:sz w:val="18"/>
                <w:szCs w:val="18"/>
              </w:rPr>
              <w:t xml:space="preserve"> loans and other forms of home purchase assistance including interest rate assistance, grants and concessional stamp duty on conveyances to first home buyers.</w:t>
            </w:r>
          </w:p>
          <w:p w:rsidR="00886A8C" w:rsidRPr="00FC3C59" w:rsidRDefault="00886A8C" w:rsidP="00286384">
            <w:pPr>
              <w:pStyle w:val="CGCCWTableText"/>
            </w:pPr>
            <w:r w:rsidRPr="00FC3C59">
              <w:t>The category excludes:</w:t>
            </w:r>
          </w:p>
          <w:p w:rsidR="00886A8C" w:rsidRPr="00FC3C59" w:rsidRDefault="00886A8C" w:rsidP="006A50E5">
            <w:pPr>
              <w:pStyle w:val="ListParagraph"/>
              <w:numPr>
                <w:ilvl w:val="0"/>
                <w:numId w:val="40"/>
              </w:numPr>
              <w:spacing w:line="240" w:lineRule="auto"/>
              <w:ind w:left="284" w:hanging="284"/>
              <w:rPr>
                <w:sz w:val="18"/>
                <w:szCs w:val="18"/>
              </w:rPr>
            </w:pPr>
            <w:r w:rsidRPr="00FC3C59">
              <w:rPr>
                <w:sz w:val="18"/>
                <w:szCs w:val="18"/>
              </w:rPr>
              <w:t>the provision of accommodation to State employees, such as teachers and police officers in remote areas, which is included and assessed in the relevant functional categories</w:t>
            </w:r>
          </w:p>
          <w:p w:rsidR="00886A8C" w:rsidRPr="00FC3C59" w:rsidRDefault="00886A8C" w:rsidP="006A50E5">
            <w:pPr>
              <w:pStyle w:val="ListParagraph"/>
              <w:numPr>
                <w:ilvl w:val="0"/>
                <w:numId w:val="40"/>
              </w:numPr>
              <w:spacing w:line="240" w:lineRule="auto"/>
              <w:ind w:left="284" w:hanging="284"/>
              <w:rPr>
                <w:sz w:val="18"/>
                <w:szCs w:val="18"/>
              </w:rPr>
            </w:pPr>
            <w:r w:rsidRPr="00FC3C59">
              <w:rPr>
                <w:sz w:val="18"/>
                <w:szCs w:val="18"/>
              </w:rPr>
              <w:t>residential institutions mainly providing living quarters for people with special needs such as the young or the disabled</w:t>
            </w:r>
          </w:p>
          <w:p w:rsidR="00886A8C" w:rsidRPr="00FC3C59" w:rsidRDefault="00886A8C" w:rsidP="006A50E5">
            <w:pPr>
              <w:pStyle w:val="ListParagraph"/>
              <w:numPr>
                <w:ilvl w:val="0"/>
                <w:numId w:val="40"/>
              </w:numPr>
              <w:spacing w:line="240" w:lineRule="auto"/>
              <w:ind w:left="284" w:hanging="284"/>
              <w:rPr>
                <w:sz w:val="18"/>
                <w:szCs w:val="18"/>
              </w:rPr>
            </w:pPr>
            <w:proofErr w:type="gramStart"/>
            <w:r w:rsidRPr="00FC3C59">
              <w:rPr>
                <w:sz w:val="18"/>
                <w:szCs w:val="18"/>
              </w:rPr>
              <w:t>homeless</w:t>
            </w:r>
            <w:proofErr w:type="gramEnd"/>
            <w:r w:rsidRPr="00FC3C59">
              <w:rPr>
                <w:sz w:val="18"/>
                <w:szCs w:val="18"/>
              </w:rPr>
              <w:t xml:space="preserve"> persons assistance.</w:t>
            </w:r>
          </w:p>
          <w:p w:rsidR="00886A8C" w:rsidRPr="00FC3C59" w:rsidRDefault="00886A8C" w:rsidP="00B02001">
            <w:pPr>
              <w:pStyle w:val="CGCTableStub"/>
              <w:rPr>
                <w:sz w:val="18"/>
                <w:szCs w:val="18"/>
              </w:rPr>
            </w:pPr>
            <w:r w:rsidRPr="00FC3C59">
              <w:rPr>
                <w:sz w:val="18"/>
                <w:szCs w:val="18"/>
              </w:rPr>
              <w:t xml:space="preserve">Includes superannuation, excludes depreciation, administrative scale, </w:t>
            </w:r>
            <w:proofErr w:type="gramStart"/>
            <w:r w:rsidRPr="00FC3C59">
              <w:rPr>
                <w:sz w:val="18"/>
                <w:szCs w:val="18"/>
              </w:rPr>
              <w:t>native</w:t>
            </w:r>
            <w:proofErr w:type="gramEnd"/>
            <w:r w:rsidRPr="00FC3C59">
              <w:rPr>
                <w:sz w:val="18"/>
                <w:szCs w:val="18"/>
              </w:rPr>
              <w:t xml:space="preserve"> title and land rights expenses.</w:t>
            </w:r>
          </w:p>
          <w:p w:rsidR="00886A8C" w:rsidRPr="000011B9" w:rsidRDefault="00886A8C" w:rsidP="00117391">
            <w:pPr>
              <w:pStyle w:val="CGCTableStub"/>
            </w:pPr>
            <w:r w:rsidRPr="00FC3C59">
              <w:rPr>
                <w:sz w:val="18"/>
                <w:szCs w:val="18"/>
              </w:rPr>
              <w:t xml:space="preserve">Associated user charges are assessed differentially, </w:t>
            </w:r>
            <w:proofErr w:type="gramStart"/>
            <w:r w:rsidRPr="00FC3C59">
              <w:rPr>
                <w:sz w:val="18"/>
                <w:szCs w:val="18"/>
              </w:rPr>
              <w:t>then</w:t>
            </w:r>
            <w:proofErr w:type="gramEnd"/>
            <w:r w:rsidRPr="00FC3C59">
              <w:rPr>
                <w:sz w:val="18"/>
                <w:szCs w:val="18"/>
              </w:rPr>
              <w:t xml:space="preserve"> net</w:t>
            </w:r>
            <w:r w:rsidR="00117391">
              <w:rPr>
                <w:sz w:val="18"/>
                <w:szCs w:val="18"/>
              </w:rPr>
              <w:t>ted</w:t>
            </w:r>
            <w:r w:rsidRPr="00FC3C59">
              <w:rPr>
                <w:sz w:val="18"/>
                <w:szCs w:val="18"/>
              </w:rPr>
              <w:t xml:space="preserve"> off expenses.</w:t>
            </w:r>
          </w:p>
        </w:tc>
        <w:tc>
          <w:tcPr>
            <w:tcW w:w="916" w:type="pct"/>
            <w:tcBorders>
              <w:top w:val="single" w:sz="4" w:space="0" w:color="auto"/>
              <w:bottom w:val="single" w:sz="4" w:space="0" w:color="auto"/>
            </w:tcBorders>
          </w:tcPr>
          <w:p w:rsidR="00886A8C" w:rsidRPr="000F12C8" w:rsidRDefault="00886A8C" w:rsidP="00B02001">
            <w:pPr>
              <w:pStyle w:val="CGCTableStub"/>
              <w:rPr>
                <w:sz w:val="18"/>
                <w:szCs w:val="18"/>
              </w:rPr>
            </w:pPr>
            <w:r w:rsidRPr="000F12C8">
              <w:rPr>
                <w:sz w:val="18"/>
                <w:szCs w:val="18"/>
              </w:rPr>
              <w:t>0711</w:t>
            </w:r>
            <w:r>
              <w:rPr>
                <w:sz w:val="18"/>
                <w:szCs w:val="18"/>
              </w:rPr>
              <w:t xml:space="preserve"> </w:t>
            </w:r>
            <w:r>
              <w:rPr>
                <w:sz w:val="18"/>
                <w:szCs w:val="18"/>
              </w:rPr>
              <w:noBreakHyphen/>
            </w:r>
            <w:r w:rsidRPr="000F12C8">
              <w:rPr>
                <w:sz w:val="18"/>
                <w:szCs w:val="18"/>
              </w:rPr>
              <w:t xml:space="preserve"> Housing</w:t>
            </w:r>
          </w:p>
        </w:tc>
      </w:tr>
      <w:tr w:rsidR="00886A8C" w:rsidRPr="000011B9" w:rsidTr="009963DC">
        <w:trPr>
          <w:cantSplit/>
        </w:trPr>
        <w:tc>
          <w:tcPr>
            <w:tcW w:w="746" w:type="pct"/>
            <w:tcBorders>
              <w:top w:val="single" w:sz="4" w:space="0" w:color="auto"/>
              <w:bottom w:val="single" w:sz="4" w:space="0" w:color="auto"/>
            </w:tcBorders>
          </w:tcPr>
          <w:p w:rsidR="00886A8C" w:rsidRPr="000F12C8" w:rsidRDefault="00886A8C" w:rsidP="00B02001">
            <w:pPr>
              <w:pStyle w:val="CGCTableStub"/>
              <w:ind w:left="142" w:hanging="142"/>
              <w:rPr>
                <w:sz w:val="18"/>
                <w:szCs w:val="18"/>
              </w:rPr>
            </w:pPr>
            <w:r w:rsidRPr="000F12C8">
              <w:rPr>
                <w:sz w:val="18"/>
                <w:szCs w:val="18"/>
              </w:rPr>
              <w:t>512  Welfare</w:t>
            </w:r>
          </w:p>
        </w:tc>
        <w:tc>
          <w:tcPr>
            <w:tcW w:w="3339" w:type="pct"/>
            <w:tcBorders>
              <w:top w:val="single" w:sz="4" w:space="0" w:color="auto"/>
              <w:bottom w:val="single" w:sz="4" w:space="0" w:color="auto"/>
            </w:tcBorders>
          </w:tcPr>
          <w:p w:rsidR="00886A8C" w:rsidRPr="00FC3C59" w:rsidRDefault="00886A8C" w:rsidP="00B02001">
            <w:pPr>
              <w:pStyle w:val="CGCTableStub"/>
              <w:rPr>
                <w:sz w:val="18"/>
                <w:szCs w:val="18"/>
              </w:rPr>
            </w:pPr>
            <w:r w:rsidRPr="00FC3C59">
              <w:rPr>
                <w:sz w:val="18"/>
                <w:szCs w:val="18"/>
              </w:rPr>
              <w:t xml:space="preserve">This category includes State general government recurrent spending on the provision of welfare services. </w:t>
            </w:r>
          </w:p>
          <w:p w:rsidR="00886A8C" w:rsidRPr="00FC3C59" w:rsidRDefault="00886A8C" w:rsidP="00B02001">
            <w:pPr>
              <w:pStyle w:val="CGCTableStub"/>
              <w:rPr>
                <w:sz w:val="18"/>
                <w:szCs w:val="18"/>
              </w:rPr>
            </w:pPr>
            <w:r w:rsidRPr="00FC3C59">
              <w:rPr>
                <w:sz w:val="18"/>
                <w:szCs w:val="18"/>
              </w:rPr>
              <w:t>More specifically, the category includes:</w:t>
            </w:r>
          </w:p>
          <w:p w:rsidR="00886A8C" w:rsidRPr="00FC3C59" w:rsidRDefault="00886A8C" w:rsidP="00665DEB">
            <w:pPr>
              <w:pStyle w:val="ListParagraph"/>
              <w:numPr>
                <w:ilvl w:val="0"/>
                <w:numId w:val="40"/>
              </w:numPr>
              <w:spacing w:line="240" w:lineRule="auto"/>
              <w:ind w:left="284" w:hanging="284"/>
              <w:rPr>
                <w:sz w:val="18"/>
                <w:szCs w:val="18"/>
              </w:rPr>
            </w:pPr>
            <w:r w:rsidRPr="00FC3C59">
              <w:rPr>
                <w:sz w:val="18"/>
                <w:szCs w:val="18"/>
              </w:rPr>
              <w:t>Family and child services — include family support, child protection and out of home care, child care and after school care.</w:t>
            </w:r>
          </w:p>
          <w:p w:rsidR="00886A8C" w:rsidRPr="00FC3C59" w:rsidRDefault="00886A8C" w:rsidP="00665DEB">
            <w:pPr>
              <w:pStyle w:val="ListParagraph"/>
              <w:numPr>
                <w:ilvl w:val="0"/>
                <w:numId w:val="40"/>
              </w:numPr>
              <w:spacing w:line="240" w:lineRule="auto"/>
              <w:ind w:left="284" w:hanging="284"/>
              <w:rPr>
                <w:sz w:val="18"/>
                <w:szCs w:val="18"/>
              </w:rPr>
            </w:pPr>
            <w:r w:rsidRPr="00FC3C59">
              <w:rPr>
                <w:sz w:val="18"/>
                <w:szCs w:val="18"/>
              </w:rPr>
              <w:t xml:space="preserve">Aged care services — From July 2011, the Commonwealth government </w:t>
            </w:r>
            <w:r w:rsidR="00BA282B">
              <w:rPr>
                <w:sz w:val="18"/>
                <w:szCs w:val="18"/>
              </w:rPr>
              <w:t>assumed</w:t>
            </w:r>
            <w:r w:rsidRPr="00FC3C59">
              <w:rPr>
                <w:sz w:val="18"/>
                <w:szCs w:val="18"/>
              </w:rPr>
              <w:t xml:space="preserve"> responsibility for basic community care and specialist disability services for older people (those aged over 65; over 50 for Indigenous people) </w:t>
            </w:r>
            <w:r w:rsidR="00BA282B">
              <w:rPr>
                <w:sz w:val="18"/>
                <w:szCs w:val="18"/>
              </w:rPr>
              <w:t>in</w:t>
            </w:r>
            <w:r w:rsidRPr="00FC3C59">
              <w:rPr>
                <w:sz w:val="18"/>
                <w:szCs w:val="18"/>
              </w:rPr>
              <w:t xml:space="preserve"> most States. Victoria agreed to the new arrangements with effect from July 2015 and (as of February 2015) Western Australian has not agreed.</w:t>
            </w:r>
          </w:p>
          <w:p w:rsidR="00886A8C" w:rsidRPr="00FC3C59" w:rsidRDefault="00117391" w:rsidP="00286384">
            <w:pPr>
              <w:pStyle w:val="CGCCWTableText"/>
            </w:pPr>
            <w:r>
              <w:t>Aged care s</w:t>
            </w:r>
            <w:r w:rsidR="00886A8C" w:rsidRPr="00FC3C59">
              <w:t xml:space="preserve">pending by States (Victoria from July 2015) other than Western </w:t>
            </w:r>
            <w:proofErr w:type="gramStart"/>
            <w:r w:rsidR="00886A8C" w:rsidRPr="00FC3C59">
              <w:t>Australia,</w:t>
            </w:r>
            <w:proofErr w:type="gramEnd"/>
            <w:r w:rsidR="00886A8C" w:rsidRPr="00FC3C59">
              <w:t xml:space="preserve"> will be very small. These States’ expenses on the provision of Home and Community Care (HACC) services for older people on the Commonwealth’s behalf will be reimbursed by the Commonwealth.</w:t>
            </w:r>
          </w:p>
          <w:p w:rsidR="00886A8C" w:rsidRPr="00FC3C59" w:rsidRDefault="00886A8C" w:rsidP="00286384">
            <w:pPr>
              <w:pStyle w:val="CGCCWTableText"/>
            </w:pPr>
            <w:r w:rsidRPr="00FC3C59">
              <w:t>For Western Australia, pre-existing policy and funding arrangements for aged care services will continue to apply. In particular, basic community care services will continue to be provided by Western Australia under the HACC program, with a continuing funding contribution from the Commonwealth.</w:t>
            </w:r>
          </w:p>
          <w:p w:rsidR="00886A8C" w:rsidRPr="00FC3C59" w:rsidRDefault="00886A8C" w:rsidP="00665DEB">
            <w:pPr>
              <w:pStyle w:val="ListParagraph"/>
              <w:numPr>
                <w:ilvl w:val="0"/>
                <w:numId w:val="40"/>
              </w:numPr>
              <w:spacing w:line="240" w:lineRule="auto"/>
              <w:ind w:left="284" w:hanging="284"/>
              <w:rPr>
                <w:sz w:val="18"/>
                <w:szCs w:val="18"/>
              </w:rPr>
            </w:pPr>
            <w:r w:rsidRPr="00FC3C59">
              <w:rPr>
                <w:sz w:val="18"/>
                <w:szCs w:val="18"/>
              </w:rPr>
              <w:t xml:space="preserve">Disability services — include State spending and contribution to the trial, transition and full implementation of the National Disability Insurance Scheme (NDIS), and Specialist disability services which include accommodation support, community support, community access, respite, </w:t>
            </w:r>
            <w:proofErr w:type="gramStart"/>
            <w:r w:rsidRPr="00FC3C59">
              <w:rPr>
                <w:sz w:val="18"/>
                <w:szCs w:val="18"/>
              </w:rPr>
              <w:t>advocacy</w:t>
            </w:r>
            <w:proofErr w:type="gramEnd"/>
            <w:r w:rsidRPr="00FC3C59">
              <w:rPr>
                <w:sz w:val="18"/>
                <w:szCs w:val="18"/>
              </w:rPr>
              <w:t xml:space="preserve"> and information services.</w:t>
            </w:r>
          </w:p>
          <w:p w:rsidR="00886A8C" w:rsidRPr="00FC3C59" w:rsidRDefault="00886A8C" w:rsidP="00665DEB">
            <w:pPr>
              <w:pStyle w:val="ListParagraph"/>
              <w:numPr>
                <w:ilvl w:val="0"/>
                <w:numId w:val="40"/>
              </w:numPr>
              <w:spacing w:line="240" w:lineRule="auto"/>
              <w:ind w:left="284" w:hanging="284"/>
              <w:rPr>
                <w:sz w:val="18"/>
                <w:szCs w:val="18"/>
              </w:rPr>
            </w:pPr>
            <w:r w:rsidRPr="00FC3C59">
              <w:rPr>
                <w:sz w:val="18"/>
                <w:szCs w:val="18"/>
              </w:rPr>
              <w:t xml:space="preserve">General welfare services — include concessions, homeless </w:t>
            </w:r>
            <w:proofErr w:type="gramStart"/>
            <w:r w:rsidRPr="00FC3C59">
              <w:rPr>
                <w:sz w:val="18"/>
                <w:szCs w:val="18"/>
              </w:rPr>
              <w:t>persons</w:t>
            </w:r>
            <w:proofErr w:type="gramEnd"/>
            <w:r w:rsidRPr="00FC3C59">
              <w:rPr>
                <w:sz w:val="18"/>
                <w:szCs w:val="18"/>
              </w:rPr>
              <w:t xml:space="preserve"> assistance, prisoners aid, care of refugees, Indigenous welfare services, women’s shelters, and information, advice and referral services.</w:t>
            </w:r>
          </w:p>
          <w:p w:rsidR="00886A8C" w:rsidRPr="00FC3C59" w:rsidRDefault="00886A8C" w:rsidP="00B02001">
            <w:pPr>
              <w:pStyle w:val="CGCTableStub"/>
              <w:rPr>
                <w:sz w:val="18"/>
                <w:szCs w:val="18"/>
              </w:rPr>
            </w:pPr>
            <w:r w:rsidRPr="00FC3C59">
              <w:rPr>
                <w:sz w:val="18"/>
                <w:szCs w:val="18"/>
              </w:rPr>
              <w:t>Includes superannuation, excludes depreciation, administrative scale expenses.</w:t>
            </w:r>
          </w:p>
          <w:p w:rsidR="00886A8C" w:rsidRPr="000011B9" w:rsidRDefault="00886A8C" w:rsidP="00B02001">
            <w:pPr>
              <w:pStyle w:val="CGCTableStub"/>
            </w:pPr>
            <w:r w:rsidRPr="00FC3C59">
              <w:rPr>
                <w:sz w:val="18"/>
                <w:szCs w:val="18"/>
              </w:rPr>
              <w:t>Associated user charges are included in Other revenue.</w:t>
            </w:r>
          </w:p>
        </w:tc>
        <w:tc>
          <w:tcPr>
            <w:tcW w:w="916" w:type="pct"/>
            <w:tcBorders>
              <w:top w:val="single" w:sz="4" w:space="0" w:color="auto"/>
              <w:bottom w:val="single" w:sz="4" w:space="0" w:color="auto"/>
            </w:tcBorders>
          </w:tcPr>
          <w:p w:rsidR="00886A8C" w:rsidRPr="000F12C8" w:rsidRDefault="00886A8C" w:rsidP="00B02001">
            <w:pPr>
              <w:pStyle w:val="CGCTableStub"/>
              <w:rPr>
                <w:sz w:val="18"/>
                <w:szCs w:val="18"/>
              </w:rPr>
            </w:pPr>
            <w:r w:rsidRPr="000F12C8">
              <w:rPr>
                <w:sz w:val="18"/>
                <w:szCs w:val="18"/>
              </w:rPr>
              <w:t>0610</w:t>
            </w:r>
            <w:r>
              <w:rPr>
                <w:sz w:val="18"/>
                <w:szCs w:val="18"/>
              </w:rPr>
              <w:t xml:space="preserve"> </w:t>
            </w:r>
            <w:r>
              <w:rPr>
                <w:sz w:val="18"/>
                <w:szCs w:val="18"/>
              </w:rPr>
              <w:noBreakHyphen/>
              <w:t xml:space="preserve"> </w:t>
            </w:r>
            <w:r w:rsidRPr="000F12C8">
              <w:rPr>
                <w:sz w:val="18"/>
                <w:szCs w:val="18"/>
              </w:rPr>
              <w:t>Social security</w:t>
            </w:r>
          </w:p>
          <w:p w:rsidR="00886A8C" w:rsidRPr="000F12C8" w:rsidRDefault="00886A8C" w:rsidP="00B02001">
            <w:pPr>
              <w:pStyle w:val="CGCTableStub"/>
              <w:rPr>
                <w:sz w:val="18"/>
                <w:szCs w:val="18"/>
              </w:rPr>
            </w:pPr>
            <w:r>
              <w:rPr>
                <w:sz w:val="18"/>
                <w:szCs w:val="18"/>
              </w:rPr>
              <w:t xml:space="preserve">0621 </w:t>
            </w:r>
            <w:r>
              <w:rPr>
                <w:sz w:val="18"/>
                <w:szCs w:val="18"/>
              </w:rPr>
              <w:noBreakHyphen/>
              <w:t xml:space="preserve"> </w:t>
            </w:r>
            <w:r w:rsidRPr="000F12C8">
              <w:rPr>
                <w:sz w:val="18"/>
                <w:szCs w:val="18"/>
              </w:rPr>
              <w:t>Family and child welfare services</w:t>
            </w:r>
          </w:p>
          <w:p w:rsidR="00886A8C" w:rsidRPr="000F12C8" w:rsidRDefault="00886A8C" w:rsidP="00B02001">
            <w:pPr>
              <w:pStyle w:val="CGCTableStub"/>
              <w:rPr>
                <w:sz w:val="18"/>
                <w:szCs w:val="18"/>
              </w:rPr>
            </w:pPr>
            <w:r>
              <w:rPr>
                <w:sz w:val="18"/>
                <w:szCs w:val="18"/>
              </w:rPr>
              <w:t xml:space="preserve">0622 </w:t>
            </w:r>
            <w:r>
              <w:rPr>
                <w:sz w:val="18"/>
                <w:szCs w:val="18"/>
              </w:rPr>
              <w:noBreakHyphen/>
              <w:t xml:space="preserve"> </w:t>
            </w:r>
            <w:r w:rsidRPr="000F12C8">
              <w:rPr>
                <w:sz w:val="18"/>
                <w:szCs w:val="18"/>
              </w:rPr>
              <w:t>Welfare services for the aged</w:t>
            </w:r>
          </w:p>
          <w:p w:rsidR="00886A8C" w:rsidRPr="000F12C8" w:rsidRDefault="00886A8C" w:rsidP="00B02001">
            <w:pPr>
              <w:pStyle w:val="CGCTableStub"/>
              <w:rPr>
                <w:sz w:val="18"/>
                <w:szCs w:val="18"/>
              </w:rPr>
            </w:pPr>
            <w:r>
              <w:rPr>
                <w:sz w:val="18"/>
                <w:szCs w:val="18"/>
              </w:rPr>
              <w:t xml:space="preserve">0623 </w:t>
            </w:r>
            <w:r>
              <w:rPr>
                <w:sz w:val="18"/>
                <w:szCs w:val="18"/>
              </w:rPr>
              <w:noBreakHyphen/>
              <w:t xml:space="preserve"> </w:t>
            </w:r>
            <w:r w:rsidRPr="000F12C8">
              <w:rPr>
                <w:sz w:val="18"/>
                <w:szCs w:val="18"/>
              </w:rPr>
              <w:t>Welfare services for people with a disability</w:t>
            </w:r>
          </w:p>
          <w:p w:rsidR="00886A8C" w:rsidRPr="000F12C8" w:rsidRDefault="00886A8C" w:rsidP="00B02001">
            <w:pPr>
              <w:pStyle w:val="CGCTableStub"/>
              <w:rPr>
                <w:sz w:val="18"/>
                <w:szCs w:val="18"/>
              </w:rPr>
            </w:pPr>
            <w:r>
              <w:rPr>
                <w:sz w:val="18"/>
                <w:szCs w:val="18"/>
              </w:rPr>
              <w:t xml:space="preserve">0629 </w:t>
            </w:r>
            <w:r>
              <w:rPr>
                <w:sz w:val="18"/>
                <w:szCs w:val="18"/>
              </w:rPr>
              <w:noBreakHyphen/>
              <w:t xml:space="preserve"> </w:t>
            </w:r>
            <w:r w:rsidRPr="000F12C8">
              <w:rPr>
                <w:sz w:val="18"/>
                <w:szCs w:val="18"/>
              </w:rPr>
              <w:t xml:space="preserve">Welfare services </w:t>
            </w:r>
            <w:proofErr w:type="spellStart"/>
            <w:r w:rsidRPr="000F12C8">
              <w:rPr>
                <w:sz w:val="18"/>
                <w:szCs w:val="18"/>
              </w:rPr>
              <w:t>n.e.c</w:t>
            </w:r>
            <w:proofErr w:type="spellEnd"/>
            <w:r w:rsidRPr="000F12C8">
              <w:rPr>
                <w:sz w:val="18"/>
                <w:szCs w:val="18"/>
              </w:rPr>
              <w:t>.</w:t>
            </w:r>
          </w:p>
          <w:p w:rsidR="00886A8C" w:rsidRPr="000F12C8" w:rsidRDefault="00886A8C" w:rsidP="00B02001">
            <w:pPr>
              <w:pStyle w:val="CGCTableStub"/>
              <w:rPr>
                <w:sz w:val="18"/>
                <w:szCs w:val="18"/>
              </w:rPr>
            </w:pPr>
            <w:r>
              <w:rPr>
                <w:sz w:val="18"/>
                <w:szCs w:val="18"/>
              </w:rPr>
              <w:t xml:space="preserve">0690 </w:t>
            </w:r>
            <w:r>
              <w:rPr>
                <w:sz w:val="18"/>
                <w:szCs w:val="18"/>
              </w:rPr>
              <w:noBreakHyphen/>
              <w:t xml:space="preserve"> </w:t>
            </w:r>
            <w:r w:rsidRPr="000F12C8">
              <w:rPr>
                <w:sz w:val="18"/>
                <w:szCs w:val="18"/>
              </w:rPr>
              <w:t xml:space="preserve">Social welfare services </w:t>
            </w:r>
            <w:proofErr w:type="spellStart"/>
            <w:r w:rsidRPr="000F12C8">
              <w:rPr>
                <w:sz w:val="18"/>
                <w:szCs w:val="18"/>
              </w:rPr>
              <w:t>n.e.c</w:t>
            </w:r>
            <w:proofErr w:type="spellEnd"/>
            <w:r w:rsidRPr="000F12C8">
              <w:rPr>
                <w:sz w:val="18"/>
                <w:szCs w:val="18"/>
              </w:rPr>
              <w:t>.</w:t>
            </w:r>
          </w:p>
        </w:tc>
      </w:tr>
      <w:tr w:rsidR="00886A8C" w:rsidRPr="000011B9" w:rsidTr="00B71A91">
        <w:trPr>
          <w:cantSplit/>
        </w:trPr>
        <w:tc>
          <w:tcPr>
            <w:tcW w:w="746" w:type="pct"/>
            <w:tcBorders>
              <w:top w:val="single" w:sz="4" w:space="0" w:color="auto"/>
            </w:tcBorders>
          </w:tcPr>
          <w:p w:rsidR="00886A8C" w:rsidRPr="000F12C8" w:rsidRDefault="00886A8C" w:rsidP="00B02001">
            <w:pPr>
              <w:pStyle w:val="CGCTableStub"/>
              <w:ind w:left="142" w:hanging="142"/>
              <w:rPr>
                <w:sz w:val="18"/>
                <w:szCs w:val="18"/>
              </w:rPr>
            </w:pPr>
            <w:r w:rsidRPr="000F12C8">
              <w:rPr>
                <w:sz w:val="18"/>
                <w:szCs w:val="18"/>
              </w:rPr>
              <w:lastRenderedPageBreak/>
              <w:t>520  Services to communities</w:t>
            </w:r>
          </w:p>
        </w:tc>
        <w:tc>
          <w:tcPr>
            <w:tcW w:w="3339" w:type="pct"/>
            <w:tcBorders>
              <w:top w:val="single" w:sz="4" w:space="0" w:color="auto"/>
            </w:tcBorders>
          </w:tcPr>
          <w:p w:rsidR="00886A8C" w:rsidRPr="00FC3C59" w:rsidRDefault="00886A8C" w:rsidP="00B02001">
            <w:pPr>
              <w:pStyle w:val="CGCTableStub"/>
              <w:rPr>
                <w:sz w:val="18"/>
                <w:szCs w:val="18"/>
              </w:rPr>
            </w:pPr>
            <w:r w:rsidRPr="00FC3C59">
              <w:rPr>
                <w:sz w:val="18"/>
                <w:szCs w:val="18"/>
              </w:rPr>
              <w:t>This category includes State general government recurrent spending on the provision of electricity, water and wastewater services and the administration of communities, community amenities and environmental services.</w:t>
            </w:r>
          </w:p>
          <w:p w:rsidR="00886A8C" w:rsidRPr="00FC3C59" w:rsidRDefault="00886A8C" w:rsidP="00B02001">
            <w:pPr>
              <w:pStyle w:val="CGCTableStub"/>
              <w:rPr>
                <w:sz w:val="18"/>
                <w:szCs w:val="18"/>
              </w:rPr>
            </w:pPr>
            <w:r w:rsidRPr="00FC3C59">
              <w:rPr>
                <w:sz w:val="18"/>
                <w:szCs w:val="18"/>
              </w:rPr>
              <w:t>More specifically, the category includes:</w:t>
            </w:r>
          </w:p>
          <w:p w:rsidR="00886A8C" w:rsidRPr="00FC3C59" w:rsidRDefault="00886A8C" w:rsidP="00665DEB">
            <w:pPr>
              <w:pStyle w:val="ListParagraph"/>
              <w:numPr>
                <w:ilvl w:val="0"/>
                <w:numId w:val="40"/>
              </w:numPr>
              <w:spacing w:line="240" w:lineRule="auto"/>
              <w:ind w:left="284" w:hanging="284"/>
              <w:rPr>
                <w:sz w:val="18"/>
                <w:szCs w:val="18"/>
              </w:rPr>
            </w:pPr>
            <w:r w:rsidRPr="00FC3C59">
              <w:rPr>
                <w:sz w:val="18"/>
                <w:szCs w:val="18"/>
              </w:rPr>
              <w:t>subsidies to enterprises providing electricity, water and wastewater services</w:t>
            </w:r>
          </w:p>
          <w:p w:rsidR="00886A8C" w:rsidRPr="00FC3C59" w:rsidRDefault="00886A8C" w:rsidP="00665DEB">
            <w:pPr>
              <w:pStyle w:val="ListParagraph"/>
              <w:numPr>
                <w:ilvl w:val="0"/>
                <w:numId w:val="40"/>
              </w:numPr>
              <w:spacing w:line="240" w:lineRule="auto"/>
              <w:ind w:left="284" w:hanging="284"/>
              <w:rPr>
                <w:sz w:val="18"/>
                <w:szCs w:val="18"/>
              </w:rPr>
            </w:pPr>
            <w:r w:rsidRPr="00FC3C59">
              <w:rPr>
                <w:sz w:val="18"/>
                <w:szCs w:val="18"/>
              </w:rPr>
              <w:t>administration and support of communities (including Indigenous communities)</w:t>
            </w:r>
          </w:p>
          <w:p w:rsidR="00886A8C" w:rsidRPr="00FC3C59" w:rsidRDefault="00886A8C" w:rsidP="00665DEB">
            <w:pPr>
              <w:pStyle w:val="ListParagraph"/>
              <w:numPr>
                <w:ilvl w:val="0"/>
                <w:numId w:val="40"/>
              </w:numPr>
              <w:spacing w:line="240" w:lineRule="auto"/>
              <w:ind w:left="284" w:hanging="284"/>
              <w:rPr>
                <w:sz w:val="18"/>
                <w:szCs w:val="18"/>
              </w:rPr>
            </w:pPr>
            <w:proofErr w:type="gramStart"/>
            <w:r w:rsidRPr="00FC3C59">
              <w:rPr>
                <w:sz w:val="18"/>
                <w:szCs w:val="18"/>
              </w:rPr>
              <w:t>environment</w:t>
            </w:r>
            <w:proofErr w:type="gramEnd"/>
            <w:r w:rsidRPr="00FC3C59">
              <w:rPr>
                <w:sz w:val="18"/>
                <w:szCs w:val="18"/>
              </w:rPr>
              <w:t xml:space="preserve"> protection.</w:t>
            </w:r>
          </w:p>
          <w:p w:rsidR="00886A8C" w:rsidRPr="00FC3C59" w:rsidRDefault="00886A8C" w:rsidP="00B02001">
            <w:pPr>
              <w:pStyle w:val="CGCTableStub"/>
              <w:rPr>
                <w:sz w:val="18"/>
                <w:szCs w:val="18"/>
              </w:rPr>
            </w:pPr>
            <w:r w:rsidRPr="00FC3C59">
              <w:rPr>
                <w:sz w:val="18"/>
                <w:szCs w:val="18"/>
              </w:rPr>
              <w:t xml:space="preserve">Includes superannuation, excludes depreciation, administrative scale, </w:t>
            </w:r>
            <w:proofErr w:type="gramStart"/>
            <w:r w:rsidRPr="00FC3C59">
              <w:rPr>
                <w:sz w:val="18"/>
                <w:szCs w:val="18"/>
              </w:rPr>
              <w:t>native</w:t>
            </w:r>
            <w:proofErr w:type="gramEnd"/>
            <w:r w:rsidRPr="00FC3C59">
              <w:rPr>
                <w:sz w:val="18"/>
                <w:szCs w:val="18"/>
              </w:rPr>
              <w:t xml:space="preserve"> title and land rights expenses. Also excludes capital grants to local governments for community development.</w:t>
            </w:r>
          </w:p>
          <w:p w:rsidR="00886A8C" w:rsidRPr="000011B9" w:rsidRDefault="00886A8C" w:rsidP="00B02001">
            <w:pPr>
              <w:pStyle w:val="CGCTableStub"/>
            </w:pPr>
            <w:r w:rsidRPr="00FC3C59">
              <w:rPr>
                <w:sz w:val="18"/>
                <w:szCs w:val="18"/>
              </w:rPr>
              <w:t xml:space="preserve">User charges relating to the provision of electricity, water supply, waste water and environment protection are </w:t>
            </w:r>
            <w:r>
              <w:rPr>
                <w:sz w:val="18"/>
                <w:szCs w:val="18"/>
              </w:rPr>
              <w:t>deducted</w:t>
            </w:r>
            <w:r w:rsidRPr="00FC3C59">
              <w:rPr>
                <w:sz w:val="18"/>
                <w:szCs w:val="18"/>
              </w:rPr>
              <w:t xml:space="preserve"> from the expenses. User charges relating to community development and community amenities are included in the Other revenue category.</w:t>
            </w:r>
          </w:p>
        </w:tc>
        <w:tc>
          <w:tcPr>
            <w:tcW w:w="916" w:type="pct"/>
            <w:tcBorders>
              <w:top w:val="single" w:sz="4" w:space="0" w:color="auto"/>
            </w:tcBorders>
          </w:tcPr>
          <w:p w:rsidR="00886A8C" w:rsidRPr="000F12C8" w:rsidRDefault="00886A8C" w:rsidP="00B02001">
            <w:pPr>
              <w:pStyle w:val="CGCTableStub"/>
              <w:rPr>
                <w:sz w:val="18"/>
                <w:szCs w:val="18"/>
              </w:rPr>
            </w:pPr>
            <w:r>
              <w:rPr>
                <w:sz w:val="18"/>
                <w:szCs w:val="18"/>
              </w:rPr>
              <w:t xml:space="preserve">0712 </w:t>
            </w:r>
            <w:r>
              <w:rPr>
                <w:sz w:val="18"/>
                <w:szCs w:val="18"/>
              </w:rPr>
              <w:noBreakHyphen/>
              <w:t xml:space="preserve"> </w:t>
            </w:r>
            <w:r w:rsidRPr="000F12C8">
              <w:rPr>
                <w:sz w:val="18"/>
                <w:szCs w:val="18"/>
              </w:rPr>
              <w:t>Aboriginal community development</w:t>
            </w:r>
          </w:p>
          <w:p w:rsidR="00886A8C" w:rsidRPr="000F12C8" w:rsidRDefault="00886A8C" w:rsidP="00B02001">
            <w:pPr>
              <w:pStyle w:val="CGCTableStub"/>
              <w:rPr>
                <w:sz w:val="18"/>
                <w:szCs w:val="18"/>
              </w:rPr>
            </w:pPr>
            <w:r>
              <w:rPr>
                <w:sz w:val="18"/>
                <w:szCs w:val="18"/>
              </w:rPr>
              <w:t xml:space="preserve">0719 </w:t>
            </w:r>
            <w:r>
              <w:rPr>
                <w:sz w:val="18"/>
                <w:szCs w:val="18"/>
              </w:rPr>
              <w:noBreakHyphen/>
              <w:t xml:space="preserve"> </w:t>
            </w:r>
            <w:r w:rsidRPr="000F12C8">
              <w:rPr>
                <w:sz w:val="18"/>
                <w:szCs w:val="18"/>
              </w:rPr>
              <w:t>Other community development</w:t>
            </w:r>
          </w:p>
          <w:p w:rsidR="00886A8C" w:rsidRPr="000F12C8" w:rsidRDefault="00886A8C" w:rsidP="00B02001">
            <w:pPr>
              <w:pStyle w:val="CGCTableStub"/>
              <w:rPr>
                <w:sz w:val="18"/>
                <w:szCs w:val="18"/>
              </w:rPr>
            </w:pPr>
            <w:r>
              <w:rPr>
                <w:sz w:val="18"/>
                <w:szCs w:val="18"/>
              </w:rPr>
              <w:t xml:space="preserve">0721 </w:t>
            </w:r>
            <w:r>
              <w:rPr>
                <w:sz w:val="18"/>
                <w:szCs w:val="18"/>
              </w:rPr>
              <w:noBreakHyphen/>
              <w:t xml:space="preserve"> </w:t>
            </w:r>
            <w:r w:rsidRPr="000F12C8">
              <w:rPr>
                <w:sz w:val="18"/>
                <w:szCs w:val="18"/>
              </w:rPr>
              <w:t>Aboriginal community water supply</w:t>
            </w:r>
          </w:p>
          <w:p w:rsidR="00886A8C" w:rsidRPr="000F12C8" w:rsidRDefault="00886A8C" w:rsidP="00B02001">
            <w:pPr>
              <w:pStyle w:val="CGCTableStub"/>
              <w:rPr>
                <w:sz w:val="18"/>
                <w:szCs w:val="18"/>
              </w:rPr>
            </w:pPr>
            <w:r>
              <w:rPr>
                <w:sz w:val="18"/>
                <w:szCs w:val="18"/>
              </w:rPr>
              <w:t xml:space="preserve">0729 </w:t>
            </w:r>
            <w:r>
              <w:rPr>
                <w:sz w:val="18"/>
                <w:szCs w:val="18"/>
              </w:rPr>
              <w:noBreakHyphen/>
              <w:t xml:space="preserve"> </w:t>
            </w:r>
            <w:r w:rsidRPr="000F12C8">
              <w:rPr>
                <w:sz w:val="18"/>
                <w:szCs w:val="18"/>
              </w:rPr>
              <w:t>Other water supply</w:t>
            </w:r>
          </w:p>
          <w:p w:rsidR="00886A8C" w:rsidRPr="000F12C8" w:rsidRDefault="00886A8C" w:rsidP="00B02001">
            <w:pPr>
              <w:pStyle w:val="CGCTableStub"/>
              <w:rPr>
                <w:sz w:val="18"/>
                <w:szCs w:val="18"/>
              </w:rPr>
            </w:pPr>
            <w:r>
              <w:rPr>
                <w:sz w:val="18"/>
                <w:szCs w:val="18"/>
              </w:rPr>
              <w:t xml:space="preserve">0731 </w:t>
            </w:r>
            <w:r>
              <w:rPr>
                <w:sz w:val="18"/>
                <w:szCs w:val="18"/>
              </w:rPr>
              <w:noBreakHyphen/>
              <w:t xml:space="preserve"> </w:t>
            </w:r>
            <w:r w:rsidRPr="000F12C8">
              <w:rPr>
                <w:sz w:val="18"/>
                <w:szCs w:val="18"/>
              </w:rPr>
              <w:t>Aboriginal community sanitation</w:t>
            </w:r>
          </w:p>
          <w:p w:rsidR="00886A8C" w:rsidRPr="000F12C8" w:rsidRDefault="00886A8C" w:rsidP="00B02001">
            <w:pPr>
              <w:pStyle w:val="CGCTableStub"/>
              <w:rPr>
                <w:sz w:val="18"/>
                <w:szCs w:val="18"/>
              </w:rPr>
            </w:pPr>
            <w:r>
              <w:rPr>
                <w:sz w:val="18"/>
                <w:szCs w:val="18"/>
              </w:rPr>
              <w:t xml:space="preserve">0739 </w:t>
            </w:r>
            <w:r>
              <w:rPr>
                <w:sz w:val="18"/>
                <w:szCs w:val="18"/>
              </w:rPr>
              <w:noBreakHyphen/>
              <w:t xml:space="preserve"> </w:t>
            </w:r>
            <w:r w:rsidRPr="000F12C8">
              <w:rPr>
                <w:sz w:val="18"/>
                <w:szCs w:val="18"/>
              </w:rPr>
              <w:t>Other sanitation and protection of the environment</w:t>
            </w:r>
          </w:p>
          <w:p w:rsidR="00886A8C" w:rsidRPr="000F12C8" w:rsidRDefault="00886A8C" w:rsidP="00B02001">
            <w:pPr>
              <w:pStyle w:val="CGCTableStub"/>
              <w:rPr>
                <w:sz w:val="18"/>
                <w:szCs w:val="18"/>
              </w:rPr>
            </w:pPr>
            <w:r>
              <w:rPr>
                <w:sz w:val="18"/>
                <w:szCs w:val="18"/>
              </w:rPr>
              <w:t xml:space="preserve">0791 </w:t>
            </w:r>
            <w:r>
              <w:rPr>
                <w:sz w:val="18"/>
                <w:szCs w:val="18"/>
              </w:rPr>
              <w:noBreakHyphen/>
              <w:t xml:space="preserve"> </w:t>
            </w:r>
            <w:r w:rsidRPr="000F12C8">
              <w:rPr>
                <w:sz w:val="18"/>
                <w:szCs w:val="18"/>
              </w:rPr>
              <w:t>Aboriginal community amenities</w:t>
            </w:r>
          </w:p>
          <w:p w:rsidR="00886A8C" w:rsidRPr="000F12C8" w:rsidRDefault="00886A8C" w:rsidP="00B02001">
            <w:pPr>
              <w:pStyle w:val="CGCTableStub"/>
              <w:rPr>
                <w:sz w:val="18"/>
                <w:szCs w:val="18"/>
              </w:rPr>
            </w:pPr>
            <w:r>
              <w:rPr>
                <w:sz w:val="18"/>
                <w:szCs w:val="18"/>
              </w:rPr>
              <w:t xml:space="preserve">0799 </w:t>
            </w:r>
            <w:r>
              <w:rPr>
                <w:sz w:val="18"/>
                <w:szCs w:val="18"/>
              </w:rPr>
              <w:noBreakHyphen/>
              <w:t xml:space="preserve"> </w:t>
            </w:r>
            <w:r w:rsidRPr="000F12C8">
              <w:rPr>
                <w:sz w:val="18"/>
                <w:szCs w:val="18"/>
              </w:rPr>
              <w:t>Other  community amenities</w:t>
            </w:r>
          </w:p>
          <w:p w:rsidR="00886A8C" w:rsidRPr="000F12C8" w:rsidRDefault="00886A8C" w:rsidP="00B02001">
            <w:pPr>
              <w:pStyle w:val="CGCTableStub"/>
              <w:rPr>
                <w:sz w:val="18"/>
                <w:szCs w:val="18"/>
              </w:rPr>
            </w:pPr>
            <w:r>
              <w:rPr>
                <w:sz w:val="18"/>
                <w:szCs w:val="18"/>
              </w:rPr>
              <w:t xml:space="preserve">0921 </w:t>
            </w:r>
            <w:r>
              <w:rPr>
                <w:sz w:val="18"/>
                <w:szCs w:val="18"/>
              </w:rPr>
              <w:noBreakHyphen/>
              <w:t xml:space="preserve"> </w:t>
            </w:r>
            <w:r w:rsidRPr="000F12C8">
              <w:rPr>
                <w:sz w:val="18"/>
                <w:szCs w:val="18"/>
              </w:rPr>
              <w:t>Aboriginal community electricity</w:t>
            </w:r>
          </w:p>
          <w:p w:rsidR="00886A8C" w:rsidRPr="000F12C8" w:rsidRDefault="00886A8C" w:rsidP="00B02001">
            <w:pPr>
              <w:pStyle w:val="CGCTableStub"/>
              <w:rPr>
                <w:sz w:val="18"/>
                <w:szCs w:val="18"/>
              </w:rPr>
            </w:pPr>
            <w:r>
              <w:rPr>
                <w:sz w:val="18"/>
                <w:szCs w:val="18"/>
              </w:rPr>
              <w:t xml:space="preserve">0922 </w:t>
            </w:r>
            <w:r>
              <w:rPr>
                <w:sz w:val="18"/>
                <w:szCs w:val="18"/>
              </w:rPr>
              <w:noBreakHyphen/>
              <w:t xml:space="preserve"> </w:t>
            </w:r>
            <w:r w:rsidRPr="000F12C8">
              <w:rPr>
                <w:sz w:val="18"/>
                <w:szCs w:val="18"/>
              </w:rPr>
              <w:t>Other electricity</w:t>
            </w:r>
          </w:p>
          <w:p w:rsidR="00886A8C" w:rsidRPr="000F12C8" w:rsidRDefault="00886A8C" w:rsidP="00B02001">
            <w:pPr>
              <w:pStyle w:val="CGCTableStub"/>
              <w:rPr>
                <w:sz w:val="18"/>
                <w:szCs w:val="18"/>
              </w:rPr>
            </w:pPr>
            <w:r>
              <w:rPr>
                <w:sz w:val="18"/>
                <w:szCs w:val="18"/>
              </w:rPr>
              <w:t xml:space="preserve">0929 </w:t>
            </w:r>
            <w:r>
              <w:rPr>
                <w:sz w:val="18"/>
                <w:szCs w:val="18"/>
              </w:rPr>
              <w:noBreakHyphen/>
              <w:t xml:space="preserve"> </w:t>
            </w:r>
            <w:r w:rsidRPr="000F12C8">
              <w:rPr>
                <w:sz w:val="18"/>
                <w:szCs w:val="18"/>
              </w:rPr>
              <w:t>Other energy</w:t>
            </w:r>
          </w:p>
        </w:tc>
      </w:tr>
      <w:tr w:rsidR="00886A8C" w:rsidRPr="000011B9" w:rsidTr="00B71A91">
        <w:trPr>
          <w:cantSplit/>
        </w:trPr>
        <w:tc>
          <w:tcPr>
            <w:tcW w:w="746" w:type="pct"/>
            <w:tcBorders>
              <w:bottom w:val="single" w:sz="4" w:space="0" w:color="auto"/>
            </w:tcBorders>
          </w:tcPr>
          <w:p w:rsidR="00886A8C" w:rsidRPr="000F12C8" w:rsidRDefault="00886A8C" w:rsidP="00B02001">
            <w:pPr>
              <w:pStyle w:val="CGCTableStub"/>
              <w:ind w:left="142" w:hanging="142"/>
              <w:rPr>
                <w:sz w:val="18"/>
                <w:szCs w:val="18"/>
              </w:rPr>
            </w:pPr>
            <w:r w:rsidRPr="000F12C8">
              <w:rPr>
                <w:sz w:val="18"/>
                <w:szCs w:val="18"/>
              </w:rPr>
              <w:t>610  Justice</w:t>
            </w:r>
          </w:p>
        </w:tc>
        <w:tc>
          <w:tcPr>
            <w:tcW w:w="3339" w:type="pct"/>
            <w:tcBorders>
              <w:bottom w:val="single" w:sz="4" w:space="0" w:color="auto"/>
            </w:tcBorders>
          </w:tcPr>
          <w:p w:rsidR="00886A8C" w:rsidRPr="00FC3C59" w:rsidRDefault="00886A8C" w:rsidP="00B02001">
            <w:pPr>
              <w:pStyle w:val="CGCTableStub"/>
              <w:rPr>
                <w:sz w:val="18"/>
                <w:szCs w:val="18"/>
              </w:rPr>
            </w:pPr>
            <w:r w:rsidRPr="00FC3C59">
              <w:rPr>
                <w:sz w:val="18"/>
                <w:szCs w:val="18"/>
              </w:rPr>
              <w:t>This category includes State general government recurrent spending on justice services.</w:t>
            </w:r>
          </w:p>
          <w:p w:rsidR="00886A8C" w:rsidRPr="00FC3C59" w:rsidRDefault="00886A8C" w:rsidP="00B02001">
            <w:pPr>
              <w:pStyle w:val="CGCTableStub"/>
              <w:rPr>
                <w:sz w:val="18"/>
                <w:szCs w:val="18"/>
              </w:rPr>
            </w:pPr>
            <w:r w:rsidRPr="00FC3C59">
              <w:rPr>
                <w:sz w:val="18"/>
                <w:szCs w:val="18"/>
              </w:rPr>
              <w:t>More specifically, the category includes:</w:t>
            </w:r>
          </w:p>
          <w:p w:rsidR="00886A8C" w:rsidRPr="00FC3C59" w:rsidRDefault="00886A8C" w:rsidP="00665DEB">
            <w:pPr>
              <w:pStyle w:val="ListParagraph"/>
              <w:numPr>
                <w:ilvl w:val="0"/>
                <w:numId w:val="40"/>
              </w:numPr>
              <w:spacing w:line="240" w:lineRule="auto"/>
              <w:ind w:left="284" w:hanging="284"/>
              <w:rPr>
                <w:sz w:val="18"/>
                <w:szCs w:val="18"/>
              </w:rPr>
            </w:pPr>
            <w:r w:rsidRPr="00FC3C59">
              <w:rPr>
                <w:sz w:val="18"/>
                <w:szCs w:val="18"/>
              </w:rPr>
              <w:t>police services</w:t>
            </w:r>
          </w:p>
          <w:p w:rsidR="00886A8C" w:rsidRPr="00FC3C59" w:rsidRDefault="00886A8C" w:rsidP="00665DEB">
            <w:pPr>
              <w:pStyle w:val="ListParagraph"/>
              <w:numPr>
                <w:ilvl w:val="0"/>
                <w:numId w:val="40"/>
              </w:numPr>
              <w:spacing w:line="240" w:lineRule="auto"/>
              <w:ind w:left="284" w:hanging="284"/>
              <w:rPr>
                <w:sz w:val="18"/>
                <w:szCs w:val="18"/>
              </w:rPr>
            </w:pPr>
            <w:r w:rsidRPr="00FC3C59">
              <w:rPr>
                <w:sz w:val="18"/>
                <w:szCs w:val="18"/>
              </w:rPr>
              <w:t>law courts and legal services, including crown prosecutions, trusteeship services and law reform, registration of legal titles to property and registration of births, deaths and marriages; and</w:t>
            </w:r>
          </w:p>
          <w:p w:rsidR="00886A8C" w:rsidRPr="00FC3C59" w:rsidRDefault="00886A8C" w:rsidP="00665DEB">
            <w:pPr>
              <w:pStyle w:val="ListParagraph"/>
              <w:numPr>
                <w:ilvl w:val="0"/>
                <w:numId w:val="40"/>
              </w:numPr>
              <w:spacing w:line="240" w:lineRule="auto"/>
              <w:ind w:left="284" w:hanging="284"/>
              <w:rPr>
                <w:sz w:val="18"/>
                <w:szCs w:val="18"/>
              </w:rPr>
            </w:pPr>
            <w:proofErr w:type="gramStart"/>
            <w:r w:rsidRPr="00FC3C59">
              <w:rPr>
                <w:sz w:val="18"/>
                <w:szCs w:val="18"/>
              </w:rPr>
              <w:t>prison</w:t>
            </w:r>
            <w:proofErr w:type="gramEnd"/>
            <w:r w:rsidRPr="00FC3C59">
              <w:rPr>
                <w:sz w:val="18"/>
                <w:szCs w:val="18"/>
              </w:rPr>
              <w:t xml:space="preserve"> and corrective services, including detention for juveniles and child offenders, youth training centres and juvenile corrective institutions.</w:t>
            </w:r>
          </w:p>
          <w:p w:rsidR="00886A8C" w:rsidRPr="00FC3C59" w:rsidRDefault="00886A8C" w:rsidP="00B02001">
            <w:pPr>
              <w:pStyle w:val="CGCTableStub"/>
              <w:rPr>
                <w:sz w:val="18"/>
                <w:szCs w:val="18"/>
              </w:rPr>
            </w:pPr>
            <w:r w:rsidRPr="00FC3C59">
              <w:rPr>
                <w:sz w:val="18"/>
                <w:szCs w:val="18"/>
              </w:rPr>
              <w:t xml:space="preserve">Includes superannuation, excludes depreciation, administrative scale, </w:t>
            </w:r>
            <w:proofErr w:type="gramStart"/>
            <w:r w:rsidRPr="00FC3C59">
              <w:rPr>
                <w:sz w:val="18"/>
                <w:szCs w:val="18"/>
              </w:rPr>
              <w:t>native</w:t>
            </w:r>
            <w:proofErr w:type="gramEnd"/>
            <w:r w:rsidRPr="00FC3C59">
              <w:rPr>
                <w:sz w:val="18"/>
                <w:szCs w:val="18"/>
              </w:rPr>
              <w:t xml:space="preserve"> title and land rights expenses. </w:t>
            </w:r>
          </w:p>
          <w:p w:rsidR="00886A8C" w:rsidRPr="000011B9" w:rsidRDefault="00886A8C" w:rsidP="00B02001">
            <w:pPr>
              <w:pStyle w:val="CGCTableStub"/>
            </w:pPr>
            <w:r w:rsidRPr="00FC3C59">
              <w:rPr>
                <w:sz w:val="18"/>
                <w:szCs w:val="18"/>
              </w:rPr>
              <w:t>Associated user charges are included in Other revenue.</w:t>
            </w:r>
          </w:p>
        </w:tc>
        <w:tc>
          <w:tcPr>
            <w:tcW w:w="916" w:type="pct"/>
            <w:tcBorders>
              <w:bottom w:val="single" w:sz="4" w:space="0" w:color="auto"/>
            </w:tcBorders>
          </w:tcPr>
          <w:p w:rsidR="00886A8C" w:rsidRPr="000F12C8" w:rsidRDefault="00886A8C" w:rsidP="00B02001">
            <w:pPr>
              <w:pStyle w:val="CGCTableStub"/>
              <w:rPr>
                <w:sz w:val="18"/>
                <w:szCs w:val="18"/>
              </w:rPr>
            </w:pPr>
            <w:r>
              <w:rPr>
                <w:sz w:val="18"/>
                <w:szCs w:val="18"/>
              </w:rPr>
              <w:t xml:space="preserve">0311 </w:t>
            </w:r>
            <w:r>
              <w:rPr>
                <w:sz w:val="18"/>
                <w:szCs w:val="18"/>
              </w:rPr>
              <w:noBreakHyphen/>
              <w:t xml:space="preserve"> </w:t>
            </w:r>
            <w:r w:rsidRPr="000F12C8">
              <w:rPr>
                <w:sz w:val="18"/>
                <w:szCs w:val="18"/>
              </w:rPr>
              <w:t>Police services</w:t>
            </w:r>
          </w:p>
          <w:p w:rsidR="00886A8C" w:rsidRPr="000F12C8" w:rsidRDefault="00886A8C" w:rsidP="00B02001">
            <w:pPr>
              <w:pStyle w:val="CGCTableStub"/>
              <w:rPr>
                <w:sz w:val="18"/>
                <w:szCs w:val="18"/>
              </w:rPr>
            </w:pPr>
            <w:r>
              <w:rPr>
                <w:sz w:val="18"/>
                <w:szCs w:val="18"/>
              </w:rPr>
              <w:t xml:space="preserve">0320 </w:t>
            </w:r>
            <w:r>
              <w:rPr>
                <w:sz w:val="18"/>
                <w:szCs w:val="18"/>
              </w:rPr>
              <w:noBreakHyphen/>
              <w:t xml:space="preserve"> </w:t>
            </w:r>
            <w:r w:rsidRPr="000F12C8">
              <w:rPr>
                <w:sz w:val="18"/>
                <w:szCs w:val="18"/>
              </w:rPr>
              <w:t>Law courts and legal services</w:t>
            </w:r>
          </w:p>
          <w:p w:rsidR="00886A8C" w:rsidRPr="000F12C8" w:rsidRDefault="00886A8C" w:rsidP="00B02001">
            <w:pPr>
              <w:pStyle w:val="CGCTableStub"/>
              <w:rPr>
                <w:sz w:val="18"/>
                <w:szCs w:val="18"/>
              </w:rPr>
            </w:pPr>
            <w:r>
              <w:rPr>
                <w:sz w:val="18"/>
                <w:szCs w:val="18"/>
              </w:rPr>
              <w:t xml:space="preserve">0330 </w:t>
            </w:r>
            <w:r>
              <w:rPr>
                <w:sz w:val="18"/>
                <w:szCs w:val="18"/>
              </w:rPr>
              <w:noBreakHyphen/>
              <w:t xml:space="preserve"> </w:t>
            </w:r>
            <w:r w:rsidRPr="000F12C8">
              <w:rPr>
                <w:sz w:val="18"/>
                <w:szCs w:val="18"/>
              </w:rPr>
              <w:t>Prisons and corrective services</w:t>
            </w:r>
          </w:p>
        </w:tc>
      </w:tr>
      <w:tr w:rsidR="00886A8C" w:rsidRPr="000011B9" w:rsidTr="00B71A91">
        <w:trPr>
          <w:cantSplit/>
        </w:trPr>
        <w:tc>
          <w:tcPr>
            <w:tcW w:w="746" w:type="pct"/>
            <w:tcBorders>
              <w:top w:val="single" w:sz="4" w:space="0" w:color="auto"/>
            </w:tcBorders>
          </w:tcPr>
          <w:p w:rsidR="00886A8C" w:rsidRPr="000F12C8" w:rsidRDefault="00886A8C" w:rsidP="00B02001">
            <w:pPr>
              <w:pStyle w:val="CGCTableStub"/>
              <w:ind w:left="142" w:hanging="142"/>
              <w:rPr>
                <w:sz w:val="18"/>
                <w:szCs w:val="18"/>
              </w:rPr>
            </w:pPr>
            <w:r w:rsidRPr="000F12C8">
              <w:rPr>
                <w:sz w:val="18"/>
                <w:szCs w:val="18"/>
              </w:rPr>
              <w:lastRenderedPageBreak/>
              <w:t>710  Roads</w:t>
            </w:r>
          </w:p>
        </w:tc>
        <w:tc>
          <w:tcPr>
            <w:tcW w:w="3339" w:type="pct"/>
            <w:tcBorders>
              <w:top w:val="single" w:sz="4" w:space="0" w:color="auto"/>
            </w:tcBorders>
          </w:tcPr>
          <w:p w:rsidR="00886A8C" w:rsidRPr="00781BD0" w:rsidRDefault="00886A8C" w:rsidP="00B02001">
            <w:pPr>
              <w:pStyle w:val="CGCTableStub"/>
              <w:rPr>
                <w:sz w:val="18"/>
                <w:szCs w:val="18"/>
              </w:rPr>
            </w:pPr>
            <w:r w:rsidRPr="00781BD0">
              <w:rPr>
                <w:sz w:val="18"/>
                <w:szCs w:val="18"/>
              </w:rPr>
              <w:t>This category includes State general government recurrent spending on the maintenance of roads, bridges (including tunnels) and other related services.</w:t>
            </w:r>
          </w:p>
          <w:p w:rsidR="00886A8C" w:rsidRPr="00781BD0" w:rsidRDefault="00886A8C" w:rsidP="00B02001">
            <w:pPr>
              <w:pStyle w:val="CGCTableStub"/>
              <w:rPr>
                <w:sz w:val="18"/>
                <w:szCs w:val="18"/>
              </w:rPr>
            </w:pPr>
            <w:r w:rsidRPr="00781BD0">
              <w:rPr>
                <w:sz w:val="18"/>
                <w:szCs w:val="18"/>
              </w:rPr>
              <w:t>More specifically, the category includes:</w:t>
            </w:r>
          </w:p>
          <w:p w:rsidR="00886A8C" w:rsidRPr="00781BD0" w:rsidRDefault="00886A8C" w:rsidP="00004137">
            <w:pPr>
              <w:pStyle w:val="ListParagraph"/>
              <w:numPr>
                <w:ilvl w:val="0"/>
                <w:numId w:val="40"/>
              </w:numPr>
              <w:spacing w:line="240" w:lineRule="auto"/>
              <w:ind w:left="284" w:hanging="284"/>
              <w:rPr>
                <w:sz w:val="18"/>
                <w:szCs w:val="18"/>
              </w:rPr>
            </w:pPr>
            <w:r w:rsidRPr="00781BD0">
              <w:rPr>
                <w:sz w:val="18"/>
                <w:szCs w:val="18"/>
              </w:rPr>
              <w:t>road maintenance, including road pavement and shoulder maintenance</w:t>
            </w:r>
          </w:p>
          <w:p w:rsidR="00886A8C" w:rsidRPr="00781BD0" w:rsidRDefault="00886A8C" w:rsidP="00004137">
            <w:pPr>
              <w:pStyle w:val="ListParagraph"/>
              <w:numPr>
                <w:ilvl w:val="0"/>
                <w:numId w:val="40"/>
              </w:numPr>
              <w:spacing w:line="240" w:lineRule="auto"/>
              <w:ind w:left="284" w:hanging="284"/>
              <w:rPr>
                <w:sz w:val="18"/>
                <w:szCs w:val="18"/>
              </w:rPr>
            </w:pPr>
            <w:r w:rsidRPr="00781BD0">
              <w:rPr>
                <w:sz w:val="18"/>
                <w:szCs w:val="18"/>
              </w:rPr>
              <w:t>road rehabilitation, including reinstating failed road pavements to existing standards to improve the ride quality withou</w:t>
            </w:r>
            <w:r w:rsidR="00286384">
              <w:rPr>
                <w:sz w:val="18"/>
                <w:szCs w:val="18"/>
              </w:rPr>
              <w:t>t improving the design standard</w:t>
            </w:r>
          </w:p>
          <w:p w:rsidR="00886A8C" w:rsidRPr="00781BD0" w:rsidRDefault="00886A8C" w:rsidP="00004137">
            <w:pPr>
              <w:pStyle w:val="ListParagraph"/>
              <w:numPr>
                <w:ilvl w:val="0"/>
                <w:numId w:val="40"/>
              </w:numPr>
              <w:spacing w:line="240" w:lineRule="auto"/>
              <w:ind w:left="284" w:hanging="284"/>
              <w:rPr>
                <w:sz w:val="18"/>
                <w:szCs w:val="18"/>
              </w:rPr>
            </w:pPr>
            <w:r w:rsidRPr="00781BD0">
              <w:rPr>
                <w:sz w:val="18"/>
                <w:szCs w:val="18"/>
              </w:rPr>
              <w:t>administration expenses on road construction affairs</w:t>
            </w:r>
          </w:p>
          <w:p w:rsidR="00886A8C" w:rsidRPr="00781BD0" w:rsidRDefault="00886A8C" w:rsidP="00004137">
            <w:pPr>
              <w:pStyle w:val="ListParagraph"/>
              <w:numPr>
                <w:ilvl w:val="0"/>
                <w:numId w:val="40"/>
              </w:numPr>
              <w:spacing w:line="240" w:lineRule="auto"/>
              <w:ind w:left="284" w:hanging="284"/>
              <w:rPr>
                <w:sz w:val="18"/>
                <w:szCs w:val="18"/>
              </w:rPr>
            </w:pPr>
            <w:proofErr w:type="gramStart"/>
            <w:r w:rsidRPr="00781BD0">
              <w:rPr>
                <w:sz w:val="18"/>
                <w:szCs w:val="18"/>
              </w:rPr>
              <w:t>road</w:t>
            </w:r>
            <w:proofErr w:type="gramEnd"/>
            <w:r w:rsidRPr="00781BD0">
              <w:rPr>
                <w:sz w:val="18"/>
                <w:szCs w:val="18"/>
              </w:rPr>
              <w:t xml:space="preserve"> safety and traffic improvements, and miscellaneous road transport activities, including driver licensing, motor vehicle registration and regulation.</w:t>
            </w:r>
          </w:p>
          <w:p w:rsidR="00886A8C" w:rsidRPr="00781BD0" w:rsidRDefault="00886A8C" w:rsidP="00B02001">
            <w:pPr>
              <w:pStyle w:val="CGCTableStub"/>
              <w:rPr>
                <w:sz w:val="18"/>
                <w:szCs w:val="18"/>
              </w:rPr>
            </w:pPr>
            <w:r w:rsidRPr="00781BD0">
              <w:rPr>
                <w:sz w:val="18"/>
                <w:szCs w:val="18"/>
              </w:rPr>
              <w:t>Includes superannuation, excludes depreciation, administrative scale, native title and land rights expenses, and national capital allowance calculated by the Commission.</w:t>
            </w:r>
          </w:p>
          <w:p w:rsidR="00886A8C" w:rsidRPr="000011B9" w:rsidRDefault="00886A8C" w:rsidP="00B02001">
            <w:pPr>
              <w:pStyle w:val="CGCTableStub"/>
            </w:pPr>
            <w:r w:rsidRPr="00781BD0">
              <w:rPr>
                <w:sz w:val="18"/>
                <w:szCs w:val="18"/>
              </w:rPr>
              <w:t>Associated user charges are included in Other revenue.</w:t>
            </w:r>
          </w:p>
        </w:tc>
        <w:tc>
          <w:tcPr>
            <w:tcW w:w="916" w:type="pct"/>
            <w:tcBorders>
              <w:top w:val="single" w:sz="4" w:space="0" w:color="auto"/>
            </w:tcBorders>
          </w:tcPr>
          <w:p w:rsidR="00886A8C" w:rsidRPr="000F12C8" w:rsidRDefault="00886A8C" w:rsidP="00B02001">
            <w:pPr>
              <w:pStyle w:val="CGCTableStub"/>
              <w:rPr>
                <w:sz w:val="18"/>
                <w:szCs w:val="18"/>
              </w:rPr>
            </w:pPr>
            <w:r>
              <w:rPr>
                <w:sz w:val="18"/>
                <w:szCs w:val="18"/>
              </w:rPr>
              <w:t xml:space="preserve">1211 </w:t>
            </w:r>
            <w:r>
              <w:rPr>
                <w:sz w:val="18"/>
                <w:szCs w:val="18"/>
              </w:rPr>
              <w:noBreakHyphen/>
              <w:t xml:space="preserve"> </w:t>
            </w:r>
            <w:r w:rsidRPr="000F12C8">
              <w:rPr>
                <w:sz w:val="18"/>
                <w:szCs w:val="18"/>
              </w:rPr>
              <w:t>Aboriginal community road transport services</w:t>
            </w:r>
          </w:p>
          <w:p w:rsidR="00886A8C" w:rsidRPr="000F12C8" w:rsidRDefault="00886A8C" w:rsidP="00B02001">
            <w:pPr>
              <w:pStyle w:val="CGCTableStub"/>
              <w:rPr>
                <w:sz w:val="18"/>
                <w:szCs w:val="18"/>
              </w:rPr>
            </w:pPr>
            <w:r>
              <w:rPr>
                <w:sz w:val="18"/>
                <w:szCs w:val="18"/>
              </w:rPr>
              <w:t xml:space="preserve">1212 </w:t>
            </w:r>
            <w:r>
              <w:rPr>
                <w:sz w:val="18"/>
                <w:szCs w:val="18"/>
              </w:rPr>
              <w:noBreakHyphen/>
              <w:t xml:space="preserve"> </w:t>
            </w:r>
            <w:r w:rsidRPr="000F12C8">
              <w:rPr>
                <w:sz w:val="18"/>
                <w:szCs w:val="18"/>
              </w:rPr>
              <w:t>Road maintenance</w:t>
            </w:r>
          </w:p>
          <w:p w:rsidR="00886A8C" w:rsidRPr="000F12C8" w:rsidRDefault="00886A8C" w:rsidP="00B02001">
            <w:pPr>
              <w:pStyle w:val="CGCTableStub"/>
              <w:rPr>
                <w:sz w:val="18"/>
                <w:szCs w:val="18"/>
              </w:rPr>
            </w:pPr>
            <w:r>
              <w:rPr>
                <w:sz w:val="18"/>
                <w:szCs w:val="18"/>
              </w:rPr>
              <w:t xml:space="preserve">1213 </w:t>
            </w:r>
            <w:r>
              <w:rPr>
                <w:sz w:val="18"/>
                <w:szCs w:val="18"/>
              </w:rPr>
              <w:noBreakHyphen/>
              <w:t xml:space="preserve"> </w:t>
            </w:r>
            <w:r w:rsidRPr="000F12C8">
              <w:rPr>
                <w:sz w:val="18"/>
                <w:szCs w:val="18"/>
              </w:rPr>
              <w:t>Road rehabilitation</w:t>
            </w:r>
          </w:p>
          <w:p w:rsidR="00886A8C" w:rsidRPr="000F12C8" w:rsidRDefault="00886A8C" w:rsidP="00B02001">
            <w:pPr>
              <w:pStyle w:val="CGCTableStub"/>
              <w:rPr>
                <w:sz w:val="18"/>
                <w:szCs w:val="18"/>
              </w:rPr>
            </w:pPr>
            <w:r>
              <w:rPr>
                <w:sz w:val="18"/>
                <w:szCs w:val="18"/>
              </w:rPr>
              <w:t xml:space="preserve">1214 </w:t>
            </w:r>
            <w:r>
              <w:rPr>
                <w:sz w:val="18"/>
                <w:szCs w:val="18"/>
              </w:rPr>
              <w:noBreakHyphen/>
              <w:t xml:space="preserve"> </w:t>
            </w:r>
            <w:r w:rsidRPr="000F12C8">
              <w:rPr>
                <w:sz w:val="18"/>
                <w:szCs w:val="18"/>
              </w:rPr>
              <w:t>Road construction</w:t>
            </w:r>
          </w:p>
          <w:p w:rsidR="00886A8C" w:rsidRPr="000F12C8" w:rsidRDefault="00886A8C" w:rsidP="00B02001">
            <w:pPr>
              <w:pStyle w:val="CGCTableStub"/>
              <w:rPr>
                <w:sz w:val="18"/>
                <w:szCs w:val="18"/>
              </w:rPr>
            </w:pPr>
            <w:r>
              <w:rPr>
                <w:sz w:val="18"/>
                <w:szCs w:val="18"/>
              </w:rPr>
              <w:t xml:space="preserve">1219 </w:t>
            </w:r>
            <w:r>
              <w:rPr>
                <w:sz w:val="18"/>
                <w:szCs w:val="18"/>
              </w:rPr>
              <w:noBreakHyphen/>
              <w:t xml:space="preserve"> </w:t>
            </w:r>
            <w:r w:rsidRPr="000F12C8">
              <w:rPr>
                <w:sz w:val="18"/>
                <w:szCs w:val="18"/>
              </w:rPr>
              <w:t xml:space="preserve">Road transport </w:t>
            </w:r>
            <w:proofErr w:type="spellStart"/>
            <w:r w:rsidRPr="000F12C8">
              <w:rPr>
                <w:sz w:val="18"/>
                <w:szCs w:val="18"/>
              </w:rPr>
              <w:t>n.e.c</w:t>
            </w:r>
            <w:proofErr w:type="spellEnd"/>
            <w:r w:rsidRPr="000F12C8">
              <w:rPr>
                <w:sz w:val="18"/>
                <w:szCs w:val="18"/>
              </w:rPr>
              <w:t>.</w:t>
            </w:r>
          </w:p>
        </w:tc>
      </w:tr>
      <w:tr w:rsidR="00886A8C" w:rsidRPr="000011B9" w:rsidTr="00B71A91">
        <w:trPr>
          <w:cantSplit/>
        </w:trPr>
        <w:tc>
          <w:tcPr>
            <w:tcW w:w="746" w:type="pct"/>
            <w:tcBorders>
              <w:bottom w:val="single" w:sz="4" w:space="0" w:color="auto"/>
            </w:tcBorders>
          </w:tcPr>
          <w:p w:rsidR="00886A8C" w:rsidRPr="000F12C8" w:rsidRDefault="00886A8C" w:rsidP="00B02001">
            <w:pPr>
              <w:pStyle w:val="CGCTableStub"/>
              <w:ind w:left="142" w:hanging="142"/>
              <w:rPr>
                <w:sz w:val="18"/>
                <w:szCs w:val="18"/>
              </w:rPr>
            </w:pPr>
            <w:r w:rsidRPr="000F12C8">
              <w:rPr>
                <w:sz w:val="18"/>
                <w:szCs w:val="18"/>
              </w:rPr>
              <w:t>725 Transport</w:t>
            </w:r>
          </w:p>
        </w:tc>
        <w:tc>
          <w:tcPr>
            <w:tcW w:w="3339" w:type="pct"/>
            <w:tcBorders>
              <w:bottom w:val="single" w:sz="4" w:space="0" w:color="auto"/>
            </w:tcBorders>
          </w:tcPr>
          <w:p w:rsidR="00886A8C" w:rsidRPr="00781BD0" w:rsidRDefault="00886A8C" w:rsidP="00B02001">
            <w:pPr>
              <w:pStyle w:val="CGCTableStub"/>
              <w:rPr>
                <w:sz w:val="18"/>
                <w:szCs w:val="18"/>
              </w:rPr>
            </w:pPr>
            <w:r w:rsidRPr="00781BD0">
              <w:rPr>
                <w:sz w:val="18"/>
                <w:szCs w:val="18"/>
              </w:rPr>
              <w:t xml:space="preserve">This category includes State general government and public non-financial corporations (PNFCs) recurrent spending on the provision of transport services. These services include bus, rail (passenger and freight), ferries, ports and other maritime related services, and air transport. It also </w:t>
            </w:r>
            <w:proofErr w:type="gramStart"/>
            <w:r w:rsidRPr="00781BD0">
              <w:rPr>
                <w:sz w:val="18"/>
                <w:szCs w:val="18"/>
              </w:rPr>
              <w:t>include</w:t>
            </w:r>
            <w:proofErr w:type="gramEnd"/>
            <w:r w:rsidRPr="00781BD0">
              <w:rPr>
                <w:sz w:val="18"/>
                <w:szCs w:val="18"/>
              </w:rPr>
              <w:t xml:space="preserve"> passenger concessions not relating to student transport.</w:t>
            </w:r>
          </w:p>
          <w:p w:rsidR="00886A8C" w:rsidRPr="00781BD0" w:rsidRDefault="00886A8C" w:rsidP="00B02001">
            <w:pPr>
              <w:pStyle w:val="CGCTableStub"/>
              <w:rPr>
                <w:sz w:val="18"/>
                <w:szCs w:val="18"/>
              </w:rPr>
            </w:pPr>
            <w:r w:rsidRPr="00781BD0">
              <w:rPr>
                <w:sz w:val="18"/>
                <w:szCs w:val="18"/>
              </w:rPr>
              <w:t>More specifically, the category include:</w:t>
            </w:r>
          </w:p>
          <w:p w:rsidR="00886A8C" w:rsidRPr="00781BD0" w:rsidRDefault="00886A8C" w:rsidP="00004137">
            <w:pPr>
              <w:pStyle w:val="ListParagraph"/>
              <w:numPr>
                <w:ilvl w:val="0"/>
                <w:numId w:val="40"/>
              </w:numPr>
              <w:spacing w:line="240" w:lineRule="auto"/>
              <w:ind w:left="284" w:hanging="284"/>
              <w:rPr>
                <w:sz w:val="18"/>
                <w:szCs w:val="18"/>
              </w:rPr>
            </w:pPr>
            <w:r w:rsidRPr="00781BD0">
              <w:rPr>
                <w:sz w:val="18"/>
                <w:szCs w:val="18"/>
              </w:rPr>
              <w:t xml:space="preserve">Urban transport — consolidated expenses (including depreciation) for the general government and PNFCs sectors on passenger transport within urban centres, net of user charges, and subsidies to private </w:t>
            </w:r>
            <w:r w:rsidR="00286384">
              <w:rPr>
                <w:sz w:val="18"/>
                <w:szCs w:val="18"/>
              </w:rPr>
              <w:t>providers and local governments</w:t>
            </w:r>
          </w:p>
          <w:p w:rsidR="00886A8C" w:rsidRPr="00781BD0" w:rsidRDefault="00886A8C" w:rsidP="00004137">
            <w:pPr>
              <w:pStyle w:val="ListParagraph"/>
              <w:numPr>
                <w:ilvl w:val="0"/>
                <w:numId w:val="40"/>
              </w:numPr>
              <w:spacing w:line="240" w:lineRule="auto"/>
              <w:ind w:left="284" w:hanging="284"/>
              <w:rPr>
                <w:sz w:val="18"/>
                <w:szCs w:val="18"/>
              </w:rPr>
            </w:pPr>
            <w:r w:rsidRPr="00781BD0">
              <w:rPr>
                <w:sz w:val="18"/>
                <w:szCs w:val="18"/>
              </w:rPr>
              <w:t>Non-urban transport — general government’s capital and operating subsidies for passenger and freight transport between urban centres, and subsidies to port corporations.</w:t>
            </w:r>
          </w:p>
          <w:p w:rsidR="00886A8C" w:rsidRPr="00781BD0" w:rsidRDefault="00886A8C" w:rsidP="00B02001">
            <w:pPr>
              <w:pStyle w:val="CGCTableStub"/>
              <w:rPr>
                <w:sz w:val="18"/>
                <w:szCs w:val="18"/>
              </w:rPr>
            </w:pPr>
            <w:r w:rsidRPr="00781BD0">
              <w:rPr>
                <w:sz w:val="18"/>
                <w:szCs w:val="18"/>
              </w:rPr>
              <w:t>Includes superannuation and urban transport depreciation, excludes non-urban transport depreciation and administrative scale expenses.</w:t>
            </w:r>
          </w:p>
          <w:p w:rsidR="00886A8C" w:rsidRPr="000011B9" w:rsidRDefault="00886A8C" w:rsidP="00B02001">
            <w:pPr>
              <w:pStyle w:val="CGCTableStub"/>
            </w:pPr>
            <w:r w:rsidRPr="00781BD0">
              <w:rPr>
                <w:sz w:val="18"/>
                <w:szCs w:val="18"/>
              </w:rPr>
              <w:t>Associated user charges are removed from the expenses.</w:t>
            </w:r>
          </w:p>
        </w:tc>
        <w:tc>
          <w:tcPr>
            <w:tcW w:w="916" w:type="pct"/>
            <w:tcBorders>
              <w:bottom w:val="single" w:sz="4" w:space="0" w:color="auto"/>
            </w:tcBorders>
          </w:tcPr>
          <w:p w:rsidR="00886A8C" w:rsidRPr="000F12C8" w:rsidRDefault="00886A8C" w:rsidP="00B02001">
            <w:pPr>
              <w:pStyle w:val="CGCTableStub"/>
              <w:rPr>
                <w:sz w:val="18"/>
                <w:szCs w:val="18"/>
              </w:rPr>
            </w:pPr>
            <w:r>
              <w:rPr>
                <w:sz w:val="18"/>
                <w:szCs w:val="18"/>
              </w:rPr>
              <w:t xml:space="preserve">1221 </w:t>
            </w:r>
            <w:r>
              <w:rPr>
                <w:sz w:val="18"/>
                <w:szCs w:val="18"/>
              </w:rPr>
              <w:noBreakHyphen/>
              <w:t xml:space="preserve"> </w:t>
            </w:r>
            <w:r w:rsidRPr="000F12C8">
              <w:rPr>
                <w:sz w:val="18"/>
                <w:szCs w:val="18"/>
              </w:rPr>
              <w:t xml:space="preserve">Aboriginal community water transport </w:t>
            </w:r>
          </w:p>
          <w:p w:rsidR="00886A8C" w:rsidRPr="000F12C8" w:rsidRDefault="00886A8C" w:rsidP="00B02001">
            <w:pPr>
              <w:pStyle w:val="CGCTableStub"/>
              <w:rPr>
                <w:sz w:val="18"/>
                <w:szCs w:val="18"/>
              </w:rPr>
            </w:pPr>
            <w:r>
              <w:rPr>
                <w:sz w:val="18"/>
                <w:szCs w:val="18"/>
              </w:rPr>
              <w:t xml:space="preserve">1222 </w:t>
            </w:r>
            <w:r>
              <w:rPr>
                <w:sz w:val="18"/>
                <w:szCs w:val="18"/>
              </w:rPr>
              <w:noBreakHyphen/>
              <w:t xml:space="preserve"> </w:t>
            </w:r>
            <w:r w:rsidRPr="000F12C8">
              <w:rPr>
                <w:sz w:val="18"/>
                <w:szCs w:val="18"/>
              </w:rPr>
              <w:t>Urban water transport</w:t>
            </w:r>
          </w:p>
          <w:p w:rsidR="00886A8C" w:rsidRPr="000F12C8" w:rsidRDefault="00886A8C" w:rsidP="00B02001">
            <w:pPr>
              <w:pStyle w:val="CGCTableStub"/>
              <w:rPr>
                <w:sz w:val="18"/>
                <w:szCs w:val="18"/>
              </w:rPr>
            </w:pPr>
            <w:r>
              <w:rPr>
                <w:sz w:val="18"/>
                <w:szCs w:val="18"/>
              </w:rPr>
              <w:t xml:space="preserve">1223 </w:t>
            </w:r>
            <w:r>
              <w:rPr>
                <w:sz w:val="18"/>
                <w:szCs w:val="18"/>
              </w:rPr>
              <w:noBreakHyphen/>
              <w:t xml:space="preserve"> </w:t>
            </w:r>
            <w:proofErr w:type="spellStart"/>
            <w:r w:rsidRPr="000F12C8">
              <w:rPr>
                <w:sz w:val="18"/>
                <w:szCs w:val="18"/>
              </w:rPr>
              <w:t>Non urban</w:t>
            </w:r>
            <w:proofErr w:type="spellEnd"/>
            <w:r w:rsidRPr="000F12C8">
              <w:rPr>
                <w:sz w:val="18"/>
                <w:szCs w:val="18"/>
              </w:rPr>
              <w:t xml:space="preserve"> water transport</w:t>
            </w:r>
          </w:p>
          <w:p w:rsidR="00886A8C" w:rsidRPr="000F12C8" w:rsidRDefault="00886A8C" w:rsidP="00B02001">
            <w:pPr>
              <w:pStyle w:val="CGCTableStub"/>
              <w:rPr>
                <w:sz w:val="18"/>
                <w:szCs w:val="18"/>
              </w:rPr>
            </w:pPr>
            <w:r>
              <w:rPr>
                <w:sz w:val="18"/>
                <w:szCs w:val="18"/>
              </w:rPr>
              <w:t xml:space="preserve">1231 </w:t>
            </w:r>
            <w:r>
              <w:rPr>
                <w:sz w:val="18"/>
                <w:szCs w:val="18"/>
              </w:rPr>
              <w:noBreakHyphen/>
              <w:t xml:space="preserve"> </w:t>
            </w:r>
            <w:r w:rsidRPr="000F12C8">
              <w:rPr>
                <w:sz w:val="18"/>
                <w:szCs w:val="18"/>
              </w:rPr>
              <w:t>Urban rail transport</w:t>
            </w:r>
          </w:p>
          <w:p w:rsidR="00886A8C" w:rsidRPr="000F12C8" w:rsidRDefault="00886A8C" w:rsidP="00B02001">
            <w:pPr>
              <w:pStyle w:val="CGCTableStub"/>
              <w:rPr>
                <w:sz w:val="18"/>
                <w:szCs w:val="18"/>
              </w:rPr>
            </w:pPr>
            <w:r>
              <w:rPr>
                <w:sz w:val="18"/>
                <w:szCs w:val="18"/>
              </w:rPr>
              <w:t xml:space="preserve">1232 </w:t>
            </w:r>
            <w:r>
              <w:rPr>
                <w:sz w:val="18"/>
                <w:szCs w:val="18"/>
              </w:rPr>
              <w:noBreakHyphen/>
              <w:t xml:space="preserve"> </w:t>
            </w:r>
            <w:proofErr w:type="spellStart"/>
            <w:r w:rsidRPr="000F12C8">
              <w:rPr>
                <w:sz w:val="18"/>
                <w:szCs w:val="18"/>
              </w:rPr>
              <w:t>Non urban</w:t>
            </w:r>
            <w:proofErr w:type="spellEnd"/>
            <w:r w:rsidRPr="000F12C8">
              <w:rPr>
                <w:sz w:val="18"/>
                <w:szCs w:val="18"/>
              </w:rPr>
              <w:t xml:space="preserve"> rail transport freight</w:t>
            </w:r>
          </w:p>
          <w:p w:rsidR="00886A8C" w:rsidRPr="000F12C8" w:rsidRDefault="00886A8C" w:rsidP="00B02001">
            <w:pPr>
              <w:pStyle w:val="CGCTableStub"/>
              <w:rPr>
                <w:sz w:val="18"/>
                <w:szCs w:val="18"/>
              </w:rPr>
            </w:pPr>
            <w:r>
              <w:rPr>
                <w:sz w:val="18"/>
                <w:szCs w:val="18"/>
              </w:rPr>
              <w:t xml:space="preserve">1233 </w:t>
            </w:r>
            <w:r>
              <w:rPr>
                <w:sz w:val="18"/>
                <w:szCs w:val="18"/>
              </w:rPr>
              <w:noBreakHyphen/>
              <w:t xml:space="preserve"> </w:t>
            </w:r>
            <w:proofErr w:type="spellStart"/>
            <w:r w:rsidRPr="000F12C8">
              <w:rPr>
                <w:sz w:val="18"/>
                <w:szCs w:val="18"/>
              </w:rPr>
              <w:t>Non urban</w:t>
            </w:r>
            <w:proofErr w:type="spellEnd"/>
            <w:r w:rsidRPr="000F12C8">
              <w:rPr>
                <w:sz w:val="18"/>
                <w:szCs w:val="18"/>
              </w:rPr>
              <w:t xml:space="preserve"> rail transport passenger</w:t>
            </w:r>
          </w:p>
          <w:p w:rsidR="00886A8C" w:rsidRPr="000F12C8" w:rsidRDefault="00886A8C" w:rsidP="00B02001">
            <w:pPr>
              <w:pStyle w:val="CGCTableStub"/>
              <w:rPr>
                <w:sz w:val="18"/>
                <w:szCs w:val="18"/>
              </w:rPr>
            </w:pPr>
            <w:r>
              <w:rPr>
                <w:sz w:val="18"/>
                <w:szCs w:val="18"/>
              </w:rPr>
              <w:t xml:space="preserve">1241 </w:t>
            </w:r>
            <w:r>
              <w:rPr>
                <w:sz w:val="18"/>
                <w:szCs w:val="18"/>
              </w:rPr>
              <w:noBreakHyphen/>
              <w:t xml:space="preserve"> </w:t>
            </w:r>
            <w:r w:rsidRPr="000F12C8">
              <w:rPr>
                <w:sz w:val="18"/>
                <w:szCs w:val="18"/>
              </w:rPr>
              <w:t>Aboriginal community air transport</w:t>
            </w:r>
          </w:p>
          <w:p w:rsidR="00886A8C" w:rsidRPr="000F12C8" w:rsidRDefault="00886A8C" w:rsidP="00B02001">
            <w:pPr>
              <w:pStyle w:val="CGCTableStub"/>
              <w:rPr>
                <w:sz w:val="18"/>
                <w:szCs w:val="18"/>
              </w:rPr>
            </w:pPr>
            <w:r>
              <w:rPr>
                <w:sz w:val="18"/>
                <w:szCs w:val="18"/>
              </w:rPr>
              <w:t xml:space="preserve">1249 </w:t>
            </w:r>
            <w:r>
              <w:rPr>
                <w:sz w:val="18"/>
                <w:szCs w:val="18"/>
              </w:rPr>
              <w:noBreakHyphen/>
              <w:t xml:space="preserve"> </w:t>
            </w:r>
            <w:r w:rsidRPr="000F12C8">
              <w:rPr>
                <w:sz w:val="18"/>
                <w:szCs w:val="18"/>
              </w:rPr>
              <w:t>Other air transport</w:t>
            </w:r>
          </w:p>
          <w:p w:rsidR="00886A8C" w:rsidRPr="000F12C8" w:rsidRDefault="00886A8C" w:rsidP="00B02001">
            <w:pPr>
              <w:pStyle w:val="CGCTableStub"/>
              <w:rPr>
                <w:sz w:val="18"/>
                <w:szCs w:val="18"/>
              </w:rPr>
            </w:pPr>
            <w:r>
              <w:rPr>
                <w:sz w:val="18"/>
                <w:szCs w:val="18"/>
              </w:rPr>
              <w:t xml:space="preserve">1281 </w:t>
            </w:r>
            <w:r>
              <w:rPr>
                <w:sz w:val="18"/>
                <w:szCs w:val="18"/>
              </w:rPr>
              <w:noBreakHyphen/>
              <w:t xml:space="preserve"> </w:t>
            </w:r>
            <w:proofErr w:type="spellStart"/>
            <w:r w:rsidRPr="000F12C8">
              <w:rPr>
                <w:sz w:val="18"/>
                <w:szCs w:val="18"/>
              </w:rPr>
              <w:t>Multi mode</w:t>
            </w:r>
            <w:proofErr w:type="spellEnd"/>
            <w:r w:rsidRPr="000F12C8">
              <w:rPr>
                <w:sz w:val="18"/>
                <w:szCs w:val="18"/>
              </w:rPr>
              <w:t xml:space="preserve"> urban transport</w:t>
            </w:r>
          </w:p>
          <w:p w:rsidR="00886A8C" w:rsidRPr="000F12C8" w:rsidRDefault="00886A8C" w:rsidP="00B02001">
            <w:pPr>
              <w:pStyle w:val="CGCTableStub"/>
              <w:rPr>
                <w:sz w:val="18"/>
                <w:szCs w:val="18"/>
              </w:rPr>
            </w:pPr>
            <w:r>
              <w:rPr>
                <w:sz w:val="18"/>
                <w:szCs w:val="18"/>
              </w:rPr>
              <w:t xml:space="preserve">1289 </w:t>
            </w:r>
            <w:r>
              <w:rPr>
                <w:sz w:val="18"/>
                <w:szCs w:val="18"/>
              </w:rPr>
              <w:noBreakHyphen/>
              <w:t xml:space="preserve"> </w:t>
            </w:r>
            <w:r w:rsidRPr="000F12C8">
              <w:rPr>
                <w:sz w:val="18"/>
                <w:szCs w:val="18"/>
              </w:rPr>
              <w:t xml:space="preserve">Other transport </w:t>
            </w:r>
            <w:proofErr w:type="spellStart"/>
            <w:r w:rsidRPr="000F12C8">
              <w:rPr>
                <w:sz w:val="18"/>
                <w:szCs w:val="18"/>
              </w:rPr>
              <w:t>n.e.c</w:t>
            </w:r>
            <w:proofErr w:type="spellEnd"/>
            <w:r w:rsidRPr="000F12C8">
              <w:rPr>
                <w:sz w:val="18"/>
                <w:szCs w:val="18"/>
              </w:rPr>
              <w:t>.</w:t>
            </w:r>
          </w:p>
        </w:tc>
      </w:tr>
      <w:tr w:rsidR="00886A8C" w:rsidRPr="000011B9" w:rsidTr="00B71A91">
        <w:trPr>
          <w:cantSplit/>
        </w:trPr>
        <w:tc>
          <w:tcPr>
            <w:tcW w:w="746" w:type="pct"/>
            <w:tcBorders>
              <w:top w:val="single" w:sz="4" w:space="0" w:color="auto"/>
              <w:bottom w:val="single" w:sz="4" w:space="0" w:color="auto"/>
            </w:tcBorders>
          </w:tcPr>
          <w:p w:rsidR="00886A8C" w:rsidRPr="000F12C8" w:rsidRDefault="00886A8C" w:rsidP="00B02001">
            <w:pPr>
              <w:pStyle w:val="CGCTableStub"/>
              <w:ind w:left="142" w:hanging="142"/>
              <w:rPr>
                <w:sz w:val="18"/>
                <w:szCs w:val="18"/>
              </w:rPr>
            </w:pPr>
            <w:r w:rsidRPr="000F12C8">
              <w:rPr>
                <w:sz w:val="18"/>
                <w:szCs w:val="18"/>
              </w:rPr>
              <w:lastRenderedPageBreak/>
              <w:t>810  Services to Industry</w:t>
            </w:r>
          </w:p>
        </w:tc>
        <w:tc>
          <w:tcPr>
            <w:tcW w:w="3339" w:type="pct"/>
            <w:tcBorders>
              <w:top w:val="single" w:sz="4" w:space="0" w:color="auto"/>
              <w:bottom w:val="single" w:sz="4" w:space="0" w:color="auto"/>
            </w:tcBorders>
          </w:tcPr>
          <w:p w:rsidR="00886A8C" w:rsidRPr="00781BD0" w:rsidRDefault="00886A8C" w:rsidP="00B02001">
            <w:pPr>
              <w:pStyle w:val="CGCTableStub"/>
              <w:rPr>
                <w:sz w:val="18"/>
                <w:szCs w:val="18"/>
              </w:rPr>
            </w:pPr>
            <w:r w:rsidRPr="00781BD0">
              <w:rPr>
                <w:sz w:val="18"/>
                <w:szCs w:val="18"/>
              </w:rPr>
              <w:t>This category includes State general government recurrent spending on the regulation and development of businesses and industries, and other economic affairs.  These industries include:</w:t>
            </w:r>
          </w:p>
          <w:p w:rsidR="00886A8C" w:rsidRPr="00781BD0" w:rsidRDefault="00886A8C" w:rsidP="00004137">
            <w:pPr>
              <w:pStyle w:val="ListParagraph"/>
              <w:numPr>
                <w:ilvl w:val="0"/>
                <w:numId w:val="40"/>
              </w:numPr>
              <w:spacing w:line="240" w:lineRule="auto"/>
              <w:ind w:left="284" w:hanging="284"/>
              <w:rPr>
                <w:sz w:val="18"/>
                <w:szCs w:val="18"/>
              </w:rPr>
            </w:pPr>
            <w:r w:rsidRPr="00781BD0">
              <w:rPr>
                <w:sz w:val="18"/>
                <w:szCs w:val="18"/>
              </w:rPr>
              <w:t>fuels such as natural gas, liquefied petroleum gases and refinery gases, coal, petroleum and alternative fuels</w:t>
            </w:r>
          </w:p>
          <w:p w:rsidR="00886A8C" w:rsidRPr="00781BD0" w:rsidRDefault="00886A8C" w:rsidP="00004137">
            <w:pPr>
              <w:pStyle w:val="ListParagraph"/>
              <w:numPr>
                <w:ilvl w:val="0"/>
                <w:numId w:val="40"/>
              </w:numPr>
              <w:spacing w:line="240" w:lineRule="auto"/>
              <w:ind w:left="284" w:hanging="284"/>
              <w:rPr>
                <w:sz w:val="18"/>
                <w:szCs w:val="18"/>
              </w:rPr>
            </w:pPr>
            <w:r w:rsidRPr="00781BD0">
              <w:rPr>
                <w:sz w:val="18"/>
                <w:szCs w:val="18"/>
              </w:rPr>
              <w:t>management of agricultural land and water resources</w:t>
            </w:r>
          </w:p>
          <w:p w:rsidR="00886A8C" w:rsidRPr="00781BD0" w:rsidRDefault="00886A8C" w:rsidP="00004137">
            <w:pPr>
              <w:pStyle w:val="ListParagraph"/>
              <w:numPr>
                <w:ilvl w:val="0"/>
                <w:numId w:val="40"/>
              </w:numPr>
              <w:spacing w:line="240" w:lineRule="auto"/>
              <w:ind w:left="284" w:hanging="284"/>
              <w:rPr>
                <w:sz w:val="18"/>
                <w:szCs w:val="18"/>
              </w:rPr>
            </w:pPr>
            <w:r w:rsidRPr="00781BD0">
              <w:rPr>
                <w:sz w:val="18"/>
                <w:szCs w:val="18"/>
              </w:rPr>
              <w:t>forestry, fishing and hunting</w:t>
            </w:r>
          </w:p>
          <w:p w:rsidR="00886A8C" w:rsidRPr="00781BD0" w:rsidRDefault="00886A8C" w:rsidP="00004137">
            <w:pPr>
              <w:pStyle w:val="ListParagraph"/>
              <w:numPr>
                <w:ilvl w:val="0"/>
                <w:numId w:val="40"/>
              </w:numPr>
              <w:spacing w:line="240" w:lineRule="auto"/>
              <w:ind w:left="284" w:hanging="284"/>
              <w:rPr>
                <w:sz w:val="18"/>
                <w:szCs w:val="18"/>
              </w:rPr>
            </w:pPr>
            <w:r w:rsidRPr="00781BD0">
              <w:rPr>
                <w:sz w:val="18"/>
                <w:szCs w:val="18"/>
              </w:rPr>
              <w:t>mining and mineral resources</w:t>
            </w:r>
          </w:p>
          <w:p w:rsidR="00886A8C" w:rsidRPr="00781BD0" w:rsidRDefault="00886A8C" w:rsidP="00004137">
            <w:pPr>
              <w:pStyle w:val="ListParagraph"/>
              <w:numPr>
                <w:ilvl w:val="0"/>
                <w:numId w:val="40"/>
              </w:numPr>
              <w:spacing w:line="240" w:lineRule="auto"/>
              <w:ind w:left="284" w:hanging="284"/>
              <w:rPr>
                <w:sz w:val="18"/>
                <w:szCs w:val="18"/>
              </w:rPr>
            </w:pPr>
            <w:r w:rsidRPr="00781BD0">
              <w:rPr>
                <w:sz w:val="18"/>
                <w:szCs w:val="18"/>
              </w:rPr>
              <w:t>manufacturing</w:t>
            </w:r>
          </w:p>
          <w:p w:rsidR="00886A8C" w:rsidRPr="00781BD0" w:rsidRDefault="00886A8C" w:rsidP="00004137">
            <w:pPr>
              <w:pStyle w:val="ListParagraph"/>
              <w:numPr>
                <w:ilvl w:val="0"/>
                <w:numId w:val="40"/>
              </w:numPr>
              <w:spacing w:line="240" w:lineRule="auto"/>
              <w:ind w:left="284" w:hanging="284"/>
              <w:rPr>
                <w:sz w:val="18"/>
                <w:szCs w:val="18"/>
              </w:rPr>
            </w:pPr>
            <w:r w:rsidRPr="00781BD0">
              <w:rPr>
                <w:sz w:val="18"/>
                <w:szCs w:val="18"/>
              </w:rPr>
              <w:t>building and construction</w:t>
            </w:r>
          </w:p>
          <w:p w:rsidR="00886A8C" w:rsidRPr="00781BD0" w:rsidRDefault="00886A8C" w:rsidP="00004137">
            <w:pPr>
              <w:pStyle w:val="ListParagraph"/>
              <w:numPr>
                <w:ilvl w:val="0"/>
                <w:numId w:val="40"/>
              </w:numPr>
              <w:spacing w:line="240" w:lineRule="auto"/>
              <w:ind w:left="284" w:hanging="284"/>
              <w:rPr>
                <w:sz w:val="18"/>
                <w:szCs w:val="18"/>
              </w:rPr>
            </w:pPr>
            <w:r w:rsidRPr="00781BD0">
              <w:rPr>
                <w:sz w:val="18"/>
                <w:szCs w:val="18"/>
              </w:rPr>
              <w:t>storage and warehousing</w:t>
            </w:r>
          </w:p>
          <w:p w:rsidR="00886A8C" w:rsidRPr="00781BD0" w:rsidRDefault="00886A8C" w:rsidP="00004137">
            <w:pPr>
              <w:pStyle w:val="ListParagraph"/>
              <w:numPr>
                <w:ilvl w:val="0"/>
                <w:numId w:val="40"/>
              </w:numPr>
              <w:spacing w:line="240" w:lineRule="auto"/>
              <w:ind w:left="284" w:hanging="284"/>
              <w:rPr>
                <w:sz w:val="18"/>
                <w:szCs w:val="18"/>
              </w:rPr>
            </w:pPr>
            <w:proofErr w:type="gramStart"/>
            <w:r w:rsidRPr="00781BD0">
              <w:rPr>
                <w:sz w:val="18"/>
                <w:szCs w:val="18"/>
              </w:rPr>
              <w:t>tourism</w:t>
            </w:r>
            <w:proofErr w:type="gramEnd"/>
            <w:r w:rsidRPr="00781BD0">
              <w:rPr>
                <w:sz w:val="18"/>
                <w:szCs w:val="18"/>
              </w:rPr>
              <w:t xml:space="preserve"> and area promotion.</w:t>
            </w:r>
          </w:p>
          <w:p w:rsidR="00886A8C" w:rsidRPr="00781BD0" w:rsidRDefault="00886A8C" w:rsidP="00B02001">
            <w:pPr>
              <w:pStyle w:val="CGCTableStub"/>
              <w:rPr>
                <w:sz w:val="18"/>
                <w:szCs w:val="18"/>
              </w:rPr>
            </w:pPr>
            <w:r w:rsidRPr="00781BD0">
              <w:rPr>
                <w:sz w:val="18"/>
                <w:szCs w:val="18"/>
              </w:rPr>
              <w:t>Also includes consumer affairs, such as licensing, sales practices, labelling of package food, price control and shop inspection.</w:t>
            </w:r>
          </w:p>
          <w:p w:rsidR="00886A8C" w:rsidRPr="00781BD0" w:rsidRDefault="00886A8C" w:rsidP="00B02001">
            <w:pPr>
              <w:pStyle w:val="CGCTableStub"/>
              <w:rPr>
                <w:sz w:val="18"/>
                <w:szCs w:val="18"/>
              </w:rPr>
            </w:pPr>
            <w:r w:rsidRPr="00781BD0">
              <w:rPr>
                <w:sz w:val="18"/>
                <w:szCs w:val="18"/>
              </w:rPr>
              <w:t>Includes superannuation and depreciation, excludes administrative scale, native title and land rights expenses.</w:t>
            </w:r>
          </w:p>
          <w:p w:rsidR="00886A8C" w:rsidRPr="000011B9" w:rsidRDefault="00886A8C" w:rsidP="00B02001">
            <w:pPr>
              <w:pStyle w:val="CGCTableStub"/>
            </w:pPr>
            <w:r w:rsidRPr="00781BD0">
              <w:rPr>
                <w:sz w:val="18"/>
                <w:szCs w:val="18"/>
              </w:rPr>
              <w:t>User charges relatin</w:t>
            </w:r>
            <w:r>
              <w:rPr>
                <w:sz w:val="18"/>
                <w:szCs w:val="18"/>
              </w:rPr>
              <w:t>g to mining and minerals including</w:t>
            </w:r>
            <w:r w:rsidRPr="00781BD0">
              <w:rPr>
                <w:sz w:val="18"/>
                <w:szCs w:val="18"/>
              </w:rPr>
              <w:t xml:space="preserve"> gas and fuels are </w:t>
            </w:r>
            <w:r>
              <w:rPr>
                <w:sz w:val="18"/>
                <w:szCs w:val="18"/>
              </w:rPr>
              <w:t>deducted</w:t>
            </w:r>
            <w:r w:rsidRPr="00781BD0">
              <w:rPr>
                <w:sz w:val="18"/>
                <w:szCs w:val="18"/>
              </w:rPr>
              <w:t xml:space="preserve"> from the expenses. User charges relating to other industries are include</w:t>
            </w:r>
            <w:r w:rsidR="00BA282B">
              <w:rPr>
                <w:sz w:val="18"/>
                <w:szCs w:val="18"/>
              </w:rPr>
              <w:t>d</w:t>
            </w:r>
            <w:r w:rsidRPr="00781BD0">
              <w:rPr>
                <w:sz w:val="18"/>
                <w:szCs w:val="18"/>
              </w:rPr>
              <w:t xml:space="preserve"> in Other revenue.</w:t>
            </w:r>
          </w:p>
        </w:tc>
        <w:tc>
          <w:tcPr>
            <w:tcW w:w="916" w:type="pct"/>
            <w:tcBorders>
              <w:top w:val="single" w:sz="4" w:space="0" w:color="auto"/>
              <w:bottom w:val="single" w:sz="4" w:space="0" w:color="auto"/>
            </w:tcBorders>
          </w:tcPr>
          <w:p w:rsidR="00886A8C" w:rsidRPr="000F12C8" w:rsidRDefault="00886A8C" w:rsidP="00B02001">
            <w:pPr>
              <w:pStyle w:val="CGCTableStub"/>
              <w:rPr>
                <w:sz w:val="18"/>
                <w:szCs w:val="18"/>
              </w:rPr>
            </w:pPr>
            <w:r>
              <w:rPr>
                <w:sz w:val="18"/>
                <w:szCs w:val="18"/>
              </w:rPr>
              <w:t xml:space="preserve">0911 </w:t>
            </w:r>
            <w:r>
              <w:rPr>
                <w:sz w:val="18"/>
                <w:szCs w:val="18"/>
              </w:rPr>
              <w:noBreakHyphen/>
              <w:t xml:space="preserve"> </w:t>
            </w:r>
            <w:r w:rsidRPr="000F12C8">
              <w:rPr>
                <w:sz w:val="18"/>
                <w:szCs w:val="18"/>
              </w:rPr>
              <w:t>Gas</w:t>
            </w:r>
          </w:p>
          <w:p w:rsidR="00886A8C" w:rsidRPr="000F12C8" w:rsidRDefault="00886A8C" w:rsidP="00B02001">
            <w:pPr>
              <w:pStyle w:val="CGCTableStub"/>
              <w:rPr>
                <w:sz w:val="18"/>
                <w:szCs w:val="18"/>
              </w:rPr>
            </w:pPr>
            <w:r>
              <w:rPr>
                <w:sz w:val="18"/>
                <w:szCs w:val="18"/>
              </w:rPr>
              <w:t xml:space="preserve">0919 - </w:t>
            </w:r>
            <w:r w:rsidRPr="000F12C8">
              <w:rPr>
                <w:sz w:val="18"/>
                <w:szCs w:val="18"/>
              </w:rPr>
              <w:t xml:space="preserve">Fuel affairs and services </w:t>
            </w:r>
            <w:proofErr w:type="spellStart"/>
            <w:r w:rsidRPr="000F12C8">
              <w:rPr>
                <w:sz w:val="18"/>
                <w:szCs w:val="18"/>
              </w:rPr>
              <w:t>n.e.c</w:t>
            </w:r>
            <w:proofErr w:type="spellEnd"/>
            <w:r w:rsidRPr="000F12C8">
              <w:rPr>
                <w:sz w:val="18"/>
                <w:szCs w:val="18"/>
              </w:rPr>
              <w:t>.</w:t>
            </w:r>
          </w:p>
          <w:p w:rsidR="00886A8C" w:rsidRPr="000F12C8" w:rsidRDefault="00886A8C" w:rsidP="00B02001">
            <w:pPr>
              <w:pStyle w:val="CGCTableStub"/>
              <w:rPr>
                <w:sz w:val="18"/>
                <w:szCs w:val="18"/>
              </w:rPr>
            </w:pPr>
            <w:r>
              <w:rPr>
                <w:sz w:val="18"/>
                <w:szCs w:val="18"/>
              </w:rPr>
              <w:t xml:space="preserve">0990 - </w:t>
            </w:r>
            <w:r w:rsidRPr="000F12C8">
              <w:rPr>
                <w:sz w:val="18"/>
                <w:szCs w:val="18"/>
              </w:rPr>
              <w:t xml:space="preserve">Fuel and energy </w:t>
            </w:r>
            <w:proofErr w:type="spellStart"/>
            <w:r w:rsidRPr="000F12C8">
              <w:rPr>
                <w:sz w:val="18"/>
                <w:szCs w:val="18"/>
              </w:rPr>
              <w:t>n.e.c</w:t>
            </w:r>
            <w:proofErr w:type="spellEnd"/>
            <w:r w:rsidRPr="000F12C8">
              <w:rPr>
                <w:sz w:val="18"/>
                <w:szCs w:val="18"/>
              </w:rPr>
              <w:t>.</w:t>
            </w:r>
          </w:p>
          <w:p w:rsidR="00886A8C" w:rsidRPr="000F12C8" w:rsidRDefault="00886A8C" w:rsidP="00B02001">
            <w:pPr>
              <w:pStyle w:val="CGCTableStub"/>
              <w:rPr>
                <w:sz w:val="18"/>
                <w:szCs w:val="18"/>
              </w:rPr>
            </w:pPr>
            <w:r>
              <w:rPr>
                <w:sz w:val="18"/>
                <w:szCs w:val="18"/>
              </w:rPr>
              <w:t xml:space="preserve">1010 - </w:t>
            </w:r>
            <w:r w:rsidRPr="000F12C8">
              <w:rPr>
                <w:sz w:val="18"/>
                <w:szCs w:val="18"/>
              </w:rPr>
              <w:t>Agriculture</w:t>
            </w:r>
          </w:p>
          <w:p w:rsidR="00886A8C" w:rsidRPr="000F12C8" w:rsidRDefault="00886A8C" w:rsidP="00B02001">
            <w:pPr>
              <w:pStyle w:val="CGCTableStub"/>
              <w:rPr>
                <w:sz w:val="18"/>
                <w:szCs w:val="18"/>
              </w:rPr>
            </w:pPr>
            <w:r>
              <w:rPr>
                <w:sz w:val="18"/>
                <w:szCs w:val="18"/>
              </w:rPr>
              <w:t xml:space="preserve">1020 - </w:t>
            </w:r>
            <w:r w:rsidRPr="000F12C8">
              <w:rPr>
                <w:sz w:val="18"/>
                <w:szCs w:val="18"/>
              </w:rPr>
              <w:t>Forestry, fishing and hunting</w:t>
            </w:r>
          </w:p>
          <w:p w:rsidR="00886A8C" w:rsidRPr="000F12C8" w:rsidRDefault="00886A8C" w:rsidP="00B02001">
            <w:pPr>
              <w:pStyle w:val="CGCTableStub"/>
              <w:rPr>
                <w:sz w:val="18"/>
                <w:szCs w:val="18"/>
              </w:rPr>
            </w:pPr>
            <w:r>
              <w:rPr>
                <w:sz w:val="18"/>
                <w:szCs w:val="18"/>
              </w:rPr>
              <w:t xml:space="preserve">1110 - </w:t>
            </w:r>
            <w:r w:rsidRPr="000F12C8">
              <w:rPr>
                <w:sz w:val="18"/>
                <w:szCs w:val="18"/>
              </w:rPr>
              <w:t>Mining and mineral resources, other than fuels</w:t>
            </w:r>
          </w:p>
          <w:p w:rsidR="00886A8C" w:rsidRPr="000F12C8" w:rsidRDefault="00886A8C" w:rsidP="00B02001">
            <w:pPr>
              <w:pStyle w:val="CGCTableStub"/>
              <w:rPr>
                <w:sz w:val="18"/>
                <w:szCs w:val="18"/>
              </w:rPr>
            </w:pPr>
            <w:r>
              <w:rPr>
                <w:sz w:val="18"/>
                <w:szCs w:val="18"/>
              </w:rPr>
              <w:t xml:space="preserve">1120 - </w:t>
            </w:r>
            <w:r w:rsidRPr="000F12C8">
              <w:rPr>
                <w:sz w:val="18"/>
                <w:szCs w:val="18"/>
              </w:rPr>
              <w:t>Manufacturing</w:t>
            </w:r>
          </w:p>
          <w:p w:rsidR="00886A8C" w:rsidRPr="000F12C8" w:rsidRDefault="00886A8C" w:rsidP="00B02001">
            <w:pPr>
              <w:pStyle w:val="CGCTableStub"/>
              <w:rPr>
                <w:sz w:val="18"/>
                <w:szCs w:val="18"/>
              </w:rPr>
            </w:pPr>
            <w:r>
              <w:rPr>
                <w:sz w:val="18"/>
                <w:szCs w:val="18"/>
              </w:rPr>
              <w:t xml:space="preserve">1130 - </w:t>
            </w:r>
            <w:r w:rsidRPr="000F12C8">
              <w:rPr>
                <w:sz w:val="18"/>
                <w:szCs w:val="18"/>
              </w:rPr>
              <w:t>Construction</w:t>
            </w:r>
          </w:p>
          <w:p w:rsidR="00886A8C" w:rsidRPr="000F12C8" w:rsidRDefault="00886A8C" w:rsidP="00B02001">
            <w:pPr>
              <w:pStyle w:val="CGCTableStub"/>
              <w:rPr>
                <w:sz w:val="18"/>
                <w:szCs w:val="18"/>
              </w:rPr>
            </w:pPr>
            <w:r>
              <w:rPr>
                <w:sz w:val="18"/>
                <w:szCs w:val="18"/>
              </w:rPr>
              <w:t xml:space="preserve">1310 - </w:t>
            </w:r>
            <w:r w:rsidRPr="000F12C8">
              <w:rPr>
                <w:sz w:val="18"/>
                <w:szCs w:val="18"/>
              </w:rPr>
              <w:t>Storage, saleyards and markets</w:t>
            </w:r>
          </w:p>
          <w:p w:rsidR="00886A8C" w:rsidRPr="000F12C8" w:rsidRDefault="00886A8C" w:rsidP="00B02001">
            <w:pPr>
              <w:pStyle w:val="CGCTableStub"/>
              <w:rPr>
                <w:sz w:val="18"/>
                <w:szCs w:val="18"/>
              </w:rPr>
            </w:pPr>
            <w:r>
              <w:rPr>
                <w:sz w:val="18"/>
                <w:szCs w:val="18"/>
              </w:rPr>
              <w:t xml:space="preserve">1320 - </w:t>
            </w:r>
            <w:r w:rsidRPr="000F12C8">
              <w:rPr>
                <w:sz w:val="18"/>
                <w:szCs w:val="18"/>
              </w:rPr>
              <w:t>Tourism and area promotion</w:t>
            </w:r>
          </w:p>
          <w:p w:rsidR="00886A8C" w:rsidRPr="000F12C8" w:rsidRDefault="00886A8C" w:rsidP="00B02001">
            <w:pPr>
              <w:pStyle w:val="CGCTableStub"/>
              <w:rPr>
                <w:sz w:val="18"/>
                <w:szCs w:val="18"/>
              </w:rPr>
            </w:pPr>
            <w:r>
              <w:rPr>
                <w:sz w:val="18"/>
                <w:szCs w:val="18"/>
              </w:rPr>
              <w:t xml:space="preserve">1339 - </w:t>
            </w:r>
            <w:r w:rsidRPr="000F12C8">
              <w:rPr>
                <w:sz w:val="18"/>
                <w:szCs w:val="18"/>
              </w:rPr>
              <w:t>Other labour and employment affairs</w:t>
            </w:r>
          </w:p>
          <w:p w:rsidR="00886A8C" w:rsidRPr="000F12C8" w:rsidRDefault="00886A8C" w:rsidP="00B02001">
            <w:pPr>
              <w:pStyle w:val="CGCTableStub"/>
              <w:rPr>
                <w:sz w:val="18"/>
                <w:szCs w:val="18"/>
              </w:rPr>
            </w:pPr>
            <w:r>
              <w:rPr>
                <w:sz w:val="18"/>
                <w:szCs w:val="18"/>
              </w:rPr>
              <w:t xml:space="preserve">1390 - </w:t>
            </w:r>
            <w:r w:rsidRPr="000F12C8">
              <w:rPr>
                <w:sz w:val="18"/>
                <w:szCs w:val="18"/>
              </w:rPr>
              <w:t xml:space="preserve">Other economic affairs </w:t>
            </w:r>
            <w:proofErr w:type="spellStart"/>
            <w:r w:rsidRPr="000F12C8">
              <w:rPr>
                <w:sz w:val="18"/>
                <w:szCs w:val="18"/>
              </w:rPr>
              <w:t>n.e.c</w:t>
            </w:r>
            <w:proofErr w:type="spellEnd"/>
            <w:r w:rsidRPr="000F12C8">
              <w:rPr>
                <w:sz w:val="18"/>
                <w:szCs w:val="18"/>
              </w:rPr>
              <w:t>.</w:t>
            </w:r>
          </w:p>
        </w:tc>
      </w:tr>
      <w:tr w:rsidR="00886A8C" w:rsidRPr="000011B9" w:rsidTr="00B71A91">
        <w:trPr>
          <w:cantSplit/>
        </w:trPr>
        <w:tc>
          <w:tcPr>
            <w:tcW w:w="746" w:type="pct"/>
            <w:tcBorders>
              <w:top w:val="single" w:sz="4" w:space="0" w:color="auto"/>
            </w:tcBorders>
          </w:tcPr>
          <w:p w:rsidR="00886A8C" w:rsidRPr="000F12C8" w:rsidRDefault="00886A8C" w:rsidP="00B02001">
            <w:pPr>
              <w:pStyle w:val="CGCTableStub"/>
              <w:ind w:left="142" w:hanging="142"/>
              <w:rPr>
                <w:sz w:val="18"/>
                <w:szCs w:val="18"/>
              </w:rPr>
            </w:pPr>
            <w:r w:rsidRPr="000F12C8">
              <w:rPr>
                <w:sz w:val="18"/>
                <w:szCs w:val="18"/>
              </w:rPr>
              <w:lastRenderedPageBreak/>
              <w:t>820  Other expenses</w:t>
            </w:r>
          </w:p>
        </w:tc>
        <w:tc>
          <w:tcPr>
            <w:tcW w:w="3339" w:type="pct"/>
            <w:tcBorders>
              <w:top w:val="single" w:sz="4" w:space="0" w:color="auto"/>
            </w:tcBorders>
          </w:tcPr>
          <w:p w:rsidR="00886A8C" w:rsidRPr="00781BD0" w:rsidRDefault="00886A8C" w:rsidP="00B02001">
            <w:pPr>
              <w:pStyle w:val="CGCTableStub"/>
              <w:rPr>
                <w:sz w:val="18"/>
                <w:szCs w:val="18"/>
              </w:rPr>
            </w:pPr>
            <w:r w:rsidRPr="00781BD0">
              <w:rPr>
                <w:sz w:val="18"/>
                <w:szCs w:val="18"/>
              </w:rPr>
              <w:t>This category includes State general government recurrent expenses not separately assessed in other expense categories. More specifically, the category includes:</w:t>
            </w:r>
          </w:p>
          <w:p w:rsidR="00886A8C" w:rsidRPr="00B02001" w:rsidRDefault="00886A8C" w:rsidP="00B02001">
            <w:pPr>
              <w:pStyle w:val="ListParagraph"/>
              <w:numPr>
                <w:ilvl w:val="0"/>
                <w:numId w:val="44"/>
              </w:numPr>
              <w:spacing w:line="240" w:lineRule="auto"/>
              <w:ind w:left="357" w:hanging="357"/>
              <w:rPr>
                <w:sz w:val="18"/>
                <w:szCs w:val="18"/>
              </w:rPr>
            </w:pPr>
            <w:r w:rsidRPr="00B02001">
              <w:rPr>
                <w:sz w:val="18"/>
                <w:szCs w:val="18"/>
              </w:rPr>
              <w:t>centrally provided services, including State legislatures and central administrative agencies that support State service delivery agencies and supervision of local government, general research and other administrative functions including GST administration</w:t>
            </w:r>
          </w:p>
          <w:p w:rsidR="00886A8C" w:rsidRPr="00B02001" w:rsidRDefault="00886A8C" w:rsidP="00B02001">
            <w:pPr>
              <w:pStyle w:val="ListParagraph"/>
              <w:numPr>
                <w:ilvl w:val="0"/>
                <w:numId w:val="44"/>
              </w:numPr>
              <w:spacing w:line="240" w:lineRule="auto"/>
              <w:ind w:left="357" w:hanging="357"/>
              <w:rPr>
                <w:sz w:val="18"/>
                <w:szCs w:val="18"/>
              </w:rPr>
            </w:pPr>
            <w:r w:rsidRPr="00B02001">
              <w:rPr>
                <w:sz w:val="18"/>
                <w:szCs w:val="18"/>
              </w:rPr>
              <w:t>recreation, culture and community amenities, such as libraries, public halls, arts and sport facilities, national parks</w:t>
            </w:r>
          </w:p>
          <w:p w:rsidR="00886A8C" w:rsidRPr="00B02001" w:rsidRDefault="00886A8C" w:rsidP="00B02001">
            <w:pPr>
              <w:pStyle w:val="ListParagraph"/>
              <w:numPr>
                <w:ilvl w:val="0"/>
                <w:numId w:val="44"/>
              </w:numPr>
              <w:spacing w:line="240" w:lineRule="auto"/>
              <w:ind w:left="357" w:hanging="357"/>
              <w:rPr>
                <w:sz w:val="18"/>
                <w:szCs w:val="18"/>
              </w:rPr>
            </w:pPr>
            <w:r w:rsidRPr="00B02001">
              <w:rPr>
                <w:sz w:val="18"/>
                <w:szCs w:val="18"/>
              </w:rPr>
              <w:t>public safety services other than those provided by police, such as emergency services and fire protection</w:t>
            </w:r>
          </w:p>
          <w:p w:rsidR="00886A8C" w:rsidRPr="00B02001" w:rsidRDefault="00886A8C" w:rsidP="00B02001">
            <w:pPr>
              <w:pStyle w:val="ListParagraph"/>
              <w:numPr>
                <w:ilvl w:val="0"/>
                <w:numId w:val="44"/>
              </w:numPr>
              <w:spacing w:line="240" w:lineRule="auto"/>
              <w:ind w:left="357" w:hanging="357"/>
              <w:rPr>
                <w:sz w:val="18"/>
                <w:szCs w:val="18"/>
              </w:rPr>
            </w:pPr>
            <w:r w:rsidRPr="00B02001">
              <w:rPr>
                <w:sz w:val="18"/>
                <w:szCs w:val="18"/>
              </w:rPr>
              <w:t>communication services such as postal, telephone, telegraph, cable and wireless communications and satellites</w:t>
            </w:r>
          </w:p>
          <w:p w:rsidR="00886A8C" w:rsidRPr="00B02001" w:rsidRDefault="00886A8C" w:rsidP="00B02001">
            <w:pPr>
              <w:pStyle w:val="ListParagraph"/>
              <w:numPr>
                <w:ilvl w:val="0"/>
                <w:numId w:val="44"/>
              </w:numPr>
              <w:spacing w:line="240" w:lineRule="auto"/>
              <w:ind w:left="357" w:hanging="357"/>
              <w:rPr>
                <w:sz w:val="18"/>
                <w:szCs w:val="18"/>
              </w:rPr>
            </w:pPr>
            <w:r w:rsidRPr="00B02001">
              <w:rPr>
                <w:sz w:val="18"/>
                <w:szCs w:val="18"/>
              </w:rPr>
              <w:t>administration, regulation and operation of pipelines for the transportation of petroleum and natural gas</w:t>
            </w:r>
          </w:p>
          <w:p w:rsidR="00886A8C" w:rsidRPr="00B02001" w:rsidRDefault="00886A8C" w:rsidP="00B02001">
            <w:pPr>
              <w:pStyle w:val="ListParagraph"/>
              <w:numPr>
                <w:ilvl w:val="0"/>
                <w:numId w:val="44"/>
              </w:numPr>
              <w:spacing w:line="240" w:lineRule="auto"/>
              <w:ind w:left="357" w:hanging="357"/>
              <w:rPr>
                <w:sz w:val="18"/>
                <w:szCs w:val="18"/>
              </w:rPr>
            </w:pPr>
            <w:r w:rsidRPr="00B02001">
              <w:rPr>
                <w:sz w:val="18"/>
                <w:szCs w:val="18"/>
              </w:rPr>
              <w:t>public debt transactions, including interest charges on  unfunded superannuation</w:t>
            </w:r>
          </w:p>
          <w:p w:rsidR="00886A8C" w:rsidRPr="00B02001" w:rsidRDefault="00886A8C" w:rsidP="00B02001">
            <w:pPr>
              <w:pStyle w:val="ListParagraph"/>
              <w:numPr>
                <w:ilvl w:val="0"/>
                <w:numId w:val="44"/>
              </w:numPr>
              <w:spacing w:line="240" w:lineRule="auto"/>
              <w:ind w:left="357" w:hanging="357"/>
              <w:rPr>
                <w:sz w:val="18"/>
                <w:szCs w:val="18"/>
              </w:rPr>
            </w:pPr>
            <w:r w:rsidRPr="00B02001">
              <w:rPr>
                <w:sz w:val="18"/>
                <w:szCs w:val="18"/>
              </w:rPr>
              <w:t>general purpose inter-government transactions (grants, advances or other inter-government transactions that cannot be allocated to other purposes)</w:t>
            </w:r>
          </w:p>
          <w:p w:rsidR="00886A8C" w:rsidRPr="00B02001" w:rsidRDefault="00886A8C" w:rsidP="00B02001">
            <w:pPr>
              <w:pStyle w:val="ListParagraph"/>
              <w:numPr>
                <w:ilvl w:val="0"/>
                <w:numId w:val="44"/>
              </w:numPr>
              <w:spacing w:line="240" w:lineRule="auto"/>
              <w:ind w:left="357" w:hanging="357"/>
              <w:rPr>
                <w:sz w:val="18"/>
                <w:szCs w:val="18"/>
              </w:rPr>
            </w:pPr>
            <w:r w:rsidRPr="00B02001">
              <w:rPr>
                <w:sz w:val="18"/>
                <w:szCs w:val="18"/>
              </w:rPr>
              <w:t>natural disaster relief</w:t>
            </w:r>
          </w:p>
          <w:p w:rsidR="00886A8C" w:rsidRPr="00B02001" w:rsidRDefault="00886A8C" w:rsidP="00B02001">
            <w:pPr>
              <w:pStyle w:val="ListParagraph"/>
              <w:numPr>
                <w:ilvl w:val="0"/>
                <w:numId w:val="44"/>
              </w:numPr>
              <w:spacing w:line="240" w:lineRule="auto"/>
              <w:ind w:left="357" w:hanging="357"/>
              <w:rPr>
                <w:sz w:val="18"/>
                <w:szCs w:val="18"/>
              </w:rPr>
            </w:pPr>
            <w:r w:rsidRPr="00B02001">
              <w:rPr>
                <w:sz w:val="18"/>
                <w:szCs w:val="18"/>
              </w:rPr>
              <w:t>capital grants to local governments for community amenities</w:t>
            </w:r>
          </w:p>
          <w:p w:rsidR="00886A8C" w:rsidRPr="00B02001" w:rsidRDefault="00886A8C" w:rsidP="00B02001">
            <w:pPr>
              <w:pStyle w:val="ListParagraph"/>
              <w:numPr>
                <w:ilvl w:val="0"/>
                <w:numId w:val="44"/>
              </w:numPr>
              <w:spacing w:line="240" w:lineRule="auto"/>
              <w:ind w:left="357" w:hanging="357"/>
              <w:rPr>
                <w:sz w:val="18"/>
                <w:szCs w:val="18"/>
              </w:rPr>
            </w:pPr>
            <w:r w:rsidRPr="00B02001">
              <w:rPr>
                <w:sz w:val="18"/>
                <w:szCs w:val="18"/>
              </w:rPr>
              <w:t>all administrative scale, native title and land rights expenses, and national capital allowance for Roads</w:t>
            </w:r>
          </w:p>
          <w:p w:rsidR="00886A8C" w:rsidRPr="00781BD0" w:rsidRDefault="00886A8C" w:rsidP="00B02001">
            <w:pPr>
              <w:pStyle w:val="CGCTableStub"/>
              <w:rPr>
                <w:sz w:val="18"/>
                <w:szCs w:val="18"/>
              </w:rPr>
            </w:pPr>
            <w:r w:rsidRPr="00781BD0">
              <w:rPr>
                <w:sz w:val="18"/>
                <w:szCs w:val="18"/>
              </w:rPr>
              <w:t>Associated user charges are included in Other revenue.</w:t>
            </w:r>
          </w:p>
        </w:tc>
        <w:tc>
          <w:tcPr>
            <w:tcW w:w="916" w:type="pct"/>
            <w:tcBorders>
              <w:top w:val="single" w:sz="4" w:space="0" w:color="auto"/>
            </w:tcBorders>
          </w:tcPr>
          <w:p w:rsidR="00886A8C" w:rsidRPr="000F12C8" w:rsidRDefault="00886A8C" w:rsidP="00B02001">
            <w:pPr>
              <w:pStyle w:val="CGCTableStub"/>
              <w:rPr>
                <w:sz w:val="18"/>
                <w:szCs w:val="18"/>
              </w:rPr>
            </w:pPr>
            <w:r w:rsidRPr="000F12C8">
              <w:rPr>
                <w:sz w:val="18"/>
                <w:szCs w:val="18"/>
              </w:rPr>
              <w:t>GFS expenses less the sum of expenses for the other operating expense categories that the Commission assessed.</w:t>
            </w:r>
          </w:p>
        </w:tc>
      </w:tr>
      <w:tr w:rsidR="00886A8C" w:rsidRPr="000011B9" w:rsidTr="00275086">
        <w:trPr>
          <w:cantSplit/>
        </w:trPr>
        <w:tc>
          <w:tcPr>
            <w:tcW w:w="746" w:type="pct"/>
            <w:tcBorders>
              <w:bottom w:val="single" w:sz="6" w:space="0" w:color="auto"/>
            </w:tcBorders>
          </w:tcPr>
          <w:p w:rsidR="00886A8C" w:rsidRPr="000F12C8" w:rsidRDefault="00886A8C" w:rsidP="00B02001">
            <w:pPr>
              <w:pStyle w:val="CGCTableStub"/>
              <w:ind w:left="142" w:hanging="142"/>
              <w:rPr>
                <w:sz w:val="18"/>
                <w:szCs w:val="18"/>
              </w:rPr>
            </w:pPr>
            <w:r w:rsidRPr="000F12C8">
              <w:rPr>
                <w:sz w:val="18"/>
                <w:szCs w:val="18"/>
              </w:rPr>
              <w:t>850  Depreciation</w:t>
            </w:r>
          </w:p>
        </w:tc>
        <w:tc>
          <w:tcPr>
            <w:tcW w:w="3339" w:type="pct"/>
            <w:tcBorders>
              <w:bottom w:val="single" w:sz="6" w:space="0" w:color="auto"/>
            </w:tcBorders>
          </w:tcPr>
          <w:p w:rsidR="00886A8C" w:rsidRPr="00781BD0" w:rsidRDefault="00886A8C" w:rsidP="00B02001">
            <w:pPr>
              <w:pStyle w:val="CGCTableStub"/>
              <w:rPr>
                <w:sz w:val="18"/>
                <w:szCs w:val="18"/>
              </w:rPr>
            </w:pPr>
            <w:r w:rsidRPr="00781BD0">
              <w:rPr>
                <w:sz w:val="18"/>
                <w:szCs w:val="18"/>
              </w:rPr>
              <w:t>Nominal expenses reflecting the loss in value of capital stock.</w:t>
            </w:r>
          </w:p>
          <w:p w:rsidR="00886A8C" w:rsidRPr="00781BD0" w:rsidRDefault="00886A8C" w:rsidP="00B02001">
            <w:pPr>
              <w:pStyle w:val="CGCTableStub"/>
              <w:rPr>
                <w:sz w:val="18"/>
                <w:szCs w:val="18"/>
              </w:rPr>
            </w:pPr>
            <w:r w:rsidRPr="00781BD0">
              <w:rPr>
                <w:sz w:val="18"/>
                <w:szCs w:val="18"/>
              </w:rPr>
              <w:t>This category excludes urban transport depreciation.</w:t>
            </w:r>
          </w:p>
        </w:tc>
        <w:tc>
          <w:tcPr>
            <w:tcW w:w="916" w:type="pct"/>
            <w:tcBorders>
              <w:bottom w:val="single" w:sz="6" w:space="0" w:color="auto"/>
            </w:tcBorders>
          </w:tcPr>
          <w:p w:rsidR="00886A8C" w:rsidRPr="000F12C8" w:rsidRDefault="00886A8C" w:rsidP="00B02001">
            <w:pPr>
              <w:pStyle w:val="CGCTableStub"/>
              <w:rPr>
                <w:sz w:val="18"/>
                <w:szCs w:val="18"/>
              </w:rPr>
            </w:pPr>
            <w:r w:rsidRPr="000F12C8">
              <w:rPr>
                <w:sz w:val="18"/>
                <w:szCs w:val="18"/>
              </w:rPr>
              <w:t>ETF 1231</w:t>
            </w:r>
            <w:r>
              <w:rPr>
                <w:sz w:val="18"/>
                <w:szCs w:val="18"/>
              </w:rPr>
              <w:t xml:space="preserve"> </w:t>
            </w:r>
            <w:r>
              <w:rPr>
                <w:sz w:val="18"/>
                <w:szCs w:val="18"/>
              </w:rPr>
              <w:noBreakHyphen/>
              <w:t xml:space="preserve"> </w:t>
            </w:r>
            <w:r w:rsidRPr="000F12C8">
              <w:rPr>
                <w:sz w:val="18"/>
                <w:szCs w:val="18"/>
              </w:rPr>
              <w:t>De</w:t>
            </w:r>
            <w:r>
              <w:rPr>
                <w:sz w:val="18"/>
                <w:szCs w:val="18"/>
              </w:rPr>
              <w:t>preciation of fixed assets (non</w:t>
            </w:r>
            <w:r>
              <w:rPr>
                <w:sz w:val="18"/>
                <w:szCs w:val="18"/>
              </w:rPr>
              <w:noBreakHyphen/>
            </w:r>
            <w:r w:rsidRPr="000F12C8">
              <w:rPr>
                <w:sz w:val="18"/>
                <w:szCs w:val="18"/>
              </w:rPr>
              <w:t>defence)</w:t>
            </w:r>
          </w:p>
        </w:tc>
      </w:tr>
    </w:tbl>
    <w:p w:rsidR="00886A8C" w:rsidRPr="00286384" w:rsidRDefault="00886A8C" w:rsidP="00286384">
      <w:pPr>
        <w:pStyle w:val="CGCTableFootnote"/>
      </w:pPr>
      <w:r w:rsidRPr="00286384">
        <w:t>Source:</w:t>
      </w:r>
      <w:r w:rsidRPr="00286384">
        <w:tab/>
        <w:t>ABS GFS definitions.</w:t>
      </w:r>
    </w:p>
    <w:p w:rsidR="00886A8C" w:rsidRDefault="00886A8C" w:rsidP="00886A8C">
      <w:pPr>
        <w:pStyle w:val="Single"/>
      </w:pPr>
    </w:p>
    <w:p w:rsidR="00886A8C" w:rsidRDefault="00886A8C" w:rsidP="00886A8C">
      <w:pPr>
        <w:pStyle w:val="CGCTableHeading"/>
      </w:pPr>
      <w:r>
        <w:lastRenderedPageBreak/>
        <w:t>Table A-</w:t>
      </w:r>
      <w:fldSimple w:instr=" SEQ Table \* ARABIC ">
        <w:r w:rsidR="007B6A4C">
          <w:rPr>
            <w:noProof/>
          </w:rPr>
          <w:t>3</w:t>
        </w:r>
      </w:fldSimple>
      <w:r>
        <w:tab/>
      </w:r>
      <w:r w:rsidRPr="00DD0A68">
        <w:t xml:space="preserve">Category definitions for the 2015 Review, Investment and net </w:t>
      </w:r>
      <w:r>
        <w:t>borrowing</w:t>
      </w:r>
    </w:p>
    <w:tbl>
      <w:tblPr>
        <w:tblW w:w="5000" w:type="pct"/>
        <w:tblCellMar>
          <w:left w:w="85" w:type="dxa"/>
          <w:right w:w="85" w:type="dxa"/>
        </w:tblCellMar>
        <w:tblLook w:val="0000" w:firstRow="0" w:lastRow="0" w:firstColumn="0" w:lastColumn="0" w:noHBand="0" w:noVBand="0"/>
      </w:tblPr>
      <w:tblGrid>
        <w:gridCol w:w="1646"/>
        <w:gridCol w:w="4966"/>
        <w:gridCol w:w="2516"/>
      </w:tblGrid>
      <w:tr w:rsidR="00886A8C" w:rsidRPr="00E673C4" w:rsidTr="00286384">
        <w:tc>
          <w:tcPr>
            <w:tcW w:w="902" w:type="pct"/>
            <w:tcBorders>
              <w:top w:val="single" w:sz="6" w:space="0" w:color="auto"/>
              <w:bottom w:val="single" w:sz="6" w:space="0" w:color="auto"/>
            </w:tcBorders>
            <w:vAlign w:val="center"/>
          </w:tcPr>
          <w:p w:rsidR="00886A8C" w:rsidRPr="00B02001" w:rsidRDefault="00886A8C" w:rsidP="00B02001">
            <w:pPr>
              <w:pStyle w:val="TableColHeadings"/>
              <w:jc w:val="left"/>
            </w:pPr>
            <w:r w:rsidRPr="00B02001">
              <w:t>Category code</w:t>
            </w:r>
          </w:p>
        </w:tc>
        <w:tc>
          <w:tcPr>
            <w:tcW w:w="2720" w:type="pct"/>
            <w:tcBorders>
              <w:top w:val="single" w:sz="6" w:space="0" w:color="auto"/>
              <w:bottom w:val="single" w:sz="6" w:space="0" w:color="auto"/>
            </w:tcBorders>
            <w:vAlign w:val="center"/>
          </w:tcPr>
          <w:p w:rsidR="00886A8C" w:rsidRPr="00B02001" w:rsidRDefault="00886A8C" w:rsidP="00B02001">
            <w:pPr>
              <w:pStyle w:val="TableColHeadings"/>
              <w:jc w:val="left"/>
            </w:pPr>
            <w:r w:rsidRPr="00B02001">
              <w:t>Definition</w:t>
            </w:r>
          </w:p>
        </w:tc>
        <w:tc>
          <w:tcPr>
            <w:tcW w:w="1379" w:type="pct"/>
            <w:tcBorders>
              <w:top w:val="single" w:sz="6" w:space="0" w:color="auto"/>
              <w:bottom w:val="single" w:sz="6" w:space="0" w:color="auto"/>
            </w:tcBorders>
            <w:vAlign w:val="center"/>
          </w:tcPr>
          <w:p w:rsidR="00886A8C" w:rsidRPr="00B02001" w:rsidRDefault="00886A8C" w:rsidP="00B02001">
            <w:pPr>
              <w:pStyle w:val="TableColHeadings"/>
              <w:jc w:val="left"/>
            </w:pPr>
            <w:r w:rsidRPr="00B02001">
              <w:t>ABS Code</w:t>
            </w:r>
          </w:p>
        </w:tc>
      </w:tr>
      <w:tr w:rsidR="00886A8C" w:rsidRPr="00E673C4" w:rsidTr="00286384">
        <w:tc>
          <w:tcPr>
            <w:tcW w:w="902" w:type="pct"/>
            <w:tcBorders>
              <w:top w:val="single" w:sz="6" w:space="0" w:color="auto"/>
            </w:tcBorders>
            <w:tcMar>
              <w:top w:w="0" w:type="dxa"/>
              <w:bottom w:w="0" w:type="dxa"/>
            </w:tcMar>
          </w:tcPr>
          <w:p w:rsidR="00886A8C" w:rsidRPr="00E673C4" w:rsidRDefault="00886A8C" w:rsidP="005864CF">
            <w:pPr>
              <w:pStyle w:val="TableRowUnits"/>
              <w:spacing w:after="40"/>
              <w:jc w:val="left"/>
              <w:rPr>
                <w:rFonts w:cstheme="minorHAnsi"/>
                <w:sz w:val="18"/>
                <w:szCs w:val="18"/>
              </w:rPr>
            </w:pPr>
            <w:r w:rsidRPr="00E673C4">
              <w:rPr>
                <w:rFonts w:cstheme="minorHAnsi"/>
                <w:sz w:val="18"/>
                <w:szCs w:val="18"/>
              </w:rPr>
              <w:t>910  Investment</w:t>
            </w:r>
          </w:p>
        </w:tc>
        <w:tc>
          <w:tcPr>
            <w:tcW w:w="2720" w:type="pct"/>
            <w:tcBorders>
              <w:top w:val="single" w:sz="6" w:space="0" w:color="auto"/>
            </w:tcBorders>
            <w:tcMar>
              <w:top w:w="0" w:type="dxa"/>
              <w:bottom w:w="0" w:type="dxa"/>
            </w:tcMar>
          </w:tcPr>
          <w:p w:rsidR="00886A8C" w:rsidRPr="00E673C4" w:rsidRDefault="00886A8C" w:rsidP="00004137">
            <w:pPr>
              <w:pStyle w:val="TableRowNormal"/>
              <w:spacing w:after="80"/>
              <w:ind w:left="0" w:firstLine="0"/>
              <w:jc w:val="left"/>
              <w:rPr>
                <w:rFonts w:cstheme="minorHAnsi"/>
                <w:sz w:val="18"/>
                <w:szCs w:val="18"/>
              </w:rPr>
            </w:pPr>
            <w:r w:rsidRPr="00E673C4">
              <w:rPr>
                <w:rFonts w:cstheme="minorHAnsi"/>
                <w:sz w:val="18"/>
                <w:szCs w:val="18"/>
              </w:rPr>
              <w:t>This category includes State investment in the acquisition of extra infrastructure and land</w:t>
            </w:r>
            <w:r w:rsidR="004A7CD0">
              <w:rPr>
                <w:rFonts w:cstheme="minorHAnsi"/>
                <w:sz w:val="18"/>
                <w:szCs w:val="18"/>
              </w:rPr>
              <w:t xml:space="preserve"> for assess</w:t>
            </w:r>
            <w:r w:rsidR="00976D66">
              <w:rPr>
                <w:rFonts w:cstheme="minorHAnsi"/>
                <w:sz w:val="18"/>
                <w:szCs w:val="18"/>
              </w:rPr>
              <w:t>ment</w:t>
            </w:r>
            <w:r w:rsidR="00CD7D84">
              <w:rPr>
                <w:rFonts w:cstheme="minorHAnsi"/>
                <w:sz w:val="18"/>
                <w:szCs w:val="18"/>
              </w:rPr>
              <w:t xml:space="preserve"> purposes</w:t>
            </w:r>
            <w:r w:rsidRPr="00E673C4">
              <w:rPr>
                <w:rFonts w:cstheme="minorHAnsi"/>
                <w:sz w:val="18"/>
                <w:szCs w:val="18"/>
              </w:rPr>
              <w:t>.</w:t>
            </w:r>
          </w:p>
          <w:p w:rsidR="00886A8C" w:rsidRPr="00E673C4" w:rsidRDefault="00886A8C" w:rsidP="00004137">
            <w:pPr>
              <w:pStyle w:val="TableRowNormal"/>
              <w:spacing w:after="80"/>
              <w:ind w:left="0" w:firstLine="0"/>
              <w:jc w:val="left"/>
              <w:rPr>
                <w:rFonts w:cstheme="minorHAnsi"/>
                <w:sz w:val="18"/>
                <w:szCs w:val="18"/>
              </w:rPr>
            </w:pPr>
            <w:r w:rsidRPr="00E673C4">
              <w:rPr>
                <w:rFonts w:cstheme="minorHAnsi"/>
                <w:sz w:val="18"/>
                <w:szCs w:val="18"/>
              </w:rPr>
              <w:t>More specifically, the category includes:</w:t>
            </w:r>
          </w:p>
          <w:p w:rsidR="00886A8C" w:rsidRPr="00E673C4" w:rsidRDefault="00886A8C" w:rsidP="00886A8C">
            <w:pPr>
              <w:pStyle w:val="ListParagraph"/>
              <w:numPr>
                <w:ilvl w:val="0"/>
                <w:numId w:val="40"/>
              </w:numPr>
              <w:spacing w:line="240" w:lineRule="auto"/>
              <w:ind w:left="284" w:hanging="284"/>
              <w:rPr>
                <w:sz w:val="18"/>
                <w:szCs w:val="18"/>
              </w:rPr>
            </w:pPr>
            <w:r w:rsidRPr="00E673C4">
              <w:rPr>
                <w:sz w:val="18"/>
                <w:szCs w:val="18"/>
              </w:rPr>
              <w:t xml:space="preserve">general government investment in assets </w:t>
            </w:r>
          </w:p>
          <w:p w:rsidR="00886A8C" w:rsidRPr="00E673C4" w:rsidRDefault="00886A8C" w:rsidP="00CD7D84">
            <w:pPr>
              <w:pStyle w:val="ListParagraph"/>
              <w:numPr>
                <w:ilvl w:val="0"/>
                <w:numId w:val="40"/>
              </w:numPr>
              <w:spacing w:line="240" w:lineRule="auto"/>
              <w:ind w:left="284" w:hanging="284"/>
              <w:rPr>
                <w:sz w:val="18"/>
                <w:szCs w:val="18"/>
              </w:rPr>
            </w:pPr>
            <w:proofErr w:type="gramStart"/>
            <w:r w:rsidRPr="00E673C4">
              <w:rPr>
                <w:sz w:val="18"/>
                <w:szCs w:val="18"/>
              </w:rPr>
              <w:t>investment</w:t>
            </w:r>
            <w:proofErr w:type="gramEnd"/>
            <w:r w:rsidRPr="00E673C4">
              <w:rPr>
                <w:sz w:val="18"/>
                <w:szCs w:val="18"/>
              </w:rPr>
              <w:t xml:space="preserve"> in assets by PNFCs that provide social housing and urban transport services.</w:t>
            </w:r>
          </w:p>
        </w:tc>
        <w:tc>
          <w:tcPr>
            <w:tcW w:w="1379" w:type="pct"/>
            <w:tcBorders>
              <w:top w:val="single" w:sz="6" w:space="0" w:color="auto"/>
            </w:tcBorders>
            <w:tcMar>
              <w:top w:w="0" w:type="dxa"/>
              <w:bottom w:w="0" w:type="dxa"/>
            </w:tcMar>
          </w:tcPr>
          <w:p w:rsidR="00886A8C" w:rsidRPr="00E673C4" w:rsidRDefault="00886A8C" w:rsidP="005864CF">
            <w:pPr>
              <w:pStyle w:val="TableRowUnits"/>
              <w:spacing w:after="40"/>
              <w:jc w:val="left"/>
              <w:rPr>
                <w:rFonts w:cstheme="minorHAnsi"/>
                <w:b/>
                <w:sz w:val="18"/>
                <w:szCs w:val="18"/>
              </w:rPr>
            </w:pPr>
            <w:r w:rsidRPr="00E673C4">
              <w:rPr>
                <w:rFonts w:cstheme="minorHAnsi"/>
                <w:b/>
                <w:sz w:val="18"/>
                <w:szCs w:val="18"/>
              </w:rPr>
              <w:t>Produced assets (infrastructure except land):</w:t>
            </w:r>
          </w:p>
          <w:p w:rsidR="00886A8C" w:rsidRPr="00E673C4" w:rsidRDefault="00886A8C" w:rsidP="005864CF">
            <w:pPr>
              <w:pStyle w:val="TableRowUnits"/>
              <w:spacing w:after="40"/>
              <w:jc w:val="left"/>
              <w:rPr>
                <w:rFonts w:cstheme="minorHAnsi"/>
                <w:sz w:val="18"/>
                <w:szCs w:val="18"/>
              </w:rPr>
            </w:pPr>
            <w:r w:rsidRPr="00E673C4">
              <w:rPr>
                <w:rFonts w:cstheme="minorHAnsi"/>
                <w:sz w:val="18"/>
                <w:szCs w:val="18"/>
              </w:rPr>
              <w:t xml:space="preserve">For type </w:t>
            </w:r>
            <w:r>
              <w:rPr>
                <w:rFonts w:cstheme="minorHAnsi"/>
                <w:sz w:val="18"/>
                <w:szCs w:val="18"/>
              </w:rPr>
              <w:t>of asset classification (TAC) 1:</w:t>
            </w:r>
          </w:p>
          <w:p w:rsidR="00886A8C" w:rsidRDefault="00886A8C" w:rsidP="005864CF">
            <w:pPr>
              <w:pStyle w:val="TableRowUnits"/>
              <w:spacing w:after="40"/>
              <w:ind w:left="195"/>
              <w:jc w:val="left"/>
              <w:rPr>
                <w:rFonts w:cstheme="minorHAnsi"/>
                <w:sz w:val="18"/>
                <w:szCs w:val="18"/>
              </w:rPr>
            </w:pPr>
            <w:r w:rsidRPr="00E673C4">
              <w:rPr>
                <w:rFonts w:cstheme="minorHAnsi"/>
                <w:sz w:val="18"/>
                <w:szCs w:val="18"/>
              </w:rPr>
              <w:t>ETF 222</w:t>
            </w:r>
            <w:r>
              <w:rPr>
                <w:rFonts w:cstheme="minorHAnsi"/>
                <w:sz w:val="18"/>
                <w:szCs w:val="18"/>
              </w:rPr>
              <w:t xml:space="preserve"> - </w:t>
            </w:r>
            <w:r w:rsidRPr="00E673C4">
              <w:rPr>
                <w:rFonts w:cstheme="minorHAnsi"/>
                <w:sz w:val="18"/>
                <w:szCs w:val="18"/>
              </w:rPr>
              <w:t>Expenditure on non-financial as</w:t>
            </w:r>
            <w:r>
              <w:rPr>
                <w:rFonts w:cstheme="minorHAnsi"/>
                <w:sz w:val="18"/>
                <w:szCs w:val="18"/>
              </w:rPr>
              <w:t>sets (net)</w:t>
            </w:r>
          </w:p>
          <w:p w:rsidR="00886A8C" w:rsidRPr="00E673C4" w:rsidRDefault="00886A8C" w:rsidP="005864CF">
            <w:pPr>
              <w:pStyle w:val="TableRowUnits"/>
              <w:spacing w:after="40"/>
              <w:ind w:left="195"/>
              <w:jc w:val="left"/>
              <w:rPr>
                <w:rFonts w:cstheme="minorHAnsi"/>
                <w:sz w:val="18"/>
                <w:szCs w:val="18"/>
              </w:rPr>
            </w:pPr>
            <w:r w:rsidRPr="00E673C4">
              <w:rPr>
                <w:rFonts w:cstheme="minorHAnsi"/>
                <w:sz w:val="18"/>
                <w:szCs w:val="18"/>
              </w:rPr>
              <w:t>plus</w:t>
            </w:r>
          </w:p>
          <w:p w:rsidR="00886A8C" w:rsidRDefault="00886A8C" w:rsidP="005864CF">
            <w:pPr>
              <w:pStyle w:val="TableRowUnits"/>
              <w:spacing w:after="40"/>
              <w:ind w:left="195"/>
              <w:jc w:val="left"/>
              <w:rPr>
                <w:rFonts w:cstheme="minorHAnsi"/>
                <w:sz w:val="18"/>
                <w:szCs w:val="18"/>
              </w:rPr>
            </w:pPr>
            <w:r>
              <w:rPr>
                <w:rFonts w:cstheme="minorHAnsi"/>
                <w:sz w:val="18"/>
                <w:szCs w:val="18"/>
              </w:rPr>
              <w:t xml:space="preserve">ETF 1152 - </w:t>
            </w:r>
            <w:r w:rsidRPr="00E673C4">
              <w:rPr>
                <w:rFonts w:cstheme="minorHAnsi"/>
                <w:sz w:val="18"/>
                <w:szCs w:val="18"/>
              </w:rPr>
              <w:t>As</w:t>
            </w:r>
            <w:r>
              <w:rPr>
                <w:rFonts w:cstheme="minorHAnsi"/>
                <w:sz w:val="18"/>
                <w:szCs w:val="18"/>
              </w:rPr>
              <w:t>sets acquired below fair value</w:t>
            </w:r>
          </w:p>
          <w:p w:rsidR="00886A8C" w:rsidRPr="00E673C4" w:rsidRDefault="00886A8C" w:rsidP="005864CF">
            <w:pPr>
              <w:pStyle w:val="TableRowUnits"/>
              <w:spacing w:after="40"/>
              <w:ind w:left="195"/>
              <w:jc w:val="left"/>
              <w:rPr>
                <w:rFonts w:cstheme="minorHAnsi"/>
                <w:sz w:val="18"/>
                <w:szCs w:val="18"/>
              </w:rPr>
            </w:pPr>
            <w:r w:rsidRPr="00E673C4">
              <w:rPr>
                <w:rFonts w:cstheme="minorHAnsi"/>
                <w:sz w:val="18"/>
                <w:szCs w:val="18"/>
              </w:rPr>
              <w:t>plus</w:t>
            </w:r>
          </w:p>
          <w:p w:rsidR="00886A8C" w:rsidRPr="00E673C4" w:rsidRDefault="00886A8C" w:rsidP="005864CF">
            <w:pPr>
              <w:pStyle w:val="TableRowUnits"/>
              <w:spacing w:after="40"/>
              <w:ind w:left="195"/>
              <w:jc w:val="left"/>
              <w:rPr>
                <w:rFonts w:cstheme="minorHAnsi"/>
                <w:sz w:val="18"/>
                <w:szCs w:val="18"/>
              </w:rPr>
            </w:pPr>
            <w:r>
              <w:rPr>
                <w:rFonts w:cstheme="minorHAnsi"/>
                <w:sz w:val="18"/>
                <w:szCs w:val="18"/>
              </w:rPr>
              <w:t xml:space="preserve">ETF 1252 - </w:t>
            </w:r>
            <w:r w:rsidRPr="00E673C4">
              <w:rPr>
                <w:rFonts w:cstheme="minorHAnsi"/>
                <w:sz w:val="18"/>
                <w:szCs w:val="18"/>
              </w:rPr>
              <w:t>Assets donated; plus</w:t>
            </w:r>
          </w:p>
          <w:p w:rsidR="00886A8C" w:rsidRDefault="00886A8C" w:rsidP="005864CF">
            <w:pPr>
              <w:pStyle w:val="TableRowUnits"/>
              <w:spacing w:after="40"/>
              <w:ind w:left="195"/>
              <w:jc w:val="left"/>
              <w:rPr>
                <w:rFonts w:cstheme="minorHAnsi"/>
                <w:sz w:val="18"/>
                <w:szCs w:val="18"/>
              </w:rPr>
            </w:pPr>
            <w:r>
              <w:rPr>
                <w:rFonts w:cstheme="minorHAnsi"/>
                <w:sz w:val="18"/>
                <w:szCs w:val="18"/>
              </w:rPr>
              <w:t xml:space="preserve">ETF 4101 - </w:t>
            </w:r>
            <w:r w:rsidRPr="00E673C4">
              <w:rPr>
                <w:rFonts w:cstheme="minorHAnsi"/>
                <w:sz w:val="18"/>
                <w:szCs w:val="18"/>
              </w:rPr>
              <w:t>Assets</w:t>
            </w:r>
            <w:r>
              <w:rPr>
                <w:rFonts w:cstheme="minorHAnsi"/>
                <w:sz w:val="18"/>
                <w:szCs w:val="18"/>
              </w:rPr>
              <w:t xml:space="preserve"> acquired under finance leases</w:t>
            </w:r>
          </w:p>
          <w:p w:rsidR="00886A8C" w:rsidRPr="00E673C4" w:rsidRDefault="00886A8C" w:rsidP="005864CF">
            <w:pPr>
              <w:pStyle w:val="TableRowUnits"/>
              <w:spacing w:after="40"/>
              <w:ind w:left="195"/>
              <w:jc w:val="left"/>
              <w:rPr>
                <w:rFonts w:cstheme="minorHAnsi"/>
                <w:sz w:val="18"/>
                <w:szCs w:val="18"/>
              </w:rPr>
            </w:pPr>
            <w:r w:rsidRPr="00E673C4">
              <w:rPr>
                <w:rFonts w:cstheme="minorHAnsi"/>
                <w:sz w:val="18"/>
                <w:szCs w:val="18"/>
              </w:rPr>
              <w:t>less</w:t>
            </w:r>
          </w:p>
          <w:p w:rsidR="00886A8C" w:rsidRDefault="00886A8C" w:rsidP="005864CF">
            <w:pPr>
              <w:pStyle w:val="TableRowUnits"/>
              <w:spacing w:after="40"/>
              <w:ind w:left="195"/>
              <w:jc w:val="left"/>
              <w:rPr>
                <w:rFonts w:cstheme="minorHAnsi"/>
                <w:sz w:val="18"/>
                <w:szCs w:val="18"/>
              </w:rPr>
            </w:pPr>
            <w:r>
              <w:rPr>
                <w:rFonts w:cstheme="minorHAnsi"/>
                <w:sz w:val="18"/>
                <w:szCs w:val="18"/>
              </w:rPr>
              <w:t>ETF 1231 - Depreciation of fixed assets</w:t>
            </w:r>
          </w:p>
          <w:p w:rsidR="00886A8C" w:rsidRPr="00E673C4" w:rsidRDefault="00886A8C" w:rsidP="005864CF">
            <w:pPr>
              <w:pStyle w:val="TableRowUnits"/>
              <w:spacing w:after="40"/>
              <w:ind w:left="195"/>
              <w:jc w:val="left"/>
              <w:rPr>
                <w:rFonts w:cstheme="minorHAnsi"/>
                <w:sz w:val="18"/>
                <w:szCs w:val="18"/>
              </w:rPr>
            </w:pPr>
            <w:r w:rsidRPr="00E673C4">
              <w:rPr>
                <w:rFonts w:cstheme="minorHAnsi"/>
                <w:sz w:val="18"/>
                <w:szCs w:val="18"/>
              </w:rPr>
              <w:t>plus</w:t>
            </w:r>
          </w:p>
          <w:p w:rsidR="00886A8C" w:rsidRPr="00E673C4" w:rsidRDefault="00886A8C" w:rsidP="005864CF">
            <w:pPr>
              <w:pStyle w:val="TableRowUnits"/>
              <w:spacing w:after="40"/>
              <w:ind w:left="195"/>
              <w:jc w:val="left"/>
              <w:rPr>
                <w:rFonts w:cstheme="minorHAnsi"/>
                <w:sz w:val="18"/>
                <w:szCs w:val="18"/>
              </w:rPr>
            </w:pPr>
            <w:r>
              <w:rPr>
                <w:rFonts w:cstheme="minorHAnsi"/>
                <w:sz w:val="18"/>
                <w:szCs w:val="18"/>
              </w:rPr>
              <w:t xml:space="preserve">ETF 3210 - </w:t>
            </w:r>
            <w:r w:rsidRPr="00E673C4">
              <w:rPr>
                <w:rFonts w:cstheme="minorHAnsi"/>
                <w:sz w:val="18"/>
                <w:szCs w:val="18"/>
              </w:rPr>
              <w:t>Change in inventory.</w:t>
            </w:r>
          </w:p>
          <w:p w:rsidR="00886A8C" w:rsidRPr="00E673C4" w:rsidRDefault="00886A8C" w:rsidP="005864CF">
            <w:pPr>
              <w:pStyle w:val="TableRowUnits"/>
              <w:spacing w:after="40"/>
              <w:jc w:val="left"/>
              <w:rPr>
                <w:rFonts w:cstheme="minorHAnsi"/>
                <w:b/>
                <w:sz w:val="18"/>
                <w:szCs w:val="18"/>
              </w:rPr>
            </w:pPr>
            <w:r w:rsidRPr="00E673C4">
              <w:rPr>
                <w:rFonts w:cstheme="minorHAnsi"/>
                <w:b/>
                <w:sz w:val="18"/>
                <w:szCs w:val="18"/>
              </w:rPr>
              <w:t>Non-produced assets (majority is land):</w:t>
            </w:r>
          </w:p>
          <w:p w:rsidR="00886A8C" w:rsidRPr="00E673C4" w:rsidRDefault="00886A8C" w:rsidP="005864CF">
            <w:pPr>
              <w:pStyle w:val="TableRowUnits"/>
              <w:spacing w:after="40"/>
              <w:jc w:val="left"/>
              <w:rPr>
                <w:rFonts w:cstheme="minorHAnsi"/>
                <w:sz w:val="18"/>
                <w:szCs w:val="18"/>
              </w:rPr>
            </w:pPr>
            <w:r>
              <w:rPr>
                <w:rFonts w:cstheme="minorHAnsi"/>
                <w:sz w:val="18"/>
                <w:szCs w:val="18"/>
              </w:rPr>
              <w:t>For TAC 2:</w:t>
            </w:r>
          </w:p>
          <w:p w:rsidR="00886A8C" w:rsidRPr="00E673C4" w:rsidRDefault="00886A8C" w:rsidP="005864CF">
            <w:pPr>
              <w:pStyle w:val="TableRowUnits"/>
              <w:spacing w:after="40"/>
              <w:ind w:left="195"/>
              <w:jc w:val="left"/>
              <w:rPr>
                <w:rFonts w:cstheme="minorHAnsi"/>
                <w:sz w:val="18"/>
                <w:szCs w:val="18"/>
              </w:rPr>
            </w:pPr>
            <w:r>
              <w:rPr>
                <w:rFonts w:cstheme="minorHAnsi"/>
                <w:sz w:val="18"/>
                <w:szCs w:val="18"/>
              </w:rPr>
              <w:t xml:space="preserve">ETF 222 - </w:t>
            </w:r>
            <w:r w:rsidRPr="00E673C4">
              <w:rPr>
                <w:rFonts w:cstheme="minorHAnsi"/>
                <w:sz w:val="18"/>
                <w:szCs w:val="18"/>
              </w:rPr>
              <w:t xml:space="preserve"> Expenditur</w:t>
            </w:r>
            <w:r>
              <w:rPr>
                <w:rFonts w:cstheme="minorHAnsi"/>
                <w:sz w:val="18"/>
                <w:szCs w:val="18"/>
              </w:rPr>
              <w:t>e on non-financial assets (net)</w:t>
            </w:r>
            <w:r w:rsidRPr="00E673C4">
              <w:rPr>
                <w:rFonts w:cstheme="minorHAnsi"/>
                <w:sz w:val="18"/>
                <w:szCs w:val="18"/>
              </w:rPr>
              <w:t xml:space="preserve"> plus</w:t>
            </w:r>
          </w:p>
          <w:p w:rsidR="00886A8C" w:rsidRDefault="00886A8C" w:rsidP="005864CF">
            <w:pPr>
              <w:pStyle w:val="TableRowUnits"/>
              <w:spacing w:after="40"/>
              <w:ind w:left="195"/>
              <w:jc w:val="left"/>
              <w:rPr>
                <w:rFonts w:cstheme="minorHAnsi"/>
                <w:sz w:val="18"/>
                <w:szCs w:val="18"/>
              </w:rPr>
            </w:pPr>
            <w:r>
              <w:rPr>
                <w:rFonts w:cstheme="minorHAnsi"/>
                <w:sz w:val="18"/>
                <w:szCs w:val="18"/>
              </w:rPr>
              <w:t xml:space="preserve">ETF 1152 - </w:t>
            </w:r>
            <w:r w:rsidRPr="00E673C4">
              <w:rPr>
                <w:rFonts w:cstheme="minorHAnsi"/>
                <w:sz w:val="18"/>
                <w:szCs w:val="18"/>
              </w:rPr>
              <w:t>A</w:t>
            </w:r>
            <w:r>
              <w:rPr>
                <w:rFonts w:cstheme="minorHAnsi"/>
                <w:sz w:val="18"/>
                <w:szCs w:val="18"/>
              </w:rPr>
              <w:t>ssets acquired below fair value</w:t>
            </w:r>
          </w:p>
          <w:p w:rsidR="00886A8C" w:rsidRPr="00E673C4" w:rsidRDefault="00886A8C" w:rsidP="005864CF">
            <w:pPr>
              <w:pStyle w:val="TableRowUnits"/>
              <w:spacing w:after="40"/>
              <w:ind w:left="195"/>
              <w:jc w:val="left"/>
              <w:rPr>
                <w:rFonts w:cstheme="minorHAnsi"/>
                <w:sz w:val="18"/>
                <w:szCs w:val="18"/>
              </w:rPr>
            </w:pPr>
            <w:r w:rsidRPr="00E673C4">
              <w:rPr>
                <w:rFonts w:cstheme="minorHAnsi"/>
                <w:sz w:val="18"/>
                <w:szCs w:val="18"/>
              </w:rPr>
              <w:t xml:space="preserve"> plus</w:t>
            </w:r>
          </w:p>
          <w:p w:rsidR="00886A8C" w:rsidRPr="00E673C4" w:rsidRDefault="00886A8C" w:rsidP="005864CF">
            <w:pPr>
              <w:pStyle w:val="TableRowUnits"/>
              <w:spacing w:after="40"/>
              <w:ind w:left="195"/>
              <w:jc w:val="left"/>
              <w:rPr>
                <w:rFonts w:cstheme="minorHAnsi"/>
                <w:sz w:val="18"/>
                <w:szCs w:val="18"/>
              </w:rPr>
            </w:pPr>
            <w:r>
              <w:rPr>
                <w:rFonts w:cstheme="minorHAnsi"/>
                <w:sz w:val="18"/>
                <w:szCs w:val="18"/>
              </w:rPr>
              <w:t xml:space="preserve">ETF 1252 - </w:t>
            </w:r>
            <w:r w:rsidRPr="00E673C4">
              <w:rPr>
                <w:rFonts w:cstheme="minorHAnsi"/>
                <w:sz w:val="18"/>
                <w:szCs w:val="18"/>
              </w:rPr>
              <w:t>Assets donated.</w:t>
            </w:r>
          </w:p>
        </w:tc>
      </w:tr>
      <w:tr w:rsidR="00886A8C" w:rsidRPr="00E673C4" w:rsidTr="00286384">
        <w:tc>
          <w:tcPr>
            <w:tcW w:w="902" w:type="pct"/>
            <w:tcBorders>
              <w:bottom w:val="single" w:sz="4" w:space="0" w:color="auto"/>
            </w:tcBorders>
          </w:tcPr>
          <w:p w:rsidR="00886A8C" w:rsidRPr="00E673C4" w:rsidRDefault="00886A8C" w:rsidP="005864CF">
            <w:pPr>
              <w:pStyle w:val="CGCTableStub"/>
              <w:spacing w:after="40"/>
              <w:rPr>
                <w:rFonts w:cstheme="minorHAnsi"/>
                <w:sz w:val="18"/>
                <w:szCs w:val="18"/>
              </w:rPr>
            </w:pPr>
            <w:r>
              <w:rPr>
                <w:rFonts w:cstheme="minorHAnsi"/>
                <w:sz w:val="18"/>
                <w:szCs w:val="18"/>
              </w:rPr>
              <w:t>920 Net Borrowing</w:t>
            </w:r>
          </w:p>
        </w:tc>
        <w:tc>
          <w:tcPr>
            <w:tcW w:w="2720" w:type="pct"/>
            <w:tcBorders>
              <w:bottom w:val="single" w:sz="4" w:space="0" w:color="auto"/>
            </w:tcBorders>
          </w:tcPr>
          <w:p w:rsidR="00886A8C" w:rsidRPr="00E673C4" w:rsidRDefault="00886A8C" w:rsidP="00004137">
            <w:pPr>
              <w:pStyle w:val="TableRowNormal"/>
              <w:spacing w:after="80"/>
              <w:ind w:left="0" w:firstLine="0"/>
              <w:jc w:val="left"/>
              <w:rPr>
                <w:rFonts w:cstheme="minorHAnsi"/>
                <w:sz w:val="18"/>
                <w:szCs w:val="18"/>
              </w:rPr>
            </w:pPr>
            <w:r w:rsidRPr="00E673C4">
              <w:rPr>
                <w:rFonts w:cstheme="minorHAnsi"/>
                <w:sz w:val="18"/>
                <w:szCs w:val="18"/>
              </w:rPr>
              <w:t>The financial requirement of State general government and PNFCs providing social housing and urban transport services. It is calculated as the GFS net operating balance (GFS revenue minus GFS expenses) less the net acquisition of non-financial assets.  A positive result reflects a net lending position and a negative result reflects a net borrowing position.</w:t>
            </w:r>
          </w:p>
        </w:tc>
        <w:tc>
          <w:tcPr>
            <w:tcW w:w="1379" w:type="pct"/>
            <w:tcBorders>
              <w:bottom w:val="single" w:sz="4" w:space="0" w:color="auto"/>
            </w:tcBorders>
          </w:tcPr>
          <w:p w:rsidR="00886A8C" w:rsidRPr="00E673C4" w:rsidRDefault="00886A8C" w:rsidP="005864CF">
            <w:pPr>
              <w:pStyle w:val="TableRowNormal"/>
              <w:spacing w:after="40"/>
              <w:jc w:val="left"/>
              <w:rPr>
                <w:rFonts w:cstheme="minorHAnsi"/>
                <w:sz w:val="18"/>
                <w:szCs w:val="18"/>
              </w:rPr>
            </w:pPr>
          </w:p>
        </w:tc>
      </w:tr>
    </w:tbl>
    <w:p w:rsidR="00886A8C" w:rsidRPr="000F6176" w:rsidRDefault="00886A8C" w:rsidP="00886A8C">
      <w:pPr>
        <w:pStyle w:val="CGCNumberedPara"/>
        <w:numPr>
          <w:ilvl w:val="0"/>
          <w:numId w:val="0"/>
        </w:numPr>
      </w:pPr>
    </w:p>
    <w:p w:rsidR="00886A8C" w:rsidRDefault="00886A8C" w:rsidP="008358E9">
      <w:pPr>
        <w:keepNext/>
        <w:widowControl w:val="0"/>
        <w:pBdr>
          <w:bottom w:val="single" w:sz="4" w:space="1" w:color="auto"/>
        </w:pBdr>
        <w:spacing w:before="800" w:after="0" w:line="240" w:lineRule="auto"/>
        <w:outlineLvl w:val="0"/>
        <w:rPr>
          <w:rFonts w:ascii="Calibri" w:eastAsia="Times New Roman" w:hAnsi="Calibri" w:cs="Times New Roman"/>
          <w:b/>
          <w:bCs/>
          <w:caps/>
          <w:color w:val="2C8558"/>
          <w:sz w:val="40"/>
          <w:szCs w:val="28"/>
        </w:rPr>
        <w:sectPr w:rsidR="00886A8C" w:rsidSect="00D22403">
          <w:headerReference w:type="default" r:id="rId20"/>
          <w:footerReference w:type="default" r:id="rId21"/>
          <w:headerReference w:type="first" r:id="rId22"/>
          <w:footerReference w:type="first" r:id="rId23"/>
          <w:footnotePr>
            <w:numRestart w:val="eachSect"/>
          </w:footnotePr>
          <w:pgSz w:w="11906" w:h="16838" w:code="9"/>
          <w:pgMar w:top="1701" w:right="1474" w:bottom="1701" w:left="1474" w:header="709" w:footer="709" w:gutter="0"/>
          <w:cols w:space="708"/>
          <w:titlePg/>
          <w:docGrid w:linePitch="360"/>
        </w:sectPr>
      </w:pPr>
    </w:p>
    <w:p w:rsidR="00597461" w:rsidRDefault="00FC647D" w:rsidP="00597461">
      <w:pPr>
        <w:pStyle w:val="Heading1"/>
      </w:pPr>
      <w:r>
        <w:rPr>
          <w:caps w:val="0"/>
        </w:rPr>
        <w:lastRenderedPageBreak/>
        <w:t>ATTACHMENT 4</w:t>
      </w:r>
    </w:p>
    <w:p w:rsidR="00597461" w:rsidRDefault="00FC647D" w:rsidP="00597461">
      <w:pPr>
        <w:pStyle w:val="Heading2"/>
      </w:pPr>
      <w:r>
        <w:rPr>
          <w:caps w:val="0"/>
        </w:rPr>
        <w:t>THE ASSESSED BUDGET</w:t>
      </w:r>
    </w:p>
    <w:p w:rsidR="00597461" w:rsidRDefault="00597461" w:rsidP="00081E00">
      <w:pPr>
        <w:pStyle w:val="CGCNumberedPara"/>
        <w:numPr>
          <w:ilvl w:val="1"/>
          <w:numId w:val="39"/>
        </w:numPr>
      </w:pPr>
      <w:r>
        <w:t xml:space="preserve">This attachment provides assessed revenue and expenses by category and total assessed Commonwealth payments (other than the GST). For each State, they reflect what revenue could be raised at average policy, what would need to be spent to deliver average services and the actual revenue from Commonwealth payments, which support State budgets. These assessed amounts are used in </w:t>
      </w:r>
      <w:r w:rsidRPr="00597461">
        <w:t>Attachment 5</w:t>
      </w:r>
      <w:r>
        <w:t xml:space="preserve"> to derive the relativities.</w:t>
      </w:r>
    </w:p>
    <w:p w:rsidR="00597461" w:rsidRDefault="0004120A" w:rsidP="00597461">
      <w:pPr>
        <w:pStyle w:val="CGCBulletlist"/>
        <w:numPr>
          <w:ilvl w:val="0"/>
          <w:numId w:val="11"/>
        </w:numPr>
        <w:tabs>
          <w:tab w:val="clear" w:pos="927"/>
        </w:tabs>
        <w:ind w:left="1134" w:hanging="567"/>
      </w:pPr>
      <w:r>
        <w:fldChar w:fldCharType="begin"/>
      </w:r>
      <w:r>
        <w:instrText xml:space="preserve"> REF _Ref410907306 \h </w:instrText>
      </w:r>
      <w:r>
        <w:fldChar w:fldCharType="separate"/>
      </w:r>
      <w:r w:rsidR="007B6A4C">
        <w:t xml:space="preserve">Table </w:t>
      </w:r>
      <w:r w:rsidR="007B6A4C">
        <w:rPr>
          <w:noProof/>
        </w:rPr>
        <w:t>1</w:t>
      </w:r>
      <w:r>
        <w:fldChar w:fldCharType="end"/>
      </w:r>
      <w:r>
        <w:t xml:space="preserve"> </w:t>
      </w:r>
      <w:r w:rsidR="00597461">
        <w:t>shows the assessed budget for 2011</w:t>
      </w:r>
      <w:r w:rsidR="00597461">
        <w:noBreakHyphen/>
        <w:t>12.</w:t>
      </w:r>
    </w:p>
    <w:p w:rsidR="00597461" w:rsidRDefault="00597461" w:rsidP="00597461">
      <w:pPr>
        <w:pStyle w:val="CGCBulletlist"/>
        <w:numPr>
          <w:ilvl w:val="0"/>
          <w:numId w:val="11"/>
        </w:numPr>
        <w:tabs>
          <w:tab w:val="clear" w:pos="927"/>
        </w:tabs>
        <w:ind w:left="1134" w:hanging="567"/>
      </w:pPr>
      <w:r>
        <w:fldChar w:fldCharType="begin"/>
      </w:r>
      <w:r>
        <w:instrText xml:space="preserve"> REF _Ref410306686 \h </w:instrText>
      </w:r>
      <w:r>
        <w:fldChar w:fldCharType="separate"/>
      </w:r>
      <w:r w:rsidR="007B6A4C">
        <w:t xml:space="preserve">Table </w:t>
      </w:r>
      <w:r w:rsidR="007B6A4C">
        <w:rPr>
          <w:noProof/>
        </w:rPr>
        <w:t>2</w:t>
      </w:r>
      <w:r>
        <w:fldChar w:fldCharType="end"/>
      </w:r>
      <w:r>
        <w:t xml:space="preserve"> shows the assessed budget for 2012</w:t>
      </w:r>
      <w:r>
        <w:noBreakHyphen/>
        <w:t>13.</w:t>
      </w:r>
    </w:p>
    <w:p w:rsidR="00597461" w:rsidRDefault="00597461" w:rsidP="00597461">
      <w:pPr>
        <w:pStyle w:val="CGCBulletlist"/>
        <w:numPr>
          <w:ilvl w:val="0"/>
          <w:numId w:val="11"/>
        </w:numPr>
        <w:tabs>
          <w:tab w:val="clear" w:pos="927"/>
        </w:tabs>
        <w:ind w:left="1134" w:hanging="567"/>
      </w:pPr>
      <w:r>
        <w:fldChar w:fldCharType="begin"/>
      </w:r>
      <w:r>
        <w:instrText xml:space="preserve"> REF _Ref410306699 \h </w:instrText>
      </w:r>
      <w:r>
        <w:fldChar w:fldCharType="separate"/>
      </w:r>
      <w:r w:rsidR="007B6A4C">
        <w:t xml:space="preserve">Table </w:t>
      </w:r>
      <w:r w:rsidR="007B6A4C">
        <w:rPr>
          <w:noProof/>
        </w:rPr>
        <w:t>3</w:t>
      </w:r>
      <w:r>
        <w:fldChar w:fldCharType="end"/>
      </w:r>
      <w:r>
        <w:t xml:space="preserve"> shows the assessed budget for 2013</w:t>
      </w:r>
      <w:r>
        <w:noBreakHyphen/>
        <w:t>14.</w:t>
      </w:r>
    </w:p>
    <w:p w:rsidR="00597461" w:rsidRDefault="00597461" w:rsidP="002A3AC6">
      <w:pPr>
        <w:pStyle w:val="CGCNumberedPara"/>
      </w:pPr>
      <w:r>
        <w:t xml:space="preserve">Additional information used in the calculation of relativities is available on the </w:t>
      </w:r>
      <w:hyperlink r:id="rId24" w:history="1">
        <w:r w:rsidRPr="002A3AC6">
          <w:rPr>
            <w:rStyle w:val="Hyperlink"/>
          </w:rPr>
          <w:t>Commission’s website</w:t>
        </w:r>
      </w:hyperlink>
      <w:r w:rsidR="002A3AC6">
        <w:t xml:space="preserve"> (</w:t>
      </w:r>
      <w:r w:rsidR="002A3AC6" w:rsidRPr="002A3AC6">
        <w:t>https://cgc.gov.au/</w:t>
      </w:r>
      <w:r w:rsidR="002A3AC6">
        <w:t>)</w:t>
      </w:r>
      <w:r>
        <w:t>.</w:t>
      </w:r>
    </w:p>
    <w:p w:rsidR="00597461" w:rsidRDefault="00597461" w:rsidP="00D24D46">
      <w:pPr>
        <w:pStyle w:val="NoSpacing"/>
        <w:rPr>
          <w:szCs w:val="20"/>
        </w:rPr>
      </w:pPr>
      <w:r>
        <w:br w:type="page"/>
      </w:r>
    </w:p>
    <w:p w:rsidR="00597461" w:rsidRDefault="0004120A" w:rsidP="00597461">
      <w:pPr>
        <w:pStyle w:val="CGCTableHeading"/>
      </w:pPr>
      <w:bookmarkStart w:id="25" w:name="_Ref410306635"/>
      <w:bookmarkStart w:id="26" w:name="_Ref410907306"/>
      <w:r>
        <w:lastRenderedPageBreak/>
        <w:t xml:space="preserve">Table </w:t>
      </w:r>
      <w:bookmarkEnd w:id="25"/>
      <w:r>
        <w:fldChar w:fldCharType="begin"/>
      </w:r>
      <w:r>
        <w:instrText xml:space="preserve"> SEQ Table \* ARABIC \r1 </w:instrText>
      </w:r>
      <w:r>
        <w:fldChar w:fldCharType="separate"/>
      </w:r>
      <w:r w:rsidR="007B6A4C">
        <w:rPr>
          <w:noProof/>
        </w:rPr>
        <w:t>1</w:t>
      </w:r>
      <w:r>
        <w:fldChar w:fldCharType="end"/>
      </w:r>
      <w:bookmarkEnd w:id="26"/>
      <w:r w:rsidR="00597461">
        <w:tab/>
      </w:r>
      <w:r w:rsidR="00597461" w:rsidRPr="004952B9">
        <w:t>Assessed revenue, expenses and Commonwealth payments, 201</w:t>
      </w:r>
      <w:r w:rsidR="00597461">
        <w:t>1</w:t>
      </w:r>
      <w:r w:rsidR="00597461" w:rsidRPr="004952B9">
        <w:t>-1</w:t>
      </w:r>
      <w:r w:rsidR="00597461">
        <w:t>2</w:t>
      </w:r>
    </w:p>
    <w:tbl>
      <w:tblPr>
        <w:tblW w:w="8980" w:type="dxa"/>
        <w:tblInd w:w="93" w:type="dxa"/>
        <w:tblLook w:val="04A0" w:firstRow="1" w:lastRow="0" w:firstColumn="1" w:lastColumn="0" w:noHBand="0" w:noVBand="1"/>
      </w:tblPr>
      <w:tblGrid>
        <w:gridCol w:w="2560"/>
        <w:gridCol w:w="680"/>
        <w:gridCol w:w="680"/>
        <w:gridCol w:w="680"/>
        <w:gridCol w:w="760"/>
        <w:gridCol w:w="680"/>
        <w:gridCol w:w="680"/>
        <w:gridCol w:w="700"/>
        <w:gridCol w:w="800"/>
        <w:gridCol w:w="760"/>
      </w:tblGrid>
      <w:tr w:rsidR="0077375D" w:rsidRPr="0077375D" w:rsidTr="0077375D">
        <w:trPr>
          <w:trHeight w:val="379"/>
        </w:trPr>
        <w:tc>
          <w:tcPr>
            <w:tcW w:w="2560" w:type="dxa"/>
            <w:tcBorders>
              <w:top w:val="single" w:sz="4" w:space="0" w:color="auto"/>
              <w:left w:val="nil"/>
              <w:bottom w:val="single" w:sz="4" w:space="0" w:color="auto"/>
              <w:right w:val="nil"/>
            </w:tcBorders>
            <w:shd w:val="clear" w:color="auto" w:fill="auto"/>
            <w:noWrap/>
            <w:vAlign w:val="center"/>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 </w:t>
            </w:r>
          </w:p>
        </w:tc>
        <w:tc>
          <w:tcPr>
            <w:tcW w:w="680" w:type="dxa"/>
            <w:tcBorders>
              <w:top w:val="single" w:sz="4" w:space="0" w:color="auto"/>
              <w:left w:val="nil"/>
              <w:bottom w:val="single" w:sz="4" w:space="0" w:color="auto"/>
              <w:right w:val="nil"/>
            </w:tcBorders>
            <w:shd w:val="clear" w:color="auto" w:fill="auto"/>
            <w:noWrap/>
            <w:vAlign w:val="center"/>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NSW</w:t>
            </w:r>
          </w:p>
        </w:tc>
        <w:tc>
          <w:tcPr>
            <w:tcW w:w="680" w:type="dxa"/>
            <w:tcBorders>
              <w:top w:val="single" w:sz="4" w:space="0" w:color="auto"/>
              <w:left w:val="nil"/>
              <w:bottom w:val="single" w:sz="4" w:space="0" w:color="auto"/>
              <w:right w:val="nil"/>
            </w:tcBorders>
            <w:shd w:val="clear" w:color="auto" w:fill="auto"/>
            <w:noWrap/>
            <w:vAlign w:val="center"/>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Vic</w:t>
            </w:r>
          </w:p>
        </w:tc>
        <w:tc>
          <w:tcPr>
            <w:tcW w:w="680" w:type="dxa"/>
            <w:tcBorders>
              <w:top w:val="single" w:sz="4" w:space="0" w:color="auto"/>
              <w:left w:val="nil"/>
              <w:bottom w:val="single" w:sz="4" w:space="0" w:color="auto"/>
              <w:right w:val="nil"/>
            </w:tcBorders>
            <w:shd w:val="clear" w:color="auto" w:fill="auto"/>
            <w:noWrap/>
            <w:vAlign w:val="center"/>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Qld</w:t>
            </w:r>
          </w:p>
        </w:tc>
        <w:tc>
          <w:tcPr>
            <w:tcW w:w="760" w:type="dxa"/>
            <w:tcBorders>
              <w:top w:val="single" w:sz="4" w:space="0" w:color="auto"/>
              <w:left w:val="nil"/>
              <w:bottom w:val="single" w:sz="4" w:space="0" w:color="auto"/>
              <w:right w:val="nil"/>
            </w:tcBorders>
            <w:shd w:val="clear" w:color="auto" w:fill="auto"/>
            <w:noWrap/>
            <w:vAlign w:val="center"/>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WA</w:t>
            </w:r>
          </w:p>
        </w:tc>
        <w:tc>
          <w:tcPr>
            <w:tcW w:w="680" w:type="dxa"/>
            <w:tcBorders>
              <w:top w:val="single" w:sz="4" w:space="0" w:color="auto"/>
              <w:left w:val="nil"/>
              <w:bottom w:val="single" w:sz="4" w:space="0" w:color="auto"/>
              <w:right w:val="nil"/>
            </w:tcBorders>
            <w:shd w:val="clear" w:color="auto" w:fill="auto"/>
            <w:noWrap/>
            <w:vAlign w:val="center"/>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SA</w:t>
            </w:r>
          </w:p>
        </w:tc>
        <w:tc>
          <w:tcPr>
            <w:tcW w:w="680" w:type="dxa"/>
            <w:tcBorders>
              <w:top w:val="single" w:sz="4" w:space="0" w:color="auto"/>
              <w:left w:val="nil"/>
              <w:bottom w:val="single" w:sz="4" w:space="0" w:color="auto"/>
              <w:right w:val="nil"/>
            </w:tcBorders>
            <w:shd w:val="clear" w:color="auto" w:fill="auto"/>
            <w:noWrap/>
            <w:vAlign w:val="center"/>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proofErr w:type="spellStart"/>
            <w:r w:rsidRPr="0077375D">
              <w:rPr>
                <w:rFonts w:ascii="Calibri" w:eastAsia="Times New Roman" w:hAnsi="Calibri" w:cs="Times New Roman"/>
                <w:sz w:val="20"/>
                <w:szCs w:val="20"/>
                <w:lang w:eastAsia="en-AU"/>
              </w:rPr>
              <w:t>Tas</w:t>
            </w:r>
            <w:proofErr w:type="spellEnd"/>
          </w:p>
        </w:tc>
        <w:tc>
          <w:tcPr>
            <w:tcW w:w="700" w:type="dxa"/>
            <w:tcBorders>
              <w:top w:val="single" w:sz="4" w:space="0" w:color="auto"/>
              <w:left w:val="nil"/>
              <w:bottom w:val="single" w:sz="4" w:space="0" w:color="auto"/>
              <w:right w:val="nil"/>
            </w:tcBorders>
            <w:shd w:val="clear" w:color="auto" w:fill="auto"/>
            <w:noWrap/>
            <w:vAlign w:val="center"/>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ACT</w:t>
            </w:r>
          </w:p>
        </w:tc>
        <w:tc>
          <w:tcPr>
            <w:tcW w:w="800" w:type="dxa"/>
            <w:tcBorders>
              <w:top w:val="single" w:sz="4" w:space="0" w:color="auto"/>
              <w:left w:val="nil"/>
              <w:bottom w:val="single" w:sz="4" w:space="0" w:color="auto"/>
              <w:right w:val="nil"/>
            </w:tcBorders>
            <w:shd w:val="clear" w:color="auto" w:fill="auto"/>
            <w:noWrap/>
            <w:vAlign w:val="center"/>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NT</w:t>
            </w:r>
          </w:p>
        </w:tc>
        <w:tc>
          <w:tcPr>
            <w:tcW w:w="760" w:type="dxa"/>
            <w:tcBorders>
              <w:top w:val="single" w:sz="4" w:space="0" w:color="auto"/>
              <w:left w:val="nil"/>
              <w:bottom w:val="single" w:sz="4" w:space="0" w:color="auto"/>
              <w:right w:val="nil"/>
            </w:tcBorders>
            <w:shd w:val="clear" w:color="auto" w:fill="auto"/>
            <w:noWrap/>
            <w:vAlign w:val="center"/>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Ave</w:t>
            </w:r>
          </w:p>
        </w:tc>
      </w:tr>
      <w:tr w:rsidR="0077375D" w:rsidRPr="0077375D" w:rsidTr="0077375D">
        <w:trPr>
          <w:trHeight w:val="259"/>
        </w:trPr>
        <w:tc>
          <w:tcPr>
            <w:tcW w:w="25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$pc</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$pc</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$pc</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$pc</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$pc</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$pc</w:t>
            </w:r>
          </w:p>
        </w:tc>
        <w:tc>
          <w:tcPr>
            <w:tcW w:w="7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$pc</w:t>
            </w:r>
          </w:p>
        </w:tc>
        <w:tc>
          <w:tcPr>
            <w:tcW w:w="8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$pc</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$pc</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Assessed revenue</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p>
        </w:tc>
        <w:tc>
          <w:tcPr>
            <w:tcW w:w="8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Payroll tax</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893</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823</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838</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1 188</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669</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559</w:t>
            </w:r>
          </w:p>
        </w:tc>
        <w:tc>
          <w:tcPr>
            <w:tcW w:w="7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985</w:t>
            </w:r>
          </w:p>
        </w:tc>
        <w:tc>
          <w:tcPr>
            <w:tcW w:w="8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754</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872</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Land tax</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300</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312</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311</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392</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176</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168</w:t>
            </w:r>
          </w:p>
        </w:tc>
        <w:tc>
          <w:tcPr>
            <w:tcW w:w="7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195</w:t>
            </w:r>
          </w:p>
        </w:tc>
        <w:tc>
          <w:tcPr>
            <w:tcW w:w="8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223</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300</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Stamp duty</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683</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670</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644</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720</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422</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365</w:t>
            </w:r>
          </w:p>
        </w:tc>
        <w:tc>
          <w:tcPr>
            <w:tcW w:w="7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649</w:t>
            </w:r>
          </w:p>
        </w:tc>
        <w:tc>
          <w:tcPr>
            <w:tcW w:w="8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489</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647</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Insurance tax</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236</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206</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210</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208</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234</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171</w:t>
            </w:r>
          </w:p>
        </w:tc>
        <w:tc>
          <w:tcPr>
            <w:tcW w:w="7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180</w:t>
            </w:r>
          </w:p>
        </w:tc>
        <w:tc>
          <w:tcPr>
            <w:tcW w:w="8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186</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217</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Motor taxes</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231</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270</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271</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301</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274</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293</w:t>
            </w:r>
          </w:p>
        </w:tc>
        <w:tc>
          <w:tcPr>
            <w:tcW w:w="7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223</w:t>
            </w:r>
          </w:p>
        </w:tc>
        <w:tc>
          <w:tcPr>
            <w:tcW w:w="8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228</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261</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Mining revenue</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213</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19</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594</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2 210</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159</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109</w:t>
            </w:r>
          </w:p>
        </w:tc>
        <w:tc>
          <w:tcPr>
            <w:tcW w:w="7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0</w:t>
            </w:r>
          </w:p>
        </w:tc>
        <w:tc>
          <w:tcPr>
            <w:tcW w:w="8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408</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446</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Other revenue</w:t>
            </w:r>
          </w:p>
        </w:tc>
        <w:tc>
          <w:tcPr>
            <w:tcW w:w="680" w:type="dxa"/>
            <w:tcBorders>
              <w:top w:val="nil"/>
              <w:left w:val="nil"/>
              <w:bottom w:val="single" w:sz="4" w:space="0" w:color="auto"/>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1 846</w:t>
            </w:r>
          </w:p>
        </w:tc>
        <w:tc>
          <w:tcPr>
            <w:tcW w:w="680" w:type="dxa"/>
            <w:tcBorders>
              <w:top w:val="nil"/>
              <w:left w:val="nil"/>
              <w:bottom w:val="single" w:sz="4" w:space="0" w:color="auto"/>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1 846</w:t>
            </w:r>
          </w:p>
        </w:tc>
        <w:tc>
          <w:tcPr>
            <w:tcW w:w="680" w:type="dxa"/>
            <w:tcBorders>
              <w:top w:val="nil"/>
              <w:left w:val="nil"/>
              <w:bottom w:val="single" w:sz="4" w:space="0" w:color="auto"/>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1 846</w:t>
            </w:r>
          </w:p>
        </w:tc>
        <w:tc>
          <w:tcPr>
            <w:tcW w:w="760" w:type="dxa"/>
            <w:tcBorders>
              <w:top w:val="nil"/>
              <w:left w:val="nil"/>
              <w:bottom w:val="single" w:sz="4" w:space="0" w:color="auto"/>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1 846</w:t>
            </w:r>
          </w:p>
        </w:tc>
        <w:tc>
          <w:tcPr>
            <w:tcW w:w="680" w:type="dxa"/>
            <w:tcBorders>
              <w:top w:val="nil"/>
              <w:left w:val="nil"/>
              <w:bottom w:val="single" w:sz="4" w:space="0" w:color="auto"/>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1 846</w:t>
            </w:r>
          </w:p>
        </w:tc>
        <w:tc>
          <w:tcPr>
            <w:tcW w:w="680" w:type="dxa"/>
            <w:tcBorders>
              <w:top w:val="nil"/>
              <w:left w:val="nil"/>
              <w:bottom w:val="single" w:sz="4" w:space="0" w:color="auto"/>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1 846</w:t>
            </w:r>
          </w:p>
        </w:tc>
        <w:tc>
          <w:tcPr>
            <w:tcW w:w="700" w:type="dxa"/>
            <w:tcBorders>
              <w:top w:val="nil"/>
              <w:left w:val="nil"/>
              <w:bottom w:val="single" w:sz="4" w:space="0" w:color="auto"/>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1 846</w:t>
            </w:r>
          </w:p>
        </w:tc>
        <w:tc>
          <w:tcPr>
            <w:tcW w:w="800" w:type="dxa"/>
            <w:tcBorders>
              <w:top w:val="nil"/>
              <w:left w:val="nil"/>
              <w:bottom w:val="single" w:sz="4" w:space="0" w:color="auto"/>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1 846</w:t>
            </w:r>
          </w:p>
        </w:tc>
        <w:tc>
          <w:tcPr>
            <w:tcW w:w="760" w:type="dxa"/>
            <w:tcBorders>
              <w:top w:val="nil"/>
              <w:left w:val="nil"/>
              <w:bottom w:val="single" w:sz="4" w:space="0" w:color="auto"/>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1 846</w:t>
            </w:r>
          </w:p>
        </w:tc>
      </w:tr>
      <w:tr w:rsidR="0077375D" w:rsidRPr="0077375D" w:rsidTr="0077375D">
        <w:trPr>
          <w:trHeight w:val="315"/>
        </w:trPr>
        <w:tc>
          <w:tcPr>
            <w:tcW w:w="256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 xml:space="preserve">Total </w:t>
            </w:r>
          </w:p>
        </w:tc>
        <w:tc>
          <w:tcPr>
            <w:tcW w:w="68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4 402</w:t>
            </w:r>
          </w:p>
        </w:tc>
        <w:tc>
          <w:tcPr>
            <w:tcW w:w="68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4 147</w:t>
            </w:r>
          </w:p>
        </w:tc>
        <w:tc>
          <w:tcPr>
            <w:tcW w:w="68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4 714</w:t>
            </w:r>
          </w:p>
        </w:tc>
        <w:tc>
          <w:tcPr>
            <w:tcW w:w="76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6 865</w:t>
            </w:r>
          </w:p>
        </w:tc>
        <w:tc>
          <w:tcPr>
            <w:tcW w:w="68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3 780</w:t>
            </w:r>
          </w:p>
        </w:tc>
        <w:tc>
          <w:tcPr>
            <w:tcW w:w="68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3 510</w:t>
            </w:r>
          </w:p>
        </w:tc>
        <w:tc>
          <w:tcPr>
            <w:tcW w:w="70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4 078</w:t>
            </w:r>
          </w:p>
        </w:tc>
        <w:tc>
          <w:tcPr>
            <w:tcW w:w="80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4 134</w:t>
            </w:r>
          </w:p>
        </w:tc>
        <w:tc>
          <w:tcPr>
            <w:tcW w:w="76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4 589</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Assessed expenses</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p>
        </w:tc>
        <w:tc>
          <w:tcPr>
            <w:tcW w:w="8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Schools education</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1 826</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1 720</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1 946</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1 922</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1 882</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2 015</w:t>
            </w:r>
          </w:p>
        </w:tc>
        <w:tc>
          <w:tcPr>
            <w:tcW w:w="7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1 703</w:t>
            </w:r>
          </w:p>
        </w:tc>
        <w:tc>
          <w:tcPr>
            <w:tcW w:w="8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3 140</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1 854</w:t>
            </w:r>
          </w:p>
        </w:tc>
      </w:tr>
      <w:tr w:rsidR="0077375D" w:rsidRPr="0077375D" w:rsidTr="0077375D">
        <w:trPr>
          <w:trHeight w:val="315"/>
        </w:trPr>
        <w:tc>
          <w:tcPr>
            <w:tcW w:w="256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Post-secondary education</w:t>
            </w:r>
          </w:p>
        </w:tc>
        <w:tc>
          <w:tcPr>
            <w:tcW w:w="68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254</w:t>
            </w:r>
          </w:p>
        </w:tc>
        <w:tc>
          <w:tcPr>
            <w:tcW w:w="68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245</w:t>
            </w:r>
          </w:p>
        </w:tc>
        <w:tc>
          <w:tcPr>
            <w:tcW w:w="68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257</w:t>
            </w:r>
          </w:p>
        </w:tc>
        <w:tc>
          <w:tcPr>
            <w:tcW w:w="76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265</w:t>
            </w:r>
          </w:p>
        </w:tc>
        <w:tc>
          <w:tcPr>
            <w:tcW w:w="68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254</w:t>
            </w:r>
          </w:p>
        </w:tc>
        <w:tc>
          <w:tcPr>
            <w:tcW w:w="68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259</w:t>
            </w:r>
          </w:p>
        </w:tc>
        <w:tc>
          <w:tcPr>
            <w:tcW w:w="70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279</w:t>
            </w:r>
          </w:p>
        </w:tc>
        <w:tc>
          <w:tcPr>
            <w:tcW w:w="80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370</w:t>
            </w:r>
          </w:p>
        </w:tc>
        <w:tc>
          <w:tcPr>
            <w:tcW w:w="76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255</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Health</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1 952</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1 878</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2 029</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2 191</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2 093</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2 435</w:t>
            </w:r>
          </w:p>
        </w:tc>
        <w:tc>
          <w:tcPr>
            <w:tcW w:w="7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1 884</w:t>
            </w:r>
          </w:p>
        </w:tc>
        <w:tc>
          <w:tcPr>
            <w:tcW w:w="8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3 861</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2 014</w:t>
            </w:r>
          </w:p>
        </w:tc>
      </w:tr>
      <w:tr w:rsidR="0077375D" w:rsidRPr="0077375D" w:rsidTr="0077375D">
        <w:trPr>
          <w:trHeight w:val="315"/>
        </w:trPr>
        <w:tc>
          <w:tcPr>
            <w:tcW w:w="256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Housing</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134</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122</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141</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149</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148</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153</w:t>
            </w:r>
          </w:p>
        </w:tc>
        <w:tc>
          <w:tcPr>
            <w:tcW w:w="7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103</w:t>
            </w:r>
          </w:p>
        </w:tc>
        <w:tc>
          <w:tcPr>
            <w:tcW w:w="8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408</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138</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Welfare</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620</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557</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651</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596</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635</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743</w:t>
            </w:r>
          </w:p>
        </w:tc>
        <w:tc>
          <w:tcPr>
            <w:tcW w:w="7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437</w:t>
            </w:r>
          </w:p>
        </w:tc>
        <w:tc>
          <w:tcPr>
            <w:tcW w:w="8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1 433</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617</w:t>
            </w:r>
          </w:p>
        </w:tc>
      </w:tr>
      <w:tr w:rsidR="0077375D" w:rsidRPr="0077375D" w:rsidTr="0077375D">
        <w:trPr>
          <w:trHeight w:val="315"/>
        </w:trPr>
        <w:tc>
          <w:tcPr>
            <w:tcW w:w="256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Services to communities</w:t>
            </w:r>
          </w:p>
        </w:tc>
        <w:tc>
          <w:tcPr>
            <w:tcW w:w="68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235</w:t>
            </w:r>
          </w:p>
        </w:tc>
        <w:tc>
          <w:tcPr>
            <w:tcW w:w="68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225</w:t>
            </w:r>
          </w:p>
        </w:tc>
        <w:tc>
          <w:tcPr>
            <w:tcW w:w="68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301</w:t>
            </w:r>
          </w:p>
        </w:tc>
        <w:tc>
          <w:tcPr>
            <w:tcW w:w="76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353</w:t>
            </w:r>
          </w:p>
        </w:tc>
        <w:tc>
          <w:tcPr>
            <w:tcW w:w="68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301</w:t>
            </w:r>
          </w:p>
        </w:tc>
        <w:tc>
          <w:tcPr>
            <w:tcW w:w="68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302</w:t>
            </w:r>
          </w:p>
        </w:tc>
        <w:tc>
          <w:tcPr>
            <w:tcW w:w="70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225</w:t>
            </w:r>
          </w:p>
        </w:tc>
        <w:tc>
          <w:tcPr>
            <w:tcW w:w="80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1 758</w:t>
            </w:r>
          </w:p>
        </w:tc>
        <w:tc>
          <w:tcPr>
            <w:tcW w:w="76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280</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Justice</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690</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619</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745</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787</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700</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755</w:t>
            </w:r>
          </w:p>
        </w:tc>
        <w:tc>
          <w:tcPr>
            <w:tcW w:w="7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621</w:t>
            </w:r>
          </w:p>
        </w:tc>
        <w:tc>
          <w:tcPr>
            <w:tcW w:w="8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2 261</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711</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Roads</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257</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253</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316</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380</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325</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264</w:t>
            </w:r>
          </w:p>
        </w:tc>
        <w:tc>
          <w:tcPr>
            <w:tcW w:w="7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182</w:t>
            </w:r>
          </w:p>
        </w:tc>
        <w:tc>
          <w:tcPr>
            <w:tcW w:w="8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715</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289</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Transport</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455</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467</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387</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425</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364</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207</w:t>
            </w:r>
          </w:p>
        </w:tc>
        <w:tc>
          <w:tcPr>
            <w:tcW w:w="7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285</w:t>
            </w:r>
          </w:p>
        </w:tc>
        <w:tc>
          <w:tcPr>
            <w:tcW w:w="8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199</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423</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Services to industry</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230</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231</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255</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312</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254</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260</w:t>
            </w:r>
          </w:p>
        </w:tc>
        <w:tc>
          <w:tcPr>
            <w:tcW w:w="7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212</w:t>
            </w:r>
          </w:p>
        </w:tc>
        <w:tc>
          <w:tcPr>
            <w:tcW w:w="8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312</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247</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Depreciation</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455</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417</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485</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565</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509</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514</w:t>
            </w:r>
          </w:p>
        </w:tc>
        <w:tc>
          <w:tcPr>
            <w:tcW w:w="7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422</w:t>
            </w:r>
          </w:p>
        </w:tc>
        <w:tc>
          <w:tcPr>
            <w:tcW w:w="8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1 393</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478</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Other expenses</w:t>
            </w:r>
          </w:p>
        </w:tc>
        <w:tc>
          <w:tcPr>
            <w:tcW w:w="680" w:type="dxa"/>
            <w:tcBorders>
              <w:top w:val="nil"/>
              <w:left w:val="nil"/>
              <w:bottom w:val="single" w:sz="4" w:space="0" w:color="auto"/>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1 045</w:t>
            </w:r>
          </w:p>
        </w:tc>
        <w:tc>
          <w:tcPr>
            <w:tcW w:w="680" w:type="dxa"/>
            <w:tcBorders>
              <w:top w:val="nil"/>
              <w:left w:val="nil"/>
              <w:bottom w:val="single" w:sz="4" w:space="0" w:color="auto"/>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1 043</w:t>
            </w:r>
          </w:p>
        </w:tc>
        <w:tc>
          <w:tcPr>
            <w:tcW w:w="680" w:type="dxa"/>
            <w:tcBorders>
              <w:top w:val="nil"/>
              <w:left w:val="nil"/>
              <w:bottom w:val="single" w:sz="4" w:space="0" w:color="auto"/>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1 062</w:t>
            </w:r>
          </w:p>
        </w:tc>
        <w:tc>
          <w:tcPr>
            <w:tcW w:w="760" w:type="dxa"/>
            <w:tcBorders>
              <w:top w:val="nil"/>
              <w:left w:val="nil"/>
              <w:bottom w:val="single" w:sz="4" w:space="0" w:color="auto"/>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1 187</w:t>
            </w:r>
          </w:p>
        </w:tc>
        <w:tc>
          <w:tcPr>
            <w:tcW w:w="680" w:type="dxa"/>
            <w:tcBorders>
              <w:top w:val="nil"/>
              <w:left w:val="nil"/>
              <w:bottom w:val="single" w:sz="4" w:space="0" w:color="auto"/>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1 110</w:t>
            </w:r>
          </w:p>
        </w:tc>
        <w:tc>
          <w:tcPr>
            <w:tcW w:w="680" w:type="dxa"/>
            <w:tcBorders>
              <w:top w:val="nil"/>
              <w:left w:val="nil"/>
              <w:bottom w:val="single" w:sz="4" w:space="0" w:color="auto"/>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1 355</w:t>
            </w:r>
          </w:p>
        </w:tc>
        <w:tc>
          <w:tcPr>
            <w:tcW w:w="700" w:type="dxa"/>
            <w:tcBorders>
              <w:top w:val="nil"/>
              <w:left w:val="nil"/>
              <w:bottom w:val="single" w:sz="4" w:space="0" w:color="auto"/>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1 755</w:t>
            </w:r>
          </w:p>
        </w:tc>
        <w:tc>
          <w:tcPr>
            <w:tcW w:w="800" w:type="dxa"/>
            <w:tcBorders>
              <w:top w:val="nil"/>
              <w:left w:val="nil"/>
              <w:bottom w:val="single" w:sz="4" w:space="0" w:color="auto"/>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2 187</w:t>
            </w:r>
          </w:p>
        </w:tc>
        <w:tc>
          <w:tcPr>
            <w:tcW w:w="760" w:type="dxa"/>
            <w:tcBorders>
              <w:top w:val="nil"/>
              <w:left w:val="nil"/>
              <w:bottom w:val="single" w:sz="4" w:space="0" w:color="auto"/>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1 098</w:t>
            </w:r>
          </w:p>
        </w:tc>
      </w:tr>
      <w:tr w:rsidR="0077375D" w:rsidRPr="0077375D" w:rsidTr="0077375D">
        <w:trPr>
          <w:trHeight w:val="315"/>
        </w:trPr>
        <w:tc>
          <w:tcPr>
            <w:tcW w:w="256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 xml:space="preserve">Total </w:t>
            </w:r>
          </w:p>
        </w:tc>
        <w:tc>
          <w:tcPr>
            <w:tcW w:w="68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8 152</w:t>
            </w:r>
          </w:p>
        </w:tc>
        <w:tc>
          <w:tcPr>
            <w:tcW w:w="68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7 776</w:t>
            </w:r>
          </w:p>
        </w:tc>
        <w:tc>
          <w:tcPr>
            <w:tcW w:w="68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8 575</w:t>
            </w:r>
          </w:p>
        </w:tc>
        <w:tc>
          <w:tcPr>
            <w:tcW w:w="76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9 132</w:t>
            </w:r>
          </w:p>
        </w:tc>
        <w:tc>
          <w:tcPr>
            <w:tcW w:w="68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8 574</w:t>
            </w:r>
          </w:p>
        </w:tc>
        <w:tc>
          <w:tcPr>
            <w:tcW w:w="68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9 261</w:t>
            </w:r>
          </w:p>
        </w:tc>
        <w:tc>
          <w:tcPr>
            <w:tcW w:w="70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8 108</w:t>
            </w:r>
          </w:p>
        </w:tc>
        <w:tc>
          <w:tcPr>
            <w:tcW w:w="80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18 037</w:t>
            </w:r>
          </w:p>
        </w:tc>
        <w:tc>
          <w:tcPr>
            <w:tcW w:w="760" w:type="dxa"/>
            <w:tcBorders>
              <w:top w:val="nil"/>
              <w:left w:val="nil"/>
              <w:bottom w:val="nil"/>
              <w:right w:val="nil"/>
            </w:tcBorders>
            <w:shd w:val="clear" w:color="auto" w:fill="auto"/>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8 405</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Investment</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710</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753</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791</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1 131</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620</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518</w:t>
            </w:r>
          </w:p>
        </w:tc>
        <w:tc>
          <w:tcPr>
            <w:tcW w:w="7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715</w:t>
            </w:r>
          </w:p>
        </w:tc>
        <w:tc>
          <w:tcPr>
            <w:tcW w:w="8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1 036</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774</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Net borrowing</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874</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886</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894</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930</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866</w:t>
            </w:r>
          </w:p>
        </w:tc>
        <w:tc>
          <w:tcPr>
            <w:tcW w:w="68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850</w:t>
            </w:r>
          </w:p>
        </w:tc>
        <w:tc>
          <w:tcPr>
            <w:tcW w:w="7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890</w:t>
            </w:r>
          </w:p>
        </w:tc>
        <w:tc>
          <w:tcPr>
            <w:tcW w:w="80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871</w:t>
            </w:r>
          </w:p>
        </w:tc>
        <w:tc>
          <w:tcPr>
            <w:tcW w:w="760" w:type="dxa"/>
            <w:tcBorders>
              <w:top w:val="nil"/>
              <w:left w:val="nil"/>
              <w:bottom w:val="nil"/>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886</w:t>
            </w:r>
          </w:p>
        </w:tc>
      </w:tr>
      <w:tr w:rsidR="0077375D" w:rsidRPr="0077375D" w:rsidTr="0077375D">
        <w:trPr>
          <w:trHeight w:val="315"/>
        </w:trPr>
        <w:tc>
          <w:tcPr>
            <w:tcW w:w="2560" w:type="dxa"/>
            <w:tcBorders>
              <w:top w:val="nil"/>
              <w:left w:val="nil"/>
              <w:bottom w:val="single" w:sz="4" w:space="0" w:color="auto"/>
              <w:right w:val="nil"/>
            </w:tcBorders>
            <w:shd w:val="clear" w:color="auto" w:fill="auto"/>
            <w:noWrap/>
            <w:vAlign w:val="bottom"/>
            <w:hideMark/>
          </w:tcPr>
          <w:p w:rsidR="0077375D" w:rsidRPr="0077375D" w:rsidRDefault="0077375D" w:rsidP="0077375D">
            <w:pPr>
              <w:tabs>
                <w:tab w:val="clear" w:pos="567"/>
              </w:tabs>
              <w:spacing w:after="0" w:line="240" w:lineRule="auto"/>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Commonwealth payments</w:t>
            </w:r>
          </w:p>
        </w:tc>
        <w:tc>
          <w:tcPr>
            <w:tcW w:w="680" w:type="dxa"/>
            <w:tcBorders>
              <w:top w:val="nil"/>
              <w:left w:val="nil"/>
              <w:bottom w:val="single" w:sz="4" w:space="0" w:color="auto"/>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1 574</w:t>
            </w:r>
          </w:p>
        </w:tc>
        <w:tc>
          <w:tcPr>
            <w:tcW w:w="680" w:type="dxa"/>
            <w:tcBorders>
              <w:top w:val="nil"/>
              <w:left w:val="nil"/>
              <w:bottom w:val="single" w:sz="4" w:space="0" w:color="auto"/>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1 596</w:t>
            </w:r>
          </w:p>
        </w:tc>
        <w:tc>
          <w:tcPr>
            <w:tcW w:w="680" w:type="dxa"/>
            <w:tcBorders>
              <w:top w:val="nil"/>
              <w:left w:val="nil"/>
              <w:bottom w:val="single" w:sz="4" w:space="0" w:color="auto"/>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1 710</w:t>
            </w:r>
          </w:p>
        </w:tc>
        <w:tc>
          <w:tcPr>
            <w:tcW w:w="760" w:type="dxa"/>
            <w:tcBorders>
              <w:top w:val="nil"/>
              <w:left w:val="nil"/>
              <w:bottom w:val="single" w:sz="4" w:space="0" w:color="auto"/>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1 672</w:t>
            </w:r>
          </w:p>
        </w:tc>
        <w:tc>
          <w:tcPr>
            <w:tcW w:w="680" w:type="dxa"/>
            <w:tcBorders>
              <w:top w:val="nil"/>
              <w:left w:val="nil"/>
              <w:bottom w:val="single" w:sz="4" w:space="0" w:color="auto"/>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1 990</w:t>
            </w:r>
          </w:p>
        </w:tc>
        <w:tc>
          <w:tcPr>
            <w:tcW w:w="680" w:type="dxa"/>
            <w:tcBorders>
              <w:top w:val="nil"/>
              <w:left w:val="nil"/>
              <w:bottom w:val="single" w:sz="4" w:space="0" w:color="auto"/>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1 633</w:t>
            </w:r>
          </w:p>
        </w:tc>
        <w:tc>
          <w:tcPr>
            <w:tcW w:w="700" w:type="dxa"/>
            <w:tcBorders>
              <w:top w:val="nil"/>
              <w:left w:val="nil"/>
              <w:bottom w:val="single" w:sz="4" w:space="0" w:color="auto"/>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1 485</w:t>
            </w:r>
          </w:p>
        </w:tc>
        <w:tc>
          <w:tcPr>
            <w:tcW w:w="800" w:type="dxa"/>
            <w:tcBorders>
              <w:top w:val="nil"/>
              <w:left w:val="nil"/>
              <w:bottom w:val="single" w:sz="4" w:space="0" w:color="auto"/>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2 729</w:t>
            </w:r>
          </w:p>
        </w:tc>
        <w:tc>
          <w:tcPr>
            <w:tcW w:w="760" w:type="dxa"/>
            <w:tcBorders>
              <w:top w:val="nil"/>
              <w:left w:val="nil"/>
              <w:bottom w:val="single" w:sz="4" w:space="0" w:color="auto"/>
              <w:right w:val="nil"/>
            </w:tcBorders>
            <w:shd w:val="clear" w:color="auto" w:fill="auto"/>
            <w:noWrap/>
            <w:vAlign w:val="bottom"/>
            <w:hideMark/>
          </w:tcPr>
          <w:p w:rsidR="0077375D" w:rsidRPr="0077375D" w:rsidRDefault="0077375D" w:rsidP="0077375D">
            <w:pPr>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1 659</w:t>
            </w:r>
          </w:p>
        </w:tc>
      </w:tr>
    </w:tbl>
    <w:p w:rsidR="00761BEA" w:rsidRDefault="00761BEA" w:rsidP="00761BEA">
      <w:pPr>
        <w:pStyle w:val="CGCTableFootnote"/>
      </w:pPr>
      <w:r>
        <w:t>(a)</w:t>
      </w:r>
      <w:r>
        <w:tab/>
        <w:t>Other revenue includes the net balancing transactions.</w:t>
      </w:r>
    </w:p>
    <w:p w:rsidR="00D96826" w:rsidRPr="00D96826" w:rsidRDefault="00D96826" w:rsidP="00D96826">
      <w:pPr>
        <w:pStyle w:val="CGCTableFootnote"/>
      </w:pPr>
      <w:r>
        <w:t>(</w:t>
      </w:r>
      <w:r w:rsidRPr="00D96826">
        <w:t>b)</w:t>
      </w:r>
      <w:r w:rsidRPr="00D96826">
        <w:tab/>
      </w:r>
      <w:r>
        <w:t xml:space="preserve">Totals include the actual per capita assessment of the non-government schools SPP. </w:t>
      </w:r>
    </w:p>
    <w:p w:rsidR="00081E00" w:rsidRDefault="00597461" w:rsidP="00597461">
      <w:pPr>
        <w:pStyle w:val="CGCTableFootnote"/>
      </w:pPr>
      <w:r>
        <w:t xml:space="preserve">Source: </w:t>
      </w:r>
      <w:r w:rsidR="008A39A0">
        <w:tab/>
      </w:r>
      <w:r>
        <w:t>Commission calculation.</w:t>
      </w:r>
    </w:p>
    <w:p w:rsidR="00597461" w:rsidRPr="00081E00" w:rsidRDefault="00597461" w:rsidP="00081E00">
      <w:pPr>
        <w:tabs>
          <w:tab w:val="clear" w:pos="567"/>
          <w:tab w:val="left" w:pos="3226"/>
        </w:tabs>
      </w:pPr>
    </w:p>
    <w:p w:rsidR="00597461" w:rsidRDefault="0004120A" w:rsidP="00597461">
      <w:pPr>
        <w:pStyle w:val="Caption"/>
      </w:pPr>
      <w:bookmarkStart w:id="27" w:name="_Ref410306686"/>
      <w:r>
        <w:lastRenderedPageBreak/>
        <w:t xml:space="preserve">Table </w:t>
      </w:r>
      <w:fldSimple w:instr=" SEQ Table \* ARABIC ">
        <w:r w:rsidR="007B6A4C">
          <w:rPr>
            <w:noProof/>
          </w:rPr>
          <w:t>2</w:t>
        </w:r>
      </w:fldSimple>
      <w:bookmarkEnd w:id="27"/>
      <w:r w:rsidR="00597461">
        <w:tab/>
      </w:r>
      <w:r w:rsidR="00597461" w:rsidRPr="004952B9">
        <w:t>Assessed revenue, expenses and Commonwealth payments, 201</w:t>
      </w:r>
      <w:r w:rsidR="00597461">
        <w:t>2</w:t>
      </w:r>
      <w:r w:rsidR="00597461" w:rsidRPr="004952B9">
        <w:t>-1</w:t>
      </w:r>
      <w:r w:rsidR="00597461">
        <w:t>3</w:t>
      </w:r>
    </w:p>
    <w:tbl>
      <w:tblPr>
        <w:tblW w:w="8980" w:type="dxa"/>
        <w:tblInd w:w="93" w:type="dxa"/>
        <w:tblLook w:val="04A0" w:firstRow="1" w:lastRow="0" w:firstColumn="1" w:lastColumn="0" w:noHBand="0" w:noVBand="1"/>
      </w:tblPr>
      <w:tblGrid>
        <w:gridCol w:w="2560"/>
        <w:gridCol w:w="680"/>
        <w:gridCol w:w="680"/>
        <w:gridCol w:w="680"/>
        <w:gridCol w:w="760"/>
        <w:gridCol w:w="680"/>
        <w:gridCol w:w="680"/>
        <w:gridCol w:w="700"/>
        <w:gridCol w:w="800"/>
        <w:gridCol w:w="760"/>
      </w:tblGrid>
      <w:tr w:rsidR="0077375D" w:rsidRPr="0077375D" w:rsidTr="0077375D">
        <w:trPr>
          <w:trHeight w:val="375"/>
        </w:trPr>
        <w:tc>
          <w:tcPr>
            <w:tcW w:w="2560" w:type="dxa"/>
            <w:tcBorders>
              <w:top w:val="single" w:sz="4" w:space="0" w:color="auto"/>
              <w:left w:val="nil"/>
              <w:bottom w:val="single" w:sz="4" w:space="0" w:color="auto"/>
              <w:right w:val="nil"/>
            </w:tcBorders>
            <w:shd w:val="clear" w:color="auto" w:fill="auto"/>
            <w:noWrap/>
            <w:vAlign w:val="center"/>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 </w:t>
            </w:r>
          </w:p>
        </w:tc>
        <w:tc>
          <w:tcPr>
            <w:tcW w:w="680" w:type="dxa"/>
            <w:tcBorders>
              <w:top w:val="single" w:sz="4" w:space="0" w:color="auto"/>
              <w:left w:val="nil"/>
              <w:bottom w:val="single" w:sz="4" w:space="0" w:color="auto"/>
              <w:right w:val="nil"/>
            </w:tcBorders>
            <w:shd w:val="clear" w:color="auto" w:fill="auto"/>
            <w:noWrap/>
            <w:vAlign w:val="center"/>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NSW</w:t>
            </w:r>
          </w:p>
        </w:tc>
        <w:tc>
          <w:tcPr>
            <w:tcW w:w="680" w:type="dxa"/>
            <w:tcBorders>
              <w:top w:val="single" w:sz="4" w:space="0" w:color="auto"/>
              <w:left w:val="nil"/>
              <w:bottom w:val="single" w:sz="4" w:space="0" w:color="auto"/>
              <w:right w:val="nil"/>
            </w:tcBorders>
            <w:shd w:val="clear" w:color="auto" w:fill="auto"/>
            <w:noWrap/>
            <w:vAlign w:val="center"/>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Vic</w:t>
            </w:r>
          </w:p>
        </w:tc>
        <w:tc>
          <w:tcPr>
            <w:tcW w:w="680" w:type="dxa"/>
            <w:tcBorders>
              <w:top w:val="single" w:sz="4" w:space="0" w:color="auto"/>
              <w:left w:val="nil"/>
              <w:bottom w:val="single" w:sz="4" w:space="0" w:color="auto"/>
              <w:right w:val="nil"/>
            </w:tcBorders>
            <w:shd w:val="clear" w:color="auto" w:fill="auto"/>
            <w:noWrap/>
            <w:vAlign w:val="center"/>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Qld</w:t>
            </w:r>
          </w:p>
        </w:tc>
        <w:tc>
          <w:tcPr>
            <w:tcW w:w="760" w:type="dxa"/>
            <w:tcBorders>
              <w:top w:val="single" w:sz="4" w:space="0" w:color="auto"/>
              <w:left w:val="nil"/>
              <w:bottom w:val="single" w:sz="4" w:space="0" w:color="auto"/>
              <w:right w:val="nil"/>
            </w:tcBorders>
            <w:shd w:val="clear" w:color="auto" w:fill="auto"/>
            <w:noWrap/>
            <w:vAlign w:val="center"/>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WA</w:t>
            </w:r>
          </w:p>
        </w:tc>
        <w:tc>
          <w:tcPr>
            <w:tcW w:w="680" w:type="dxa"/>
            <w:tcBorders>
              <w:top w:val="single" w:sz="4" w:space="0" w:color="auto"/>
              <w:left w:val="nil"/>
              <w:bottom w:val="single" w:sz="4" w:space="0" w:color="auto"/>
              <w:right w:val="nil"/>
            </w:tcBorders>
            <w:shd w:val="clear" w:color="auto" w:fill="auto"/>
            <w:noWrap/>
            <w:vAlign w:val="center"/>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SA</w:t>
            </w:r>
          </w:p>
        </w:tc>
        <w:tc>
          <w:tcPr>
            <w:tcW w:w="680" w:type="dxa"/>
            <w:tcBorders>
              <w:top w:val="single" w:sz="4" w:space="0" w:color="auto"/>
              <w:left w:val="nil"/>
              <w:bottom w:val="single" w:sz="4" w:space="0" w:color="auto"/>
              <w:right w:val="nil"/>
            </w:tcBorders>
            <w:shd w:val="clear" w:color="auto" w:fill="auto"/>
            <w:noWrap/>
            <w:vAlign w:val="center"/>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proofErr w:type="spellStart"/>
            <w:r w:rsidRPr="0077375D">
              <w:rPr>
                <w:rFonts w:ascii="Calibri" w:eastAsia="Times New Roman" w:hAnsi="Calibri" w:cs="Times New Roman"/>
                <w:sz w:val="20"/>
                <w:szCs w:val="20"/>
                <w:lang w:eastAsia="en-AU"/>
              </w:rPr>
              <w:t>Tas</w:t>
            </w:r>
            <w:proofErr w:type="spellEnd"/>
          </w:p>
        </w:tc>
        <w:tc>
          <w:tcPr>
            <w:tcW w:w="700" w:type="dxa"/>
            <w:tcBorders>
              <w:top w:val="single" w:sz="4" w:space="0" w:color="auto"/>
              <w:left w:val="nil"/>
              <w:bottom w:val="single" w:sz="4" w:space="0" w:color="auto"/>
              <w:right w:val="nil"/>
            </w:tcBorders>
            <w:shd w:val="clear" w:color="auto" w:fill="auto"/>
            <w:noWrap/>
            <w:vAlign w:val="center"/>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ACT</w:t>
            </w:r>
          </w:p>
        </w:tc>
        <w:tc>
          <w:tcPr>
            <w:tcW w:w="800" w:type="dxa"/>
            <w:tcBorders>
              <w:top w:val="single" w:sz="4" w:space="0" w:color="auto"/>
              <w:left w:val="nil"/>
              <w:bottom w:val="single" w:sz="4" w:space="0" w:color="auto"/>
              <w:right w:val="nil"/>
            </w:tcBorders>
            <w:shd w:val="clear" w:color="auto" w:fill="auto"/>
            <w:noWrap/>
            <w:vAlign w:val="center"/>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NT</w:t>
            </w:r>
          </w:p>
        </w:tc>
        <w:tc>
          <w:tcPr>
            <w:tcW w:w="760" w:type="dxa"/>
            <w:tcBorders>
              <w:top w:val="single" w:sz="4" w:space="0" w:color="auto"/>
              <w:left w:val="nil"/>
              <w:bottom w:val="single" w:sz="4" w:space="0" w:color="auto"/>
              <w:right w:val="nil"/>
            </w:tcBorders>
            <w:shd w:val="clear" w:color="auto" w:fill="auto"/>
            <w:noWrap/>
            <w:vAlign w:val="center"/>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Ave</w:t>
            </w:r>
          </w:p>
        </w:tc>
      </w:tr>
      <w:tr w:rsidR="0077375D" w:rsidRPr="0077375D" w:rsidTr="0077375D">
        <w:trPr>
          <w:trHeight w:val="259"/>
        </w:trPr>
        <w:tc>
          <w:tcPr>
            <w:tcW w:w="25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$pc</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$pc</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$pc</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$pc</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$pc</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$pc</w:t>
            </w:r>
          </w:p>
        </w:tc>
        <w:tc>
          <w:tcPr>
            <w:tcW w:w="7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$pc</w:t>
            </w:r>
          </w:p>
        </w:tc>
        <w:tc>
          <w:tcPr>
            <w:tcW w:w="8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$pc</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$pc</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Assessed revenue</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p>
        </w:tc>
        <w:tc>
          <w:tcPr>
            <w:tcW w:w="8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Payroll tax</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906</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840</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873</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1 288</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701</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537</w:t>
            </w:r>
          </w:p>
        </w:tc>
        <w:tc>
          <w:tcPr>
            <w:tcW w:w="7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948</w:t>
            </w:r>
          </w:p>
        </w:tc>
        <w:tc>
          <w:tcPr>
            <w:tcW w:w="8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800</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901</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Land tax</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295</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323</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307</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399</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173</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163</w:t>
            </w:r>
          </w:p>
        </w:tc>
        <w:tc>
          <w:tcPr>
            <w:tcW w:w="7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183</w:t>
            </w:r>
          </w:p>
        </w:tc>
        <w:tc>
          <w:tcPr>
            <w:tcW w:w="8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224</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301</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Stamp duty</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742</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676</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652</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862</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448</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399</w:t>
            </w:r>
          </w:p>
        </w:tc>
        <w:tc>
          <w:tcPr>
            <w:tcW w:w="7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669</w:t>
            </w:r>
          </w:p>
        </w:tc>
        <w:tc>
          <w:tcPr>
            <w:tcW w:w="8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599</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689</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Insurance tax</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241</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203</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223</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217</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236</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178</w:t>
            </w:r>
          </w:p>
        </w:tc>
        <w:tc>
          <w:tcPr>
            <w:tcW w:w="7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192</w:t>
            </w:r>
          </w:p>
        </w:tc>
        <w:tc>
          <w:tcPr>
            <w:tcW w:w="8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195</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222</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Motor taxes</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246</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286</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290</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318</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290</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312</w:t>
            </w:r>
          </w:p>
        </w:tc>
        <w:tc>
          <w:tcPr>
            <w:tcW w:w="7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236</w:t>
            </w:r>
          </w:p>
        </w:tc>
        <w:tc>
          <w:tcPr>
            <w:tcW w:w="8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246</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277</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Mining revenue</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183</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13</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452</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2 196</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168</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83</w:t>
            </w:r>
          </w:p>
        </w:tc>
        <w:tc>
          <w:tcPr>
            <w:tcW w:w="7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0</w:t>
            </w:r>
          </w:p>
        </w:tc>
        <w:tc>
          <w:tcPr>
            <w:tcW w:w="8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413</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409</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Other revenue</w:t>
            </w:r>
          </w:p>
        </w:tc>
        <w:tc>
          <w:tcPr>
            <w:tcW w:w="680" w:type="dxa"/>
            <w:tcBorders>
              <w:top w:val="nil"/>
              <w:left w:val="nil"/>
              <w:bottom w:val="single" w:sz="4" w:space="0" w:color="auto"/>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1 723</w:t>
            </w:r>
          </w:p>
        </w:tc>
        <w:tc>
          <w:tcPr>
            <w:tcW w:w="680" w:type="dxa"/>
            <w:tcBorders>
              <w:top w:val="nil"/>
              <w:left w:val="nil"/>
              <w:bottom w:val="single" w:sz="4" w:space="0" w:color="auto"/>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1 723</w:t>
            </w:r>
          </w:p>
        </w:tc>
        <w:tc>
          <w:tcPr>
            <w:tcW w:w="680" w:type="dxa"/>
            <w:tcBorders>
              <w:top w:val="nil"/>
              <w:left w:val="nil"/>
              <w:bottom w:val="single" w:sz="4" w:space="0" w:color="auto"/>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1 723</w:t>
            </w:r>
          </w:p>
        </w:tc>
        <w:tc>
          <w:tcPr>
            <w:tcW w:w="760" w:type="dxa"/>
            <w:tcBorders>
              <w:top w:val="nil"/>
              <w:left w:val="nil"/>
              <w:bottom w:val="single" w:sz="4" w:space="0" w:color="auto"/>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1 723</w:t>
            </w:r>
          </w:p>
        </w:tc>
        <w:tc>
          <w:tcPr>
            <w:tcW w:w="680" w:type="dxa"/>
            <w:tcBorders>
              <w:top w:val="nil"/>
              <w:left w:val="nil"/>
              <w:bottom w:val="single" w:sz="4" w:space="0" w:color="auto"/>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1 723</w:t>
            </w:r>
          </w:p>
        </w:tc>
        <w:tc>
          <w:tcPr>
            <w:tcW w:w="680" w:type="dxa"/>
            <w:tcBorders>
              <w:top w:val="nil"/>
              <w:left w:val="nil"/>
              <w:bottom w:val="single" w:sz="4" w:space="0" w:color="auto"/>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1 723</w:t>
            </w:r>
          </w:p>
        </w:tc>
        <w:tc>
          <w:tcPr>
            <w:tcW w:w="700" w:type="dxa"/>
            <w:tcBorders>
              <w:top w:val="nil"/>
              <w:left w:val="nil"/>
              <w:bottom w:val="single" w:sz="4" w:space="0" w:color="auto"/>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1 723</w:t>
            </w:r>
          </w:p>
        </w:tc>
        <w:tc>
          <w:tcPr>
            <w:tcW w:w="800" w:type="dxa"/>
            <w:tcBorders>
              <w:top w:val="nil"/>
              <w:left w:val="nil"/>
              <w:bottom w:val="single" w:sz="4" w:space="0" w:color="auto"/>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1 723</w:t>
            </w:r>
          </w:p>
        </w:tc>
        <w:tc>
          <w:tcPr>
            <w:tcW w:w="760" w:type="dxa"/>
            <w:tcBorders>
              <w:top w:val="nil"/>
              <w:left w:val="nil"/>
              <w:bottom w:val="single" w:sz="4" w:space="0" w:color="auto"/>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1 723</w:t>
            </w:r>
          </w:p>
        </w:tc>
      </w:tr>
      <w:tr w:rsidR="0077375D" w:rsidRPr="0077375D" w:rsidTr="0077375D">
        <w:trPr>
          <w:trHeight w:val="315"/>
        </w:trPr>
        <w:tc>
          <w:tcPr>
            <w:tcW w:w="256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 xml:space="preserve">Total </w:t>
            </w:r>
          </w:p>
        </w:tc>
        <w:tc>
          <w:tcPr>
            <w:tcW w:w="68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4 337</w:t>
            </w:r>
          </w:p>
        </w:tc>
        <w:tc>
          <w:tcPr>
            <w:tcW w:w="68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4 064</w:t>
            </w:r>
          </w:p>
        </w:tc>
        <w:tc>
          <w:tcPr>
            <w:tcW w:w="68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4 520</w:t>
            </w:r>
          </w:p>
        </w:tc>
        <w:tc>
          <w:tcPr>
            <w:tcW w:w="76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7 005</w:t>
            </w:r>
          </w:p>
        </w:tc>
        <w:tc>
          <w:tcPr>
            <w:tcW w:w="68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3 740</w:t>
            </w:r>
          </w:p>
        </w:tc>
        <w:tc>
          <w:tcPr>
            <w:tcW w:w="68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3 396</w:t>
            </w:r>
          </w:p>
        </w:tc>
        <w:tc>
          <w:tcPr>
            <w:tcW w:w="70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3 953</w:t>
            </w:r>
          </w:p>
        </w:tc>
        <w:tc>
          <w:tcPr>
            <w:tcW w:w="80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4 199</w:t>
            </w:r>
          </w:p>
        </w:tc>
        <w:tc>
          <w:tcPr>
            <w:tcW w:w="76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4 522</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Assessed expenses</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p>
        </w:tc>
        <w:tc>
          <w:tcPr>
            <w:tcW w:w="8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Schools education</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1 873</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1 764</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2 004</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1 969</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1 936</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2 060</w:t>
            </w:r>
          </w:p>
        </w:tc>
        <w:tc>
          <w:tcPr>
            <w:tcW w:w="7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1 743</w:t>
            </w:r>
          </w:p>
        </w:tc>
        <w:tc>
          <w:tcPr>
            <w:tcW w:w="8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3 185</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1 903</w:t>
            </w:r>
          </w:p>
        </w:tc>
      </w:tr>
      <w:tr w:rsidR="0077375D" w:rsidRPr="0077375D" w:rsidTr="0077375D">
        <w:trPr>
          <w:trHeight w:val="315"/>
        </w:trPr>
        <w:tc>
          <w:tcPr>
            <w:tcW w:w="256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Post-secondary education</w:t>
            </w:r>
          </w:p>
        </w:tc>
        <w:tc>
          <w:tcPr>
            <w:tcW w:w="68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248</w:t>
            </w:r>
          </w:p>
        </w:tc>
        <w:tc>
          <w:tcPr>
            <w:tcW w:w="68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240</w:t>
            </w:r>
          </w:p>
        </w:tc>
        <w:tc>
          <w:tcPr>
            <w:tcW w:w="68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250</w:t>
            </w:r>
          </w:p>
        </w:tc>
        <w:tc>
          <w:tcPr>
            <w:tcW w:w="76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259</w:t>
            </w:r>
          </w:p>
        </w:tc>
        <w:tc>
          <w:tcPr>
            <w:tcW w:w="68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249</w:t>
            </w:r>
          </w:p>
        </w:tc>
        <w:tc>
          <w:tcPr>
            <w:tcW w:w="68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252</w:t>
            </w:r>
          </w:p>
        </w:tc>
        <w:tc>
          <w:tcPr>
            <w:tcW w:w="70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265</w:t>
            </w:r>
          </w:p>
        </w:tc>
        <w:tc>
          <w:tcPr>
            <w:tcW w:w="80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336</w:t>
            </w:r>
          </w:p>
        </w:tc>
        <w:tc>
          <w:tcPr>
            <w:tcW w:w="76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249</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Health</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2 040</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1 951</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2 121</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2 302</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2 190</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2 579</w:t>
            </w:r>
          </w:p>
        </w:tc>
        <w:tc>
          <w:tcPr>
            <w:tcW w:w="7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1 933</w:t>
            </w:r>
          </w:p>
        </w:tc>
        <w:tc>
          <w:tcPr>
            <w:tcW w:w="8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4 042</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2 105</w:t>
            </w:r>
          </w:p>
        </w:tc>
      </w:tr>
      <w:tr w:rsidR="0077375D" w:rsidRPr="0077375D" w:rsidTr="0077375D">
        <w:trPr>
          <w:trHeight w:val="315"/>
        </w:trPr>
        <w:tc>
          <w:tcPr>
            <w:tcW w:w="256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Housing</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120</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109</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129</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138</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136</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142</w:t>
            </w:r>
          </w:p>
        </w:tc>
        <w:tc>
          <w:tcPr>
            <w:tcW w:w="7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89</w:t>
            </w:r>
          </w:p>
        </w:tc>
        <w:tc>
          <w:tcPr>
            <w:tcW w:w="8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421</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125</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Welfare</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621</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553</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656</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595</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638</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754</w:t>
            </w:r>
          </w:p>
        </w:tc>
        <w:tc>
          <w:tcPr>
            <w:tcW w:w="7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432</w:t>
            </w:r>
          </w:p>
        </w:tc>
        <w:tc>
          <w:tcPr>
            <w:tcW w:w="8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1 497</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619</w:t>
            </w:r>
          </w:p>
        </w:tc>
      </w:tr>
      <w:tr w:rsidR="0077375D" w:rsidRPr="0077375D" w:rsidTr="0077375D">
        <w:trPr>
          <w:trHeight w:val="315"/>
        </w:trPr>
        <w:tc>
          <w:tcPr>
            <w:tcW w:w="256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Services to communities</w:t>
            </w:r>
          </w:p>
        </w:tc>
        <w:tc>
          <w:tcPr>
            <w:tcW w:w="68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210</w:t>
            </w:r>
          </w:p>
        </w:tc>
        <w:tc>
          <w:tcPr>
            <w:tcW w:w="68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201</w:t>
            </w:r>
          </w:p>
        </w:tc>
        <w:tc>
          <w:tcPr>
            <w:tcW w:w="68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276</w:t>
            </w:r>
          </w:p>
        </w:tc>
        <w:tc>
          <w:tcPr>
            <w:tcW w:w="76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329</w:t>
            </w:r>
          </w:p>
        </w:tc>
        <w:tc>
          <w:tcPr>
            <w:tcW w:w="68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281</w:t>
            </w:r>
          </w:p>
        </w:tc>
        <w:tc>
          <w:tcPr>
            <w:tcW w:w="68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282</w:t>
            </w:r>
          </w:p>
        </w:tc>
        <w:tc>
          <w:tcPr>
            <w:tcW w:w="70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201</w:t>
            </w:r>
          </w:p>
        </w:tc>
        <w:tc>
          <w:tcPr>
            <w:tcW w:w="80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1 654</w:t>
            </w:r>
          </w:p>
        </w:tc>
        <w:tc>
          <w:tcPr>
            <w:tcW w:w="76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256</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Justice</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685</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615</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741</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785</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697</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751</w:t>
            </w:r>
          </w:p>
        </w:tc>
        <w:tc>
          <w:tcPr>
            <w:tcW w:w="7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599</w:t>
            </w:r>
          </w:p>
        </w:tc>
        <w:tc>
          <w:tcPr>
            <w:tcW w:w="8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2 246</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707</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Roads</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257</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248</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323</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396</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340</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266</w:t>
            </w:r>
          </w:p>
        </w:tc>
        <w:tc>
          <w:tcPr>
            <w:tcW w:w="7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176</w:t>
            </w:r>
          </w:p>
        </w:tc>
        <w:tc>
          <w:tcPr>
            <w:tcW w:w="8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816</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294</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Transport</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478</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496</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402</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455</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385</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204</w:t>
            </w:r>
          </w:p>
        </w:tc>
        <w:tc>
          <w:tcPr>
            <w:tcW w:w="7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308</w:t>
            </w:r>
          </w:p>
        </w:tc>
        <w:tc>
          <w:tcPr>
            <w:tcW w:w="8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195</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446</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Services to Industry</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223</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218</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245</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298</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242</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247</w:t>
            </w:r>
          </w:p>
        </w:tc>
        <w:tc>
          <w:tcPr>
            <w:tcW w:w="7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200</w:t>
            </w:r>
          </w:p>
        </w:tc>
        <w:tc>
          <w:tcPr>
            <w:tcW w:w="8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368</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237</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Depreciation</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495</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455</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538</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620</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559</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560</w:t>
            </w:r>
          </w:p>
        </w:tc>
        <w:tc>
          <w:tcPr>
            <w:tcW w:w="7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455</w:t>
            </w:r>
          </w:p>
        </w:tc>
        <w:tc>
          <w:tcPr>
            <w:tcW w:w="8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1 554</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524</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Other expenses</w:t>
            </w:r>
          </w:p>
        </w:tc>
        <w:tc>
          <w:tcPr>
            <w:tcW w:w="680" w:type="dxa"/>
            <w:tcBorders>
              <w:top w:val="nil"/>
              <w:left w:val="nil"/>
              <w:bottom w:val="single" w:sz="4" w:space="0" w:color="auto"/>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983</w:t>
            </w:r>
          </w:p>
        </w:tc>
        <w:tc>
          <w:tcPr>
            <w:tcW w:w="680" w:type="dxa"/>
            <w:tcBorders>
              <w:top w:val="nil"/>
              <w:left w:val="nil"/>
              <w:bottom w:val="single" w:sz="4" w:space="0" w:color="auto"/>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987</w:t>
            </w:r>
          </w:p>
        </w:tc>
        <w:tc>
          <w:tcPr>
            <w:tcW w:w="680" w:type="dxa"/>
            <w:tcBorders>
              <w:top w:val="nil"/>
              <w:left w:val="nil"/>
              <w:bottom w:val="single" w:sz="4" w:space="0" w:color="auto"/>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1 095</w:t>
            </w:r>
          </w:p>
        </w:tc>
        <w:tc>
          <w:tcPr>
            <w:tcW w:w="760" w:type="dxa"/>
            <w:tcBorders>
              <w:top w:val="nil"/>
              <w:left w:val="nil"/>
              <w:bottom w:val="single" w:sz="4" w:space="0" w:color="auto"/>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1 123</w:t>
            </w:r>
          </w:p>
        </w:tc>
        <w:tc>
          <w:tcPr>
            <w:tcW w:w="680" w:type="dxa"/>
            <w:tcBorders>
              <w:top w:val="nil"/>
              <w:left w:val="nil"/>
              <w:bottom w:val="single" w:sz="4" w:space="0" w:color="auto"/>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1 048</w:t>
            </w:r>
          </w:p>
        </w:tc>
        <w:tc>
          <w:tcPr>
            <w:tcW w:w="680" w:type="dxa"/>
            <w:tcBorders>
              <w:top w:val="nil"/>
              <w:left w:val="nil"/>
              <w:bottom w:val="single" w:sz="4" w:space="0" w:color="auto"/>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1 345</w:t>
            </w:r>
          </w:p>
        </w:tc>
        <w:tc>
          <w:tcPr>
            <w:tcW w:w="700" w:type="dxa"/>
            <w:tcBorders>
              <w:top w:val="nil"/>
              <w:left w:val="nil"/>
              <w:bottom w:val="single" w:sz="4" w:space="0" w:color="auto"/>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1 691</w:t>
            </w:r>
          </w:p>
        </w:tc>
        <w:tc>
          <w:tcPr>
            <w:tcW w:w="800" w:type="dxa"/>
            <w:tcBorders>
              <w:top w:val="nil"/>
              <w:left w:val="nil"/>
              <w:bottom w:val="single" w:sz="4" w:space="0" w:color="auto"/>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2 076</w:t>
            </w:r>
          </w:p>
        </w:tc>
        <w:tc>
          <w:tcPr>
            <w:tcW w:w="760" w:type="dxa"/>
            <w:tcBorders>
              <w:top w:val="nil"/>
              <w:left w:val="nil"/>
              <w:bottom w:val="single" w:sz="4" w:space="0" w:color="auto"/>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1 058</w:t>
            </w:r>
          </w:p>
        </w:tc>
      </w:tr>
      <w:tr w:rsidR="0077375D" w:rsidRPr="0077375D" w:rsidTr="0077375D">
        <w:trPr>
          <w:trHeight w:val="315"/>
        </w:trPr>
        <w:tc>
          <w:tcPr>
            <w:tcW w:w="256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 xml:space="preserve">Total </w:t>
            </w:r>
          </w:p>
        </w:tc>
        <w:tc>
          <w:tcPr>
            <w:tcW w:w="68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8 235</w:t>
            </w:r>
          </w:p>
        </w:tc>
        <w:tc>
          <w:tcPr>
            <w:tcW w:w="68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7 839</w:t>
            </w:r>
          </w:p>
        </w:tc>
        <w:tc>
          <w:tcPr>
            <w:tcW w:w="68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8 780</w:t>
            </w:r>
          </w:p>
        </w:tc>
        <w:tc>
          <w:tcPr>
            <w:tcW w:w="76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9 268</w:t>
            </w:r>
          </w:p>
        </w:tc>
        <w:tc>
          <w:tcPr>
            <w:tcW w:w="68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8 700</w:t>
            </w:r>
          </w:p>
        </w:tc>
        <w:tc>
          <w:tcPr>
            <w:tcW w:w="68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9 444</w:t>
            </w:r>
          </w:p>
        </w:tc>
        <w:tc>
          <w:tcPr>
            <w:tcW w:w="70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8 090</w:t>
            </w:r>
          </w:p>
        </w:tc>
        <w:tc>
          <w:tcPr>
            <w:tcW w:w="80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18 389</w:t>
            </w:r>
          </w:p>
        </w:tc>
        <w:tc>
          <w:tcPr>
            <w:tcW w:w="760" w:type="dxa"/>
            <w:tcBorders>
              <w:top w:val="nil"/>
              <w:left w:val="nil"/>
              <w:bottom w:val="nil"/>
              <w:right w:val="nil"/>
            </w:tcBorders>
            <w:shd w:val="clear" w:color="auto" w:fill="auto"/>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8 523</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Investment</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529</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575</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622</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1 051</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431</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246</w:t>
            </w:r>
          </w:p>
        </w:tc>
        <w:tc>
          <w:tcPr>
            <w:tcW w:w="7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489</w:t>
            </w:r>
          </w:p>
        </w:tc>
        <w:tc>
          <w:tcPr>
            <w:tcW w:w="8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1 959</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617</w:t>
            </w:r>
          </w:p>
        </w:tc>
      </w:tr>
      <w:tr w:rsidR="0077375D" w:rsidRPr="0077375D" w:rsidTr="0077375D">
        <w:trPr>
          <w:trHeight w:val="315"/>
        </w:trPr>
        <w:tc>
          <w:tcPr>
            <w:tcW w:w="25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Net borrowing</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972</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981</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986</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1 018</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964</w:t>
            </w:r>
          </w:p>
        </w:tc>
        <w:tc>
          <w:tcPr>
            <w:tcW w:w="68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948</w:t>
            </w:r>
          </w:p>
        </w:tc>
        <w:tc>
          <w:tcPr>
            <w:tcW w:w="7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982</w:t>
            </w:r>
          </w:p>
        </w:tc>
        <w:tc>
          <w:tcPr>
            <w:tcW w:w="80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1 002</w:t>
            </w:r>
          </w:p>
        </w:tc>
        <w:tc>
          <w:tcPr>
            <w:tcW w:w="760" w:type="dxa"/>
            <w:tcBorders>
              <w:top w:val="nil"/>
              <w:left w:val="nil"/>
              <w:bottom w:val="nil"/>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981</w:t>
            </w:r>
          </w:p>
        </w:tc>
      </w:tr>
      <w:tr w:rsidR="0077375D" w:rsidRPr="0077375D" w:rsidTr="0077375D">
        <w:trPr>
          <w:trHeight w:val="315"/>
        </w:trPr>
        <w:tc>
          <w:tcPr>
            <w:tcW w:w="2560" w:type="dxa"/>
            <w:tcBorders>
              <w:top w:val="nil"/>
              <w:left w:val="nil"/>
              <w:bottom w:val="single" w:sz="4" w:space="0" w:color="auto"/>
              <w:right w:val="nil"/>
            </w:tcBorders>
            <w:shd w:val="clear" w:color="auto" w:fill="auto"/>
            <w:noWrap/>
            <w:vAlign w:val="bottom"/>
            <w:hideMark/>
          </w:tcPr>
          <w:p w:rsidR="0077375D" w:rsidRPr="0077375D" w:rsidRDefault="0077375D" w:rsidP="006D7DEA">
            <w:pPr>
              <w:keepNext/>
              <w:tabs>
                <w:tab w:val="clear" w:pos="567"/>
              </w:tabs>
              <w:spacing w:after="0" w:line="240" w:lineRule="auto"/>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Commonwealth payments</w:t>
            </w:r>
          </w:p>
        </w:tc>
        <w:tc>
          <w:tcPr>
            <w:tcW w:w="680" w:type="dxa"/>
            <w:tcBorders>
              <w:top w:val="nil"/>
              <w:left w:val="nil"/>
              <w:bottom w:val="single" w:sz="4" w:space="0" w:color="auto"/>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1 499</w:t>
            </w:r>
          </w:p>
        </w:tc>
        <w:tc>
          <w:tcPr>
            <w:tcW w:w="680" w:type="dxa"/>
            <w:tcBorders>
              <w:top w:val="nil"/>
              <w:left w:val="nil"/>
              <w:bottom w:val="single" w:sz="4" w:space="0" w:color="auto"/>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1 514</w:t>
            </w:r>
          </w:p>
        </w:tc>
        <w:tc>
          <w:tcPr>
            <w:tcW w:w="680" w:type="dxa"/>
            <w:tcBorders>
              <w:top w:val="nil"/>
              <w:left w:val="nil"/>
              <w:bottom w:val="single" w:sz="4" w:space="0" w:color="auto"/>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1 568</w:t>
            </w:r>
          </w:p>
        </w:tc>
        <w:tc>
          <w:tcPr>
            <w:tcW w:w="760" w:type="dxa"/>
            <w:tcBorders>
              <w:top w:val="nil"/>
              <w:left w:val="nil"/>
              <w:bottom w:val="single" w:sz="4" w:space="0" w:color="auto"/>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1 548</w:t>
            </w:r>
          </w:p>
        </w:tc>
        <w:tc>
          <w:tcPr>
            <w:tcW w:w="680" w:type="dxa"/>
            <w:tcBorders>
              <w:top w:val="nil"/>
              <w:left w:val="nil"/>
              <w:bottom w:val="single" w:sz="4" w:space="0" w:color="auto"/>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1 569</w:t>
            </w:r>
          </w:p>
        </w:tc>
        <w:tc>
          <w:tcPr>
            <w:tcW w:w="680" w:type="dxa"/>
            <w:tcBorders>
              <w:top w:val="nil"/>
              <w:left w:val="nil"/>
              <w:bottom w:val="single" w:sz="4" w:space="0" w:color="auto"/>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1 636</w:t>
            </w:r>
          </w:p>
        </w:tc>
        <w:tc>
          <w:tcPr>
            <w:tcW w:w="700" w:type="dxa"/>
            <w:tcBorders>
              <w:top w:val="nil"/>
              <w:left w:val="nil"/>
              <w:bottom w:val="single" w:sz="4" w:space="0" w:color="auto"/>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1 494</w:t>
            </w:r>
          </w:p>
        </w:tc>
        <w:tc>
          <w:tcPr>
            <w:tcW w:w="800" w:type="dxa"/>
            <w:tcBorders>
              <w:top w:val="nil"/>
              <w:left w:val="nil"/>
              <w:bottom w:val="single" w:sz="4" w:space="0" w:color="auto"/>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2 309</w:t>
            </w:r>
          </w:p>
        </w:tc>
        <w:tc>
          <w:tcPr>
            <w:tcW w:w="760" w:type="dxa"/>
            <w:tcBorders>
              <w:top w:val="nil"/>
              <w:left w:val="nil"/>
              <w:bottom w:val="single" w:sz="4" w:space="0" w:color="auto"/>
              <w:right w:val="nil"/>
            </w:tcBorders>
            <w:shd w:val="clear" w:color="auto" w:fill="auto"/>
            <w:noWrap/>
            <w:vAlign w:val="bottom"/>
            <w:hideMark/>
          </w:tcPr>
          <w:p w:rsidR="0077375D" w:rsidRPr="0077375D" w:rsidRDefault="0077375D" w:rsidP="006D7DEA">
            <w:pPr>
              <w:keepNext/>
              <w:tabs>
                <w:tab w:val="clear" w:pos="567"/>
              </w:tabs>
              <w:spacing w:after="0" w:line="240" w:lineRule="auto"/>
              <w:jc w:val="right"/>
              <w:rPr>
                <w:rFonts w:ascii="Calibri" w:eastAsia="Times New Roman" w:hAnsi="Calibri" w:cs="Times New Roman"/>
                <w:sz w:val="20"/>
                <w:szCs w:val="20"/>
                <w:lang w:eastAsia="en-AU"/>
              </w:rPr>
            </w:pPr>
            <w:r w:rsidRPr="0077375D">
              <w:rPr>
                <w:rFonts w:ascii="Calibri" w:eastAsia="Times New Roman" w:hAnsi="Calibri" w:cs="Times New Roman"/>
                <w:sz w:val="20"/>
                <w:szCs w:val="20"/>
                <w:lang w:eastAsia="en-AU"/>
              </w:rPr>
              <w:t>1 538</w:t>
            </w:r>
          </w:p>
        </w:tc>
      </w:tr>
    </w:tbl>
    <w:p w:rsidR="00761BEA" w:rsidRDefault="00761BEA" w:rsidP="00761BEA">
      <w:pPr>
        <w:pStyle w:val="CGCTableFootnote"/>
      </w:pPr>
      <w:r>
        <w:t>(a)</w:t>
      </w:r>
      <w:r>
        <w:tab/>
        <w:t>Other revenue includes the net balancing transactions.</w:t>
      </w:r>
    </w:p>
    <w:p w:rsidR="00D96826" w:rsidRPr="00D96826" w:rsidRDefault="00D96826" w:rsidP="00D96826">
      <w:pPr>
        <w:pStyle w:val="CGCTableFootnote"/>
      </w:pPr>
      <w:r>
        <w:t>(</w:t>
      </w:r>
      <w:r w:rsidRPr="00D96826">
        <w:t>b)</w:t>
      </w:r>
      <w:r w:rsidRPr="00D96826">
        <w:tab/>
      </w:r>
      <w:r>
        <w:t xml:space="preserve">Totals include the actual per capita assessment of the non-government schools SPP. </w:t>
      </w:r>
    </w:p>
    <w:p w:rsidR="00597461" w:rsidRDefault="00597461" w:rsidP="00597461">
      <w:pPr>
        <w:pStyle w:val="CGCTableFootnote"/>
      </w:pPr>
      <w:r>
        <w:t xml:space="preserve">Source: </w:t>
      </w:r>
      <w:r w:rsidR="00F821D7">
        <w:tab/>
      </w:r>
      <w:r>
        <w:t>Commission calculation.</w:t>
      </w:r>
    </w:p>
    <w:p w:rsidR="00597461" w:rsidRDefault="00597461" w:rsidP="00597461"/>
    <w:p w:rsidR="00597461" w:rsidRDefault="0004120A" w:rsidP="00597461">
      <w:pPr>
        <w:pStyle w:val="Caption"/>
      </w:pPr>
      <w:bookmarkStart w:id="28" w:name="_Ref410306699"/>
      <w:r>
        <w:lastRenderedPageBreak/>
        <w:t xml:space="preserve">Table </w:t>
      </w:r>
      <w:fldSimple w:instr=" SEQ Table \* ARABIC ">
        <w:r w:rsidR="007B6A4C">
          <w:rPr>
            <w:noProof/>
          </w:rPr>
          <w:t>3</w:t>
        </w:r>
      </w:fldSimple>
      <w:bookmarkEnd w:id="28"/>
      <w:r w:rsidR="00597461">
        <w:tab/>
      </w:r>
      <w:r w:rsidR="00597461" w:rsidRPr="004952B9">
        <w:t>Assessed revenue, expenses and Commonwealth payments, 201</w:t>
      </w:r>
      <w:r w:rsidR="00597461">
        <w:t>3</w:t>
      </w:r>
      <w:r w:rsidR="00597461" w:rsidRPr="004952B9">
        <w:t>-1</w:t>
      </w:r>
      <w:r w:rsidR="00597461">
        <w:t>4</w:t>
      </w:r>
    </w:p>
    <w:tbl>
      <w:tblPr>
        <w:tblW w:w="8980" w:type="dxa"/>
        <w:tblInd w:w="93" w:type="dxa"/>
        <w:tblLook w:val="04A0" w:firstRow="1" w:lastRow="0" w:firstColumn="1" w:lastColumn="0" w:noHBand="0" w:noVBand="1"/>
      </w:tblPr>
      <w:tblGrid>
        <w:gridCol w:w="2560"/>
        <w:gridCol w:w="680"/>
        <w:gridCol w:w="680"/>
        <w:gridCol w:w="680"/>
        <w:gridCol w:w="760"/>
        <w:gridCol w:w="680"/>
        <w:gridCol w:w="680"/>
        <w:gridCol w:w="700"/>
        <w:gridCol w:w="800"/>
        <w:gridCol w:w="760"/>
      </w:tblGrid>
      <w:tr w:rsidR="006D7DEA" w:rsidRPr="006D7DEA" w:rsidTr="006D7DEA">
        <w:trPr>
          <w:trHeight w:val="375"/>
        </w:trPr>
        <w:tc>
          <w:tcPr>
            <w:tcW w:w="2560" w:type="dxa"/>
            <w:tcBorders>
              <w:top w:val="single" w:sz="4" w:space="0" w:color="auto"/>
              <w:left w:val="nil"/>
              <w:bottom w:val="single" w:sz="4" w:space="0" w:color="auto"/>
              <w:right w:val="nil"/>
            </w:tcBorders>
            <w:shd w:val="clear" w:color="auto" w:fill="auto"/>
            <w:noWrap/>
            <w:vAlign w:val="center"/>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 </w:t>
            </w:r>
          </w:p>
        </w:tc>
        <w:tc>
          <w:tcPr>
            <w:tcW w:w="680" w:type="dxa"/>
            <w:tcBorders>
              <w:top w:val="single" w:sz="4" w:space="0" w:color="auto"/>
              <w:left w:val="nil"/>
              <w:bottom w:val="single" w:sz="4" w:space="0" w:color="auto"/>
              <w:right w:val="nil"/>
            </w:tcBorders>
            <w:shd w:val="clear" w:color="auto" w:fill="auto"/>
            <w:noWrap/>
            <w:vAlign w:val="center"/>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NSW</w:t>
            </w:r>
          </w:p>
        </w:tc>
        <w:tc>
          <w:tcPr>
            <w:tcW w:w="680" w:type="dxa"/>
            <w:tcBorders>
              <w:top w:val="single" w:sz="4" w:space="0" w:color="auto"/>
              <w:left w:val="nil"/>
              <w:bottom w:val="single" w:sz="4" w:space="0" w:color="auto"/>
              <w:right w:val="nil"/>
            </w:tcBorders>
            <w:shd w:val="clear" w:color="auto" w:fill="auto"/>
            <w:noWrap/>
            <w:vAlign w:val="center"/>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Vic</w:t>
            </w:r>
          </w:p>
        </w:tc>
        <w:tc>
          <w:tcPr>
            <w:tcW w:w="680" w:type="dxa"/>
            <w:tcBorders>
              <w:top w:val="single" w:sz="4" w:space="0" w:color="auto"/>
              <w:left w:val="nil"/>
              <w:bottom w:val="single" w:sz="4" w:space="0" w:color="auto"/>
              <w:right w:val="nil"/>
            </w:tcBorders>
            <w:shd w:val="clear" w:color="auto" w:fill="auto"/>
            <w:noWrap/>
            <w:vAlign w:val="center"/>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Qld</w:t>
            </w:r>
          </w:p>
        </w:tc>
        <w:tc>
          <w:tcPr>
            <w:tcW w:w="760" w:type="dxa"/>
            <w:tcBorders>
              <w:top w:val="single" w:sz="4" w:space="0" w:color="auto"/>
              <w:left w:val="nil"/>
              <w:bottom w:val="single" w:sz="4" w:space="0" w:color="auto"/>
              <w:right w:val="nil"/>
            </w:tcBorders>
            <w:shd w:val="clear" w:color="auto" w:fill="auto"/>
            <w:noWrap/>
            <w:vAlign w:val="center"/>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WA</w:t>
            </w:r>
          </w:p>
        </w:tc>
        <w:tc>
          <w:tcPr>
            <w:tcW w:w="680" w:type="dxa"/>
            <w:tcBorders>
              <w:top w:val="single" w:sz="4" w:space="0" w:color="auto"/>
              <w:left w:val="nil"/>
              <w:bottom w:val="single" w:sz="4" w:space="0" w:color="auto"/>
              <w:right w:val="nil"/>
            </w:tcBorders>
            <w:shd w:val="clear" w:color="auto" w:fill="auto"/>
            <w:noWrap/>
            <w:vAlign w:val="center"/>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SA</w:t>
            </w:r>
          </w:p>
        </w:tc>
        <w:tc>
          <w:tcPr>
            <w:tcW w:w="680" w:type="dxa"/>
            <w:tcBorders>
              <w:top w:val="single" w:sz="4" w:space="0" w:color="auto"/>
              <w:left w:val="nil"/>
              <w:bottom w:val="single" w:sz="4" w:space="0" w:color="auto"/>
              <w:right w:val="nil"/>
            </w:tcBorders>
            <w:shd w:val="clear" w:color="auto" w:fill="auto"/>
            <w:noWrap/>
            <w:vAlign w:val="center"/>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proofErr w:type="spellStart"/>
            <w:r w:rsidRPr="006D7DEA">
              <w:rPr>
                <w:rFonts w:ascii="Calibri" w:eastAsia="Times New Roman" w:hAnsi="Calibri" w:cs="Times New Roman"/>
                <w:sz w:val="20"/>
                <w:szCs w:val="20"/>
                <w:lang w:eastAsia="en-AU"/>
              </w:rPr>
              <w:t>Tas</w:t>
            </w:r>
            <w:proofErr w:type="spellEnd"/>
          </w:p>
        </w:tc>
        <w:tc>
          <w:tcPr>
            <w:tcW w:w="700" w:type="dxa"/>
            <w:tcBorders>
              <w:top w:val="single" w:sz="4" w:space="0" w:color="auto"/>
              <w:left w:val="nil"/>
              <w:bottom w:val="single" w:sz="4" w:space="0" w:color="auto"/>
              <w:right w:val="nil"/>
            </w:tcBorders>
            <w:shd w:val="clear" w:color="auto" w:fill="auto"/>
            <w:noWrap/>
            <w:vAlign w:val="center"/>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ACT</w:t>
            </w:r>
          </w:p>
        </w:tc>
        <w:tc>
          <w:tcPr>
            <w:tcW w:w="800" w:type="dxa"/>
            <w:tcBorders>
              <w:top w:val="single" w:sz="4" w:space="0" w:color="auto"/>
              <w:left w:val="nil"/>
              <w:bottom w:val="single" w:sz="4" w:space="0" w:color="auto"/>
              <w:right w:val="nil"/>
            </w:tcBorders>
            <w:shd w:val="clear" w:color="auto" w:fill="auto"/>
            <w:noWrap/>
            <w:vAlign w:val="center"/>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NT</w:t>
            </w:r>
          </w:p>
        </w:tc>
        <w:tc>
          <w:tcPr>
            <w:tcW w:w="760" w:type="dxa"/>
            <w:tcBorders>
              <w:top w:val="single" w:sz="4" w:space="0" w:color="auto"/>
              <w:left w:val="nil"/>
              <w:bottom w:val="single" w:sz="4" w:space="0" w:color="auto"/>
              <w:right w:val="nil"/>
            </w:tcBorders>
            <w:shd w:val="clear" w:color="auto" w:fill="auto"/>
            <w:noWrap/>
            <w:vAlign w:val="center"/>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Ave</w:t>
            </w:r>
          </w:p>
        </w:tc>
      </w:tr>
      <w:tr w:rsidR="006D7DEA" w:rsidRPr="006D7DEA" w:rsidTr="006D7DEA">
        <w:trPr>
          <w:trHeight w:val="300"/>
        </w:trPr>
        <w:tc>
          <w:tcPr>
            <w:tcW w:w="25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$pc</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$pc</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$pc</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$pc</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$pc</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$pc</w:t>
            </w:r>
          </w:p>
        </w:tc>
        <w:tc>
          <w:tcPr>
            <w:tcW w:w="7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$pc</w:t>
            </w:r>
          </w:p>
        </w:tc>
        <w:tc>
          <w:tcPr>
            <w:tcW w:w="8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$pc</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$pc</w:t>
            </w:r>
          </w:p>
        </w:tc>
      </w:tr>
      <w:tr w:rsidR="006D7DEA" w:rsidRPr="006D7DEA" w:rsidTr="006D7DEA">
        <w:trPr>
          <w:trHeight w:val="315"/>
        </w:trPr>
        <w:tc>
          <w:tcPr>
            <w:tcW w:w="25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Assessed revenue</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p>
        </w:tc>
        <w:tc>
          <w:tcPr>
            <w:tcW w:w="8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p>
        </w:tc>
      </w:tr>
      <w:tr w:rsidR="006D7DEA" w:rsidRPr="006D7DEA" w:rsidTr="006D7DEA">
        <w:trPr>
          <w:trHeight w:val="315"/>
        </w:trPr>
        <w:tc>
          <w:tcPr>
            <w:tcW w:w="25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Payroll tax</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941</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823</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866</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1 310</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718</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521</w:t>
            </w:r>
          </w:p>
        </w:tc>
        <w:tc>
          <w:tcPr>
            <w:tcW w:w="7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869</w:t>
            </w:r>
          </w:p>
        </w:tc>
        <w:tc>
          <w:tcPr>
            <w:tcW w:w="8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976</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911</w:t>
            </w:r>
          </w:p>
        </w:tc>
      </w:tr>
      <w:tr w:rsidR="006D7DEA" w:rsidRPr="006D7DEA" w:rsidTr="006D7DEA">
        <w:trPr>
          <w:trHeight w:val="315"/>
        </w:trPr>
        <w:tc>
          <w:tcPr>
            <w:tcW w:w="25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Land tax</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339</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366</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346</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419</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242</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200</w:t>
            </w:r>
          </w:p>
        </w:tc>
        <w:tc>
          <w:tcPr>
            <w:tcW w:w="7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213</w:t>
            </w:r>
          </w:p>
        </w:tc>
        <w:tc>
          <w:tcPr>
            <w:tcW w:w="8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258</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343</w:t>
            </w:r>
          </w:p>
        </w:tc>
      </w:tr>
      <w:tr w:rsidR="006D7DEA" w:rsidRPr="006D7DEA" w:rsidTr="006D7DEA">
        <w:trPr>
          <w:trHeight w:val="315"/>
        </w:trPr>
        <w:tc>
          <w:tcPr>
            <w:tcW w:w="25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Stamp duty</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952</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809</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746</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877</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477</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404</w:t>
            </w:r>
          </w:p>
        </w:tc>
        <w:tc>
          <w:tcPr>
            <w:tcW w:w="7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710</w:t>
            </w:r>
          </w:p>
        </w:tc>
        <w:tc>
          <w:tcPr>
            <w:tcW w:w="8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625</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813</w:t>
            </w:r>
          </w:p>
        </w:tc>
      </w:tr>
      <w:tr w:rsidR="006D7DEA" w:rsidRPr="006D7DEA" w:rsidTr="006D7DEA">
        <w:trPr>
          <w:trHeight w:val="315"/>
        </w:trPr>
        <w:tc>
          <w:tcPr>
            <w:tcW w:w="25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Insurance tax</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221</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194</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208</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199</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234</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164</w:t>
            </w:r>
          </w:p>
        </w:tc>
        <w:tc>
          <w:tcPr>
            <w:tcW w:w="7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181</w:t>
            </w:r>
          </w:p>
        </w:tc>
        <w:tc>
          <w:tcPr>
            <w:tcW w:w="8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183</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208</w:t>
            </w:r>
          </w:p>
        </w:tc>
      </w:tr>
      <w:tr w:rsidR="006D7DEA" w:rsidRPr="006D7DEA" w:rsidTr="006D7DEA">
        <w:trPr>
          <w:trHeight w:val="315"/>
        </w:trPr>
        <w:tc>
          <w:tcPr>
            <w:tcW w:w="25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Motor taxes</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254</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294</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300</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331</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301</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323</w:t>
            </w:r>
          </w:p>
        </w:tc>
        <w:tc>
          <w:tcPr>
            <w:tcW w:w="7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243</w:t>
            </w:r>
          </w:p>
        </w:tc>
        <w:tc>
          <w:tcPr>
            <w:tcW w:w="8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255</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286</w:t>
            </w:r>
          </w:p>
        </w:tc>
      </w:tr>
      <w:tr w:rsidR="006D7DEA" w:rsidRPr="006D7DEA" w:rsidTr="006D7DEA">
        <w:trPr>
          <w:trHeight w:val="315"/>
        </w:trPr>
        <w:tc>
          <w:tcPr>
            <w:tcW w:w="25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Mining revenue</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191</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14</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473</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2 787</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223</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105</w:t>
            </w:r>
          </w:p>
        </w:tc>
        <w:tc>
          <w:tcPr>
            <w:tcW w:w="7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0</w:t>
            </w:r>
          </w:p>
        </w:tc>
        <w:tc>
          <w:tcPr>
            <w:tcW w:w="8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691</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490</w:t>
            </w:r>
          </w:p>
        </w:tc>
      </w:tr>
      <w:tr w:rsidR="006D7DEA" w:rsidRPr="006D7DEA" w:rsidTr="006D7DEA">
        <w:trPr>
          <w:trHeight w:val="315"/>
        </w:trPr>
        <w:tc>
          <w:tcPr>
            <w:tcW w:w="25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Other revenue</w:t>
            </w:r>
          </w:p>
        </w:tc>
        <w:tc>
          <w:tcPr>
            <w:tcW w:w="680" w:type="dxa"/>
            <w:tcBorders>
              <w:top w:val="nil"/>
              <w:left w:val="nil"/>
              <w:bottom w:val="single" w:sz="4" w:space="0" w:color="auto"/>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2 029</w:t>
            </w:r>
          </w:p>
        </w:tc>
        <w:tc>
          <w:tcPr>
            <w:tcW w:w="680" w:type="dxa"/>
            <w:tcBorders>
              <w:top w:val="nil"/>
              <w:left w:val="nil"/>
              <w:bottom w:val="single" w:sz="4" w:space="0" w:color="auto"/>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2 029</w:t>
            </w:r>
          </w:p>
        </w:tc>
        <w:tc>
          <w:tcPr>
            <w:tcW w:w="680" w:type="dxa"/>
            <w:tcBorders>
              <w:top w:val="nil"/>
              <w:left w:val="nil"/>
              <w:bottom w:val="single" w:sz="4" w:space="0" w:color="auto"/>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2 029</w:t>
            </w:r>
          </w:p>
        </w:tc>
        <w:tc>
          <w:tcPr>
            <w:tcW w:w="760" w:type="dxa"/>
            <w:tcBorders>
              <w:top w:val="nil"/>
              <w:left w:val="nil"/>
              <w:bottom w:val="single" w:sz="4" w:space="0" w:color="auto"/>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2 029</w:t>
            </w:r>
          </w:p>
        </w:tc>
        <w:tc>
          <w:tcPr>
            <w:tcW w:w="680" w:type="dxa"/>
            <w:tcBorders>
              <w:top w:val="nil"/>
              <w:left w:val="nil"/>
              <w:bottom w:val="single" w:sz="4" w:space="0" w:color="auto"/>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2 029</w:t>
            </w:r>
          </w:p>
        </w:tc>
        <w:tc>
          <w:tcPr>
            <w:tcW w:w="680" w:type="dxa"/>
            <w:tcBorders>
              <w:top w:val="nil"/>
              <w:left w:val="nil"/>
              <w:bottom w:val="single" w:sz="4" w:space="0" w:color="auto"/>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2 029</w:t>
            </w:r>
          </w:p>
        </w:tc>
        <w:tc>
          <w:tcPr>
            <w:tcW w:w="700" w:type="dxa"/>
            <w:tcBorders>
              <w:top w:val="nil"/>
              <w:left w:val="nil"/>
              <w:bottom w:val="single" w:sz="4" w:space="0" w:color="auto"/>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2 029</w:t>
            </w:r>
          </w:p>
        </w:tc>
        <w:tc>
          <w:tcPr>
            <w:tcW w:w="800" w:type="dxa"/>
            <w:tcBorders>
              <w:top w:val="nil"/>
              <w:left w:val="nil"/>
              <w:bottom w:val="single" w:sz="4" w:space="0" w:color="auto"/>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2 029</w:t>
            </w:r>
          </w:p>
        </w:tc>
        <w:tc>
          <w:tcPr>
            <w:tcW w:w="760" w:type="dxa"/>
            <w:tcBorders>
              <w:top w:val="nil"/>
              <w:left w:val="nil"/>
              <w:bottom w:val="single" w:sz="4" w:space="0" w:color="auto"/>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2 029</w:t>
            </w:r>
          </w:p>
        </w:tc>
      </w:tr>
      <w:tr w:rsidR="006D7DEA" w:rsidRPr="006D7DEA" w:rsidTr="006D7DEA">
        <w:trPr>
          <w:trHeight w:val="315"/>
        </w:trPr>
        <w:tc>
          <w:tcPr>
            <w:tcW w:w="256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 xml:space="preserve">Total </w:t>
            </w:r>
          </w:p>
        </w:tc>
        <w:tc>
          <w:tcPr>
            <w:tcW w:w="68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4 928</w:t>
            </w:r>
          </w:p>
        </w:tc>
        <w:tc>
          <w:tcPr>
            <w:tcW w:w="68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4 528</w:t>
            </w:r>
          </w:p>
        </w:tc>
        <w:tc>
          <w:tcPr>
            <w:tcW w:w="68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4 967</w:t>
            </w:r>
          </w:p>
        </w:tc>
        <w:tc>
          <w:tcPr>
            <w:tcW w:w="76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7 953</w:t>
            </w:r>
          </w:p>
        </w:tc>
        <w:tc>
          <w:tcPr>
            <w:tcW w:w="68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4 224</w:t>
            </w:r>
          </w:p>
        </w:tc>
        <w:tc>
          <w:tcPr>
            <w:tcW w:w="68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3 746</w:t>
            </w:r>
          </w:p>
        </w:tc>
        <w:tc>
          <w:tcPr>
            <w:tcW w:w="70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4 245</w:t>
            </w:r>
          </w:p>
        </w:tc>
        <w:tc>
          <w:tcPr>
            <w:tcW w:w="80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5 018</w:t>
            </w:r>
          </w:p>
        </w:tc>
        <w:tc>
          <w:tcPr>
            <w:tcW w:w="76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5 080</w:t>
            </w:r>
          </w:p>
        </w:tc>
      </w:tr>
      <w:tr w:rsidR="006D7DEA" w:rsidRPr="006D7DEA" w:rsidTr="006D7DEA">
        <w:trPr>
          <w:trHeight w:val="315"/>
        </w:trPr>
        <w:tc>
          <w:tcPr>
            <w:tcW w:w="25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Assessed expenses</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p>
        </w:tc>
        <w:tc>
          <w:tcPr>
            <w:tcW w:w="8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p>
        </w:tc>
      </w:tr>
      <w:tr w:rsidR="006D7DEA" w:rsidRPr="006D7DEA" w:rsidTr="006D7DEA">
        <w:trPr>
          <w:trHeight w:val="315"/>
        </w:trPr>
        <w:tc>
          <w:tcPr>
            <w:tcW w:w="25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Schools education</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1 925</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1 816</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2 066</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2 031</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1 992</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2 092</w:t>
            </w:r>
          </w:p>
        </w:tc>
        <w:tc>
          <w:tcPr>
            <w:tcW w:w="7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1 821</w:t>
            </w:r>
          </w:p>
        </w:tc>
        <w:tc>
          <w:tcPr>
            <w:tcW w:w="8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3 304</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1 959</w:t>
            </w:r>
          </w:p>
        </w:tc>
      </w:tr>
      <w:tr w:rsidR="006D7DEA" w:rsidRPr="006D7DEA" w:rsidTr="006D7DEA">
        <w:trPr>
          <w:trHeight w:val="315"/>
        </w:trPr>
        <w:tc>
          <w:tcPr>
            <w:tcW w:w="256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Post-secondary education</w:t>
            </w:r>
          </w:p>
        </w:tc>
        <w:tc>
          <w:tcPr>
            <w:tcW w:w="68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245</w:t>
            </w:r>
          </w:p>
        </w:tc>
        <w:tc>
          <w:tcPr>
            <w:tcW w:w="68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238</w:t>
            </w:r>
          </w:p>
        </w:tc>
        <w:tc>
          <w:tcPr>
            <w:tcW w:w="68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246</w:t>
            </w:r>
          </w:p>
        </w:tc>
        <w:tc>
          <w:tcPr>
            <w:tcW w:w="76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254</w:t>
            </w:r>
          </w:p>
        </w:tc>
        <w:tc>
          <w:tcPr>
            <w:tcW w:w="68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247</w:t>
            </w:r>
          </w:p>
        </w:tc>
        <w:tc>
          <w:tcPr>
            <w:tcW w:w="68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250</w:t>
            </w:r>
          </w:p>
        </w:tc>
        <w:tc>
          <w:tcPr>
            <w:tcW w:w="70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263</w:t>
            </w:r>
          </w:p>
        </w:tc>
        <w:tc>
          <w:tcPr>
            <w:tcW w:w="80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321</w:t>
            </w:r>
          </w:p>
        </w:tc>
        <w:tc>
          <w:tcPr>
            <w:tcW w:w="76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246</w:t>
            </w:r>
          </w:p>
        </w:tc>
      </w:tr>
      <w:tr w:rsidR="006D7DEA" w:rsidRPr="006D7DEA" w:rsidTr="006D7DEA">
        <w:trPr>
          <w:trHeight w:val="315"/>
        </w:trPr>
        <w:tc>
          <w:tcPr>
            <w:tcW w:w="25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Health</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2 111</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2 021</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2 175</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2 341</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2 275</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2 645</w:t>
            </w:r>
          </w:p>
        </w:tc>
        <w:tc>
          <w:tcPr>
            <w:tcW w:w="7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2 017</w:t>
            </w:r>
          </w:p>
        </w:tc>
        <w:tc>
          <w:tcPr>
            <w:tcW w:w="8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3 828</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2 167</w:t>
            </w:r>
          </w:p>
        </w:tc>
      </w:tr>
      <w:tr w:rsidR="006D7DEA" w:rsidRPr="006D7DEA" w:rsidTr="006D7DEA">
        <w:trPr>
          <w:trHeight w:val="315"/>
        </w:trPr>
        <w:tc>
          <w:tcPr>
            <w:tcW w:w="256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Housing</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130</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117</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140</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149</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150</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154</w:t>
            </w:r>
          </w:p>
        </w:tc>
        <w:tc>
          <w:tcPr>
            <w:tcW w:w="7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93</w:t>
            </w:r>
          </w:p>
        </w:tc>
        <w:tc>
          <w:tcPr>
            <w:tcW w:w="8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467</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136</w:t>
            </w:r>
          </w:p>
        </w:tc>
      </w:tr>
      <w:tr w:rsidR="006D7DEA" w:rsidRPr="006D7DEA" w:rsidTr="006D7DEA">
        <w:trPr>
          <w:trHeight w:val="315"/>
        </w:trPr>
        <w:tc>
          <w:tcPr>
            <w:tcW w:w="25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Welfare</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658</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583</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696</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628</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676</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801</w:t>
            </w:r>
          </w:p>
        </w:tc>
        <w:tc>
          <w:tcPr>
            <w:tcW w:w="7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451</w:t>
            </w:r>
          </w:p>
        </w:tc>
        <w:tc>
          <w:tcPr>
            <w:tcW w:w="8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1 605</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655</w:t>
            </w:r>
          </w:p>
        </w:tc>
      </w:tr>
      <w:tr w:rsidR="006D7DEA" w:rsidRPr="006D7DEA" w:rsidTr="006D7DEA">
        <w:trPr>
          <w:trHeight w:val="315"/>
        </w:trPr>
        <w:tc>
          <w:tcPr>
            <w:tcW w:w="256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Services to communities</w:t>
            </w:r>
          </w:p>
        </w:tc>
        <w:tc>
          <w:tcPr>
            <w:tcW w:w="68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220</w:t>
            </w:r>
          </w:p>
        </w:tc>
        <w:tc>
          <w:tcPr>
            <w:tcW w:w="68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211</w:t>
            </w:r>
          </w:p>
        </w:tc>
        <w:tc>
          <w:tcPr>
            <w:tcW w:w="68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290</w:t>
            </w:r>
          </w:p>
        </w:tc>
        <w:tc>
          <w:tcPr>
            <w:tcW w:w="76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347</w:t>
            </w:r>
          </w:p>
        </w:tc>
        <w:tc>
          <w:tcPr>
            <w:tcW w:w="68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298</w:t>
            </w:r>
          </w:p>
        </w:tc>
        <w:tc>
          <w:tcPr>
            <w:tcW w:w="68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298</w:t>
            </w:r>
          </w:p>
        </w:tc>
        <w:tc>
          <w:tcPr>
            <w:tcW w:w="70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210</w:t>
            </w:r>
          </w:p>
        </w:tc>
        <w:tc>
          <w:tcPr>
            <w:tcW w:w="80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1 704</w:t>
            </w:r>
          </w:p>
        </w:tc>
        <w:tc>
          <w:tcPr>
            <w:tcW w:w="76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268</w:t>
            </w:r>
          </w:p>
        </w:tc>
      </w:tr>
      <w:tr w:rsidR="006D7DEA" w:rsidRPr="006D7DEA" w:rsidTr="006D7DEA">
        <w:trPr>
          <w:trHeight w:val="315"/>
        </w:trPr>
        <w:tc>
          <w:tcPr>
            <w:tcW w:w="25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Justice</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711</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638</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770</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815</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727</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777</w:t>
            </w:r>
          </w:p>
        </w:tc>
        <w:tc>
          <w:tcPr>
            <w:tcW w:w="7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620</w:t>
            </w:r>
          </w:p>
        </w:tc>
        <w:tc>
          <w:tcPr>
            <w:tcW w:w="8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2 323</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734</w:t>
            </w:r>
          </w:p>
        </w:tc>
      </w:tr>
      <w:tr w:rsidR="006D7DEA" w:rsidRPr="006D7DEA" w:rsidTr="006D7DEA">
        <w:trPr>
          <w:trHeight w:val="315"/>
        </w:trPr>
        <w:tc>
          <w:tcPr>
            <w:tcW w:w="25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Roads</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266</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257</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327</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392</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343</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273</w:t>
            </w:r>
          </w:p>
        </w:tc>
        <w:tc>
          <w:tcPr>
            <w:tcW w:w="7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183</w:t>
            </w:r>
          </w:p>
        </w:tc>
        <w:tc>
          <w:tcPr>
            <w:tcW w:w="8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780</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300</w:t>
            </w:r>
          </w:p>
        </w:tc>
      </w:tr>
      <w:tr w:rsidR="006D7DEA" w:rsidRPr="006D7DEA" w:rsidTr="006D7DEA">
        <w:trPr>
          <w:trHeight w:val="315"/>
        </w:trPr>
        <w:tc>
          <w:tcPr>
            <w:tcW w:w="25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Transport</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512</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539</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422</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494</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416</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198</w:t>
            </w:r>
          </w:p>
        </w:tc>
        <w:tc>
          <w:tcPr>
            <w:tcW w:w="7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341</w:t>
            </w:r>
          </w:p>
        </w:tc>
        <w:tc>
          <w:tcPr>
            <w:tcW w:w="8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186</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479</w:t>
            </w:r>
          </w:p>
        </w:tc>
      </w:tr>
      <w:tr w:rsidR="006D7DEA" w:rsidRPr="006D7DEA" w:rsidTr="006D7DEA">
        <w:trPr>
          <w:trHeight w:val="315"/>
        </w:trPr>
        <w:tc>
          <w:tcPr>
            <w:tcW w:w="25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Services to industry</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236</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237</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259</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323</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263</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266</w:t>
            </w:r>
          </w:p>
        </w:tc>
        <w:tc>
          <w:tcPr>
            <w:tcW w:w="7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213</w:t>
            </w:r>
          </w:p>
        </w:tc>
        <w:tc>
          <w:tcPr>
            <w:tcW w:w="8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394</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254</w:t>
            </w:r>
          </w:p>
        </w:tc>
      </w:tr>
      <w:tr w:rsidR="006D7DEA" w:rsidRPr="006D7DEA" w:rsidTr="006D7DEA">
        <w:trPr>
          <w:trHeight w:val="315"/>
        </w:trPr>
        <w:tc>
          <w:tcPr>
            <w:tcW w:w="25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Depreciation</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512</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470</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560</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644</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582</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580</w:t>
            </w:r>
          </w:p>
        </w:tc>
        <w:tc>
          <w:tcPr>
            <w:tcW w:w="7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466</w:t>
            </w:r>
          </w:p>
        </w:tc>
        <w:tc>
          <w:tcPr>
            <w:tcW w:w="8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1 616</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543</w:t>
            </w:r>
          </w:p>
        </w:tc>
      </w:tr>
      <w:tr w:rsidR="006D7DEA" w:rsidRPr="006D7DEA" w:rsidTr="006D7DEA">
        <w:trPr>
          <w:trHeight w:val="315"/>
        </w:trPr>
        <w:tc>
          <w:tcPr>
            <w:tcW w:w="25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Other expenses</w:t>
            </w:r>
          </w:p>
        </w:tc>
        <w:tc>
          <w:tcPr>
            <w:tcW w:w="680" w:type="dxa"/>
            <w:tcBorders>
              <w:top w:val="nil"/>
              <w:left w:val="nil"/>
              <w:bottom w:val="single" w:sz="4" w:space="0" w:color="auto"/>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1 016</w:t>
            </w:r>
          </w:p>
        </w:tc>
        <w:tc>
          <w:tcPr>
            <w:tcW w:w="680" w:type="dxa"/>
            <w:tcBorders>
              <w:top w:val="nil"/>
              <w:left w:val="nil"/>
              <w:bottom w:val="single" w:sz="4" w:space="0" w:color="auto"/>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984</w:t>
            </w:r>
          </w:p>
        </w:tc>
        <w:tc>
          <w:tcPr>
            <w:tcW w:w="680" w:type="dxa"/>
            <w:tcBorders>
              <w:top w:val="nil"/>
              <w:left w:val="nil"/>
              <w:bottom w:val="single" w:sz="4" w:space="0" w:color="auto"/>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1 432</w:t>
            </w:r>
          </w:p>
        </w:tc>
        <w:tc>
          <w:tcPr>
            <w:tcW w:w="760" w:type="dxa"/>
            <w:tcBorders>
              <w:top w:val="nil"/>
              <w:left w:val="nil"/>
              <w:bottom w:val="single" w:sz="4" w:space="0" w:color="auto"/>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1 226</w:t>
            </w:r>
          </w:p>
        </w:tc>
        <w:tc>
          <w:tcPr>
            <w:tcW w:w="680" w:type="dxa"/>
            <w:tcBorders>
              <w:top w:val="nil"/>
              <w:left w:val="nil"/>
              <w:bottom w:val="single" w:sz="4" w:space="0" w:color="auto"/>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1 166</w:t>
            </w:r>
          </w:p>
        </w:tc>
        <w:tc>
          <w:tcPr>
            <w:tcW w:w="680" w:type="dxa"/>
            <w:tcBorders>
              <w:top w:val="nil"/>
              <w:left w:val="nil"/>
              <w:bottom w:val="single" w:sz="4" w:space="0" w:color="auto"/>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1 403</w:t>
            </w:r>
          </w:p>
        </w:tc>
        <w:tc>
          <w:tcPr>
            <w:tcW w:w="700" w:type="dxa"/>
            <w:tcBorders>
              <w:top w:val="nil"/>
              <w:left w:val="nil"/>
              <w:bottom w:val="single" w:sz="4" w:space="0" w:color="auto"/>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1 798</w:t>
            </w:r>
          </w:p>
        </w:tc>
        <w:tc>
          <w:tcPr>
            <w:tcW w:w="800" w:type="dxa"/>
            <w:tcBorders>
              <w:top w:val="nil"/>
              <w:left w:val="nil"/>
              <w:bottom w:val="single" w:sz="4" w:space="0" w:color="auto"/>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2 144</w:t>
            </w:r>
          </w:p>
        </w:tc>
        <w:tc>
          <w:tcPr>
            <w:tcW w:w="760" w:type="dxa"/>
            <w:tcBorders>
              <w:top w:val="nil"/>
              <w:left w:val="nil"/>
              <w:bottom w:val="single" w:sz="4" w:space="0" w:color="auto"/>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1 159</w:t>
            </w:r>
          </w:p>
        </w:tc>
      </w:tr>
      <w:tr w:rsidR="006D7DEA" w:rsidRPr="006D7DEA" w:rsidTr="006D7DEA">
        <w:trPr>
          <w:trHeight w:val="315"/>
        </w:trPr>
        <w:tc>
          <w:tcPr>
            <w:tcW w:w="256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 xml:space="preserve">Total </w:t>
            </w:r>
          </w:p>
        </w:tc>
        <w:tc>
          <w:tcPr>
            <w:tcW w:w="68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8 541</w:t>
            </w:r>
          </w:p>
        </w:tc>
        <w:tc>
          <w:tcPr>
            <w:tcW w:w="68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8 113</w:t>
            </w:r>
          </w:p>
        </w:tc>
        <w:tc>
          <w:tcPr>
            <w:tcW w:w="68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9 383</w:t>
            </w:r>
          </w:p>
        </w:tc>
        <w:tc>
          <w:tcPr>
            <w:tcW w:w="76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9 644</w:t>
            </w:r>
          </w:p>
        </w:tc>
        <w:tc>
          <w:tcPr>
            <w:tcW w:w="68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9 136</w:t>
            </w:r>
          </w:p>
        </w:tc>
        <w:tc>
          <w:tcPr>
            <w:tcW w:w="68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9 736</w:t>
            </w:r>
          </w:p>
        </w:tc>
        <w:tc>
          <w:tcPr>
            <w:tcW w:w="70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8 475</w:t>
            </w:r>
          </w:p>
        </w:tc>
        <w:tc>
          <w:tcPr>
            <w:tcW w:w="80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18 671</w:t>
            </w:r>
          </w:p>
        </w:tc>
        <w:tc>
          <w:tcPr>
            <w:tcW w:w="760" w:type="dxa"/>
            <w:tcBorders>
              <w:top w:val="nil"/>
              <w:left w:val="nil"/>
              <w:bottom w:val="nil"/>
              <w:right w:val="nil"/>
            </w:tcBorders>
            <w:shd w:val="clear" w:color="auto" w:fill="auto"/>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8 899</w:t>
            </w:r>
          </w:p>
        </w:tc>
      </w:tr>
      <w:tr w:rsidR="006D7DEA" w:rsidRPr="006D7DEA" w:rsidTr="006D7DEA">
        <w:trPr>
          <w:trHeight w:val="315"/>
        </w:trPr>
        <w:tc>
          <w:tcPr>
            <w:tcW w:w="25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Investment</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487</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554</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484</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745</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335</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160</w:t>
            </w:r>
          </w:p>
        </w:tc>
        <w:tc>
          <w:tcPr>
            <w:tcW w:w="7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364</w:t>
            </w:r>
          </w:p>
        </w:tc>
        <w:tc>
          <w:tcPr>
            <w:tcW w:w="8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735</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514</w:t>
            </w:r>
          </w:p>
        </w:tc>
      </w:tr>
      <w:tr w:rsidR="006D7DEA" w:rsidRPr="006D7DEA" w:rsidTr="006D7DEA">
        <w:trPr>
          <w:trHeight w:val="315"/>
        </w:trPr>
        <w:tc>
          <w:tcPr>
            <w:tcW w:w="25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Net borrowing</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481</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493</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488</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520</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464</w:t>
            </w:r>
          </w:p>
        </w:tc>
        <w:tc>
          <w:tcPr>
            <w:tcW w:w="68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445</w:t>
            </w:r>
          </w:p>
        </w:tc>
        <w:tc>
          <w:tcPr>
            <w:tcW w:w="7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484</w:t>
            </w:r>
          </w:p>
        </w:tc>
        <w:tc>
          <w:tcPr>
            <w:tcW w:w="80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493</w:t>
            </w:r>
          </w:p>
        </w:tc>
        <w:tc>
          <w:tcPr>
            <w:tcW w:w="760" w:type="dxa"/>
            <w:tcBorders>
              <w:top w:val="nil"/>
              <w:left w:val="nil"/>
              <w:bottom w:val="nil"/>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488</w:t>
            </w:r>
          </w:p>
        </w:tc>
      </w:tr>
      <w:tr w:rsidR="006D7DEA" w:rsidRPr="006D7DEA" w:rsidTr="006D7DEA">
        <w:trPr>
          <w:trHeight w:val="315"/>
        </w:trPr>
        <w:tc>
          <w:tcPr>
            <w:tcW w:w="2560" w:type="dxa"/>
            <w:tcBorders>
              <w:top w:val="nil"/>
              <w:left w:val="nil"/>
              <w:bottom w:val="single" w:sz="4" w:space="0" w:color="auto"/>
              <w:right w:val="nil"/>
            </w:tcBorders>
            <w:shd w:val="clear" w:color="auto" w:fill="auto"/>
            <w:noWrap/>
            <w:vAlign w:val="bottom"/>
            <w:hideMark/>
          </w:tcPr>
          <w:p w:rsidR="006D7DEA" w:rsidRPr="006D7DEA" w:rsidRDefault="006D7DEA" w:rsidP="004A7CD0">
            <w:pPr>
              <w:keepNext/>
              <w:tabs>
                <w:tab w:val="clear" w:pos="567"/>
              </w:tabs>
              <w:spacing w:after="0" w:line="240" w:lineRule="auto"/>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Commonwealth payments</w:t>
            </w:r>
          </w:p>
        </w:tc>
        <w:tc>
          <w:tcPr>
            <w:tcW w:w="680" w:type="dxa"/>
            <w:tcBorders>
              <w:top w:val="nil"/>
              <w:left w:val="nil"/>
              <w:bottom w:val="single" w:sz="4" w:space="0" w:color="auto"/>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1 591</w:t>
            </w:r>
          </w:p>
        </w:tc>
        <w:tc>
          <w:tcPr>
            <w:tcW w:w="680" w:type="dxa"/>
            <w:tcBorders>
              <w:top w:val="nil"/>
              <w:left w:val="nil"/>
              <w:bottom w:val="single" w:sz="4" w:space="0" w:color="auto"/>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1 753</w:t>
            </w:r>
          </w:p>
        </w:tc>
        <w:tc>
          <w:tcPr>
            <w:tcW w:w="680" w:type="dxa"/>
            <w:tcBorders>
              <w:top w:val="nil"/>
              <w:left w:val="nil"/>
              <w:bottom w:val="single" w:sz="4" w:space="0" w:color="auto"/>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1 627</w:t>
            </w:r>
          </w:p>
        </w:tc>
        <w:tc>
          <w:tcPr>
            <w:tcW w:w="760" w:type="dxa"/>
            <w:tcBorders>
              <w:top w:val="nil"/>
              <w:left w:val="nil"/>
              <w:bottom w:val="single" w:sz="4" w:space="0" w:color="auto"/>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1 579</w:t>
            </w:r>
          </w:p>
        </w:tc>
        <w:tc>
          <w:tcPr>
            <w:tcW w:w="680" w:type="dxa"/>
            <w:tcBorders>
              <w:top w:val="nil"/>
              <w:left w:val="nil"/>
              <w:bottom w:val="single" w:sz="4" w:space="0" w:color="auto"/>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1 577</w:t>
            </w:r>
          </w:p>
        </w:tc>
        <w:tc>
          <w:tcPr>
            <w:tcW w:w="680" w:type="dxa"/>
            <w:tcBorders>
              <w:top w:val="nil"/>
              <w:left w:val="nil"/>
              <w:bottom w:val="single" w:sz="4" w:space="0" w:color="auto"/>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1 680</w:t>
            </w:r>
          </w:p>
        </w:tc>
        <w:tc>
          <w:tcPr>
            <w:tcW w:w="700" w:type="dxa"/>
            <w:tcBorders>
              <w:top w:val="nil"/>
              <w:left w:val="nil"/>
              <w:bottom w:val="single" w:sz="4" w:space="0" w:color="auto"/>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1 664</w:t>
            </w:r>
          </w:p>
        </w:tc>
        <w:tc>
          <w:tcPr>
            <w:tcW w:w="800" w:type="dxa"/>
            <w:tcBorders>
              <w:top w:val="nil"/>
              <w:left w:val="nil"/>
              <w:bottom w:val="single" w:sz="4" w:space="0" w:color="auto"/>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2 837</w:t>
            </w:r>
          </w:p>
        </w:tc>
        <w:tc>
          <w:tcPr>
            <w:tcW w:w="760" w:type="dxa"/>
            <w:tcBorders>
              <w:top w:val="nil"/>
              <w:left w:val="nil"/>
              <w:bottom w:val="single" w:sz="4" w:space="0" w:color="auto"/>
              <w:right w:val="nil"/>
            </w:tcBorders>
            <w:shd w:val="clear" w:color="auto" w:fill="auto"/>
            <w:noWrap/>
            <w:vAlign w:val="bottom"/>
            <w:hideMark/>
          </w:tcPr>
          <w:p w:rsidR="006D7DEA" w:rsidRPr="006D7DEA" w:rsidRDefault="006D7DEA" w:rsidP="004A7CD0">
            <w:pPr>
              <w:keepNext/>
              <w:tabs>
                <w:tab w:val="clear" w:pos="567"/>
              </w:tabs>
              <w:spacing w:after="0" w:line="240" w:lineRule="auto"/>
              <w:jc w:val="right"/>
              <w:rPr>
                <w:rFonts w:ascii="Calibri" w:eastAsia="Times New Roman" w:hAnsi="Calibri" w:cs="Times New Roman"/>
                <w:sz w:val="20"/>
                <w:szCs w:val="20"/>
                <w:lang w:eastAsia="en-AU"/>
              </w:rPr>
            </w:pPr>
            <w:r w:rsidRPr="006D7DEA">
              <w:rPr>
                <w:rFonts w:ascii="Calibri" w:eastAsia="Times New Roman" w:hAnsi="Calibri" w:cs="Times New Roman"/>
                <w:sz w:val="20"/>
                <w:szCs w:val="20"/>
                <w:lang w:eastAsia="en-AU"/>
              </w:rPr>
              <w:t>1 652</w:t>
            </w:r>
          </w:p>
        </w:tc>
      </w:tr>
    </w:tbl>
    <w:p w:rsidR="00761BEA" w:rsidRDefault="00761BEA" w:rsidP="00761BEA">
      <w:pPr>
        <w:pStyle w:val="CGCTableFootnote"/>
      </w:pPr>
      <w:r>
        <w:t>(a)</w:t>
      </w:r>
      <w:r>
        <w:tab/>
        <w:t>Other revenue includes the net balancing transactions.</w:t>
      </w:r>
    </w:p>
    <w:p w:rsidR="00D96826" w:rsidRPr="00D96826" w:rsidRDefault="00D96826" w:rsidP="00D96826">
      <w:pPr>
        <w:pStyle w:val="CGCTableFootnote"/>
      </w:pPr>
      <w:r>
        <w:t>(</w:t>
      </w:r>
      <w:r w:rsidRPr="00D96826">
        <w:t>b)</w:t>
      </w:r>
      <w:r w:rsidRPr="00D96826">
        <w:tab/>
      </w:r>
      <w:r>
        <w:t xml:space="preserve">Totals include the actual per capita assessment of the non-government schools SPP. </w:t>
      </w:r>
    </w:p>
    <w:p w:rsidR="00597461" w:rsidRDefault="00597461" w:rsidP="00597461">
      <w:pPr>
        <w:pStyle w:val="CGCTableFootnote"/>
      </w:pPr>
      <w:r>
        <w:t xml:space="preserve">Source: </w:t>
      </w:r>
      <w:r w:rsidR="008A39A0">
        <w:tab/>
      </w:r>
      <w:r>
        <w:t>Commission calculation.</w:t>
      </w:r>
    </w:p>
    <w:p w:rsidR="00597461" w:rsidRPr="004952B9" w:rsidRDefault="00597461" w:rsidP="00597461"/>
    <w:p w:rsidR="00597461" w:rsidRDefault="00597461" w:rsidP="00597461">
      <w:pPr>
        <w:pStyle w:val="Heading1"/>
        <w:sectPr w:rsidR="00597461" w:rsidSect="00D22403">
          <w:headerReference w:type="default" r:id="rId25"/>
          <w:footerReference w:type="default" r:id="rId26"/>
          <w:headerReference w:type="first" r:id="rId27"/>
          <w:footerReference w:type="first" r:id="rId28"/>
          <w:footnotePr>
            <w:numRestart w:val="eachSect"/>
          </w:footnotePr>
          <w:pgSz w:w="11906" w:h="16838" w:code="9"/>
          <w:pgMar w:top="1701" w:right="1474" w:bottom="1701" w:left="1474" w:header="709" w:footer="709" w:gutter="0"/>
          <w:cols w:space="708"/>
          <w:titlePg/>
          <w:docGrid w:linePitch="360"/>
        </w:sectPr>
      </w:pPr>
    </w:p>
    <w:p w:rsidR="005A580C" w:rsidRDefault="004A16B8" w:rsidP="00597461">
      <w:pPr>
        <w:pStyle w:val="Heading1"/>
        <w:rPr>
          <w:caps w:val="0"/>
        </w:rPr>
      </w:pPr>
      <w:r>
        <w:rPr>
          <w:caps w:val="0"/>
        </w:rPr>
        <w:lastRenderedPageBreak/>
        <w:t>ATTACHMENT 5</w:t>
      </w:r>
    </w:p>
    <w:p w:rsidR="005A580C" w:rsidRDefault="005A580C" w:rsidP="005A580C">
      <w:pPr>
        <w:pStyle w:val="Heading2"/>
      </w:pPr>
      <w:r>
        <w:t xml:space="preserve">MAIN REASONS FOR DIFFERENCE </w:t>
      </w:r>
      <w:r w:rsidR="0056781B">
        <w:t>FROM EPC</w:t>
      </w:r>
      <w:r>
        <w:t xml:space="preserve"> — STATE ANALYSIS</w:t>
      </w:r>
    </w:p>
    <w:p w:rsidR="005A580C" w:rsidRDefault="00086D58" w:rsidP="005A580C">
      <w:pPr>
        <w:pStyle w:val="CGCNumberedPara"/>
        <w:numPr>
          <w:ilvl w:val="1"/>
          <w:numId w:val="50"/>
        </w:numPr>
      </w:pPr>
      <w:r>
        <w:t xml:space="preserve">The following tables illustrate for each State the major reasons they are assessed as requiring an above or below </w:t>
      </w:r>
      <w:r w:rsidR="008E181B">
        <w:t>average</w:t>
      </w:r>
      <w:r>
        <w:t xml:space="preserve"> share of GST.</w:t>
      </w:r>
    </w:p>
    <w:p w:rsidR="008E181B" w:rsidRDefault="008E181B" w:rsidP="00FF7697">
      <w:pPr>
        <w:pStyle w:val="Caption"/>
      </w:pPr>
      <w:r>
        <w:t xml:space="preserve">Table </w:t>
      </w:r>
      <w:fldSimple w:instr=" SEQ Table \* ARABIC \R1 ">
        <w:r w:rsidR="007B6A4C">
          <w:rPr>
            <w:noProof/>
          </w:rPr>
          <w:t>1</w:t>
        </w:r>
      </w:fldSimple>
      <w:r>
        <w:tab/>
        <w:t>Major drivers of difference from EPC, New South Wales</w:t>
      </w:r>
    </w:p>
    <w:tbl>
      <w:tblPr>
        <w:tblW w:w="8911" w:type="dxa"/>
        <w:tblInd w:w="108" w:type="dxa"/>
        <w:tblLook w:val="04A0" w:firstRow="1" w:lastRow="0" w:firstColumn="1" w:lastColumn="0" w:noHBand="0" w:noVBand="1"/>
      </w:tblPr>
      <w:tblGrid>
        <w:gridCol w:w="1757"/>
        <w:gridCol w:w="5556"/>
        <w:gridCol w:w="799"/>
        <w:gridCol w:w="799"/>
      </w:tblGrid>
      <w:tr w:rsidR="00FF7697" w:rsidRPr="00FF7697" w:rsidTr="003C00E3">
        <w:trPr>
          <w:trHeight w:val="425"/>
        </w:trPr>
        <w:tc>
          <w:tcPr>
            <w:tcW w:w="1757" w:type="dxa"/>
            <w:tcBorders>
              <w:top w:val="single" w:sz="4" w:space="0" w:color="auto"/>
              <w:left w:val="nil"/>
              <w:bottom w:val="single" w:sz="4" w:space="0" w:color="auto"/>
              <w:right w:val="nil"/>
            </w:tcBorders>
            <w:shd w:val="clear" w:color="auto" w:fill="auto"/>
            <w:noWrap/>
            <w:vAlign w:val="center"/>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bookmarkStart w:id="29" w:name="RANGE!A2:C13"/>
            <w:r w:rsidRPr="00FF7697">
              <w:rPr>
                <w:rFonts w:ascii="Calibri" w:eastAsia="Times New Roman" w:hAnsi="Calibri" w:cs="Times New Roman"/>
                <w:sz w:val="20"/>
                <w:szCs w:val="20"/>
                <w:lang w:eastAsia="en-AU"/>
              </w:rPr>
              <w:t>Driver</w:t>
            </w:r>
            <w:bookmarkEnd w:id="29"/>
          </w:p>
        </w:tc>
        <w:tc>
          <w:tcPr>
            <w:tcW w:w="5556" w:type="dxa"/>
            <w:tcBorders>
              <w:top w:val="single" w:sz="4" w:space="0" w:color="auto"/>
              <w:left w:val="nil"/>
              <w:bottom w:val="single" w:sz="4" w:space="0" w:color="auto"/>
              <w:right w:val="nil"/>
            </w:tcBorders>
            <w:shd w:val="clear" w:color="auto" w:fill="auto"/>
            <w:vAlign w:val="center"/>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Explanation</w:t>
            </w:r>
          </w:p>
        </w:tc>
        <w:tc>
          <w:tcPr>
            <w:tcW w:w="799" w:type="dxa"/>
            <w:tcBorders>
              <w:top w:val="single" w:sz="4" w:space="0" w:color="auto"/>
              <w:left w:val="nil"/>
              <w:bottom w:val="single" w:sz="4" w:space="0" w:color="auto"/>
              <w:right w:val="nil"/>
            </w:tcBorders>
            <w:shd w:val="clear" w:color="auto" w:fill="auto"/>
            <w:vAlign w:val="center"/>
            <w:hideMark/>
          </w:tcPr>
          <w:p w:rsidR="00FF7697" w:rsidRPr="00FF7697" w:rsidRDefault="003C00E3" w:rsidP="001F0917">
            <w:pPr>
              <w:keepNext/>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w:t>
            </w:r>
            <w:r w:rsidR="001F0917">
              <w:rPr>
                <w:rFonts w:ascii="Calibri" w:eastAsia="Times New Roman" w:hAnsi="Calibri" w:cs="Times New Roman"/>
                <w:sz w:val="20"/>
                <w:szCs w:val="20"/>
                <w:lang w:eastAsia="en-AU"/>
              </w:rPr>
              <w:t>pc</w:t>
            </w:r>
          </w:p>
        </w:tc>
        <w:tc>
          <w:tcPr>
            <w:tcW w:w="799" w:type="dxa"/>
            <w:tcBorders>
              <w:top w:val="single" w:sz="4" w:space="0" w:color="auto"/>
              <w:left w:val="nil"/>
              <w:bottom w:val="single" w:sz="4" w:space="0" w:color="auto"/>
              <w:right w:val="nil"/>
            </w:tcBorders>
            <w:shd w:val="clear" w:color="auto" w:fill="auto"/>
            <w:vAlign w:val="center"/>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$m</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Mining production</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New South Wales has a lower than average revenue per capita across most minerals.</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294</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2 262</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Remoteness</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 xml:space="preserve">New South Wales has a high proportion of its population in </w:t>
            </w:r>
            <w:r w:rsidR="00E2538B">
              <w:rPr>
                <w:rFonts w:ascii="Calibri" w:eastAsia="Times New Roman" w:hAnsi="Calibri" w:cs="Times New Roman"/>
                <w:sz w:val="20"/>
                <w:szCs w:val="20"/>
                <w:lang w:eastAsia="en-AU"/>
              </w:rPr>
              <w:t xml:space="preserve">the </w:t>
            </w:r>
            <w:r w:rsidRPr="00FF7697">
              <w:rPr>
                <w:rFonts w:ascii="Calibri" w:eastAsia="Times New Roman" w:hAnsi="Calibri" w:cs="Times New Roman"/>
                <w:sz w:val="20"/>
                <w:szCs w:val="20"/>
                <w:lang w:eastAsia="en-AU"/>
              </w:rPr>
              <w:t>low cost major cities of Sydney, Newcastle and Wollongong.</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-174</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-1 336</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Property sales</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New South Wales has an above average per capita value of property conveyances, particularly during its current property boom.</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-99</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-762</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Population growth</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With a slow growing population, New South Wales requires less than average</w:t>
            </w:r>
            <w:r w:rsidR="00EC179C">
              <w:rPr>
                <w:rFonts w:ascii="Calibri" w:eastAsia="Times New Roman" w:hAnsi="Calibri" w:cs="Times New Roman"/>
                <w:sz w:val="20"/>
                <w:szCs w:val="20"/>
                <w:lang w:eastAsia="en-AU"/>
              </w:rPr>
              <w:t xml:space="preserve"> investment in</w:t>
            </w:r>
            <w:r w:rsidRPr="00FF7697">
              <w:rPr>
                <w:rFonts w:ascii="Calibri" w:eastAsia="Times New Roman" w:hAnsi="Calibri" w:cs="Times New Roman"/>
                <w:sz w:val="20"/>
                <w:szCs w:val="20"/>
                <w:lang w:eastAsia="en-AU"/>
              </w:rPr>
              <w:t xml:space="preserve"> infrastructure</w:t>
            </w:r>
            <w:r w:rsidR="00EC179C">
              <w:rPr>
                <w:rFonts w:ascii="Calibri" w:eastAsia="Times New Roman" w:hAnsi="Calibri" w:cs="Times New Roman"/>
                <w:sz w:val="20"/>
                <w:szCs w:val="20"/>
                <w:lang w:eastAsia="en-AU"/>
              </w:rPr>
              <w:t xml:space="preserve"> per capita</w:t>
            </w:r>
            <w:r w:rsidRPr="00FF7697">
              <w:rPr>
                <w:rFonts w:ascii="Calibri" w:eastAsia="Times New Roman" w:hAnsi="Calibri" w:cs="Times New Roman"/>
                <w:sz w:val="20"/>
                <w:szCs w:val="20"/>
                <w:lang w:eastAsia="en-AU"/>
              </w:rPr>
              <w:t>.</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-96</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-737</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Administrative scale</w:t>
            </w:r>
          </w:p>
        </w:tc>
        <w:tc>
          <w:tcPr>
            <w:tcW w:w="5556" w:type="dxa"/>
            <w:tcBorders>
              <w:top w:val="nil"/>
              <w:left w:val="nil"/>
              <w:bottom w:val="nil"/>
              <w:right w:val="nil"/>
            </w:tcBorders>
            <w:shd w:val="clear" w:color="auto" w:fill="auto"/>
            <w:hideMark/>
          </w:tcPr>
          <w:p w:rsidR="00FF7697" w:rsidRPr="00FF7697" w:rsidRDefault="00FF7697" w:rsidP="00EC179C">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 xml:space="preserve">The fixed costs of running a State can be </w:t>
            </w:r>
            <w:r w:rsidR="00EC179C">
              <w:rPr>
                <w:rFonts w:ascii="Calibri" w:eastAsia="Times New Roman" w:hAnsi="Calibri" w:cs="Times New Roman"/>
                <w:sz w:val="20"/>
                <w:szCs w:val="20"/>
                <w:lang w:eastAsia="en-AU"/>
              </w:rPr>
              <w:t>share</w:t>
            </w:r>
            <w:r w:rsidRPr="00FF7697">
              <w:rPr>
                <w:rFonts w:ascii="Calibri" w:eastAsia="Times New Roman" w:hAnsi="Calibri" w:cs="Times New Roman"/>
                <w:sz w:val="20"/>
                <w:szCs w:val="20"/>
                <w:lang w:eastAsia="en-AU"/>
              </w:rPr>
              <w:t xml:space="preserve"> across a large population.</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-58</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-443</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Commonwealth payments</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New South Wales receives les</w:t>
            </w:r>
            <w:r w:rsidR="00E2538B">
              <w:rPr>
                <w:rFonts w:ascii="Calibri" w:eastAsia="Times New Roman" w:hAnsi="Calibri" w:cs="Times New Roman"/>
                <w:sz w:val="20"/>
                <w:szCs w:val="20"/>
                <w:lang w:eastAsia="en-AU"/>
              </w:rPr>
              <w:t>s than its population share of C</w:t>
            </w:r>
            <w:r w:rsidRPr="00FF7697">
              <w:rPr>
                <w:rFonts w:ascii="Calibri" w:eastAsia="Times New Roman" w:hAnsi="Calibri" w:cs="Times New Roman"/>
                <w:sz w:val="20"/>
                <w:szCs w:val="20"/>
                <w:lang w:eastAsia="en-AU"/>
              </w:rPr>
              <w:t>ommonwealth payments.</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57</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438</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Socio-economic status</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New South Wales has a high proportion of low socio-economic status people.</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49</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376</w:t>
            </w:r>
          </w:p>
        </w:tc>
      </w:tr>
      <w:tr w:rsidR="00FF7697" w:rsidRPr="00FF7697" w:rsidTr="003C00E3">
        <w:trPr>
          <w:trHeight w:val="31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Wage costs</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New South Wales has above average wage costs.</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45</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348</w:t>
            </w:r>
          </w:p>
        </w:tc>
      </w:tr>
      <w:tr w:rsidR="00FF7697" w:rsidRPr="00FF7697" w:rsidTr="003C00E3">
        <w:trPr>
          <w:trHeight w:val="79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Non-State sector</w:t>
            </w:r>
          </w:p>
        </w:tc>
        <w:tc>
          <w:tcPr>
            <w:tcW w:w="5556" w:type="dxa"/>
            <w:tcBorders>
              <w:top w:val="nil"/>
              <w:left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New South Wales has above average non-State sector provision of health services, alleviating the State of the need to provide some health services.</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-43</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-332</w:t>
            </w:r>
          </w:p>
        </w:tc>
      </w:tr>
      <w:tr w:rsidR="00FF7697" w:rsidRPr="00FF7697" w:rsidTr="003C00E3">
        <w:trPr>
          <w:trHeight w:val="31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Other</w:t>
            </w:r>
          </w:p>
        </w:tc>
        <w:tc>
          <w:tcPr>
            <w:tcW w:w="5556" w:type="dxa"/>
            <w:tcBorders>
              <w:top w:val="nil"/>
              <w:left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 xml:space="preserve"> </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-92</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-703</w:t>
            </w:r>
          </w:p>
        </w:tc>
      </w:tr>
      <w:tr w:rsidR="00FF7697" w:rsidRPr="00FF7697" w:rsidTr="003C00E3">
        <w:trPr>
          <w:trHeight w:val="315"/>
        </w:trPr>
        <w:tc>
          <w:tcPr>
            <w:tcW w:w="1757" w:type="dxa"/>
            <w:tcBorders>
              <w:top w:val="nil"/>
              <w:left w:val="nil"/>
              <w:bottom w:val="single" w:sz="4" w:space="0" w:color="auto"/>
              <w:right w:val="nil"/>
            </w:tcBorders>
            <w:shd w:val="clear" w:color="auto" w:fill="auto"/>
            <w:vAlign w:val="bottom"/>
            <w:hideMark/>
          </w:tcPr>
          <w:p w:rsidR="00FF7697" w:rsidRPr="00FF7697" w:rsidRDefault="00FF7697" w:rsidP="001F091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Total</w:t>
            </w:r>
          </w:p>
        </w:tc>
        <w:tc>
          <w:tcPr>
            <w:tcW w:w="5556" w:type="dxa"/>
            <w:tcBorders>
              <w:left w:val="nil"/>
              <w:bottom w:val="single" w:sz="4" w:space="0" w:color="auto"/>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 xml:space="preserve"> </w:t>
            </w:r>
          </w:p>
        </w:tc>
        <w:tc>
          <w:tcPr>
            <w:tcW w:w="799" w:type="dxa"/>
            <w:tcBorders>
              <w:top w:val="single" w:sz="4" w:space="0" w:color="auto"/>
              <w:left w:val="nil"/>
              <w:bottom w:val="single" w:sz="4" w:space="0" w:color="auto"/>
              <w:right w:val="nil"/>
            </w:tcBorders>
            <w:shd w:val="clear" w:color="auto" w:fill="auto"/>
            <w:noWrap/>
            <w:vAlign w:val="bottom"/>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-116</w:t>
            </w:r>
          </w:p>
        </w:tc>
        <w:tc>
          <w:tcPr>
            <w:tcW w:w="799" w:type="dxa"/>
            <w:tcBorders>
              <w:top w:val="single" w:sz="4" w:space="0" w:color="auto"/>
              <w:left w:val="nil"/>
              <w:bottom w:val="single" w:sz="4" w:space="0" w:color="auto"/>
              <w:right w:val="nil"/>
            </w:tcBorders>
            <w:shd w:val="clear" w:color="auto" w:fill="auto"/>
            <w:noWrap/>
            <w:vAlign w:val="bottom"/>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-889</w:t>
            </w:r>
          </w:p>
        </w:tc>
      </w:tr>
    </w:tbl>
    <w:p w:rsidR="008E181B" w:rsidRDefault="001F0917" w:rsidP="001F0917">
      <w:pPr>
        <w:pStyle w:val="CGCTableFootnote"/>
      </w:pPr>
      <w:r>
        <w:t>Source:</w:t>
      </w:r>
      <w:r>
        <w:tab/>
        <w:t>Commission calculation</w:t>
      </w:r>
    </w:p>
    <w:p w:rsidR="008E181B" w:rsidRDefault="008E181B" w:rsidP="00FF7697">
      <w:pPr>
        <w:pStyle w:val="Caption"/>
      </w:pPr>
      <w:r>
        <w:lastRenderedPageBreak/>
        <w:t xml:space="preserve">Table </w:t>
      </w:r>
      <w:fldSimple w:instr=" SEQ Table \* ARABIC ">
        <w:r w:rsidR="007B6A4C">
          <w:rPr>
            <w:noProof/>
          </w:rPr>
          <w:t>2</w:t>
        </w:r>
      </w:fldSimple>
      <w:r>
        <w:tab/>
        <w:t>Major drivers of difference from EPC, Victoria</w:t>
      </w:r>
    </w:p>
    <w:tbl>
      <w:tblPr>
        <w:tblW w:w="8911" w:type="dxa"/>
        <w:tblInd w:w="108" w:type="dxa"/>
        <w:tblLook w:val="04A0" w:firstRow="1" w:lastRow="0" w:firstColumn="1" w:lastColumn="0" w:noHBand="0" w:noVBand="1"/>
      </w:tblPr>
      <w:tblGrid>
        <w:gridCol w:w="1757"/>
        <w:gridCol w:w="5556"/>
        <w:gridCol w:w="799"/>
        <w:gridCol w:w="799"/>
      </w:tblGrid>
      <w:tr w:rsidR="00FF7697" w:rsidRPr="00FF7697" w:rsidTr="003C00E3">
        <w:trPr>
          <w:trHeight w:val="426"/>
        </w:trPr>
        <w:tc>
          <w:tcPr>
            <w:tcW w:w="1757" w:type="dxa"/>
            <w:tcBorders>
              <w:top w:val="single" w:sz="4" w:space="0" w:color="auto"/>
              <w:left w:val="nil"/>
              <w:bottom w:val="single" w:sz="4" w:space="0" w:color="auto"/>
              <w:right w:val="nil"/>
            </w:tcBorders>
            <w:shd w:val="clear" w:color="auto" w:fill="auto"/>
            <w:noWrap/>
            <w:vAlign w:val="center"/>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bookmarkStart w:id="30" w:name="RANGE!A17:C28"/>
            <w:r w:rsidRPr="00FF7697">
              <w:rPr>
                <w:rFonts w:ascii="Calibri" w:eastAsia="Times New Roman" w:hAnsi="Calibri" w:cs="Times New Roman"/>
                <w:sz w:val="20"/>
                <w:szCs w:val="20"/>
                <w:lang w:eastAsia="en-AU"/>
              </w:rPr>
              <w:t>Driver</w:t>
            </w:r>
            <w:bookmarkEnd w:id="30"/>
          </w:p>
        </w:tc>
        <w:tc>
          <w:tcPr>
            <w:tcW w:w="5556" w:type="dxa"/>
            <w:tcBorders>
              <w:top w:val="single" w:sz="4" w:space="0" w:color="auto"/>
              <w:left w:val="nil"/>
              <w:bottom w:val="single" w:sz="4" w:space="0" w:color="auto"/>
              <w:right w:val="nil"/>
            </w:tcBorders>
            <w:shd w:val="clear" w:color="auto" w:fill="auto"/>
            <w:vAlign w:val="center"/>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Explanation</w:t>
            </w:r>
          </w:p>
        </w:tc>
        <w:tc>
          <w:tcPr>
            <w:tcW w:w="799" w:type="dxa"/>
            <w:tcBorders>
              <w:top w:val="single" w:sz="4" w:space="0" w:color="auto"/>
              <w:left w:val="nil"/>
              <w:bottom w:val="single" w:sz="4" w:space="0" w:color="auto"/>
              <w:right w:val="nil"/>
            </w:tcBorders>
            <w:shd w:val="clear" w:color="auto" w:fill="auto"/>
            <w:vAlign w:val="center"/>
            <w:hideMark/>
          </w:tcPr>
          <w:p w:rsidR="00FF7697" w:rsidRPr="00FF7697" w:rsidRDefault="001F0917" w:rsidP="001F0917">
            <w:pPr>
              <w:keepNext/>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$pc</w:t>
            </w:r>
          </w:p>
        </w:tc>
        <w:tc>
          <w:tcPr>
            <w:tcW w:w="799" w:type="dxa"/>
            <w:tcBorders>
              <w:top w:val="single" w:sz="4" w:space="0" w:color="auto"/>
              <w:left w:val="nil"/>
              <w:bottom w:val="single" w:sz="4" w:space="0" w:color="auto"/>
              <w:right w:val="nil"/>
            </w:tcBorders>
            <w:shd w:val="clear" w:color="auto" w:fill="auto"/>
            <w:vAlign w:val="center"/>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$m</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Mining production</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Victoria has a lower than average revenue per capita across all minerals.</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498</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2 993</w:t>
            </w:r>
          </w:p>
        </w:tc>
      </w:tr>
      <w:tr w:rsidR="00FF7697" w:rsidRPr="00FF7697" w:rsidTr="003C00E3">
        <w:trPr>
          <w:trHeight w:val="31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Indigenous status</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Victoria has the smallest proportion of Indigenous people.</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-216</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-1 298</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Remoteness</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With a high proportion of its population in a major city, Victoria has low use and cost of services.</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-185</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-1 113</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Urban centre size</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With a high proportion of the population in one large city, Victoria has significant public transport needs.</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124</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744</w:t>
            </w:r>
          </w:p>
        </w:tc>
      </w:tr>
      <w:tr w:rsidR="00FF7697" w:rsidRPr="00FF7697" w:rsidTr="003C00E3">
        <w:trPr>
          <w:trHeight w:val="31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Wage costs</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Victoria has below average wage costs.</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-105</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-629</w:t>
            </w:r>
          </w:p>
        </w:tc>
      </w:tr>
      <w:tr w:rsidR="00FF7697" w:rsidRPr="00FF7697" w:rsidTr="003C00E3">
        <w:trPr>
          <w:trHeight w:val="31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Payrolls paid</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Victoria has a below average value of taxable payrolls.</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77</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460</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Administrative scale</w:t>
            </w:r>
          </w:p>
        </w:tc>
        <w:tc>
          <w:tcPr>
            <w:tcW w:w="5556" w:type="dxa"/>
            <w:tcBorders>
              <w:top w:val="nil"/>
              <w:left w:val="nil"/>
              <w:bottom w:val="nil"/>
              <w:right w:val="nil"/>
            </w:tcBorders>
            <w:shd w:val="clear" w:color="auto" w:fill="auto"/>
            <w:hideMark/>
          </w:tcPr>
          <w:p w:rsidR="00FF7697" w:rsidRPr="00FF7697" w:rsidRDefault="00FF7697" w:rsidP="00EC179C">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 xml:space="preserve">The fixed costs of running a State can be </w:t>
            </w:r>
            <w:r w:rsidR="00EC179C">
              <w:rPr>
                <w:rFonts w:ascii="Calibri" w:eastAsia="Times New Roman" w:hAnsi="Calibri" w:cs="Times New Roman"/>
                <w:sz w:val="20"/>
                <w:szCs w:val="20"/>
                <w:lang w:eastAsia="en-AU"/>
              </w:rPr>
              <w:t>shared</w:t>
            </w:r>
            <w:r w:rsidRPr="00FF7697">
              <w:rPr>
                <w:rFonts w:ascii="Calibri" w:eastAsia="Times New Roman" w:hAnsi="Calibri" w:cs="Times New Roman"/>
                <w:sz w:val="20"/>
                <w:szCs w:val="20"/>
                <w:lang w:eastAsia="en-AU"/>
              </w:rPr>
              <w:t xml:space="preserve"> across a large population.</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-47</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-280</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Small communities</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Victoria has few small communities to receive subsidies for electricity and water.</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-46</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-274</w:t>
            </w:r>
          </w:p>
        </w:tc>
      </w:tr>
      <w:tr w:rsidR="00FF7697" w:rsidRPr="00FF7697" w:rsidTr="003C00E3">
        <w:trPr>
          <w:trHeight w:val="79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Natural disaster relief</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Victoria's natural disaster expenses, relating mostly to the 2009 bushfires, were mostly offset by Commonwealth natural disaster funding, resulting in low net expenses.</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-39</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-236</w:t>
            </w:r>
          </w:p>
        </w:tc>
      </w:tr>
      <w:tr w:rsidR="00FF7697" w:rsidRPr="00FF7697" w:rsidTr="003C00E3">
        <w:trPr>
          <w:trHeight w:val="315"/>
        </w:trPr>
        <w:tc>
          <w:tcPr>
            <w:tcW w:w="1757"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Other</w:t>
            </w:r>
          </w:p>
        </w:tc>
        <w:tc>
          <w:tcPr>
            <w:tcW w:w="5556" w:type="dxa"/>
            <w:tcBorders>
              <w:top w:val="nil"/>
              <w:left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 xml:space="preserve"> </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-307</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-1 845</w:t>
            </w:r>
          </w:p>
        </w:tc>
      </w:tr>
      <w:tr w:rsidR="00FF7697" w:rsidRPr="00FF7697" w:rsidTr="003C00E3">
        <w:trPr>
          <w:trHeight w:val="315"/>
        </w:trPr>
        <w:tc>
          <w:tcPr>
            <w:tcW w:w="1757" w:type="dxa"/>
            <w:tcBorders>
              <w:top w:val="nil"/>
              <w:left w:val="nil"/>
              <w:bottom w:val="single" w:sz="4" w:space="0" w:color="auto"/>
              <w:right w:val="nil"/>
            </w:tcBorders>
            <w:shd w:val="clear" w:color="auto" w:fill="auto"/>
            <w:vAlign w:val="bottom"/>
            <w:hideMark/>
          </w:tcPr>
          <w:p w:rsidR="00FF7697" w:rsidRPr="00FF7697" w:rsidRDefault="00FF7697" w:rsidP="001F091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Total</w:t>
            </w:r>
          </w:p>
        </w:tc>
        <w:tc>
          <w:tcPr>
            <w:tcW w:w="5556" w:type="dxa"/>
            <w:tcBorders>
              <w:left w:val="nil"/>
              <w:bottom w:val="single" w:sz="4" w:space="0" w:color="auto"/>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 xml:space="preserve"> </w:t>
            </w:r>
          </w:p>
        </w:tc>
        <w:tc>
          <w:tcPr>
            <w:tcW w:w="799" w:type="dxa"/>
            <w:tcBorders>
              <w:top w:val="single" w:sz="4" w:space="0" w:color="auto"/>
              <w:left w:val="nil"/>
              <w:bottom w:val="single" w:sz="4" w:space="0" w:color="auto"/>
              <w:right w:val="nil"/>
            </w:tcBorders>
            <w:shd w:val="clear" w:color="auto" w:fill="auto"/>
            <w:noWrap/>
            <w:vAlign w:val="bottom"/>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-246</w:t>
            </w:r>
          </w:p>
        </w:tc>
        <w:tc>
          <w:tcPr>
            <w:tcW w:w="799" w:type="dxa"/>
            <w:tcBorders>
              <w:top w:val="single" w:sz="4" w:space="0" w:color="auto"/>
              <w:left w:val="nil"/>
              <w:bottom w:val="single" w:sz="4" w:space="0" w:color="auto"/>
              <w:right w:val="nil"/>
            </w:tcBorders>
            <w:shd w:val="clear" w:color="auto" w:fill="auto"/>
            <w:noWrap/>
            <w:vAlign w:val="bottom"/>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-1 479</w:t>
            </w:r>
          </w:p>
        </w:tc>
      </w:tr>
    </w:tbl>
    <w:p w:rsidR="001F0917" w:rsidRDefault="001F0917" w:rsidP="001F0917">
      <w:pPr>
        <w:pStyle w:val="CGCTableFootnote"/>
      </w:pPr>
      <w:r>
        <w:t>Source:</w:t>
      </w:r>
      <w:r>
        <w:tab/>
        <w:t>Commission calculation</w:t>
      </w:r>
    </w:p>
    <w:p w:rsidR="008E181B" w:rsidRDefault="008E181B" w:rsidP="00FF7697">
      <w:pPr>
        <w:pStyle w:val="Caption"/>
      </w:pPr>
      <w:r>
        <w:t xml:space="preserve">Table </w:t>
      </w:r>
      <w:fldSimple w:instr=" SEQ Table \* ARABIC ">
        <w:r w:rsidR="007B6A4C">
          <w:rPr>
            <w:noProof/>
          </w:rPr>
          <w:t>3</w:t>
        </w:r>
      </w:fldSimple>
      <w:r>
        <w:tab/>
        <w:t>Major drivers of difference from EPC, Queensland</w:t>
      </w:r>
    </w:p>
    <w:tbl>
      <w:tblPr>
        <w:tblW w:w="8911" w:type="dxa"/>
        <w:tblInd w:w="108" w:type="dxa"/>
        <w:tblLook w:val="04A0" w:firstRow="1" w:lastRow="0" w:firstColumn="1" w:lastColumn="0" w:noHBand="0" w:noVBand="1"/>
      </w:tblPr>
      <w:tblGrid>
        <w:gridCol w:w="1757"/>
        <w:gridCol w:w="5556"/>
        <w:gridCol w:w="799"/>
        <w:gridCol w:w="799"/>
      </w:tblGrid>
      <w:tr w:rsidR="00FF7697" w:rsidRPr="00FF7697" w:rsidTr="003C00E3">
        <w:trPr>
          <w:trHeight w:val="425"/>
        </w:trPr>
        <w:tc>
          <w:tcPr>
            <w:tcW w:w="1757" w:type="dxa"/>
            <w:tcBorders>
              <w:top w:val="single" w:sz="4" w:space="0" w:color="auto"/>
              <w:left w:val="nil"/>
              <w:bottom w:val="single" w:sz="4" w:space="0" w:color="auto"/>
              <w:right w:val="nil"/>
            </w:tcBorders>
            <w:shd w:val="clear" w:color="auto" w:fill="auto"/>
            <w:noWrap/>
            <w:vAlign w:val="center"/>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bookmarkStart w:id="31" w:name="RANGE!A32:C43"/>
            <w:r w:rsidRPr="00FF7697">
              <w:rPr>
                <w:rFonts w:ascii="Calibri" w:eastAsia="Times New Roman" w:hAnsi="Calibri" w:cs="Times New Roman"/>
                <w:sz w:val="20"/>
                <w:szCs w:val="20"/>
                <w:lang w:eastAsia="en-AU"/>
              </w:rPr>
              <w:t>Driver</w:t>
            </w:r>
            <w:bookmarkEnd w:id="31"/>
          </w:p>
        </w:tc>
        <w:tc>
          <w:tcPr>
            <w:tcW w:w="5556" w:type="dxa"/>
            <w:tcBorders>
              <w:top w:val="single" w:sz="4" w:space="0" w:color="auto"/>
              <w:left w:val="nil"/>
              <w:bottom w:val="single" w:sz="4" w:space="0" w:color="auto"/>
              <w:right w:val="nil"/>
            </w:tcBorders>
            <w:shd w:val="clear" w:color="auto" w:fill="auto"/>
            <w:vAlign w:val="center"/>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Explanation</w:t>
            </w:r>
          </w:p>
        </w:tc>
        <w:tc>
          <w:tcPr>
            <w:tcW w:w="799" w:type="dxa"/>
            <w:tcBorders>
              <w:top w:val="single" w:sz="4" w:space="0" w:color="auto"/>
              <w:left w:val="nil"/>
              <w:bottom w:val="single" w:sz="4" w:space="0" w:color="auto"/>
              <w:right w:val="nil"/>
            </w:tcBorders>
            <w:shd w:val="clear" w:color="auto" w:fill="auto"/>
            <w:vAlign w:val="center"/>
            <w:hideMark/>
          </w:tcPr>
          <w:p w:rsidR="00FF7697" w:rsidRPr="00FF7697" w:rsidRDefault="003C00E3" w:rsidP="001F0917">
            <w:pPr>
              <w:keepNext/>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w:t>
            </w:r>
            <w:r w:rsidR="001F0917">
              <w:rPr>
                <w:rFonts w:ascii="Calibri" w:eastAsia="Times New Roman" w:hAnsi="Calibri" w:cs="Times New Roman"/>
                <w:sz w:val="20"/>
                <w:szCs w:val="20"/>
                <w:lang w:eastAsia="en-AU"/>
              </w:rPr>
              <w:t>pc</w:t>
            </w:r>
          </w:p>
        </w:tc>
        <w:tc>
          <w:tcPr>
            <w:tcW w:w="799" w:type="dxa"/>
            <w:tcBorders>
              <w:top w:val="single" w:sz="4" w:space="0" w:color="auto"/>
              <w:left w:val="nil"/>
              <w:bottom w:val="single" w:sz="4" w:space="0" w:color="auto"/>
              <w:right w:val="nil"/>
            </w:tcBorders>
            <w:shd w:val="clear" w:color="auto" w:fill="auto"/>
            <w:vAlign w:val="center"/>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$m</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1F0917">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Remoteness</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As a relatively decentralised State, Queensland has higher use and cost of services.</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143</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696</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1F0917">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Natural disaster relief</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 xml:space="preserve">Queensland had high expenses following the flood and </w:t>
            </w:r>
            <w:r w:rsidR="00E2538B">
              <w:rPr>
                <w:rFonts w:ascii="Calibri" w:eastAsia="Times New Roman" w:hAnsi="Calibri" w:cs="Times New Roman"/>
                <w:sz w:val="20"/>
                <w:szCs w:val="20"/>
                <w:lang w:eastAsia="en-AU"/>
              </w:rPr>
              <w:t>cyclone events of 2011 and 2012</w:t>
            </w:r>
            <w:r w:rsidRPr="00FF7697">
              <w:rPr>
                <w:rFonts w:ascii="Calibri" w:eastAsia="Times New Roman" w:hAnsi="Calibri" w:cs="Times New Roman"/>
                <w:sz w:val="20"/>
                <w:szCs w:val="20"/>
                <w:lang w:eastAsia="en-AU"/>
              </w:rPr>
              <w:t>.</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136</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661</w:t>
            </w:r>
          </w:p>
        </w:tc>
      </w:tr>
      <w:tr w:rsidR="00FF7697" w:rsidRPr="00FF7697" w:rsidTr="003C00E3">
        <w:trPr>
          <w:trHeight w:val="315"/>
        </w:trPr>
        <w:tc>
          <w:tcPr>
            <w:tcW w:w="1757" w:type="dxa"/>
            <w:tcBorders>
              <w:top w:val="nil"/>
              <w:left w:val="nil"/>
              <w:bottom w:val="nil"/>
              <w:right w:val="nil"/>
            </w:tcBorders>
            <w:shd w:val="clear" w:color="auto" w:fill="auto"/>
            <w:hideMark/>
          </w:tcPr>
          <w:p w:rsidR="00FF7697" w:rsidRPr="00FF7697" w:rsidRDefault="00FF7697" w:rsidP="001F0917">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Indigenous status</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Queensland has a large proportion of Indigenous people.</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122</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594</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1F0917">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Urban centre size</w:t>
            </w:r>
          </w:p>
        </w:tc>
        <w:tc>
          <w:tcPr>
            <w:tcW w:w="5556" w:type="dxa"/>
            <w:tcBorders>
              <w:top w:val="nil"/>
              <w:left w:val="nil"/>
              <w:bottom w:val="nil"/>
              <w:right w:val="nil"/>
            </w:tcBorders>
            <w:shd w:val="clear" w:color="auto" w:fill="auto"/>
            <w:hideMark/>
          </w:tcPr>
          <w:p w:rsidR="00FF7697" w:rsidRPr="00FF7697" w:rsidRDefault="00FF7697" w:rsidP="00EC179C">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Despite Brisbane being a moderately large city, the high proportion of the population outside Brisbane</w:t>
            </w:r>
            <w:r w:rsidR="00EC179C">
              <w:rPr>
                <w:rFonts w:ascii="Calibri" w:eastAsia="Times New Roman" w:hAnsi="Calibri" w:cs="Times New Roman"/>
                <w:sz w:val="20"/>
                <w:szCs w:val="20"/>
                <w:lang w:eastAsia="en-AU"/>
              </w:rPr>
              <w:t xml:space="preserve">, means Queensland has </w:t>
            </w:r>
            <w:r w:rsidRPr="00FF7697">
              <w:rPr>
                <w:rFonts w:ascii="Calibri" w:eastAsia="Times New Roman" w:hAnsi="Calibri" w:cs="Times New Roman"/>
                <w:sz w:val="20"/>
                <w:szCs w:val="20"/>
                <w:lang w:eastAsia="en-AU"/>
              </w:rPr>
              <w:t>low urban transport needs.</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-116</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-563</w:t>
            </w:r>
          </w:p>
        </w:tc>
      </w:tr>
      <w:tr w:rsidR="00FF7697" w:rsidRPr="00FF7697" w:rsidTr="003C00E3">
        <w:trPr>
          <w:trHeight w:val="315"/>
        </w:trPr>
        <w:tc>
          <w:tcPr>
            <w:tcW w:w="1757" w:type="dxa"/>
            <w:tcBorders>
              <w:top w:val="nil"/>
              <w:left w:val="nil"/>
              <w:bottom w:val="nil"/>
              <w:right w:val="nil"/>
            </w:tcBorders>
            <w:shd w:val="clear" w:color="auto" w:fill="auto"/>
            <w:hideMark/>
          </w:tcPr>
          <w:p w:rsidR="00FF7697" w:rsidRPr="00FF7697" w:rsidRDefault="00FF7697" w:rsidP="001F0917">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Wage costs</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Queensland has below average wage costs.</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-95</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-464</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1F0917">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Mining production</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Queensland has a higher than average revenue per capita, due to its capacity to raise coal royalties.</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-56</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-274</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1F0917">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Property sales</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Queensland has a below average per capita value of property conveyances.</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51</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247</w:t>
            </w:r>
          </w:p>
        </w:tc>
      </w:tr>
      <w:tr w:rsidR="00FF7697" w:rsidRPr="00FF7697" w:rsidTr="003C00E3">
        <w:trPr>
          <w:trHeight w:val="315"/>
        </w:trPr>
        <w:tc>
          <w:tcPr>
            <w:tcW w:w="1757" w:type="dxa"/>
            <w:tcBorders>
              <w:top w:val="nil"/>
              <w:left w:val="nil"/>
              <w:bottom w:val="nil"/>
              <w:right w:val="nil"/>
            </w:tcBorders>
            <w:shd w:val="clear" w:color="auto" w:fill="auto"/>
            <w:hideMark/>
          </w:tcPr>
          <w:p w:rsidR="00FF7697" w:rsidRPr="00FF7697" w:rsidRDefault="00FF7697" w:rsidP="001F0917">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Payrolls paid</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Queensland has a below average value of taxable payrolls.</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42</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205</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1F0917">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Age</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Queensland has a young age structure, in particular a large number of children of school age.</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37</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181</w:t>
            </w:r>
          </w:p>
        </w:tc>
      </w:tr>
      <w:tr w:rsidR="00FF7697" w:rsidRPr="00FF7697" w:rsidTr="003C00E3">
        <w:trPr>
          <w:trHeight w:val="315"/>
        </w:trPr>
        <w:tc>
          <w:tcPr>
            <w:tcW w:w="1757" w:type="dxa"/>
            <w:tcBorders>
              <w:top w:val="nil"/>
              <w:left w:val="nil"/>
              <w:bottom w:val="nil"/>
              <w:right w:val="nil"/>
            </w:tcBorders>
            <w:shd w:val="clear" w:color="auto" w:fill="auto"/>
            <w:hideMark/>
          </w:tcPr>
          <w:p w:rsidR="00FF7697" w:rsidRPr="00FF7697" w:rsidRDefault="00FF7697" w:rsidP="001F091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Other</w:t>
            </w:r>
          </w:p>
        </w:tc>
        <w:tc>
          <w:tcPr>
            <w:tcW w:w="5556" w:type="dxa"/>
            <w:tcBorders>
              <w:top w:val="nil"/>
              <w:left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 xml:space="preserve"> </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49</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238</w:t>
            </w:r>
          </w:p>
        </w:tc>
      </w:tr>
      <w:tr w:rsidR="00FF7697" w:rsidRPr="00FF7697" w:rsidTr="003C00E3">
        <w:trPr>
          <w:trHeight w:val="315"/>
        </w:trPr>
        <w:tc>
          <w:tcPr>
            <w:tcW w:w="1757" w:type="dxa"/>
            <w:tcBorders>
              <w:top w:val="nil"/>
              <w:left w:val="nil"/>
              <w:bottom w:val="single" w:sz="4" w:space="0" w:color="auto"/>
              <w:right w:val="nil"/>
            </w:tcBorders>
            <w:shd w:val="clear" w:color="auto" w:fill="auto"/>
            <w:vAlign w:val="bottom"/>
            <w:hideMark/>
          </w:tcPr>
          <w:p w:rsidR="00FF7697" w:rsidRPr="00FF7697" w:rsidRDefault="00FF7697" w:rsidP="001F091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Total</w:t>
            </w:r>
          </w:p>
        </w:tc>
        <w:tc>
          <w:tcPr>
            <w:tcW w:w="5556" w:type="dxa"/>
            <w:tcBorders>
              <w:left w:val="nil"/>
              <w:bottom w:val="single" w:sz="4" w:space="0" w:color="auto"/>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 xml:space="preserve"> </w:t>
            </w:r>
          </w:p>
        </w:tc>
        <w:tc>
          <w:tcPr>
            <w:tcW w:w="799" w:type="dxa"/>
            <w:tcBorders>
              <w:top w:val="single" w:sz="4" w:space="0" w:color="auto"/>
              <w:left w:val="nil"/>
              <w:bottom w:val="single" w:sz="4" w:space="0" w:color="auto"/>
              <w:right w:val="nil"/>
            </w:tcBorders>
            <w:shd w:val="clear" w:color="auto" w:fill="auto"/>
            <w:noWrap/>
            <w:vAlign w:val="bottom"/>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313</w:t>
            </w:r>
          </w:p>
        </w:tc>
        <w:tc>
          <w:tcPr>
            <w:tcW w:w="799" w:type="dxa"/>
            <w:tcBorders>
              <w:top w:val="single" w:sz="4" w:space="0" w:color="auto"/>
              <w:left w:val="nil"/>
              <w:bottom w:val="single" w:sz="4" w:space="0" w:color="auto"/>
              <w:right w:val="nil"/>
            </w:tcBorders>
            <w:shd w:val="clear" w:color="auto" w:fill="auto"/>
            <w:noWrap/>
            <w:vAlign w:val="bottom"/>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1 521</w:t>
            </w:r>
          </w:p>
        </w:tc>
      </w:tr>
    </w:tbl>
    <w:p w:rsidR="0056781B" w:rsidRDefault="0056781B" w:rsidP="0056781B">
      <w:pPr>
        <w:pStyle w:val="CGCTableFootnote"/>
      </w:pPr>
      <w:r>
        <w:t>Source:</w:t>
      </w:r>
      <w:r>
        <w:tab/>
        <w:t>Commission calculation</w:t>
      </w:r>
    </w:p>
    <w:p w:rsidR="008E181B" w:rsidRDefault="008E181B" w:rsidP="00E2538B">
      <w:pPr>
        <w:pStyle w:val="Caption"/>
      </w:pPr>
      <w:r>
        <w:lastRenderedPageBreak/>
        <w:t xml:space="preserve">Table </w:t>
      </w:r>
      <w:fldSimple w:instr=" SEQ Table \* ARABIC ">
        <w:r w:rsidR="007B6A4C">
          <w:rPr>
            <w:noProof/>
          </w:rPr>
          <w:t>4</w:t>
        </w:r>
      </w:fldSimple>
      <w:r>
        <w:tab/>
        <w:t>Major drivers of difference from EPC, Western Australia</w:t>
      </w:r>
    </w:p>
    <w:tbl>
      <w:tblPr>
        <w:tblW w:w="8911" w:type="dxa"/>
        <w:tblInd w:w="108" w:type="dxa"/>
        <w:tblLook w:val="04A0" w:firstRow="1" w:lastRow="0" w:firstColumn="1" w:lastColumn="0" w:noHBand="0" w:noVBand="1"/>
      </w:tblPr>
      <w:tblGrid>
        <w:gridCol w:w="1757"/>
        <w:gridCol w:w="5556"/>
        <w:gridCol w:w="799"/>
        <w:gridCol w:w="799"/>
      </w:tblGrid>
      <w:tr w:rsidR="00E2538B" w:rsidRPr="00E2538B" w:rsidTr="003C00E3">
        <w:trPr>
          <w:trHeight w:val="426"/>
        </w:trPr>
        <w:tc>
          <w:tcPr>
            <w:tcW w:w="1757" w:type="dxa"/>
            <w:tcBorders>
              <w:top w:val="single" w:sz="4" w:space="0" w:color="auto"/>
              <w:left w:val="nil"/>
              <w:bottom w:val="single" w:sz="4" w:space="0" w:color="auto"/>
              <w:right w:val="nil"/>
            </w:tcBorders>
            <w:shd w:val="clear" w:color="auto" w:fill="auto"/>
            <w:noWrap/>
            <w:vAlign w:val="center"/>
            <w:hideMark/>
          </w:tcPr>
          <w:p w:rsidR="00E2538B" w:rsidRPr="00E2538B" w:rsidRDefault="00E2538B" w:rsidP="00E2538B">
            <w:pPr>
              <w:keepNext/>
              <w:tabs>
                <w:tab w:val="clear" w:pos="567"/>
              </w:tabs>
              <w:spacing w:after="0" w:line="240" w:lineRule="auto"/>
              <w:rPr>
                <w:rFonts w:ascii="Calibri" w:eastAsia="Times New Roman" w:hAnsi="Calibri" w:cs="Times New Roman"/>
                <w:sz w:val="20"/>
                <w:szCs w:val="20"/>
                <w:lang w:eastAsia="en-AU"/>
              </w:rPr>
            </w:pPr>
            <w:bookmarkStart w:id="32" w:name="RANGE!A47:C58"/>
            <w:r w:rsidRPr="00E2538B">
              <w:rPr>
                <w:rFonts w:ascii="Calibri" w:eastAsia="Times New Roman" w:hAnsi="Calibri" w:cs="Times New Roman"/>
                <w:sz w:val="20"/>
                <w:szCs w:val="20"/>
                <w:lang w:eastAsia="en-AU"/>
              </w:rPr>
              <w:t>Driver</w:t>
            </w:r>
            <w:bookmarkEnd w:id="32"/>
          </w:p>
        </w:tc>
        <w:tc>
          <w:tcPr>
            <w:tcW w:w="5556" w:type="dxa"/>
            <w:tcBorders>
              <w:top w:val="single" w:sz="4" w:space="0" w:color="auto"/>
              <w:left w:val="nil"/>
              <w:bottom w:val="single" w:sz="4" w:space="0" w:color="auto"/>
              <w:right w:val="nil"/>
            </w:tcBorders>
            <w:shd w:val="clear" w:color="auto" w:fill="auto"/>
            <w:vAlign w:val="center"/>
            <w:hideMark/>
          </w:tcPr>
          <w:p w:rsidR="00E2538B" w:rsidRPr="00E2538B" w:rsidRDefault="00E2538B" w:rsidP="00E2538B">
            <w:pPr>
              <w:keepNext/>
              <w:tabs>
                <w:tab w:val="clear" w:pos="567"/>
              </w:tabs>
              <w:spacing w:after="0" w:line="240" w:lineRule="auto"/>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Explanation</w:t>
            </w:r>
          </w:p>
        </w:tc>
        <w:tc>
          <w:tcPr>
            <w:tcW w:w="799" w:type="dxa"/>
            <w:tcBorders>
              <w:top w:val="single" w:sz="4" w:space="0" w:color="auto"/>
              <w:left w:val="nil"/>
              <w:bottom w:val="single" w:sz="4" w:space="0" w:color="auto"/>
              <w:right w:val="nil"/>
            </w:tcBorders>
            <w:shd w:val="clear" w:color="auto" w:fill="auto"/>
            <w:vAlign w:val="center"/>
            <w:hideMark/>
          </w:tcPr>
          <w:p w:rsidR="00E2538B" w:rsidRPr="00E2538B" w:rsidRDefault="003C00E3" w:rsidP="001F0917">
            <w:pPr>
              <w:keepNext/>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w:t>
            </w:r>
            <w:r w:rsidR="001F0917">
              <w:rPr>
                <w:rFonts w:ascii="Calibri" w:eastAsia="Times New Roman" w:hAnsi="Calibri" w:cs="Times New Roman"/>
                <w:sz w:val="20"/>
                <w:szCs w:val="20"/>
                <w:lang w:eastAsia="en-AU"/>
              </w:rPr>
              <w:t>pc</w:t>
            </w:r>
          </w:p>
        </w:tc>
        <w:tc>
          <w:tcPr>
            <w:tcW w:w="799" w:type="dxa"/>
            <w:tcBorders>
              <w:top w:val="single" w:sz="4" w:space="0" w:color="auto"/>
              <w:left w:val="nil"/>
              <w:bottom w:val="single" w:sz="4" w:space="0" w:color="auto"/>
              <w:right w:val="nil"/>
            </w:tcBorders>
            <w:shd w:val="clear" w:color="auto" w:fill="auto"/>
            <w:vAlign w:val="center"/>
            <w:hideMark/>
          </w:tcPr>
          <w:p w:rsidR="00E2538B" w:rsidRPr="00E2538B" w:rsidRDefault="00E2538B" w:rsidP="00E2538B">
            <w:pPr>
              <w:keepNext/>
              <w:tabs>
                <w:tab w:val="clear" w:pos="567"/>
              </w:tabs>
              <w:spacing w:after="0" w:line="240" w:lineRule="auto"/>
              <w:jc w:val="right"/>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$m</w:t>
            </w:r>
          </w:p>
        </w:tc>
      </w:tr>
      <w:tr w:rsidR="00E2538B" w:rsidRPr="00E2538B" w:rsidTr="00BA282B">
        <w:trPr>
          <w:trHeight w:val="555"/>
        </w:trPr>
        <w:tc>
          <w:tcPr>
            <w:tcW w:w="1757" w:type="dxa"/>
            <w:tcBorders>
              <w:top w:val="nil"/>
              <w:left w:val="nil"/>
              <w:bottom w:val="nil"/>
              <w:right w:val="nil"/>
            </w:tcBorders>
            <w:shd w:val="clear" w:color="auto" w:fill="auto"/>
            <w:hideMark/>
          </w:tcPr>
          <w:p w:rsidR="00E2538B" w:rsidRPr="00E2538B" w:rsidRDefault="00E2538B" w:rsidP="001F0917">
            <w:pPr>
              <w:keepNext/>
              <w:tabs>
                <w:tab w:val="clear" w:pos="567"/>
              </w:tabs>
              <w:spacing w:after="0" w:line="240" w:lineRule="auto"/>
              <w:ind w:left="142" w:hanging="142"/>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Mining production</w:t>
            </w:r>
          </w:p>
        </w:tc>
        <w:tc>
          <w:tcPr>
            <w:tcW w:w="5556" w:type="dxa"/>
            <w:tcBorders>
              <w:top w:val="nil"/>
              <w:left w:val="nil"/>
              <w:bottom w:val="nil"/>
              <w:right w:val="nil"/>
            </w:tcBorders>
            <w:shd w:val="clear" w:color="auto" w:fill="auto"/>
            <w:hideMark/>
          </w:tcPr>
          <w:p w:rsidR="00E2538B" w:rsidRPr="00E2538B" w:rsidRDefault="00E2538B" w:rsidP="00BA282B">
            <w:pPr>
              <w:keepNext/>
              <w:tabs>
                <w:tab w:val="clear" w:pos="567"/>
              </w:tabs>
              <w:spacing w:after="0" w:line="240" w:lineRule="auto"/>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 xml:space="preserve">Western Australia has a higher than average revenue per capita, </w:t>
            </w:r>
            <w:r w:rsidR="00226C6B">
              <w:rPr>
                <w:rFonts w:ascii="Calibri" w:eastAsia="Times New Roman" w:hAnsi="Calibri" w:cs="Times New Roman"/>
                <w:sz w:val="20"/>
                <w:szCs w:val="20"/>
                <w:lang w:eastAsia="en-AU"/>
              </w:rPr>
              <w:t>particularly for</w:t>
            </w:r>
            <w:r w:rsidRPr="00E2538B">
              <w:rPr>
                <w:rFonts w:ascii="Calibri" w:eastAsia="Times New Roman" w:hAnsi="Calibri" w:cs="Times New Roman"/>
                <w:sz w:val="20"/>
                <w:szCs w:val="20"/>
                <w:lang w:eastAsia="en-AU"/>
              </w:rPr>
              <w:t xml:space="preserve"> iron ore royalties.</w:t>
            </w:r>
          </w:p>
        </w:tc>
        <w:tc>
          <w:tcPr>
            <w:tcW w:w="799" w:type="dxa"/>
            <w:tcBorders>
              <w:top w:val="nil"/>
              <w:left w:val="nil"/>
              <w:bottom w:val="nil"/>
              <w:right w:val="nil"/>
            </w:tcBorders>
            <w:shd w:val="clear" w:color="auto" w:fill="auto"/>
            <w:noWrap/>
            <w:hideMark/>
          </w:tcPr>
          <w:p w:rsidR="00E2538B" w:rsidRPr="00E2538B" w:rsidRDefault="00E2538B" w:rsidP="001F0917">
            <w:pPr>
              <w:keepNext/>
              <w:tabs>
                <w:tab w:val="clear" w:pos="567"/>
              </w:tabs>
              <w:spacing w:after="0" w:line="240" w:lineRule="auto"/>
              <w:jc w:val="right"/>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-2 180</w:t>
            </w:r>
          </w:p>
        </w:tc>
        <w:tc>
          <w:tcPr>
            <w:tcW w:w="799" w:type="dxa"/>
            <w:tcBorders>
              <w:top w:val="nil"/>
              <w:left w:val="nil"/>
              <w:bottom w:val="nil"/>
              <w:right w:val="nil"/>
            </w:tcBorders>
            <w:shd w:val="clear" w:color="auto" w:fill="auto"/>
            <w:noWrap/>
            <w:hideMark/>
          </w:tcPr>
          <w:p w:rsidR="00E2538B" w:rsidRPr="00E2538B" w:rsidRDefault="00E2538B" w:rsidP="001F0917">
            <w:pPr>
              <w:keepNext/>
              <w:tabs>
                <w:tab w:val="clear" w:pos="567"/>
              </w:tabs>
              <w:spacing w:after="0" w:line="240" w:lineRule="auto"/>
              <w:jc w:val="right"/>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-5 911</w:t>
            </w:r>
          </w:p>
        </w:tc>
      </w:tr>
      <w:tr w:rsidR="00E2538B" w:rsidRPr="00E2538B" w:rsidTr="00BA282B">
        <w:trPr>
          <w:trHeight w:val="315"/>
        </w:trPr>
        <w:tc>
          <w:tcPr>
            <w:tcW w:w="1757" w:type="dxa"/>
            <w:tcBorders>
              <w:top w:val="nil"/>
              <w:left w:val="nil"/>
              <w:bottom w:val="nil"/>
              <w:right w:val="nil"/>
            </w:tcBorders>
            <w:shd w:val="clear" w:color="auto" w:fill="auto"/>
            <w:hideMark/>
          </w:tcPr>
          <w:p w:rsidR="00E2538B" w:rsidRPr="00E2538B" w:rsidRDefault="00E2538B" w:rsidP="001F0917">
            <w:pPr>
              <w:keepNext/>
              <w:tabs>
                <w:tab w:val="clear" w:pos="567"/>
              </w:tabs>
              <w:spacing w:after="0" w:line="240" w:lineRule="auto"/>
              <w:ind w:left="142" w:hanging="142"/>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Payrolls paid</w:t>
            </w:r>
          </w:p>
        </w:tc>
        <w:tc>
          <w:tcPr>
            <w:tcW w:w="5556" w:type="dxa"/>
            <w:tcBorders>
              <w:top w:val="nil"/>
              <w:left w:val="nil"/>
              <w:bottom w:val="nil"/>
              <w:right w:val="nil"/>
            </w:tcBorders>
            <w:shd w:val="clear" w:color="auto" w:fill="auto"/>
            <w:hideMark/>
          </w:tcPr>
          <w:p w:rsidR="00E2538B" w:rsidRPr="00E2538B" w:rsidRDefault="00E2538B" w:rsidP="00BA282B">
            <w:pPr>
              <w:keepNext/>
              <w:tabs>
                <w:tab w:val="clear" w:pos="567"/>
              </w:tabs>
              <w:spacing w:after="0" w:line="240" w:lineRule="auto"/>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Western Australia has an above average value of taxable payrolls.</w:t>
            </w:r>
          </w:p>
        </w:tc>
        <w:tc>
          <w:tcPr>
            <w:tcW w:w="799" w:type="dxa"/>
            <w:tcBorders>
              <w:top w:val="nil"/>
              <w:left w:val="nil"/>
              <w:bottom w:val="nil"/>
              <w:right w:val="nil"/>
            </w:tcBorders>
            <w:shd w:val="clear" w:color="auto" w:fill="auto"/>
            <w:noWrap/>
            <w:hideMark/>
          </w:tcPr>
          <w:p w:rsidR="00E2538B" w:rsidRPr="00E2538B" w:rsidRDefault="00E2538B" w:rsidP="001F0917">
            <w:pPr>
              <w:keepNext/>
              <w:tabs>
                <w:tab w:val="clear" w:pos="567"/>
              </w:tabs>
              <w:spacing w:after="0" w:line="240" w:lineRule="auto"/>
              <w:jc w:val="right"/>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-411</w:t>
            </w:r>
          </w:p>
        </w:tc>
        <w:tc>
          <w:tcPr>
            <w:tcW w:w="799" w:type="dxa"/>
            <w:tcBorders>
              <w:top w:val="nil"/>
              <w:left w:val="nil"/>
              <w:bottom w:val="nil"/>
              <w:right w:val="nil"/>
            </w:tcBorders>
            <w:shd w:val="clear" w:color="auto" w:fill="auto"/>
            <w:noWrap/>
            <w:hideMark/>
          </w:tcPr>
          <w:p w:rsidR="00E2538B" w:rsidRPr="00E2538B" w:rsidRDefault="00E2538B" w:rsidP="001F0917">
            <w:pPr>
              <w:keepNext/>
              <w:tabs>
                <w:tab w:val="clear" w:pos="567"/>
              </w:tabs>
              <w:spacing w:after="0" w:line="240" w:lineRule="auto"/>
              <w:jc w:val="right"/>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-1 114</w:t>
            </w:r>
          </w:p>
        </w:tc>
      </w:tr>
      <w:tr w:rsidR="00E2538B" w:rsidRPr="00E2538B" w:rsidTr="00BA282B">
        <w:trPr>
          <w:trHeight w:val="555"/>
        </w:trPr>
        <w:tc>
          <w:tcPr>
            <w:tcW w:w="1757" w:type="dxa"/>
            <w:tcBorders>
              <w:top w:val="nil"/>
              <w:left w:val="nil"/>
              <w:bottom w:val="nil"/>
              <w:right w:val="nil"/>
            </w:tcBorders>
            <w:shd w:val="clear" w:color="auto" w:fill="auto"/>
            <w:hideMark/>
          </w:tcPr>
          <w:p w:rsidR="00E2538B" w:rsidRPr="00E2538B" w:rsidRDefault="00E2538B" w:rsidP="001F0917">
            <w:pPr>
              <w:keepNext/>
              <w:tabs>
                <w:tab w:val="clear" w:pos="567"/>
              </w:tabs>
              <w:spacing w:after="0" w:line="240" w:lineRule="auto"/>
              <w:ind w:left="142" w:hanging="142"/>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Population growth</w:t>
            </w:r>
          </w:p>
        </w:tc>
        <w:tc>
          <w:tcPr>
            <w:tcW w:w="5556" w:type="dxa"/>
            <w:tcBorders>
              <w:top w:val="nil"/>
              <w:left w:val="nil"/>
              <w:bottom w:val="nil"/>
              <w:right w:val="nil"/>
            </w:tcBorders>
            <w:shd w:val="clear" w:color="auto" w:fill="auto"/>
            <w:hideMark/>
          </w:tcPr>
          <w:p w:rsidR="00E2538B" w:rsidRPr="00E2538B" w:rsidRDefault="00E2538B" w:rsidP="00BA282B">
            <w:pPr>
              <w:keepNext/>
              <w:tabs>
                <w:tab w:val="clear" w:pos="567"/>
              </w:tabs>
              <w:spacing w:after="0" w:line="240" w:lineRule="auto"/>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With the fastest growing population, Western Australia requires more than average infrastructure.</w:t>
            </w:r>
          </w:p>
        </w:tc>
        <w:tc>
          <w:tcPr>
            <w:tcW w:w="799" w:type="dxa"/>
            <w:tcBorders>
              <w:top w:val="nil"/>
              <w:left w:val="nil"/>
              <w:bottom w:val="nil"/>
              <w:right w:val="nil"/>
            </w:tcBorders>
            <w:shd w:val="clear" w:color="auto" w:fill="auto"/>
            <w:noWrap/>
            <w:hideMark/>
          </w:tcPr>
          <w:p w:rsidR="00E2538B" w:rsidRPr="00E2538B" w:rsidRDefault="00E2538B" w:rsidP="001F0917">
            <w:pPr>
              <w:keepNext/>
              <w:tabs>
                <w:tab w:val="clear" w:pos="567"/>
              </w:tabs>
              <w:spacing w:after="0" w:line="240" w:lineRule="auto"/>
              <w:jc w:val="right"/>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373</w:t>
            </w:r>
          </w:p>
        </w:tc>
        <w:tc>
          <w:tcPr>
            <w:tcW w:w="799" w:type="dxa"/>
            <w:tcBorders>
              <w:top w:val="nil"/>
              <w:left w:val="nil"/>
              <w:bottom w:val="nil"/>
              <w:right w:val="nil"/>
            </w:tcBorders>
            <w:shd w:val="clear" w:color="auto" w:fill="auto"/>
            <w:noWrap/>
            <w:hideMark/>
          </w:tcPr>
          <w:p w:rsidR="00E2538B" w:rsidRPr="00E2538B" w:rsidRDefault="00E2538B" w:rsidP="001F0917">
            <w:pPr>
              <w:keepNext/>
              <w:tabs>
                <w:tab w:val="clear" w:pos="567"/>
              </w:tabs>
              <w:spacing w:after="0" w:line="240" w:lineRule="auto"/>
              <w:jc w:val="right"/>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1011</w:t>
            </w:r>
          </w:p>
        </w:tc>
      </w:tr>
      <w:tr w:rsidR="00E2538B" w:rsidRPr="00E2538B" w:rsidTr="00BA282B">
        <w:trPr>
          <w:trHeight w:val="315"/>
        </w:trPr>
        <w:tc>
          <w:tcPr>
            <w:tcW w:w="1757" w:type="dxa"/>
            <w:tcBorders>
              <w:top w:val="nil"/>
              <w:left w:val="nil"/>
              <w:bottom w:val="nil"/>
              <w:right w:val="nil"/>
            </w:tcBorders>
            <w:shd w:val="clear" w:color="auto" w:fill="auto"/>
            <w:hideMark/>
          </w:tcPr>
          <w:p w:rsidR="00E2538B" w:rsidRPr="00E2538B" w:rsidRDefault="00E2538B" w:rsidP="001F0917">
            <w:pPr>
              <w:keepNext/>
              <w:tabs>
                <w:tab w:val="clear" w:pos="567"/>
              </w:tabs>
              <w:spacing w:after="0" w:line="240" w:lineRule="auto"/>
              <w:ind w:left="142" w:hanging="142"/>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Wage costs</w:t>
            </w:r>
          </w:p>
        </w:tc>
        <w:tc>
          <w:tcPr>
            <w:tcW w:w="5556" w:type="dxa"/>
            <w:tcBorders>
              <w:top w:val="nil"/>
              <w:left w:val="nil"/>
              <w:bottom w:val="nil"/>
              <w:right w:val="nil"/>
            </w:tcBorders>
            <w:shd w:val="clear" w:color="auto" w:fill="auto"/>
            <w:hideMark/>
          </w:tcPr>
          <w:p w:rsidR="00E2538B" w:rsidRPr="00E2538B" w:rsidRDefault="00E2538B" w:rsidP="00BA282B">
            <w:pPr>
              <w:keepNext/>
              <w:tabs>
                <w:tab w:val="clear" w:pos="567"/>
              </w:tabs>
              <w:spacing w:after="0" w:line="240" w:lineRule="auto"/>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Western Australia has above average wage costs.</w:t>
            </w:r>
          </w:p>
        </w:tc>
        <w:tc>
          <w:tcPr>
            <w:tcW w:w="799" w:type="dxa"/>
            <w:tcBorders>
              <w:top w:val="nil"/>
              <w:left w:val="nil"/>
              <w:bottom w:val="nil"/>
              <w:right w:val="nil"/>
            </w:tcBorders>
            <w:shd w:val="clear" w:color="auto" w:fill="auto"/>
            <w:noWrap/>
            <w:hideMark/>
          </w:tcPr>
          <w:p w:rsidR="00E2538B" w:rsidRPr="00E2538B" w:rsidRDefault="00E2538B" w:rsidP="001F0917">
            <w:pPr>
              <w:keepNext/>
              <w:tabs>
                <w:tab w:val="clear" w:pos="567"/>
              </w:tabs>
              <w:spacing w:after="0" w:line="240" w:lineRule="auto"/>
              <w:jc w:val="right"/>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311</w:t>
            </w:r>
          </w:p>
        </w:tc>
        <w:tc>
          <w:tcPr>
            <w:tcW w:w="799" w:type="dxa"/>
            <w:tcBorders>
              <w:top w:val="nil"/>
              <w:left w:val="nil"/>
              <w:bottom w:val="nil"/>
              <w:right w:val="nil"/>
            </w:tcBorders>
            <w:shd w:val="clear" w:color="auto" w:fill="auto"/>
            <w:noWrap/>
            <w:hideMark/>
          </w:tcPr>
          <w:p w:rsidR="00E2538B" w:rsidRPr="00E2538B" w:rsidRDefault="00E2538B" w:rsidP="001F0917">
            <w:pPr>
              <w:keepNext/>
              <w:tabs>
                <w:tab w:val="clear" w:pos="567"/>
              </w:tabs>
              <w:spacing w:after="0" w:line="240" w:lineRule="auto"/>
              <w:jc w:val="right"/>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842</w:t>
            </w:r>
          </w:p>
        </w:tc>
      </w:tr>
      <w:tr w:rsidR="00E2538B" w:rsidRPr="00E2538B" w:rsidTr="00BA282B">
        <w:trPr>
          <w:trHeight w:val="555"/>
        </w:trPr>
        <w:tc>
          <w:tcPr>
            <w:tcW w:w="1757" w:type="dxa"/>
            <w:tcBorders>
              <w:top w:val="nil"/>
              <w:left w:val="nil"/>
              <w:bottom w:val="nil"/>
              <w:right w:val="nil"/>
            </w:tcBorders>
            <w:shd w:val="clear" w:color="auto" w:fill="auto"/>
            <w:hideMark/>
          </w:tcPr>
          <w:p w:rsidR="00E2538B" w:rsidRPr="00E2538B" w:rsidRDefault="00E2538B" w:rsidP="001F0917">
            <w:pPr>
              <w:keepNext/>
              <w:tabs>
                <w:tab w:val="clear" w:pos="567"/>
              </w:tabs>
              <w:spacing w:after="0" w:line="240" w:lineRule="auto"/>
              <w:ind w:left="142" w:hanging="142"/>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Remoteness</w:t>
            </w:r>
          </w:p>
        </w:tc>
        <w:tc>
          <w:tcPr>
            <w:tcW w:w="5556" w:type="dxa"/>
            <w:tcBorders>
              <w:top w:val="nil"/>
              <w:left w:val="nil"/>
              <w:bottom w:val="nil"/>
              <w:right w:val="nil"/>
            </w:tcBorders>
            <w:shd w:val="clear" w:color="auto" w:fill="auto"/>
            <w:hideMark/>
          </w:tcPr>
          <w:p w:rsidR="00E2538B" w:rsidRPr="00E2538B" w:rsidRDefault="00E2538B" w:rsidP="00BA282B">
            <w:pPr>
              <w:keepNext/>
              <w:tabs>
                <w:tab w:val="clear" w:pos="567"/>
              </w:tabs>
              <w:spacing w:after="0" w:line="240" w:lineRule="auto"/>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Western Australia has a relatively large population in remote areas, and Perth is assessed to have higher than average costs.</w:t>
            </w:r>
          </w:p>
        </w:tc>
        <w:tc>
          <w:tcPr>
            <w:tcW w:w="799" w:type="dxa"/>
            <w:tcBorders>
              <w:top w:val="nil"/>
              <w:left w:val="nil"/>
              <w:bottom w:val="nil"/>
              <w:right w:val="nil"/>
            </w:tcBorders>
            <w:shd w:val="clear" w:color="auto" w:fill="auto"/>
            <w:noWrap/>
            <w:hideMark/>
          </w:tcPr>
          <w:p w:rsidR="00E2538B" w:rsidRPr="00E2538B" w:rsidRDefault="00E2538B" w:rsidP="001F0917">
            <w:pPr>
              <w:keepNext/>
              <w:tabs>
                <w:tab w:val="clear" w:pos="567"/>
              </w:tabs>
              <w:spacing w:after="0" w:line="240" w:lineRule="auto"/>
              <w:jc w:val="right"/>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187</w:t>
            </w:r>
          </w:p>
        </w:tc>
        <w:tc>
          <w:tcPr>
            <w:tcW w:w="799" w:type="dxa"/>
            <w:tcBorders>
              <w:top w:val="nil"/>
              <w:left w:val="nil"/>
              <w:bottom w:val="nil"/>
              <w:right w:val="nil"/>
            </w:tcBorders>
            <w:shd w:val="clear" w:color="auto" w:fill="auto"/>
            <w:noWrap/>
            <w:hideMark/>
          </w:tcPr>
          <w:p w:rsidR="00E2538B" w:rsidRPr="00E2538B" w:rsidRDefault="00E2538B" w:rsidP="001F0917">
            <w:pPr>
              <w:keepNext/>
              <w:tabs>
                <w:tab w:val="clear" w:pos="567"/>
              </w:tabs>
              <w:spacing w:after="0" w:line="240" w:lineRule="auto"/>
              <w:jc w:val="right"/>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508</w:t>
            </w:r>
          </w:p>
        </w:tc>
      </w:tr>
      <w:tr w:rsidR="00E2538B" w:rsidRPr="00E2538B" w:rsidTr="00BA282B">
        <w:trPr>
          <w:trHeight w:val="555"/>
        </w:trPr>
        <w:tc>
          <w:tcPr>
            <w:tcW w:w="1757" w:type="dxa"/>
            <w:tcBorders>
              <w:top w:val="nil"/>
              <w:left w:val="nil"/>
              <w:bottom w:val="nil"/>
              <w:right w:val="nil"/>
            </w:tcBorders>
            <w:shd w:val="clear" w:color="auto" w:fill="auto"/>
            <w:hideMark/>
          </w:tcPr>
          <w:p w:rsidR="00E2538B" w:rsidRPr="00E2538B" w:rsidRDefault="00E2538B" w:rsidP="001F0917">
            <w:pPr>
              <w:keepNext/>
              <w:tabs>
                <w:tab w:val="clear" w:pos="567"/>
              </w:tabs>
              <w:spacing w:after="0" w:line="240" w:lineRule="auto"/>
              <w:ind w:left="142" w:hanging="142"/>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Non-State sector</w:t>
            </w:r>
          </w:p>
        </w:tc>
        <w:tc>
          <w:tcPr>
            <w:tcW w:w="5556" w:type="dxa"/>
            <w:tcBorders>
              <w:top w:val="nil"/>
              <w:left w:val="nil"/>
              <w:bottom w:val="nil"/>
              <w:right w:val="nil"/>
            </w:tcBorders>
            <w:shd w:val="clear" w:color="auto" w:fill="auto"/>
            <w:hideMark/>
          </w:tcPr>
          <w:p w:rsidR="00E2538B" w:rsidRPr="00E2538B" w:rsidRDefault="00E2538B" w:rsidP="00BA282B">
            <w:pPr>
              <w:keepNext/>
              <w:tabs>
                <w:tab w:val="clear" w:pos="567"/>
              </w:tabs>
              <w:spacing w:after="0" w:line="240" w:lineRule="auto"/>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Western Australia has below average non-State sector provision of health services, so the State has to provide more than average.</w:t>
            </w:r>
          </w:p>
        </w:tc>
        <w:tc>
          <w:tcPr>
            <w:tcW w:w="799" w:type="dxa"/>
            <w:tcBorders>
              <w:top w:val="nil"/>
              <w:left w:val="nil"/>
              <w:bottom w:val="nil"/>
              <w:right w:val="nil"/>
            </w:tcBorders>
            <w:shd w:val="clear" w:color="auto" w:fill="auto"/>
            <w:noWrap/>
            <w:hideMark/>
          </w:tcPr>
          <w:p w:rsidR="00E2538B" w:rsidRPr="00E2538B" w:rsidRDefault="00E2538B" w:rsidP="001F0917">
            <w:pPr>
              <w:keepNext/>
              <w:tabs>
                <w:tab w:val="clear" w:pos="567"/>
              </w:tabs>
              <w:spacing w:after="0" w:line="240" w:lineRule="auto"/>
              <w:jc w:val="right"/>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158</w:t>
            </w:r>
          </w:p>
        </w:tc>
        <w:tc>
          <w:tcPr>
            <w:tcW w:w="799" w:type="dxa"/>
            <w:tcBorders>
              <w:top w:val="nil"/>
              <w:left w:val="nil"/>
              <w:bottom w:val="nil"/>
              <w:right w:val="nil"/>
            </w:tcBorders>
            <w:shd w:val="clear" w:color="auto" w:fill="auto"/>
            <w:noWrap/>
            <w:hideMark/>
          </w:tcPr>
          <w:p w:rsidR="00E2538B" w:rsidRPr="00E2538B" w:rsidRDefault="00E2538B" w:rsidP="001F0917">
            <w:pPr>
              <w:keepNext/>
              <w:tabs>
                <w:tab w:val="clear" w:pos="567"/>
              </w:tabs>
              <w:spacing w:after="0" w:line="240" w:lineRule="auto"/>
              <w:jc w:val="right"/>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428</w:t>
            </w:r>
          </w:p>
        </w:tc>
      </w:tr>
      <w:tr w:rsidR="00E2538B" w:rsidRPr="00E2538B" w:rsidTr="00BA282B">
        <w:trPr>
          <w:trHeight w:val="1035"/>
        </w:trPr>
        <w:tc>
          <w:tcPr>
            <w:tcW w:w="1757" w:type="dxa"/>
            <w:tcBorders>
              <w:top w:val="nil"/>
              <w:left w:val="nil"/>
              <w:bottom w:val="nil"/>
              <w:right w:val="nil"/>
            </w:tcBorders>
            <w:shd w:val="clear" w:color="auto" w:fill="auto"/>
            <w:hideMark/>
          </w:tcPr>
          <w:p w:rsidR="00E2538B" w:rsidRPr="00E2538B" w:rsidRDefault="00E2538B" w:rsidP="001F0917">
            <w:pPr>
              <w:keepNext/>
              <w:tabs>
                <w:tab w:val="clear" w:pos="567"/>
              </w:tabs>
              <w:spacing w:after="0" w:line="240" w:lineRule="auto"/>
              <w:ind w:left="142" w:hanging="142"/>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Socio-economic status</w:t>
            </w:r>
          </w:p>
        </w:tc>
        <w:tc>
          <w:tcPr>
            <w:tcW w:w="5556" w:type="dxa"/>
            <w:tcBorders>
              <w:top w:val="nil"/>
              <w:left w:val="nil"/>
              <w:bottom w:val="nil"/>
              <w:right w:val="nil"/>
            </w:tcBorders>
            <w:shd w:val="clear" w:color="auto" w:fill="auto"/>
            <w:hideMark/>
          </w:tcPr>
          <w:p w:rsidR="00E2538B" w:rsidRPr="00E2538B" w:rsidRDefault="00E2538B" w:rsidP="00BA282B">
            <w:pPr>
              <w:keepNext/>
              <w:tabs>
                <w:tab w:val="clear" w:pos="567"/>
              </w:tabs>
              <w:spacing w:after="0" w:line="240" w:lineRule="auto"/>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Western Australia has a below average proportion of low socio-economic status people among its non-Indigenous population. The high levels of disadvantage in the Indigenous population mitigate this slightly.</w:t>
            </w:r>
          </w:p>
        </w:tc>
        <w:tc>
          <w:tcPr>
            <w:tcW w:w="799" w:type="dxa"/>
            <w:tcBorders>
              <w:top w:val="nil"/>
              <w:left w:val="nil"/>
              <w:bottom w:val="nil"/>
              <w:right w:val="nil"/>
            </w:tcBorders>
            <w:shd w:val="clear" w:color="auto" w:fill="auto"/>
            <w:noWrap/>
            <w:hideMark/>
          </w:tcPr>
          <w:p w:rsidR="00E2538B" w:rsidRPr="00E2538B" w:rsidRDefault="00E2538B" w:rsidP="001F0917">
            <w:pPr>
              <w:keepNext/>
              <w:tabs>
                <w:tab w:val="clear" w:pos="567"/>
              </w:tabs>
              <w:spacing w:after="0" w:line="240" w:lineRule="auto"/>
              <w:jc w:val="right"/>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-108</w:t>
            </w:r>
          </w:p>
        </w:tc>
        <w:tc>
          <w:tcPr>
            <w:tcW w:w="799" w:type="dxa"/>
            <w:tcBorders>
              <w:top w:val="nil"/>
              <w:left w:val="nil"/>
              <w:bottom w:val="nil"/>
              <w:right w:val="nil"/>
            </w:tcBorders>
            <w:shd w:val="clear" w:color="auto" w:fill="auto"/>
            <w:noWrap/>
            <w:hideMark/>
          </w:tcPr>
          <w:p w:rsidR="00E2538B" w:rsidRPr="00E2538B" w:rsidRDefault="00E2538B" w:rsidP="001F0917">
            <w:pPr>
              <w:keepNext/>
              <w:tabs>
                <w:tab w:val="clear" w:pos="567"/>
              </w:tabs>
              <w:spacing w:after="0" w:line="240" w:lineRule="auto"/>
              <w:jc w:val="right"/>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-293</w:t>
            </w:r>
          </w:p>
        </w:tc>
      </w:tr>
      <w:tr w:rsidR="00E2538B" w:rsidRPr="00E2538B" w:rsidTr="00BA282B">
        <w:trPr>
          <w:trHeight w:val="555"/>
        </w:trPr>
        <w:tc>
          <w:tcPr>
            <w:tcW w:w="1757" w:type="dxa"/>
            <w:tcBorders>
              <w:top w:val="nil"/>
              <w:left w:val="nil"/>
              <w:bottom w:val="nil"/>
              <w:right w:val="nil"/>
            </w:tcBorders>
            <w:shd w:val="clear" w:color="auto" w:fill="auto"/>
            <w:hideMark/>
          </w:tcPr>
          <w:p w:rsidR="00E2538B" w:rsidRPr="00E2538B" w:rsidRDefault="00E2538B" w:rsidP="001F0917">
            <w:pPr>
              <w:keepNext/>
              <w:tabs>
                <w:tab w:val="clear" w:pos="567"/>
              </w:tabs>
              <w:spacing w:after="0" w:line="240" w:lineRule="auto"/>
              <w:ind w:left="142" w:hanging="142"/>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Land values</w:t>
            </w:r>
          </w:p>
        </w:tc>
        <w:tc>
          <w:tcPr>
            <w:tcW w:w="5556" w:type="dxa"/>
            <w:tcBorders>
              <w:top w:val="nil"/>
              <w:left w:val="nil"/>
              <w:bottom w:val="nil"/>
              <w:right w:val="nil"/>
            </w:tcBorders>
            <w:shd w:val="clear" w:color="auto" w:fill="auto"/>
            <w:hideMark/>
          </w:tcPr>
          <w:p w:rsidR="00E2538B" w:rsidRPr="00E2538B" w:rsidRDefault="00E2538B" w:rsidP="00BA282B">
            <w:pPr>
              <w:keepNext/>
              <w:tabs>
                <w:tab w:val="clear" w:pos="567"/>
              </w:tabs>
              <w:spacing w:after="0" w:line="240" w:lineRule="auto"/>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With high land values, Western Australia has a high capacity to raise land tax.</w:t>
            </w:r>
          </w:p>
        </w:tc>
        <w:tc>
          <w:tcPr>
            <w:tcW w:w="799" w:type="dxa"/>
            <w:tcBorders>
              <w:top w:val="nil"/>
              <w:left w:val="nil"/>
              <w:bottom w:val="nil"/>
              <w:right w:val="nil"/>
            </w:tcBorders>
            <w:shd w:val="clear" w:color="auto" w:fill="auto"/>
            <w:noWrap/>
            <w:hideMark/>
          </w:tcPr>
          <w:p w:rsidR="00E2538B" w:rsidRPr="00E2538B" w:rsidRDefault="00E2538B" w:rsidP="001F0917">
            <w:pPr>
              <w:keepNext/>
              <w:tabs>
                <w:tab w:val="clear" w:pos="567"/>
              </w:tabs>
              <w:spacing w:after="0" w:line="240" w:lineRule="auto"/>
              <w:jc w:val="right"/>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-99</w:t>
            </w:r>
          </w:p>
        </w:tc>
        <w:tc>
          <w:tcPr>
            <w:tcW w:w="799" w:type="dxa"/>
            <w:tcBorders>
              <w:top w:val="nil"/>
              <w:left w:val="nil"/>
              <w:bottom w:val="nil"/>
              <w:right w:val="nil"/>
            </w:tcBorders>
            <w:shd w:val="clear" w:color="auto" w:fill="auto"/>
            <w:noWrap/>
            <w:hideMark/>
          </w:tcPr>
          <w:p w:rsidR="00E2538B" w:rsidRPr="00E2538B" w:rsidRDefault="00E2538B" w:rsidP="001F0917">
            <w:pPr>
              <w:keepNext/>
              <w:tabs>
                <w:tab w:val="clear" w:pos="567"/>
              </w:tabs>
              <w:spacing w:after="0" w:line="240" w:lineRule="auto"/>
              <w:jc w:val="right"/>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-269</w:t>
            </w:r>
          </w:p>
        </w:tc>
      </w:tr>
      <w:tr w:rsidR="00E2538B" w:rsidRPr="00E2538B" w:rsidTr="00BA282B">
        <w:trPr>
          <w:trHeight w:val="555"/>
        </w:trPr>
        <w:tc>
          <w:tcPr>
            <w:tcW w:w="1757" w:type="dxa"/>
            <w:tcBorders>
              <w:top w:val="nil"/>
              <w:left w:val="nil"/>
              <w:bottom w:val="nil"/>
              <w:right w:val="nil"/>
            </w:tcBorders>
            <w:shd w:val="clear" w:color="auto" w:fill="auto"/>
            <w:hideMark/>
          </w:tcPr>
          <w:p w:rsidR="00E2538B" w:rsidRPr="00E2538B" w:rsidRDefault="00E2538B" w:rsidP="001F0917">
            <w:pPr>
              <w:keepNext/>
              <w:tabs>
                <w:tab w:val="clear" w:pos="567"/>
              </w:tabs>
              <w:spacing w:after="0" w:line="240" w:lineRule="auto"/>
              <w:ind w:left="142" w:hanging="142"/>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Economic activity</w:t>
            </w:r>
          </w:p>
        </w:tc>
        <w:tc>
          <w:tcPr>
            <w:tcW w:w="5556" w:type="dxa"/>
            <w:tcBorders>
              <w:top w:val="nil"/>
              <w:left w:val="nil"/>
              <w:right w:val="nil"/>
            </w:tcBorders>
            <w:shd w:val="clear" w:color="auto" w:fill="auto"/>
            <w:hideMark/>
          </w:tcPr>
          <w:p w:rsidR="00E2538B" w:rsidRPr="00E2538B" w:rsidRDefault="00E2538B" w:rsidP="00BA282B">
            <w:pPr>
              <w:keepNext/>
              <w:tabs>
                <w:tab w:val="clear" w:pos="567"/>
              </w:tabs>
              <w:spacing w:after="0" w:line="240" w:lineRule="auto"/>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 xml:space="preserve">Western Australia has high levels of construction activity, which are subject to regulation. </w:t>
            </w:r>
          </w:p>
        </w:tc>
        <w:tc>
          <w:tcPr>
            <w:tcW w:w="799" w:type="dxa"/>
            <w:tcBorders>
              <w:top w:val="nil"/>
              <w:left w:val="nil"/>
              <w:bottom w:val="nil"/>
              <w:right w:val="nil"/>
            </w:tcBorders>
            <w:shd w:val="clear" w:color="auto" w:fill="auto"/>
            <w:noWrap/>
            <w:hideMark/>
          </w:tcPr>
          <w:p w:rsidR="00E2538B" w:rsidRPr="00E2538B" w:rsidRDefault="00E2538B" w:rsidP="001F0917">
            <w:pPr>
              <w:keepNext/>
              <w:tabs>
                <w:tab w:val="clear" w:pos="567"/>
              </w:tabs>
              <w:spacing w:after="0" w:line="240" w:lineRule="auto"/>
              <w:jc w:val="right"/>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76</w:t>
            </w:r>
          </w:p>
        </w:tc>
        <w:tc>
          <w:tcPr>
            <w:tcW w:w="799" w:type="dxa"/>
            <w:tcBorders>
              <w:top w:val="nil"/>
              <w:left w:val="nil"/>
              <w:bottom w:val="nil"/>
              <w:right w:val="nil"/>
            </w:tcBorders>
            <w:shd w:val="clear" w:color="auto" w:fill="auto"/>
            <w:noWrap/>
            <w:hideMark/>
          </w:tcPr>
          <w:p w:rsidR="00E2538B" w:rsidRPr="00E2538B" w:rsidRDefault="00E2538B" w:rsidP="001F0917">
            <w:pPr>
              <w:keepNext/>
              <w:tabs>
                <w:tab w:val="clear" w:pos="567"/>
              </w:tabs>
              <w:spacing w:after="0" w:line="240" w:lineRule="auto"/>
              <w:jc w:val="right"/>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206</w:t>
            </w:r>
          </w:p>
        </w:tc>
      </w:tr>
      <w:tr w:rsidR="00E2538B" w:rsidRPr="00E2538B" w:rsidTr="003C00E3">
        <w:trPr>
          <w:trHeight w:val="315"/>
        </w:trPr>
        <w:tc>
          <w:tcPr>
            <w:tcW w:w="1757" w:type="dxa"/>
            <w:tcBorders>
              <w:top w:val="nil"/>
              <w:left w:val="nil"/>
              <w:bottom w:val="nil"/>
              <w:right w:val="nil"/>
            </w:tcBorders>
            <w:shd w:val="clear" w:color="auto" w:fill="auto"/>
            <w:hideMark/>
          </w:tcPr>
          <w:p w:rsidR="00E2538B" w:rsidRPr="00E2538B" w:rsidRDefault="00E2538B" w:rsidP="001F0917">
            <w:pPr>
              <w:keepNext/>
              <w:tabs>
                <w:tab w:val="clear" w:pos="567"/>
              </w:tabs>
              <w:spacing w:after="0" w:line="240" w:lineRule="auto"/>
              <w:ind w:left="142" w:hanging="142"/>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Other</w:t>
            </w:r>
          </w:p>
        </w:tc>
        <w:tc>
          <w:tcPr>
            <w:tcW w:w="5556" w:type="dxa"/>
            <w:tcBorders>
              <w:top w:val="nil"/>
              <w:left w:val="nil"/>
              <w:right w:val="nil"/>
            </w:tcBorders>
            <w:shd w:val="clear" w:color="auto" w:fill="auto"/>
            <w:vAlign w:val="bottom"/>
            <w:hideMark/>
          </w:tcPr>
          <w:p w:rsidR="00E2538B" w:rsidRPr="00E2538B" w:rsidRDefault="00E2538B" w:rsidP="001F0917">
            <w:pPr>
              <w:keepNext/>
              <w:tabs>
                <w:tab w:val="clear" w:pos="567"/>
              </w:tabs>
              <w:spacing w:after="0" w:line="240" w:lineRule="auto"/>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 xml:space="preserve"> </w:t>
            </w:r>
          </w:p>
        </w:tc>
        <w:tc>
          <w:tcPr>
            <w:tcW w:w="799" w:type="dxa"/>
            <w:tcBorders>
              <w:top w:val="nil"/>
              <w:left w:val="nil"/>
              <w:bottom w:val="nil"/>
              <w:right w:val="nil"/>
            </w:tcBorders>
            <w:shd w:val="clear" w:color="auto" w:fill="auto"/>
            <w:noWrap/>
            <w:hideMark/>
          </w:tcPr>
          <w:p w:rsidR="00E2538B" w:rsidRPr="00E2538B" w:rsidRDefault="00E2538B" w:rsidP="001F0917">
            <w:pPr>
              <w:keepNext/>
              <w:tabs>
                <w:tab w:val="clear" w:pos="567"/>
              </w:tabs>
              <w:spacing w:after="0" w:line="240" w:lineRule="auto"/>
              <w:jc w:val="right"/>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38</w:t>
            </w:r>
          </w:p>
        </w:tc>
        <w:tc>
          <w:tcPr>
            <w:tcW w:w="799" w:type="dxa"/>
            <w:tcBorders>
              <w:top w:val="nil"/>
              <w:left w:val="nil"/>
              <w:bottom w:val="nil"/>
              <w:right w:val="nil"/>
            </w:tcBorders>
            <w:shd w:val="clear" w:color="auto" w:fill="auto"/>
            <w:noWrap/>
            <w:hideMark/>
          </w:tcPr>
          <w:p w:rsidR="00E2538B" w:rsidRPr="00E2538B" w:rsidRDefault="00E2538B" w:rsidP="001F0917">
            <w:pPr>
              <w:keepNext/>
              <w:tabs>
                <w:tab w:val="clear" w:pos="567"/>
              </w:tabs>
              <w:spacing w:after="0" w:line="240" w:lineRule="auto"/>
              <w:jc w:val="right"/>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102</w:t>
            </w:r>
          </w:p>
        </w:tc>
      </w:tr>
      <w:tr w:rsidR="00E2538B" w:rsidRPr="00E2538B" w:rsidTr="003C00E3">
        <w:trPr>
          <w:trHeight w:val="315"/>
        </w:trPr>
        <w:tc>
          <w:tcPr>
            <w:tcW w:w="1757" w:type="dxa"/>
            <w:tcBorders>
              <w:top w:val="nil"/>
              <w:left w:val="nil"/>
              <w:bottom w:val="single" w:sz="4" w:space="0" w:color="auto"/>
              <w:right w:val="nil"/>
            </w:tcBorders>
            <w:shd w:val="clear" w:color="auto" w:fill="auto"/>
            <w:vAlign w:val="bottom"/>
            <w:hideMark/>
          </w:tcPr>
          <w:p w:rsidR="00E2538B" w:rsidRPr="00E2538B" w:rsidRDefault="00E2538B" w:rsidP="001F0917">
            <w:pPr>
              <w:tabs>
                <w:tab w:val="clear" w:pos="567"/>
              </w:tabs>
              <w:spacing w:after="0" w:line="240" w:lineRule="auto"/>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Total</w:t>
            </w:r>
          </w:p>
        </w:tc>
        <w:tc>
          <w:tcPr>
            <w:tcW w:w="5556" w:type="dxa"/>
            <w:tcBorders>
              <w:left w:val="nil"/>
              <w:bottom w:val="single" w:sz="4" w:space="0" w:color="auto"/>
              <w:right w:val="nil"/>
            </w:tcBorders>
            <w:shd w:val="clear" w:color="auto" w:fill="auto"/>
            <w:vAlign w:val="bottom"/>
            <w:hideMark/>
          </w:tcPr>
          <w:p w:rsidR="00E2538B" w:rsidRPr="00E2538B" w:rsidRDefault="00E2538B" w:rsidP="001F0917">
            <w:pPr>
              <w:tabs>
                <w:tab w:val="clear" w:pos="567"/>
              </w:tabs>
              <w:spacing w:after="0" w:line="240" w:lineRule="auto"/>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 xml:space="preserve"> </w:t>
            </w:r>
          </w:p>
        </w:tc>
        <w:tc>
          <w:tcPr>
            <w:tcW w:w="799" w:type="dxa"/>
            <w:tcBorders>
              <w:top w:val="single" w:sz="4" w:space="0" w:color="auto"/>
              <w:left w:val="nil"/>
              <w:bottom w:val="single" w:sz="4" w:space="0" w:color="auto"/>
              <w:right w:val="nil"/>
            </w:tcBorders>
            <w:shd w:val="clear" w:color="auto" w:fill="auto"/>
            <w:noWrap/>
            <w:vAlign w:val="bottom"/>
            <w:hideMark/>
          </w:tcPr>
          <w:p w:rsidR="00E2538B" w:rsidRPr="00E2538B" w:rsidRDefault="00E2538B" w:rsidP="001F0917">
            <w:pPr>
              <w:tabs>
                <w:tab w:val="clear" w:pos="567"/>
              </w:tabs>
              <w:spacing w:after="0" w:line="240" w:lineRule="auto"/>
              <w:jc w:val="right"/>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-1 656</w:t>
            </w:r>
          </w:p>
        </w:tc>
        <w:tc>
          <w:tcPr>
            <w:tcW w:w="799" w:type="dxa"/>
            <w:tcBorders>
              <w:top w:val="single" w:sz="4" w:space="0" w:color="auto"/>
              <w:left w:val="nil"/>
              <w:bottom w:val="single" w:sz="4" w:space="0" w:color="auto"/>
              <w:right w:val="nil"/>
            </w:tcBorders>
            <w:shd w:val="clear" w:color="auto" w:fill="auto"/>
            <w:noWrap/>
            <w:vAlign w:val="bottom"/>
            <w:hideMark/>
          </w:tcPr>
          <w:p w:rsidR="00E2538B" w:rsidRPr="00E2538B" w:rsidRDefault="00E2538B" w:rsidP="001F0917">
            <w:pPr>
              <w:tabs>
                <w:tab w:val="clear" w:pos="567"/>
              </w:tabs>
              <w:spacing w:after="0" w:line="240" w:lineRule="auto"/>
              <w:jc w:val="right"/>
              <w:rPr>
                <w:rFonts w:ascii="Calibri" w:eastAsia="Times New Roman" w:hAnsi="Calibri" w:cs="Times New Roman"/>
                <w:sz w:val="20"/>
                <w:szCs w:val="20"/>
                <w:lang w:eastAsia="en-AU"/>
              </w:rPr>
            </w:pPr>
            <w:r w:rsidRPr="00E2538B">
              <w:rPr>
                <w:rFonts w:ascii="Calibri" w:eastAsia="Times New Roman" w:hAnsi="Calibri" w:cs="Times New Roman"/>
                <w:sz w:val="20"/>
                <w:szCs w:val="20"/>
                <w:lang w:eastAsia="en-AU"/>
              </w:rPr>
              <w:t>-4 490</w:t>
            </w:r>
          </w:p>
        </w:tc>
      </w:tr>
    </w:tbl>
    <w:p w:rsidR="001F0917" w:rsidRDefault="001F0917" w:rsidP="001F0917">
      <w:pPr>
        <w:pStyle w:val="CGCTableFootnote"/>
      </w:pPr>
      <w:r>
        <w:t>Source:</w:t>
      </w:r>
      <w:r>
        <w:tab/>
        <w:t>Commission calculation</w:t>
      </w:r>
    </w:p>
    <w:p w:rsidR="008E181B" w:rsidRDefault="008E181B" w:rsidP="00FF7697">
      <w:pPr>
        <w:pStyle w:val="Caption"/>
      </w:pPr>
      <w:r>
        <w:t xml:space="preserve">Table </w:t>
      </w:r>
      <w:fldSimple w:instr=" SEQ Table \* ARABIC ">
        <w:r w:rsidR="007B6A4C">
          <w:rPr>
            <w:noProof/>
          </w:rPr>
          <w:t>5</w:t>
        </w:r>
      </w:fldSimple>
      <w:r>
        <w:tab/>
        <w:t>Major drivers of difference from EPC, South Australia</w:t>
      </w:r>
    </w:p>
    <w:tbl>
      <w:tblPr>
        <w:tblW w:w="8911" w:type="dxa"/>
        <w:tblInd w:w="108" w:type="dxa"/>
        <w:tblLook w:val="04A0" w:firstRow="1" w:lastRow="0" w:firstColumn="1" w:lastColumn="0" w:noHBand="0" w:noVBand="1"/>
      </w:tblPr>
      <w:tblGrid>
        <w:gridCol w:w="1757"/>
        <w:gridCol w:w="5556"/>
        <w:gridCol w:w="799"/>
        <w:gridCol w:w="799"/>
      </w:tblGrid>
      <w:tr w:rsidR="00FF7697" w:rsidRPr="00FF7697" w:rsidTr="003C00E3">
        <w:trPr>
          <w:trHeight w:val="425"/>
        </w:trPr>
        <w:tc>
          <w:tcPr>
            <w:tcW w:w="1757" w:type="dxa"/>
            <w:tcBorders>
              <w:top w:val="single" w:sz="4" w:space="0" w:color="auto"/>
              <w:left w:val="nil"/>
              <w:bottom w:val="single" w:sz="4" w:space="0" w:color="auto"/>
              <w:right w:val="nil"/>
            </w:tcBorders>
            <w:shd w:val="clear" w:color="auto" w:fill="auto"/>
            <w:noWrap/>
            <w:vAlign w:val="center"/>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bookmarkStart w:id="33" w:name="RANGE!A62:C73"/>
            <w:r w:rsidRPr="00FF7697">
              <w:rPr>
                <w:rFonts w:ascii="Calibri" w:eastAsia="Times New Roman" w:hAnsi="Calibri" w:cs="Times New Roman"/>
                <w:sz w:val="20"/>
                <w:szCs w:val="20"/>
                <w:lang w:eastAsia="en-AU"/>
              </w:rPr>
              <w:t>Driver</w:t>
            </w:r>
            <w:bookmarkEnd w:id="33"/>
          </w:p>
        </w:tc>
        <w:tc>
          <w:tcPr>
            <w:tcW w:w="5556" w:type="dxa"/>
            <w:tcBorders>
              <w:top w:val="single" w:sz="4" w:space="0" w:color="auto"/>
              <w:left w:val="nil"/>
              <w:bottom w:val="single" w:sz="4" w:space="0" w:color="auto"/>
              <w:right w:val="nil"/>
            </w:tcBorders>
            <w:shd w:val="clear" w:color="auto" w:fill="auto"/>
            <w:vAlign w:val="center"/>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Explanation</w:t>
            </w:r>
          </w:p>
        </w:tc>
        <w:tc>
          <w:tcPr>
            <w:tcW w:w="799" w:type="dxa"/>
            <w:tcBorders>
              <w:top w:val="single" w:sz="4" w:space="0" w:color="auto"/>
              <w:left w:val="nil"/>
              <w:bottom w:val="single" w:sz="4" w:space="0" w:color="auto"/>
              <w:right w:val="nil"/>
            </w:tcBorders>
            <w:shd w:val="clear" w:color="auto" w:fill="auto"/>
            <w:vAlign w:val="center"/>
            <w:hideMark/>
          </w:tcPr>
          <w:p w:rsidR="00FF7697" w:rsidRPr="00FF7697" w:rsidRDefault="003C00E3" w:rsidP="001F0917">
            <w:pPr>
              <w:keepNext/>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w:t>
            </w:r>
            <w:r w:rsidR="001F0917">
              <w:rPr>
                <w:rFonts w:ascii="Calibri" w:eastAsia="Times New Roman" w:hAnsi="Calibri" w:cs="Times New Roman"/>
                <w:sz w:val="20"/>
                <w:szCs w:val="20"/>
                <w:lang w:eastAsia="en-AU"/>
              </w:rPr>
              <w:t>pc</w:t>
            </w:r>
          </w:p>
        </w:tc>
        <w:tc>
          <w:tcPr>
            <w:tcW w:w="799" w:type="dxa"/>
            <w:tcBorders>
              <w:top w:val="single" w:sz="4" w:space="0" w:color="auto"/>
              <w:left w:val="nil"/>
              <w:bottom w:val="single" w:sz="4" w:space="0" w:color="auto"/>
              <w:right w:val="nil"/>
            </w:tcBorders>
            <w:shd w:val="clear" w:color="auto" w:fill="auto"/>
            <w:vAlign w:val="center"/>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$m</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1F0917">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Mining production</w:t>
            </w:r>
          </w:p>
        </w:tc>
        <w:tc>
          <w:tcPr>
            <w:tcW w:w="5556" w:type="dxa"/>
            <w:tcBorders>
              <w:top w:val="nil"/>
              <w:left w:val="nil"/>
              <w:bottom w:val="nil"/>
              <w:right w:val="nil"/>
            </w:tcBorders>
            <w:shd w:val="clear" w:color="auto" w:fill="auto"/>
            <w:hideMark/>
          </w:tcPr>
          <w:p w:rsidR="00FF7697" w:rsidRPr="00FF7697" w:rsidRDefault="00FF7697" w:rsidP="001F091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South Australia has a lower than average revenue per capita across most minerals.</w:t>
            </w:r>
          </w:p>
        </w:tc>
        <w:tc>
          <w:tcPr>
            <w:tcW w:w="799" w:type="dxa"/>
            <w:tcBorders>
              <w:top w:val="nil"/>
              <w:left w:val="nil"/>
              <w:bottom w:val="nil"/>
              <w:right w:val="nil"/>
            </w:tcBorders>
            <w:shd w:val="clear" w:color="auto" w:fill="auto"/>
            <w:noWrap/>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310</w:t>
            </w:r>
          </w:p>
        </w:tc>
        <w:tc>
          <w:tcPr>
            <w:tcW w:w="799" w:type="dxa"/>
            <w:tcBorders>
              <w:top w:val="nil"/>
              <w:left w:val="nil"/>
              <w:bottom w:val="nil"/>
              <w:right w:val="nil"/>
            </w:tcBorders>
            <w:shd w:val="clear" w:color="auto" w:fill="auto"/>
            <w:noWrap/>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529</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1F0917">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Property sales</w:t>
            </w:r>
          </w:p>
        </w:tc>
        <w:tc>
          <w:tcPr>
            <w:tcW w:w="5556" w:type="dxa"/>
            <w:tcBorders>
              <w:top w:val="nil"/>
              <w:left w:val="nil"/>
              <w:bottom w:val="nil"/>
              <w:right w:val="nil"/>
            </w:tcBorders>
            <w:shd w:val="clear" w:color="auto" w:fill="auto"/>
            <w:hideMark/>
          </w:tcPr>
          <w:p w:rsidR="00FF7697" w:rsidRPr="00FF7697" w:rsidRDefault="00FF7697" w:rsidP="001F091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South Australia has a below average per capita value of property conveyances.</w:t>
            </w:r>
          </w:p>
        </w:tc>
        <w:tc>
          <w:tcPr>
            <w:tcW w:w="799" w:type="dxa"/>
            <w:tcBorders>
              <w:top w:val="nil"/>
              <w:left w:val="nil"/>
              <w:bottom w:val="nil"/>
              <w:right w:val="nil"/>
            </w:tcBorders>
            <w:shd w:val="clear" w:color="auto" w:fill="auto"/>
            <w:noWrap/>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283</w:t>
            </w:r>
          </w:p>
        </w:tc>
        <w:tc>
          <w:tcPr>
            <w:tcW w:w="799" w:type="dxa"/>
            <w:tcBorders>
              <w:top w:val="nil"/>
              <w:left w:val="nil"/>
              <w:bottom w:val="nil"/>
              <w:right w:val="nil"/>
            </w:tcBorders>
            <w:shd w:val="clear" w:color="auto" w:fill="auto"/>
            <w:noWrap/>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483</w:t>
            </w:r>
          </w:p>
        </w:tc>
      </w:tr>
      <w:tr w:rsidR="00FF7697" w:rsidRPr="00FF7697" w:rsidTr="003C00E3">
        <w:trPr>
          <w:trHeight w:val="315"/>
        </w:trPr>
        <w:tc>
          <w:tcPr>
            <w:tcW w:w="1757" w:type="dxa"/>
            <w:tcBorders>
              <w:top w:val="nil"/>
              <w:left w:val="nil"/>
              <w:bottom w:val="nil"/>
              <w:right w:val="nil"/>
            </w:tcBorders>
            <w:shd w:val="clear" w:color="auto" w:fill="auto"/>
            <w:hideMark/>
          </w:tcPr>
          <w:p w:rsidR="00FF7697" w:rsidRPr="00FF7697" w:rsidRDefault="00FF7697" w:rsidP="001F0917">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Payrolls paid</w:t>
            </w:r>
          </w:p>
        </w:tc>
        <w:tc>
          <w:tcPr>
            <w:tcW w:w="5556" w:type="dxa"/>
            <w:tcBorders>
              <w:top w:val="nil"/>
              <w:left w:val="nil"/>
              <w:bottom w:val="nil"/>
              <w:right w:val="nil"/>
            </w:tcBorders>
            <w:shd w:val="clear" w:color="auto" w:fill="auto"/>
            <w:hideMark/>
          </w:tcPr>
          <w:p w:rsidR="00FF7697" w:rsidRPr="00FF7697" w:rsidRDefault="00FF7697" w:rsidP="001F091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South Australia has a below average value of taxable payrolls.</w:t>
            </w:r>
          </w:p>
        </w:tc>
        <w:tc>
          <w:tcPr>
            <w:tcW w:w="799" w:type="dxa"/>
            <w:tcBorders>
              <w:top w:val="nil"/>
              <w:left w:val="nil"/>
              <w:bottom w:val="nil"/>
              <w:right w:val="nil"/>
            </w:tcBorders>
            <w:shd w:val="clear" w:color="auto" w:fill="auto"/>
            <w:noWrap/>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227</w:t>
            </w:r>
          </w:p>
        </w:tc>
        <w:tc>
          <w:tcPr>
            <w:tcW w:w="799" w:type="dxa"/>
            <w:tcBorders>
              <w:top w:val="nil"/>
              <w:left w:val="nil"/>
              <w:bottom w:val="nil"/>
              <w:right w:val="nil"/>
            </w:tcBorders>
            <w:shd w:val="clear" w:color="auto" w:fill="auto"/>
            <w:noWrap/>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387</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1F0917">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Socio-economic status</w:t>
            </w:r>
          </w:p>
        </w:tc>
        <w:tc>
          <w:tcPr>
            <w:tcW w:w="5556" w:type="dxa"/>
            <w:tcBorders>
              <w:top w:val="nil"/>
              <w:left w:val="nil"/>
              <w:bottom w:val="nil"/>
              <w:right w:val="nil"/>
            </w:tcBorders>
            <w:shd w:val="clear" w:color="auto" w:fill="auto"/>
            <w:hideMark/>
          </w:tcPr>
          <w:p w:rsidR="00FF7697" w:rsidRPr="00FF7697" w:rsidRDefault="00FF7697" w:rsidP="001F091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South Australia has a high proportion of low socio-economic status people.</w:t>
            </w:r>
          </w:p>
        </w:tc>
        <w:tc>
          <w:tcPr>
            <w:tcW w:w="799" w:type="dxa"/>
            <w:tcBorders>
              <w:top w:val="nil"/>
              <w:left w:val="nil"/>
              <w:bottom w:val="nil"/>
              <w:right w:val="nil"/>
            </w:tcBorders>
            <w:shd w:val="clear" w:color="auto" w:fill="auto"/>
            <w:noWrap/>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181</w:t>
            </w:r>
          </w:p>
        </w:tc>
        <w:tc>
          <w:tcPr>
            <w:tcW w:w="799" w:type="dxa"/>
            <w:tcBorders>
              <w:top w:val="nil"/>
              <w:left w:val="nil"/>
              <w:bottom w:val="nil"/>
              <w:right w:val="nil"/>
            </w:tcBorders>
            <w:shd w:val="clear" w:color="auto" w:fill="auto"/>
            <w:noWrap/>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310</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1F0917">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Population growth</w:t>
            </w:r>
          </w:p>
        </w:tc>
        <w:tc>
          <w:tcPr>
            <w:tcW w:w="5556" w:type="dxa"/>
            <w:tcBorders>
              <w:top w:val="nil"/>
              <w:left w:val="nil"/>
              <w:bottom w:val="nil"/>
              <w:right w:val="nil"/>
            </w:tcBorders>
            <w:shd w:val="clear" w:color="auto" w:fill="auto"/>
            <w:hideMark/>
          </w:tcPr>
          <w:p w:rsidR="00FF7697" w:rsidRPr="00FF7697" w:rsidRDefault="00FF7697" w:rsidP="001F091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 xml:space="preserve">With a slow growing population, South Australia requires less than average </w:t>
            </w:r>
            <w:r w:rsidR="00EC179C">
              <w:rPr>
                <w:rFonts w:ascii="Calibri" w:eastAsia="Times New Roman" w:hAnsi="Calibri" w:cs="Times New Roman"/>
                <w:sz w:val="20"/>
                <w:szCs w:val="20"/>
                <w:lang w:eastAsia="en-AU"/>
              </w:rPr>
              <w:t xml:space="preserve">investment in </w:t>
            </w:r>
            <w:r w:rsidRPr="00FF7697">
              <w:rPr>
                <w:rFonts w:ascii="Calibri" w:eastAsia="Times New Roman" w:hAnsi="Calibri" w:cs="Times New Roman"/>
                <w:sz w:val="20"/>
                <w:szCs w:val="20"/>
                <w:lang w:eastAsia="en-AU"/>
              </w:rPr>
              <w:t>infrastructure</w:t>
            </w:r>
            <w:r w:rsidR="00EC179C">
              <w:rPr>
                <w:rFonts w:ascii="Calibri" w:eastAsia="Times New Roman" w:hAnsi="Calibri" w:cs="Times New Roman"/>
                <w:sz w:val="20"/>
                <w:szCs w:val="20"/>
                <w:lang w:eastAsia="en-AU"/>
              </w:rPr>
              <w:t xml:space="preserve"> per capita</w:t>
            </w:r>
            <w:r w:rsidRPr="00FF7697">
              <w:rPr>
                <w:rFonts w:ascii="Calibri" w:eastAsia="Times New Roman" w:hAnsi="Calibri" w:cs="Times New Roman"/>
                <w:sz w:val="20"/>
                <w:szCs w:val="20"/>
                <w:lang w:eastAsia="en-AU"/>
              </w:rPr>
              <w:t>.</w:t>
            </w:r>
          </w:p>
        </w:tc>
        <w:tc>
          <w:tcPr>
            <w:tcW w:w="799" w:type="dxa"/>
            <w:tcBorders>
              <w:top w:val="nil"/>
              <w:left w:val="nil"/>
              <w:bottom w:val="nil"/>
              <w:right w:val="nil"/>
            </w:tcBorders>
            <w:shd w:val="clear" w:color="auto" w:fill="auto"/>
            <w:noWrap/>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-157</w:t>
            </w:r>
          </w:p>
        </w:tc>
        <w:tc>
          <w:tcPr>
            <w:tcW w:w="799" w:type="dxa"/>
            <w:tcBorders>
              <w:top w:val="nil"/>
              <w:left w:val="nil"/>
              <w:bottom w:val="nil"/>
              <w:right w:val="nil"/>
            </w:tcBorders>
            <w:shd w:val="clear" w:color="auto" w:fill="auto"/>
            <w:noWrap/>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-268</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1F0917">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Land values</w:t>
            </w:r>
          </w:p>
        </w:tc>
        <w:tc>
          <w:tcPr>
            <w:tcW w:w="5556" w:type="dxa"/>
            <w:tcBorders>
              <w:top w:val="nil"/>
              <w:left w:val="nil"/>
              <w:bottom w:val="nil"/>
              <w:right w:val="nil"/>
            </w:tcBorders>
            <w:shd w:val="clear" w:color="auto" w:fill="auto"/>
            <w:hideMark/>
          </w:tcPr>
          <w:p w:rsidR="00FF7697" w:rsidRPr="00FF7697" w:rsidRDefault="00FF7697" w:rsidP="001F091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With low land values, South Australia has a low capacity to raise land tax.</w:t>
            </w:r>
          </w:p>
        </w:tc>
        <w:tc>
          <w:tcPr>
            <w:tcW w:w="799" w:type="dxa"/>
            <w:tcBorders>
              <w:top w:val="nil"/>
              <w:left w:val="nil"/>
              <w:bottom w:val="nil"/>
              <w:right w:val="nil"/>
            </w:tcBorders>
            <w:shd w:val="clear" w:color="auto" w:fill="auto"/>
            <w:noWrap/>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134</w:t>
            </w:r>
          </w:p>
        </w:tc>
        <w:tc>
          <w:tcPr>
            <w:tcW w:w="799" w:type="dxa"/>
            <w:tcBorders>
              <w:top w:val="nil"/>
              <w:left w:val="nil"/>
              <w:bottom w:val="nil"/>
              <w:right w:val="nil"/>
            </w:tcBorders>
            <w:shd w:val="clear" w:color="auto" w:fill="auto"/>
            <w:noWrap/>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229</w:t>
            </w:r>
          </w:p>
        </w:tc>
      </w:tr>
      <w:tr w:rsidR="00FF7697" w:rsidRPr="00FF7697" w:rsidTr="003C00E3">
        <w:trPr>
          <w:trHeight w:val="315"/>
        </w:trPr>
        <w:tc>
          <w:tcPr>
            <w:tcW w:w="1757" w:type="dxa"/>
            <w:tcBorders>
              <w:top w:val="nil"/>
              <w:left w:val="nil"/>
              <w:bottom w:val="nil"/>
              <w:right w:val="nil"/>
            </w:tcBorders>
            <w:shd w:val="clear" w:color="auto" w:fill="auto"/>
            <w:hideMark/>
          </w:tcPr>
          <w:p w:rsidR="00FF7697" w:rsidRPr="00FF7697" w:rsidRDefault="00FF7697" w:rsidP="001F0917">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Wage costs</w:t>
            </w:r>
          </w:p>
        </w:tc>
        <w:tc>
          <w:tcPr>
            <w:tcW w:w="5556" w:type="dxa"/>
            <w:tcBorders>
              <w:top w:val="nil"/>
              <w:left w:val="nil"/>
              <w:bottom w:val="nil"/>
              <w:right w:val="nil"/>
            </w:tcBorders>
            <w:shd w:val="clear" w:color="auto" w:fill="auto"/>
            <w:hideMark/>
          </w:tcPr>
          <w:p w:rsidR="00FF7697" w:rsidRPr="00FF7697" w:rsidRDefault="00FF7697" w:rsidP="001F091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South Australia has below average wage costs.</w:t>
            </w:r>
          </w:p>
        </w:tc>
        <w:tc>
          <w:tcPr>
            <w:tcW w:w="799" w:type="dxa"/>
            <w:tcBorders>
              <w:top w:val="nil"/>
              <w:left w:val="nil"/>
              <w:bottom w:val="nil"/>
              <w:right w:val="nil"/>
            </w:tcBorders>
            <w:shd w:val="clear" w:color="auto" w:fill="auto"/>
            <w:noWrap/>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-96</w:t>
            </w:r>
          </w:p>
        </w:tc>
        <w:tc>
          <w:tcPr>
            <w:tcW w:w="799" w:type="dxa"/>
            <w:tcBorders>
              <w:top w:val="nil"/>
              <w:left w:val="nil"/>
              <w:bottom w:val="nil"/>
              <w:right w:val="nil"/>
            </w:tcBorders>
            <w:shd w:val="clear" w:color="auto" w:fill="auto"/>
            <w:noWrap/>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-164</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1F0917">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Urban centre size</w:t>
            </w:r>
          </w:p>
        </w:tc>
        <w:tc>
          <w:tcPr>
            <w:tcW w:w="5556" w:type="dxa"/>
            <w:tcBorders>
              <w:top w:val="nil"/>
              <w:left w:val="nil"/>
              <w:bottom w:val="nil"/>
              <w:right w:val="nil"/>
            </w:tcBorders>
            <w:shd w:val="clear" w:color="auto" w:fill="auto"/>
            <w:hideMark/>
          </w:tcPr>
          <w:p w:rsidR="00FF7697" w:rsidRPr="00FF7697" w:rsidRDefault="00FF7697" w:rsidP="001F091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With Adelaide being a relatively small city, South Australia has below average public transport needs.</w:t>
            </w:r>
          </w:p>
        </w:tc>
        <w:tc>
          <w:tcPr>
            <w:tcW w:w="799" w:type="dxa"/>
            <w:tcBorders>
              <w:top w:val="nil"/>
              <w:left w:val="nil"/>
              <w:bottom w:val="nil"/>
              <w:right w:val="nil"/>
            </w:tcBorders>
            <w:shd w:val="clear" w:color="auto" w:fill="auto"/>
            <w:noWrap/>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-89</w:t>
            </w:r>
          </w:p>
        </w:tc>
        <w:tc>
          <w:tcPr>
            <w:tcW w:w="799" w:type="dxa"/>
            <w:tcBorders>
              <w:top w:val="nil"/>
              <w:left w:val="nil"/>
              <w:bottom w:val="nil"/>
              <w:right w:val="nil"/>
            </w:tcBorders>
            <w:shd w:val="clear" w:color="auto" w:fill="auto"/>
            <w:noWrap/>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-152</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1F0917">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Commonwealth payments</w:t>
            </w:r>
          </w:p>
        </w:tc>
        <w:tc>
          <w:tcPr>
            <w:tcW w:w="5556" w:type="dxa"/>
            <w:tcBorders>
              <w:top w:val="nil"/>
              <w:left w:val="nil"/>
              <w:bottom w:val="nil"/>
              <w:right w:val="nil"/>
            </w:tcBorders>
            <w:shd w:val="clear" w:color="auto" w:fill="auto"/>
            <w:hideMark/>
          </w:tcPr>
          <w:p w:rsidR="00FF7697" w:rsidRPr="00FF7697" w:rsidRDefault="00FF7697" w:rsidP="001F091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South Australia receives mor</w:t>
            </w:r>
            <w:r w:rsidR="00E2538B">
              <w:rPr>
                <w:rFonts w:ascii="Calibri" w:eastAsia="Times New Roman" w:hAnsi="Calibri" w:cs="Times New Roman"/>
                <w:sz w:val="20"/>
                <w:szCs w:val="20"/>
                <w:lang w:eastAsia="en-AU"/>
              </w:rPr>
              <w:t>e than its population share of C</w:t>
            </w:r>
            <w:r w:rsidRPr="00FF7697">
              <w:rPr>
                <w:rFonts w:ascii="Calibri" w:eastAsia="Times New Roman" w:hAnsi="Calibri" w:cs="Times New Roman"/>
                <w:sz w:val="20"/>
                <w:szCs w:val="20"/>
                <w:lang w:eastAsia="en-AU"/>
              </w:rPr>
              <w:t>ommonwealth payments.</w:t>
            </w:r>
          </w:p>
        </w:tc>
        <w:tc>
          <w:tcPr>
            <w:tcW w:w="799" w:type="dxa"/>
            <w:tcBorders>
              <w:top w:val="nil"/>
              <w:left w:val="nil"/>
              <w:bottom w:val="nil"/>
              <w:right w:val="nil"/>
            </w:tcBorders>
            <w:shd w:val="clear" w:color="auto" w:fill="auto"/>
            <w:noWrap/>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-77</w:t>
            </w:r>
          </w:p>
        </w:tc>
        <w:tc>
          <w:tcPr>
            <w:tcW w:w="799" w:type="dxa"/>
            <w:tcBorders>
              <w:top w:val="nil"/>
              <w:left w:val="nil"/>
              <w:bottom w:val="nil"/>
              <w:right w:val="nil"/>
            </w:tcBorders>
            <w:shd w:val="clear" w:color="auto" w:fill="auto"/>
            <w:noWrap/>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-132</w:t>
            </w:r>
          </w:p>
        </w:tc>
      </w:tr>
      <w:tr w:rsidR="00FF7697" w:rsidRPr="00FF7697" w:rsidTr="003C00E3">
        <w:trPr>
          <w:trHeight w:val="315"/>
        </w:trPr>
        <w:tc>
          <w:tcPr>
            <w:tcW w:w="1757" w:type="dxa"/>
            <w:tcBorders>
              <w:top w:val="nil"/>
              <w:left w:val="nil"/>
              <w:bottom w:val="nil"/>
              <w:right w:val="nil"/>
            </w:tcBorders>
            <w:shd w:val="clear" w:color="auto" w:fill="auto"/>
            <w:hideMark/>
          </w:tcPr>
          <w:p w:rsidR="00FF7697" w:rsidRPr="00FF7697" w:rsidRDefault="00FF7697" w:rsidP="001F091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Other</w:t>
            </w:r>
          </w:p>
        </w:tc>
        <w:tc>
          <w:tcPr>
            <w:tcW w:w="5556" w:type="dxa"/>
            <w:tcBorders>
              <w:top w:val="nil"/>
              <w:left w:val="nil"/>
              <w:right w:val="nil"/>
            </w:tcBorders>
            <w:shd w:val="clear" w:color="auto" w:fill="auto"/>
            <w:hideMark/>
          </w:tcPr>
          <w:p w:rsidR="00FF7697" w:rsidRPr="00FF7697" w:rsidRDefault="00FF7697" w:rsidP="001F091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 xml:space="preserve"> </w:t>
            </w:r>
          </w:p>
        </w:tc>
        <w:tc>
          <w:tcPr>
            <w:tcW w:w="799" w:type="dxa"/>
            <w:tcBorders>
              <w:top w:val="nil"/>
              <w:left w:val="nil"/>
              <w:bottom w:val="nil"/>
              <w:right w:val="nil"/>
            </w:tcBorders>
            <w:shd w:val="clear" w:color="auto" w:fill="auto"/>
            <w:noWrap/>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147</w:t>
            </w:r>
          </w:p>
        </w:tc>
        <w:tc>
          <w:tcPr>
            <w:tcW w:w="799" w:type="dxa"/>
            <w:tcBorders>
              <w:top w:val="nil"/>
              <w:left w:val="nil"/>
              <w:bottom w:val="nil"/>
              <w:right w:val="nil"/>
            </w:tcBorders>
            <w:shd w:val="clear" w:color="auto" w:fill="auto"/>
            <w:noWrap/>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251</w:t>
            </w:r>
          </w:p>
        </w:tc>
      </w:tr>
      <w:tr w:rsidR="00FF7697" w:rsidRPr="00FF7697" w:rsidTr="003C00E3">
        <w:trPr>
          <w:trHeight w:val="315"/>
        </w:trPr>
        <w:tc>
          <w:tcPr>
            <w:tcW w:w="1757" w:type="dxa"/>
            <w:tcBorders>
              <w:top w:val="nil"/>
              <w:left w:val="nil"/>
              <w:bottom w:val="single" w:sz="4" w:space="0" w:color="auto"/>
              <w:right w:val="nil"/>
            </w:tcBorders>
            <w:shd w:val="clear" w:color="auto" w:fill="auto"/>
            <w:vAlign w:val="bottom"/>
            <w:hideMark/>
          </w:tcPr>
          <w:p w:rsidR="00FF7697" w:rsidRPr="00FF7697" w:rsidRDefault="00FF7697" w:rsidP="001F091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Total</w:t>
            </w:r>
          </w:p>
        </w:tc>
        <w:tc>
          <w:tcPr>
            <w:tcW w:w="5556" w:type="dxa"/>
            <w:tcBorders>
              <w:left w:val="nil"/>
              <w:bottom w:val="single" w:sz="4" w:space="0" w:color="auto"/>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 xml:space="preserve"> </w:t>
            </w:r>
          </w:p>
        </w:tc>
        <w:tc>
          <w:tcPr>
            <w:tcW w:w="799" w:type="dxa"/>
            <w:tcBorders>
              <w:top w:val="single" w:sz="4" w:space="0" w:color="auto"/>
              <w:left w:val="nil"/>
              <w:bottom w:val="single" w:sz="4" w:space="0" w:color="auto"/>
              <w:right w:val="nil"/>
            </w:tcBorders>
            <w:shd w:val="clear" w:color="auto" w:fill="auto"/>
            <w:noWrap/>
            <w:vAlign w:val="bottom"/>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863</w:t>
            </w:r>
          </w:p>
        </w:tc>
        <w:tc>
          <w:tcPr>
            <w:tcW w:w="799" w:type="dxa"/>
            <w:tcBorders>
              <w:top w:val="single" w:sz="4" w:space="0" w:color="auto"/>
              <w:left w:val="nil"/>
              <w:bottom w:val="single" w:sz="4" w:space="0" w:color="auto"/>
              <w:right w:val="nil"/>
            </w:tcBorders>
            <w:shd w:val="clear" w:color="auto" w:fill="auto"/>
            <w:noWrap/>
            <w:vAlign w:val="bottom"/>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1 475</w:t>
            </w:r>
          </w:p>
        </w:tc>
      </w:tr>
    </w:tbl>
    <w:p w:rsidR="001F0917" w:rsidRDefault="001F0917" w:rsidP="001F0917">
      <w:pPr>
        <w:pStyle w:val="CGCTableFootnote"/>
      </w:pPr>
      <w:r>
        <w:t>Source:</w:t>
      </w:r>
      <w:r>
        <w:tab/>
        <w:t>Commission calculation</w:t>
      </w:r>
    </w:p>
    <w:p w:rsidR="008E181B" w:rsidRDefault="008E181B" w:rsidP="00FF7697">
      <w:pPr>
        <w:pStyle w:val="Caption"/>
      </w:pPr>
      <w:r>
        <w:lastRenderedPageBreak/>
        <w:t xml:space="preserve">Table </w:t>
      </w:r>
      <w:fldSimple w:instr=" SEQ Table \* ARABIC ">
        <w:r w:rsidR="007B6A4C">
          <w:rPr>
            <w:noProof/>
          </w:rPr>
          <w:t>6</w:t>
        </w:r>
      </w:fldSimple>
      <w:r>
        <w:tab/>
        <w:t>Major drivers of difference from EPC, Tasmania</w:t>
      </w:r>
    </w:p>
    <w:tbl>
      <w:tblPr>
        <w:tblW w:w="8911" w:type="dxa"/>
        <w:tblInd w:w="108" w:type="dxa"/>
        <w:tblLook w:val="04A0" w:firstRow="1" w:lastRow="0" w:firstColumn="1" w:lastColumn="0" w:noHBand="0" w:noVBand="1"/>
      </w:tblPr>
      <w:tblGrid>
        <w:gridCol w:w="1757"/>
        <w:gridCol w:w="5556"/>
        <w:gridCol w:w="799"/>
        <w:gridCol w:w="799"/>
      </w:tblGrid>
      <w:tr w:rsidR="00FF7697" w:rsidRPr="00FF7697" w:rsidTr="003C00E3">
        <w:trPr>
          <w:trHeight w:val="425"/>
        </w:trPr>
        <w:tc>
          <w:tcPr>
            <w:tcW w:w="1757" w:type="dxa"/>
            <w:tcBorders>
              <w:top w:val="single" w:sz="4" w:space="0" w:color="auto"/>
              <w:left w:val="nil"/>
              <w:bottom w:val="single" w:sz="4" w:space="0" w:color="auto"/>
              <w:right w:val="nil"/>
            </w:tcBorders>
            <w:shd w:val="clear" w:color="auto" w:fill="auto"/>
            <w:noWrap/>
            <w:vAlign w:val="center"/>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bookmarkStart w:id="34" w:name="RANGE!A77:C88"/>
            <w:r w:rsidRPr="00FF7697">
              <w:rPr>
                <w:rFonts w:ascii="Calibri" w:eastAsia="Times New Roman" w:hAnsi="Calibri" w:cs="Times New Roman"/>
                <w:sz w:val="20"/>
                <w:szCs w:val="20"/>
                <w:lang w:eastAsia="en-AU"/>
              </w:rPr>
              <w:t>Driver</w:t>
            </w:r>
            <w:bookmarkEnd w:id="34"/>
          </w:p>
        </w:tc>
        <w:tc>
          <w:tcPr>
            <w:tcW w:w="5556" w:type="dxa"/>
            <w:tcBorders>
              <w:top w:val="single" w:sz="4" w:space="0" w:color="auto"/>
              <w:left w:val="nil"/>
              <w:bottom w:val="single" w:sz="4" w:space="0" w:color="auto"/>
              <w:right w:val="nil"/>
            </w:tcBorders>
            <w:shd w:val="clear" w:color="auto" w:fill="auto"/>
            <w:vAlign w:val="center"/>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Explanation</w:t>
            </w:r>
          </w:p>
        </w:tc>
        <w:tc>
          <w:tcPr>
            <w:tcW w:w="799" w:type="dxa"/>
            <w:tcBorders>
              <w:top w:val="single" w:sz="4" w:space="0" w:color="auto"/>
              <w:left w:val="nil"/>
              <w:bottom w:val="single" w:sz="4" w:space="0" w:color="auto"/>
              <w:right w:val="nil"/>
            </w:tcBorders>
            <w:shd w:val="clear" w:color="auto" w:fill="auto"/>
            <w:vAlign w:val="center"/>
            <w:hideMark/>
          </w:tcPr>
          <w:p w:rsidR="00FF7697" w:rsidRPr="00FF7697" w:rsidRDefault="003C00E3" w:rsidP="001F0917">
            <w:pPr>
              <w:keepNext/>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w:t>
            </w:r>
            <w:r w:rsidR="001F0917">
              <w:rPr>
                <w:rFonts w:ascii="Calibri" w:eastAsia="Times New Roman" w:hAnsi="Calibri" w:cs="Times New Roman"/>
                <w:sz w:val="20"/>
                <w:szCs w:val="20"/>
                <w:lang w:eastAsia="en-AU"/>
              </w:rPr>
              <w:t>pc</w:t>
            </w:r>
          </w:p>
        </w:tc>
        <w:tc>
          <w:tcPr>
            <w:tcW w:w="799" w:type="dxa"/>
            <w:tcBorders>
              <w:top w:val="single" w:sz="4" w:space="0" w:color="auto"/>
              <w:left w:val="nil"/>
              <w:bottom w:val="single" w:sz="4" w:space="0" w:color="auto"/>
              <w:right w:val="nil"/>
            </w:tcBorders>
            <w:shd w:val="clear" w:color="auto" w:fill="auto"/>
            <w:vAlign w:val="center"/>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$m</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Remoteness</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With no major cities, all Tasmanians live in areas assessed as having slightly higher than average cost.</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729</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377</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Administrative scale</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The fixed costs of running a State must be shared across a small population.</w:t>
            </w:r>
          </w:p>
        </w:tc>
        <w:tc>
          <w:tcPr>
            <w:tcW w:w="799"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436</w:t>
            </w:r>
          </w:p>
        </w:tc>
        <w:tc>
          <w:tcPr>
            <w:tcW w:w="799"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225</w:t>
            </w:r>
          </w:p>
        </w:tc>
      </w:tr>
      <w:tr w:rsidR="00FF7697" w:rsidRPr="00FF7697" w:rsidTr="003C00E3">
        <w:trPr>
          <w:trHeight w:val="555"/>
        </w:trPr>
        <w:tc>
          <w:tcPr>
            <w:tcW w:w="1757" w:type="dxa"/>
            <w:tcBorders>
              <w:top w:val="nil"/>
              <w:left w:val="nil"/>
              <w:bottom w:val="nil"/>
              <w:right w:val="nil"/>
            </w:tcBorders>
            <w:shd w:val="clear" w:color="auto" w:fill="auto"/>
            <w:noWrap/>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Urban centre size</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With no large cities, Tasmania requires considerably less than average public transport spending.</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-408</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-211</w:t>
            </w:r>
          </w:p>
        </w:tc>
      </w:tr>
      <w:tr w:rsidR="00FF7697" w:rsidRPr="00FF7697" w:rsidTr="003C00E3">
        <w:trPr>
          <w:trHeight w:val="555"/>
        </w:trPr>
        <w:tc>
          <w:tcPr>
            <w:tcW w:w="1757" w:type="dxa"/>
            <w:tcBorders>
              <w:top w:val="nil"/>
              <w:left w:val="nil"/>
              <w:bottom w:val="nil"/>
              <w:right w:val="nil"/>
            </w:tcBorders>
            <w:shd w:val="clear" w:color="auto" w:fill="auto"/>
            <w:noWrap/>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Mining production</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Tasmania has lower than average revenue per capita across most minerals.</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404</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209</w:t>
            </w:r>
          </w:p>
        </w:tc>
      </w:tr>
      <w:tr w:rsidR="00FF7697" w:rsidRPr="00FF7697" w:rsidTr="003C00E3">
        <w:trPr>
          <w:trHeight w:val="315"/>
        </w:trPr>
        <w:tc>
          <w:tcPr>
            <w:tcW w:w="1757" w:type="dxa"/>
            <w:tcBorders>
              <w:top w:val="nil"/>
              <w:left w:val="nil"/>
              <w:bottom w:val="nil"/>
              <w:right w:val="nil"/>
            </w:tcBorders>
            <w:shd w:val="clear" w:color="auto" w:fill="auto"/>
            <w:noWrap/>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Payrolls paid</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Tasmania has a below average value of taxable payrolls.</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403</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208</w:t>
            </w:r>
          </w:p>
        </w:tc>
      </w:tr>
      <w:tr w:rsidR="00FF7697" w:rsidRPr="00FF7697" w:rsidTr="003C00E3">
        <w:trPr>
          <w:trHeight w:val="555"/>
        </w:trPr>
        <w:tc>
          <w:tcPr>
            <w:tcW w:w="1757" w:type="dxa"/>
            <w:tcBorders>
              <w:top w:val="nil"/>
              <w:left w:val="nil"/>
              <w:bottom w:val="nil"/>
              <w:right w:val="nil"/>
            </w:tcBorders>
            <w:shd w:val="clear" w:color="auto" w:fill="auto"/>
            <w:noWrap/>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Property sales</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Tasmania has a below average per capita value of property conveyances.</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342</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177</w:t>
            </w:r>
          </w:p>
        </w:tc>
      </w:tr>
      <w:tr w:rsidR="00FF7697" w:rsidRPr="00FF7697" w:rsidTr="003C00E3">
        <w:trPr>
          <w:trHeight w:val="555"/>
        </w:trPr>
        <w:tc>
          <w:tcPr>
            <w:tcW w:w="1757" w:type="dxa"/>
            <w:tcBorders>
              <w:top w:val="nil"/>
              <w:left w:val="nil"/>
              <w:bottom w:val="nil"/>
              <w:right w:val="nil"/>
            </w:tcBorders>
            <w:shd w:val="clear" w:color="auto" w:fill="auto"/>
            <w:noWrap/>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Population growth</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 xml:space="preserve">With the slowest growing population, Tasmania requires less than average </w:t>
            </w:r>
            <w:r w:rsidR="00EC179C">
              <w:rPr>
                <w:rFonts w:ascii="Calibri" w:eastAsia="Times New Roman" w:hAnsi="Calibri" w:cs="Times New Roman"/>
                <w:sz w:val="20"/>
                <w:szCs w:val="20"/>
                <w:lang w:eastAsia="en-AU"/>
              </w:rPr>
              <w:t xml:space="preserve">investment in </w:t>
            </w:r>
            <w:r w:rsidRPr="00FF7697">
              <w:rPr>
                <w:rFonts w:ascii="Calibri" w:eastAsia="Times New Roman" w:hAnsi="Calibri" w:cs="Times New Roman"/>
                <w:sz w:val="20"/>
                <w:szCs w:val="20"/>
                <w:lang w:eastAsia="en-AU"/>
              </w:rPr>
              <w:t>infrastructure</w:t>
            </w:r>
            <w:r w:rsidR="00EC179C">
              <w:rPr>
                <w:rFonts w:ascii="Calibri" w:eastAsia="Times New Roman" w:hAnsi="Calibri" w:cs="Times New Roman"/>
                <w:sz w:val="20"/>
                <w:szCs w:val="20"/>
                <w:lang w:eastAsia="en-AU"/>
              </w:rPr>
              <w:t xml:space="preserve"> per capita</w:t>
            </w:r>
            <w:r w:rsidRPr="00FF7697">
              <w:rPr>
                <w:rFonts w:ascii="Calibri" w:eastAsia="Times New Roman" w:hAnsi="Calibri" w:cs="Times New Roman"/>
                <w:sz w:val="20"/>
                <w:szCs w:val="20"/>
                <w:lang w:eastAsia="en-AU"/>
              </w:rPr>
              <w:t>.</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-303</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-156</w:t>
            </w:r>
          </w:p>
        </w:tc>
      </w:tr>
      <w:tr w:rsidR="00FF7697" w:rsidRPr="00FF7697" w:rsidTr="003C00E3">
        <w:trPr>
          <w:trHeight w:val="315"/>
        </w:trPr>
        <w:tc>
          <w:tcPr>
            <w:tcW w:w="1757" w:type="dxa"/>
            <w:tcBorders>
              <w:top w:val="nil"/>
              <w:left w:val="nil"/>
              <w:bottom w:val="nil"/>
              <w:right w:val="nil"/>
            </w:tcBorders>
            <w:shd w:val="clear" w:color="auto" w:fill="auto"/>
            <w:noWrap/>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Wage costs</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Tasmania has below average wage costs.</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-214</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-111</w:t>
            </w:r>
          </w:p>
        </w:tc>
      </w:tr>
      <w:tr w:rsidR="00FF7697" w:rsidRPr="00FF7697" w:rsidTr="003C00E3">
        <w:trPr>
          <w:trHeight w:val="795"/>
        </w:trPr>
        <w:tc>
          <w:tcPr>
            <w:tcW w:w="1757" w:type="dxa"/>
            <w:tcBorders>
              <w:top w:val="nil"/>
              <w:left w:val="nil"/>
              <w:bottom w:val="nil"/>
              <w:right w:val="nil"/>
            </w:tcBorders>
            <w:shd w:val="clear" w:color="auto" w:fill="auto"/>
            <w:noWrap/>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Indigenous status</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 xml:space="preserve">Tasmania has a large proportion of Indigenous people, although this is largely offset by the </w:t>
            </w:r>
            <w:r w:rsidR="00E2538B">
              <w:rPr>
                <w:rFonts w:ascii="Calibri" w:eastAsia="Times New Roman" w:hAnsi="Calibri" w:cs="Times New Roman"/>
                <w:sz w:val="20"/>
                <w:szCs w:val="20"/>
                <w:lang w:eastAsia="en-AU"/>
              </w:rPr>
              <w:t xml:space="preserve">high </w:t>
            </w:r>
            <w:r w:rsidRPr="00FF7697">
              <w:rPr>
                <w:rFonts w:ascii="Calibri" w:eastAsia="Times New Roman" w:hAnsi="Calibri" w:cs="Times New Roman"/>
                <w:sz w:val="20"/>
                <w:szCs w:val="20"/>
                <w:lang w:eastAsia="en-AU"/>
              </w:rPr>
              <w:t>socio-economic status of its Indigenous population.</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163</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84</w:t>
            </w:r>
          </w:p>
        </w:tc>
      </w:tr>
      <w:tr w:rsidR="00FF7697" w:rsidRPr="00FF7697" w:rsidTr="003C00E3">
        <w:trPr>
          <w:trHeight w:val="315"/>
        </w:trPr>
        <w:tc>
          <w:tcPr>
            <w:tcW w:w="1757"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Other</w:t>
            </w:r>
          </w:p>
        </w:tc>
        <w:tc>
          <w:tcPr>
            <w:tcW w:w="5556" w:type="dxa"/>
            <w:tcBorders>
              <w:top w:val="nil"/>
              <w:left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 xml:space="preserve"> </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405</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209</w:t>
            </w:r>
          </w:p>
        </w:tc>
      </w:tr>
      <w:tr w:rsidR="00FF7697" w:rsidRPr="00FF7697" w:rsidTr="003C00E3">
        <w:trPr>
          <w:trHeight w:val="315"/>
        </w:trPr>
        <w:tc>
          <w:tcPr>
            <w:tcW w:w="1757" w:type="dxa"/>
            <w:tcBorders>
              <w:top w:val="nil"/>
              <w:left w:val="nil"/>
              <w:bottom w:val="single" w:sz="4" w:space="0" w:color="auto"/>
              <w:right w:val="nil"/>
            </w:tcBorders>
            <w:shd w:val="clear" w:color="auto" w:fill="auto"/>
            <w:noWrap/>
            <w:vAlign w:val="bottom"/>
            <w:hideMark/>
          </w:tcPr>
          <w:p w:rsidR="00FF7697" w:rsidRPr="00FF7697" w:rsidRDefault="00FF7697" w:rsidP="001F091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Total</w:t>
            </w:r>
          </w:p>
        </w:tc>
        <w:tc>
          <w:tcPr>
            <w:tcW w:w="5556" w:type="dxa"/>
            <w:tcBorders>
              <w:left w:val="nil"/>
              <w:bottom w:val="single" w:sz="4" w:space="0" w:color="auto"/>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 xml:space="preserve"> </w:t>
            </w:r>
          </w:p>
        </w:tc>
        <w:tc>
          <w:tcPr>
            <w:tcW w:w="799" w:type="dxa"/>
            <w:tcBorders>
              <w:top w:val="single" w:sz="4" w:space="0" w:color="auto"/>
              <w:left w:val="nil"/>
              <w:bottom w:val="single" w:sz="4" w:space="0" w:color="auto"/>
              <w:right w:val="nil"/>
            </w:tcBorders>
            <w:shd w:val="clear" w:color="auto" w:fill="auto"/>
            <w:noWrap/>
            <w:vAlign w:val="bottom"/>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1 958</w:t>
            </w:r>
          </w:p>
        </w:tc>
        <w:tc>
          <w:tcPr>
            <w:tcW w:w="799" w:type="dxa"/>
            <w:tcBorders>
              <w:top w:val="single" w:sz="4" w:space="0" w:color="auto"/>
              <w:left w:val="nil"/>
              <w:bottom w:val="single" w:sz="4" w:space="0" w:color="auto"/>
              <w:right w:val="nil"/>
            </w:tcBorders>
            <w:shd w:val="clear" w:color="auto" w:fill="auto"/>
            <w:noWrap/>
            <w:vAlign w:val="bottom"/>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1 012</w:t>
            </w:r>
          </w:p>
        </w:tc>
      </w:tr>
    </w:tbl>
    <w:p w:rsidR="001F0917" w:rsidRDefault="001F0917" w:rsidP="001F0917">
      <w:pPr>
        <w:pStyle w:val="CGCTableFootnote"/>
      </w:pPr>
      <w:r>
        <w:t>Source:</w:t>
      </w:r>
      <w:r>
        <w:tab/>
        <w:t>Commission calculation</w:t>
      </w:r>
    </w:p>
    <w:p w:rsidR="008E181B" w:rsidRDefault="008E181B" w:rsidP="00FF7697">
      <w:pPr>
        <w:pStyle w:val="Caption"/>
      </w:pPr>
      <w:r>
        <w:t xml:space="preserve">Table </w:t>
      </w:r>
      <w:fldSimple w:instr=" SEQ Table \* ARABIC ">
        <w:r w:rsidR="007B6A4C">
          <w:rPr>
            <w:noProof/>
          </w:rPr>
          <w:t>7</w:t>
        </w:r>
      </w:fldSimple>
      <w:r>
        <w:tab/>
        <w:t>Major drivers of difference from EPC, ACT</w:t>
      </w:r>
    </w:p>
    <w:tbl>
      <w:tblPr>
        <w:tblW w:w="8911" w:type="dxa"/>
        <w:tblInd w:w="108" w:type="dxa"/>
        <w:tblLook w:val="04A0" w:firstRow="1" w:lastRow="0" w:firstColumn="1" w:lastColumn="0" w:noHBand="0" w:noVBand="1"/>
      </w:tblPr>
      <w:tblGrid>
        <w:gridCol w:w="1757"/>
        <w:gridCol w:w="5556"/>
        <w:gridCol w:w="799"/>
        <w:gridCol w:w="799"/>
      </w:tblGrid>
      <w:tr w:rsidR="00FF7697" w:rsidRPr="00FF7697" w:rsidTr="003C00E3">
        <w:trPr>
          <w:trHeight w:val="426"/>
        </w:trPr>
        <w:tc>
          <w:tcPr>
            <w:tcW w:w="1757" w:type="dxa"/>
            <w:tcBorders>
              <w:top w:val="single" w:sz="4" w:space="0" w:color="auto"/>
              <w:left w:val="nil"/>
              <w:bottom w:val="single" w:sz="4" w:space="0" w:color="auto"/>
              <w:right w:val="nil"/>
            </w:tcBorders>
            <w:shd w:val="clear" w:color="auto" w:fill="auto"/>
            <w:noWrap/>
            <w:vAlign w:val="center"/>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bookmarkStart w:id="35" w:name="RANGE!A92:C103"/>
            <w:bookmarkStart w:id="36" w:name="RANGE!A92:D103"/>
            <w:bookmarkEnd w:id="35"/>
            <w:r w:rsidRPr="00FF7697">
              <w:rPr>
                <w:rFonts w:ascii="Calibri" w:eastAsia="Times New Roman" w:hAnsi="Calibri" w:cs="Times New Roman"/>
                <w:sz w:val="20"/>
                <w:szCs w:val="20"/>
                <w:lang w:eastAsia="en-AU"/>
              </w:rPr>
              <w:t>Driver</w:t>
            </w:r>
            <w:bookmarkEnd w:id="36"/>
          </w:p>
        </w:tc>
        <w:tc>
          <w:tcPr>
            <w:tcW w:w="5556" w:type="dxa"/>
            <w:tcBorders>
              <w:top w:val="single" w:sz="4" w:space="0" w:color="auto"/>
              <w:left w:val="nil"/>
              <w:bottom w:val="single" w:sz="4" w:space="0" w:color="auto"/>
              <w:right w:val="nil"/>
            </w:tcBorders>
            <w:shd w:val="clear" w:color="auto" w:fill="auto"/>
            <w:vAlign w:val="center"/>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Explanation</w:t>
            </w:r>
          </w:p>
        </w:tc>
        <w:tc>
          <w:tcPr>
            <w:tcW w:w="799" w:type="dxa"/>
            <w:tcBorders>
              <w:top w:val="single" w:sz="4" w:space="0" w:color="auto"/>
              <w:left w:val="nil"/>
              <w:bottom w:val="single" w:sz="4" w:space="0" w:color="auto"/>
              <w:right w:val="nil"/>
            </w:tcBorders>
            <w:shd w:val="clear" w:color="auto" w:fill="auto"/>
            <w:vAlign w:val="center"/>
            <w:hideMark/>
          </w:tcPr>
          <w:p w:rsidR="00FF7697" w:rsidRPr="00FF7697" w:rsidRDefault="003C00E3" w:rsidP="001F0917">
            <w:pPr>
              <w:keepNext/>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w:t>
            </w:r>
            <w:r w:rsidR="001F0917">
              <w:rPr>
                <w:rFonts w:ascii="Calibri" w:eastAsia="Times New Roman" w:hAnsi="Calibri" w:cs="Times New Roman"/>
                <w:sz w:val="20"/>
                <w:szCs w:val="20"/>
                <w:lang w:eastAsia="en-AU"/>
              </w:rPr>
              <w:t>pc</w:t>
            </w:r>
          </w:p>
        </w:tc>
        <w:tc>
          <w:tcPr>
            <w:tcW w:w="799" w:type="dxa"/>
            <w:tcBorders>
              <w:top w:val="single" w:sz="4" w:space="0" w:color="auto"/>
              <w:left w:val="nil"/>
              <w:bottom w:val="single" w:sz="4" w:space="0" w:color="auto"/>
              <w:right w:val="nil"/>
            </w:tcBorders>
            <w:shd w:val="clear" w:color="auto" w:fill="auto"/>
            <w:vAlign w:val="center"/>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$m</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Administrative scale</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The fixed costs of running a State must be shared across a small population.</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596</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237</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Socio-economic status</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The ACT has a very low proportion of low socio-economic status people.</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-528</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-210</w:t>
            </w:r>
          </w:p>
        </w:tc>
      </w:tr>
      <w:tr w:rsidR="00FF7697" w:rsidRPr="00FF7697" w:rsidTr="003C00E3">
        <w:trPr>
          <w:trHeight w:val="31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Mining production</w:t>
            </w:r>
          </w:p>
        </w:tc>
        <w:tc>
          <w:tcPr>
            <w:tcW w:w="5556" w:type="dxa"/>
            <w:tcBorders>
              <w:top w:val="nil"/>
              <w:left w:val="nil"/>
              <w:bottom w:val="nil"/>
              <w:right w:val="nil"/>
            </w:tcBorders>
            <w:shd w:val="clear" w:color="auto" w:fill="auto"/>
            <w:hideMark/>
          </w:tcPr>
          <w:p w:rsidR="00FF7697" w:rsidRPr="00FF7697" w:rsidRDefault="00FF7697" w:rsidP="00226C6B">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The ACT has no mining revenue</w:t>
            </w:r>
            <w:r w:rsidR="00226C6B">
              <w:rPr>
                <w:rFonts w:ascii="Calibri" w:eastAsia="Times New Roman" w:hAnsi="Calibri" w:cs="Times New Roman"/>
                <w:sz w:val="20"/>
                <w:szCs w:val="20"/>
                <w:lang w:eastAsia="en-AU"/>
              </w:rPr>
              <w:t xml:space="preserve"> capacity</w:t>
            </w:r>
            <w:r w:rsidRPr="00FF7697">
              <w:rPr>
                <w:rFonts w:ascii="Calibri" w:eastAsia="Times New Roman" w:hAnsi="Calibri" w:cs="Times New Roman"/>
                <w:sz w:val="20"/>
                <w:szCs w:val="20"/>
                <w:lang w:eastAsia="en-AU"/>
              </w:rPr>
              <w:t>.</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516</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205</w:t>
            </w:r>
          </w:p>
        </w:tc>
      </w:tr>
      <w:tr w:rsidR="00FF7697" w:rsidRPr="00FF7697" w:rsidTr="003C00E3">
        <w:trPr>
          <w:trHeight w:val="31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Remoteness</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The ACT has no population in regional or remote areas.</w:t>
            </w:r>
          </w:p>
        </w:tc>
        <w:tc>
          <w:tcPr>
            <w:tcW w:w="799"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-384</w:t>
            </w:r>
          </w:p>
        </w:tc>
        <w:tc>
          <w:tcPr>
            <w:tcW w:w="799"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-153</w:t>
            </w:r>
          </w:p>
        </w:tc>
      </w:tr>
      <w:tr w:rsidR="00FF7697" w:rsidRPr="00FF7697" w:rsidTr="003C00E3">
        <w:trPr>
          <w:trHeight w:val="31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Wage costs</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The ACT has above average wage costs.</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212</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84</w:t>
            </w:r>
          </w:p>
        </w:tc>
      </w:tr>
      <w:tr w:rsidR="00FF7697" w:rsidRPr="00FF7697" w:rsidTr="003C00E3">
        <w:trPr>
          <w:trHeight w:val="79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Non-State sector</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The ACT has below average non-State provision of health services, so the State has to provide more than average. This is somewhat offset by an above average level of non-State schools.</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149</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59</w:t>
            </w:r>
          </w:p>
        </w:tc>
      </w:tr>
      <w:tr w:rsidR="00FF7697" w:rsidRPr="00FF7697" w:rsidTr="003C00E3">
        <w:trPr>
          <w:trHeight w:val="315"/>
        </w:trPr>
        <w:tc>
          <w:tcPr>
            <w:tcW w:w="1757" w:type="dxa"/>
            <w:tcBorders>
              <w:top w:val="nil"/>
              <w:left w:val="nil"/>
              <w:bottom w:val="nil"/>
              <w:right w:val="nil"/>
            </w:tcBorders>
            <w:shd w:val="clear" w:color="auto" w:fill="auto"/>
            <w:noWrap/>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Indigenous status</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The ACT has a small proportion of Indigenous people.</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-139</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-55</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Urban centre size</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With Canberra being a relatively small city, the ACT has below average public transport needs.</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-137</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-54</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Land values</w:t>
            </w:r>
          </w:p>
        </w:tc>
        <w:tc>
          <w:tcPr>
            <w:tcW w:w="5556" w:type="dxa"/>
            <w:tcBorders>
              <w:top w:val="nil"/>
              <w:left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 xml:space="preserve">With an inability to tax the Commonwealth's land holdings, the ACT has a low capacity to raise land tax. </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133</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53</w:t>
            </w:r>
          </w:p>
        </w:tc>
      </w:tr>
      <w:tr w:rsidR="00FF7697" w:rsidRPr="00FF7697" w:rsidTr="003C00E3">
        <w:trPr>
          <w:trHeight w:val="315"/>
        </w:trPr>
        <w:tc>
          <w:tcPr>
            <w:tcW w:w="1757"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Other</w:t>
            </w:r>
          </w:p>
        </w:tc>
        <w:tc>
          <w:tcPr>
            <w:tcW w:w="5556" w:type="dxa"/>
            <w:tcBorders>
              <w:top w:val="nil"/>
              <w:left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 xml:space="preserve"> </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-171</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-68</w:t>
            </w:r>
          </w:p>
        </w:tc>
      </w:tr>
      <w:tr w:rsidR="00FF7697" w:rsidRPr="00FF7697" w:rsidTr="003C00E3">
        <w:trPr>
          <w:trHeight w:val="315"/>
        </w:trPr>
        <w:tc>
          <w:tcPr>
            <w:tcW w:w="1757" w:type="dxa"/>
            <w:tcBorders>
              <w:top w:val="nil"/>
              <w:left w:val="nil"/>
              <w:bottom w:val="single" w:sz="4" w:space="0" w:color="auto"/>
              <w:right w:val="nil"/>
            </w:tcBorders>
            <w:shd w:val="clear" w:color="auto" w:fill="auto"/>
            <w:noWrap/>
            <w:vAlign w:val="bottom"/>
            <w:hideMark/>
          </w:tcPr>
          <w:p w:rsidR="00FF7697" w:rsidRPr="00FF7697" w:rsidRDefault="00FF7697" w:rsidP="001F091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Total</w:t>
            </w:r>
          </w:p>
        </w:tc>
        <w:tc>
          <w:tcPr>
            <w:tcW w:w="5556" w:type="dxa"/>
            <w:tcBorders>
              <w:left w:val="nil"/>
              <w:bottom w:val="single" w:sz="4" w:space="0" w:color="auto"/>
              <w:right w:val="nil"/>
            </w:tcBorders>
            <w:shd w:val="clear" w:color="auto" w:fill="auto"/>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 xml:space="preserve"> </w:t>
            </w:r>
          </w:p>
        </w:tc>
        <w:tc>
          <w:tcPr>
            <w:tcW w:w="799" w:type="dxa"/>
            <w:tcBorders>
              <w:top w:val="single" w:sz="4" w:space="0" w:color="auto"/>
              <w:left w:val="nil"/>
              <w:bottom w:val="single" w:sz="4" w:space="0" w:color="auto"/>
              <w:right w:val="nil"/>
            </w:tcBorders>
            <w:shd w:val="clear" w:color="auto" w:fill="auto"/>
            <w:noWrap/>
            <w:vAlign w:val="bottom"/>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248</w:t>
            </w:r>
          </w:p>
        </w:tc>
        <w:tc>
          <w:tcPr>
            <w:tcW w:w="799" w:type="dxa"/>
            <w:tcBorders>
              <w:top w:val="single" w:sz="4" w:space="0" w:color="auto"/>
              <w:left w:val="nil"/>
              <w:bottom w:val="single" w:sz="4" w:space="0" w:color="auto"/>
              <w:right w:val="nil"/>
            </w:tcBorders>
            <w:shd w:val="clear" w:color="auto" w:fill="auto"/>
            <w:noWrap/>
            <w:vAlign w:val="bottom"/>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98</w:t>
            </w:r>
          </w:p>
        </w:tc>
      </w:tr>
    </w:tbl>
    <w:p w:rsidR="001F0917" w:rsidRDefault="001F0917" w:rsidP="001F0917">
      <w:pPr>
        <w:pStyle w:val="CGCTableFootnote"/>
      </w:pPr>
      <w:r>
        <w:t>Source:</w:t>
      </w:r>
      <w:r>
        <w:tab/>
        <w:t>Commission calculation</w:t>
      </w:r>
    </w:p>
    <w:p w:rsidR="008E181B" w:rsidRDefault="008E181B" w:rsidP="00FF7697">
      <w:pPr>
        <w:pStyle w:val="Caption"/>
      </w:pPr>
      <w:r>
        <w:lastRenderedPageBreak/>
        <w:t xml:space="preserve">Table </w:t>
      </w:r>
      <w:fldSimple w:instr=" SEQ Table \* ARABIC ">
        <w:r w:rsidR="007B6A4C">
          <w:rPr>
            <w:noProof/>
          </w:rPr>
          <w:t>8</w:t>
        </w:r>
      </w:fldSimple>
      <w:r>
        <w:tab/>
        <w:t>Major drivers of difference from EPC, Northern Territory</w:t>
      </w:r>
    </w:p>
    <w:tbl>
      <w:tblPr>
        <w:tblW w:w="8911" w:type="dxa"/>
        <w:tblInd w:w="108" w:type="dxa"/>
        <w:tblLook w:val="04A0" w:firstRow="1" w:lastRow="0" w:firstColumn="1" w:lastColumn="0" w:noHBand="0" w:noVBand="1"/>
      </w:tblPr>
      <w:tblGrid>
        <w:gridCol w:w="1757"/>
        <w:gridCol w:w="5556"/>
        <w:gridCol w:w="799"/>
        <w:gridCol w:w="799"/>
      </w:tblGrid>
      <w:tr w:rsidR="00FF7697" w:rsidRPr="00FF7697" w:rsidTr="003C00E3">
        <w:trPr>
          <w:trHeight w:val="426"/>
        </w:trPr>
        <w:tc>
          <w:tcPr>
            <w:tcW w:w="1757" w:type="dxa"/>
            <w:tcBorders>
              <w:top w:val="single" w:sz="4" w:space="0" w:color="auto"/>
              <w:left w:val="nil"/>
              <w:bottom w:val="single" w:sz="4" w:space="0" w:color="auto"/>
              <w:right w:val="nil"/>
            </w:tcBorders>
            <w:shd w:val="clear" w:color="auto" w:fill="auto"/>
            <w:noWrap/>
            <w:vAlign w:val="center"/>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bookmarkStart w:id="37" w:name="RANGE!A107:C118"/>
            <w:r w:rsidRPr="00FF7697">
              <w:rPr>
                <w:rFonts w:ascii="Calibri" w:eastAsia="Times New Roman" w:hAnsi="Calibri" w:cs="Times New Roman"/>
                <w:sz w:val="20"/>
                <w:szCs w:val="20"/>
                <w:lang w:eastAsia="en-AU"/>
              </w:rPr>
              <w:t>Driver</w:t>
            </w:r>
            <w:bookmarkEnd w:id="37"/>
          </w:p>
        </w:tc>
        <w:tc>
          <w:tcPr>
            <w:tcW w:w="5556" w:type="dxa"/>
            <w:tcBorders>
              <w:top w:val="single" w:sz="4" w:space="0" w:color="auto"/>
              <w:left w:val="nil"/>
              <w:bottom w:val="single" w:sz="4" w:space="0" w:color="auto"/>
              <w:right w:val="nil"/>
            </w:tcBorders>
            <w:shd w:val="clear" w:color="auto" w:fill="auto"/>
            <w:vAlign w:val="center"/>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Explanation</w:t>
            </w:r>
          </w:p>
        </w:tc>
        <w:tc>
          <w:tcPr>
            <w:tcW w:w="799" w:type="dxa"/>
            <w:tcBorders>
              <w:top w:val="single" w:sz="4" w:space="0" w:color="auto"/>
              <w:left w:val="nil"/>
              <w:bottom w:val="single" w:sz="4" w:space="0" w:color="auto"/>
              <w:right w:val="nil"/>
            </w:tcBorders>
            <w:shd w:val="clear" w:color="auto" w:fill="auto"/>
            <w:vAlign w:val="center"/>
            <w:hideMark/>
          </w:tcPr>
          <w:p w:rsidR="00FF7697" w:rsidRPr="00FF7697" w:rsidRDefault="003C00E3" w:rsidP="001F0917">
            <w:pPr>
              <w:keepNext/>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w:t>
            </w:r>
            <w:r w:rsidR="001F0917">
              <w:rPr>
                <w:rFonts w:ascii="Calibri" w:eastAsia="Times New Roman" w:hAnsi="Calibri" w:cs="Times New Roman"/>
                <w:sz w:val="20"/>
                <w:szCs w:val="20"/>
                <w:lang w:eastAsia="en-AU"/>
              </w:rPr>
              <w:t>pc</w:t>
            </w:r>
          </w:p>
        </w:tc>
        <w:tc>
          <w:tcPr>
            <w:tcW w:w="799" w:type="dxa"/>
            <w:tcBorders>
              <w:top w:val="single" w:sz="4" w:space="0" w:color="auto"/>
              <w:left w:val="nil"/>
              <w:bottom w:val="single" w:sz="4" w:space="0" w:color="auto"/>
              <w:right w:val="nil"/>
            </w:tcBorders>
            <w:shd w:val="clear" w:color="auto" w:fill="auto"/>
            <w:vAlign w:val="center"/>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$m</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Remoteness</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 xml:space="preserve">With no major cities, and large remote population, the Northern Territory has a high cost of service delivery.  </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3 519</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890</w:t>
            </w:r>
          </w:p>
        </w:tc>
      </w:tr>
      <w:tr w:rsidR="00FF7697" w:rsidRPr="00FF7697" w:rsidTr="003C00E3">
        <w:trPr>
          <w:trHeight w:val="555"/>
        </w:trPr>
        <w:tc>
          <w:tcPr>
            <w:tcW w:w="1757" w:type="dxa"/>
            <w:tcBorders>
              <w:top w:val="nil"/>
              <w:left w:val="nil"/>
              <w:bottom w:val="nil"/>
              <w:right w:val="nil"/>
            </w:tcBorders>
            <w:shd w:val="clear" w:color="auto" w:fill="auto"/>
            <w:noWrap/>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Indigenous status</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The Northern Territory has the largest proportion of Indigenous people.</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2 857</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722</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Commonwealth payments</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The Northern Territory receives mor</w:t>
            </w:r>
            <w:r w:rsidR="00E2538B">
              <w:rPr>
                <w:rFonts w:ascii="Calibri" w:eastAsia="Times New Roman" w:hAnsi="Calibri" w:cs="Times New Roman"/>
                <w:sz w:val="20"/>
                <w:szCs w:val="20"/>
                <w:lang w:eastAsia="en-AU"/>
              </w:rPr>
              <w:t>e than its population share of C</w:t>
            </w:r>
            <w:r w:rsidRPr="00FF7697">
              <w:rPr>
                <w:rFonts w:ascii="Calibri" w:eastAsia="Times New Roman" w:hAnsi="Calibri" w:cs="Times New Roman"/>
                <w:sz w:val="20"/>
                <w:szCs w:val="20"/>
                <w:lang w:eastAsia="en-AU"/>
              </w:rPr>
              <w:t>ommonwealth payments.</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-1 115</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-282</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Administrative scale</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The fixed costs of running a State must be shared across a small population.</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1 079</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273</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Small communities</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The Northern Territory has a large population in small communities which receive subsidies for electricity and water.</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943</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238</w:t>
            </w:r>
          </w:p>
        </w:tc>
      </w:tr>
      <w:tr w:rsidR="00FF7697" w:rsidRPr="00FF7697" w:rsidTr="003C00E3">
        <w:trPr>
          <w:trHeight w:val="103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Population growth</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With high expense needs each new person requires an above average standard of infrastructure. With above average population growth, the Northern Territory has significant needs for infrastructure.</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717</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181</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Urban centre size</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With no large cities, The Northern Territory requires considerably less than average public transport spending.</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-442</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-112</w:t>
            </w:r>
          </w:p>
        </w:tc>
      </w:tr>
      <w:tr w:rsidR="00FF7697" w:rsidRPr="00FF7697" w:rsidTr="003C00E3">
        <w:trPr>
          <w:trHeight w:val="55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Road length</w:t>
            </w:r>
          </w:p>
        </w:tc>
        <w:tc>
          <w:tcPr>
            <w:tcW w:w="5556"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 xml:space="preserve">With a </w:t>
            </w:r>
            <w:proofErr w:type="gramStart"/>
            <w:r w:rsidRPr="00FF7697">
              <w:rPr>
                <w:rFonts w:ascii="Calibri" w:eastAsia="Times New Roman" w:hAnsi="Calibri" w:cs="Times New Roman"/>
                <w:sz w:val="20"/>
                <w:szCs w:val="20"/>
                <w:lang w:eastAsia="en-AU"/>
              </w:rPr>
              <w:t>very</w:t>
            </w:r>
            <w:proofErr w:type="gramEnd"/>
            <w:r w:rsidRPr="00FF7697">
              <w:rPr>
                <w:rFonts w:ascii="Calibri" w:eastAsia="Times New Roman" w:hAnsi="Calibri" w:cs="Times New Roman"/>
                <w:sz w:val="20"/>
                <w:szCs w:val="20"/>
                <w:lang w:eastAsia="en-AU"/>
              </w:rPr>
              <w:t xml:space="preserve"> dispersed population, the Northern Territory requires an above average length of rural and local roads.</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436</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110</w:t>
            </w:r>
          </w:p>
        </w:tc>
      </w:tr>
      <w:tr w:rsidR="00FF7697" w:rsidRPr="00FF7697" w:rsidTr="003C00E3">
        <w:trPr>
          <w:trHeight w:val="315"/>
        </w:trPr>
        <w:tc>
          <w:tcPr>
            <w:tcW w:w="1757" w:type="dxa"/>
            <w:tcBorders>
              <w:top w:val="nil"/>
              <w:left w:val="nil"/>
              <w:bottom w:val="nil"/>
              <w:right w:val="nil"/>
            </w:tcBorders>
            <w:shd w:val="clear" w:color="auto" w:fill="auto"/>
            <w:hideMark/>
          </w:tcPr>
          <w:p w:rsidR="00FF7697" w:rsidRPr="00FF7697" w:rsidRDefault="00FF7697" w:rsidP="00C076AC">
            <w:pPr>
              <w:keepNext/>
              <w:tabs>
                <w:tab w:val="clear" w:pos="567"/>
              </w:tabs>
              <w:spacing w:after="0" w:line="240" w:lineRule="auto"/>
              <w:ind w:left="142" w:hanging="142"/>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Wage costs</w:t>
            </w:r>
          </w:p>
        </w:tc>
        <w:tc>
          <w:tcPr>
            <w:tcW w:w="5556" w:type="dxa"/>
            <w:tcBorders>
              <w:top w:val="nil"/>
              <w:left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The Northern Territory has above average wage costs.</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370</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93</w:t>
            </w:r>
          </w:p>
        </w:tc>
      </w:tr>
      <w:tr w:rsidR="00FF7697" w:rsidRPr="00FF7697" w:rsidTr="003C00E3">
        <w:trPr>
          <w:trHeight w:val="315"/>
        </w:trPr>
        <w:tc>
          <w:tcPr>
            <w:tcW w:w="1757" w:type="dxa"/>
            <w:tcBorders>
              <w:top w:val="nil"/>
              <w:left w:val="nil"/>
              <w:bottom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Other</w:t>
            </w:r>
          </w:p>
        </w:tc>
        <w:tc>
          <w:tcPr>
            <w:tcW w:w="5556" w:type="dxa"/>
            <w:tcBorders>
              <w:top w:val="nil"/>
              <w:left w:val="nil"/>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 xml:space="preserve"> </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2 519</w:t>
            </w:r>
          </w:p>
        </w:tc>
        <w:tc>
          <w:tcPr>
            <w:tcW w:w="799" w:type="dxa"/>
            <w:tcBorders>
              <w:top w:val="nil"/>
              <w:left w:val="nil"/>
              <w:bottom w:val="nil"/>
              <w:right w:val="nil"/>
            </w:tcBorders>
            <w:shd w:val="clear" w:color="auto" w:fill="auto"/>
            <w:noWrap/>
            <w:hideMark/>
          </w:tcPr>
          <w:p w:rsidR="00FF7697" w:rsidRPr="00FF7697" w:rsidRDefault="00FF7697" w:rsidP="00FF769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637</w:t>
            </w:r>
          </w:p>
        </w:tc>
      </w:tr>
      <w:tr w:rsidR="00FF7697" w:rsidRPr="00FF7697" w:rsidTr="003C00E3">
        <w:trPr>
          <w:trHeight w:val="315"/>
        </w:trPr>
        <w:tc>
          <w:tcPr>
            <w:tcW w:w="1757" w:type="dxa"/>
            <w:tcBorders>
              <w:top w:val="nil"/>
              <w:left w:val="nil"/>
              <w:bottom w:val="single" w:sz="4" w:space="0" w:color="auto"/>
              <w:right w:val="nil"/>
            </w:tcBorders>
            <w:shd w:val="clear" w:color="auto" w:fill="auto"/>
            <w:vAlign w:val="bottom"/>
            <w:hideMark/>
          </w:tcPr>
          <w:p w:rsidR="00FF7697" w:rsidRPr="00FF7697" w:rsidRDefault="00FF7697" w:rsidP="001F091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Total</w:t>
            </w:r>
          </w:p>
        </w:tc>
        <w:tc>
          <w:tcPr>
            <w:tcW w:w="5556" w:type="dxa"/>
            <w:tcBorders>
              <w:left w:val="nil"/>
              <w:bottom w:val="single" w:sz="4" w:space="0" w:color="auto"/>
              <w:right w:val="nil"/>
            </w:tcBorders>
            <w:shd w:val="clear" w:color="auto" w:fill="auto"/>
            <w:hideMark/>
          </w:tcPr>
          <w:p w:rsidR="00FF7697" w:rsidRPr="00FF7697" w:rsidRDefault="00FF7697" w:rsidP="00FF7697">
            <w:pPr>
              <w:keepNext/>
              <w:tabs>
                <w:tab w:val="clear" w:pos="567"/>
              </w:tabs>
              <w:spacing w:after="0" w:line="240" w:lineRule="auto"/>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 xml:space="preserve"> </w:t>
            </w:r>
          </w:p>
        </w:tc>
        <w:tc>
          <w:tcPr>
            <w:tcW w:w="799" w:type="dxa"/>
            <w:tcBorders>
              <w:top w:val="single" w:sz="4" w:space="0" w:color="auto"/>
              <w:left w:val="nil"/>
              <w:bottom w:val="single" w:sz="4" w:space="0" w:color="auto"/>
              <w:right w:val="nil"/>
            </w:tcBorders>
            <w:shd w:val="clear" w:color="auto" w:fill="auto"/>
            <w:noWrap/>
            <w:vAlign w:val="bottom"/>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10 883</w:t>
            </w:r>
          </w:p>
        </w:tc>
        <w:tc>
          <w:tcPr>
            <w:tcW w:w="799" w:type="dxa"/>
            <w:tcBorders>
              <w:top w:val="single" w:sz="4" w:space="0" w:color="auto"/>
              <w:left w:val="nil"/>
              <w:bottom w:val="single" w:sz="4" w:space="0" w:color="auto"/>
              <w:right w:val="nil"/>
            </w:tcBorders>
            <w:shd w:val="clear" w:color="auto" w:fill="auto"/>
            <w:noWrap/>
            <w:vAlign w:val="bottom"/>
            <w:hideMark/>
          </w:tcPr>
          <w:p w:rsidR="00FF7697" w:rsidRPr="00FF7697" w:rsidRDefault="00FF7697" w:rsidP="001F0917">
            <w:pPr>
              <w:keepNext/>
              <w:tabs>
                <w:tab w:val="clear" w:pos="567"/>
              </w:tabs>
              <w:spacing w:after="0" w:line="240" w:lineRule="auto"/>
              <w:jc w:val="right"/>
              <w:rPr>
                <w:rFonts w:ascii="Calibri" w:eastAsia="Times New Roman" w:hAnsi="Calibri" w:cs="Times New Roman"/>
                <w:sz w:val="20"/>
                <w:szCs w:val="20"/>
                <w:lang w:eastAsia="en-AU"/>
              </w:rPr>
            </w:pPr>
            <w:r w:rsidRPr="00FF7697">
              <w:rPr>
                <w:rFonts w:ascii="Calibri" w:eastAsia="Times New Roman" w:hAnsi="Calibri" w:cs="Times New Roman"/>
                <w:sz w:val="20"/>
                <w:szCs w:val="20"/>
                <w:lang w:eastAsia="en-AU"/>
              </w:rPr>
              <w:t>2 752</w:t>
            </w:r>
          </w:p>
        </w:tc>
      </w:tr>
    </w:tbl>
    <w:p w:rsidR="001F0917" w:rsidRDefault="001F0917" w:rsidP="001F0917">
      <w:pPr>
        <w:pStyle w:val="CGCTableFootnote"/>
      </w:pPr>
      <w:r>
        <w:t>Source:</w:t>
      </w:r>
      <w:r>
        <w:tab/>
        <w:t>Commission calculation</w:t>
      </w:r>
    </w:p>
    <w:p w:rsidR="005A580C" w:rsidRDefault="005A580C" w:rsidP="005A580C">
      <w:pPr>
        <w:pStyle w:val="CGCNumberedPara"/>
        <w:numPr>
          <w:ilvl w:val="0"/>
          <w:numId w:val="0"/>
        </w:numPr>
        <w:ind w:left="567" w:hanging="567"/>
      </w:pPr>
    </w:p>
    <w:p w:rsidR="005A580C" w:rsidRDefault="005A580C" w:rsidP="005A580C">
      <w:pPr>
        <w:pStyle w:val="CGCNumberedPara"/>
        <w:numPr>
          <w:ilvl w:val="0"/>
          <w:numId w:val="0"/>
        </w:numPr>
        <w:ind w:left="567" w:hanging="567"/>
        <w:sectPr w:rsidR="005A580C" w:rsidSect="00D22403">
          <w:headerReference w:type="default" r:id="rId29"/>
          <w:footerReference w:type="default" r:id="rId30"/>
          <w:headerReference w:type="first" r:id="rId31"/>
          <w:footerReference w:type="first" r:id="rId32"/>
          <w:footnotePr>
            <w:numRestart w:val="eachSect"/>
          </w:footnotePr>
          <w:pgSz w:w="11906" w:h="16838" w:code="9"/>
          <w:pgMar w:top="1701" w:right="1474" w:bottom="1701" w:left="1474" w:header="709" w:footer="709" w:gutter="0"/>
          <w:cols w:space="708"/>
          <w:titlePg/>
          <w:docGrid w:linePitch="360"/>
        </w:sectPr>
      </w:pPr>
    </w:p>
    <w:p w:rsidR="00597461" w:rsidRDefault="004A16B8" w:rsidP="00597461">
      <w:pPr>
        <w:pStyle w:val="Heading1"/>
      </w:pPr>
      <w:r>
        <w:rPr>
          <w:caps w:val="0"/>
        </w:rPr>
        <w:lastRenderedPageBreak/>
        <w:t>ATTACHMENT 6</w:t>
      </w:r>
    </w:p>
    <w:p w:rsidR="00597461" w:rsidRDefault="00FC647D" w:rsidP="00597461">
      <w:pPr>
        <w:pStyle w:val="Heading2"/>
      </w:pPr>
      <w:r>
        <w:rPr>
          <w:caps w:val="0"/>
        </w:rPr>
        <w:t>CALCULATION OF GST RELATIVITIES</w:t>
      </w:r>
    </w:p>
    <w:p w:rsidR="00597461" w:rsidRDefault="00597461" w:rsidP="00597461">
      <w:pPr>
        <w:pStyle w:val="CGCNumberedPara"/>
        <w:numPr>
          <w:ilvl w:val="1"/>
          <w:numId w:val="25"/>
        </w:numPr>
      </w:pPr>
      <w:r>
        <w:t>This attachment shows the calculation of the recommended per capita GST relativities.</w:t>
      </w:r>
    </w:p>
    <w:p w:rsidR="00597461" w:rsidRDefault="00597461" w:rsidP="00597461">
      <w:pPr>
        <w:pStyle w:val="CGCNumberedPara"/>
      </w:pPr>
      <w:r>
        <w:t>A State’s GST allocation (its equalising requirement) is the difference between its assessed spending on service provision and asset acquisition and its assessed revenues.</w:t>
      </w:r>
    </w:p>
    <w:p w:rsidR="00597461" w:rsidRDefault="0004120A" w:rsidP="00597461">
      <w:pPr>
        <w:pStyle w:val="CGCNumberedPara"/>
      </w:pPr>
      <w:r>
        <w:fldChar w:fldCharType="begin"/>
      </w:r>
      <w:r>
        <w:instrText xml:space="preserve"> REF _Ref410907325 \h </w:instrText>
      </w:r>
      <w:r>
        <w:fldChar w:fldCharType="separate"/>
      </w:r>
      <w:r w:rsidR="007B6A4C">
        <w:t xml:space="preserve">Table </w:t>
      </w:r>
      <w:r w:rsidR="007B6A4C">
        <w:rPr>
          <w:noProof/>
        </w:rPr>
        <w:t>1</w:t>
      </w:r>
      <w:r>
        <w:fldChar w:fldCharType="end"/>
      </w:r>
      <w:r w:rsidR="00597461">
        <w:t xml:space="preserve">, </w:t>
      </w:r>
      <w:r w:rsidR="00597461">
        <w:fldChar w:fldCharType="begin"/>
      </w:r>
      <w:r w:rsidR="00597461">
        <w:instrText xml:space="preserve"> REF _Ref410136375 \h </w:instrText>
      </w:r>
      <w:r w:rsidR="00597461">
        <w:fldChar w:fldCharType="separate"/>
      </w:r>
      <w:r w:rsidR="007B6A4C">
        <w:t xml:space="preserve">Table </w:t>
      </w:r>
      <w:r w:rsidR="007B6A4C">
        <w:rPr>
          <w:noProof/>
        </w:rPr>
        <w:t>3</w:t>
      </w:r>
      <w:r w:rsidR="00597461">
        <w:fldChar w:fldCharType="end"/>
      </w:r>
      <w:r w:rsidR="00597461">
        <w:t xml:space="preserve"> and </w:t>
      </w:r>
      <w:r w:rsidR="00597461">
        <w:fldChar w:fldCharType="begin"/>
      </w:r>
      <w:r w:rsidR="00597461">
        <w:instrText xml:space="preserve"> REF _Ref410136389 \h </w:instrText>
      </w:r>
      <w:r w:rsidR="00597461">
        <w:fldChar w:fldCharType="separate"/>
      </w:r>
      <w:r w:rsidR="007B6A4C">
        <w:t xml:space="preserve">Table </w:t>
      </w:r>
      <w:r w:rsidR="007B6A4C">
        <w:rPr>
          <w:noProof/>
        </w:rPr>
        <w:t>5</w:t>
      </w:r>
      <w:r w:rsidR="00597461">
        <w:fldChar w:fldCharType="end"/>
      </w:r>
      <w:r w:rsidR="00597461">
        <w:t xml:space="preserve"> show the GST each State would require, calculated as:</w:t>
      </w:r>
    </w:p>
    <w:p w:rsidR="00597461" w:rsidRPr="00F61AF9" w:rsidRDefault="00597461" w:rsidP="00597461">
      <w:pPr>
        <w:pStyle w:val="CGCBulletlist"/>
        <w:numPr>
          <w:ilvl w:val="0"/>
          <w:numId w:val="11"/>
        </w:numPr>
        <w:tabs>
          <w:tab w:val="clear" w:pos="927"/>
        </w:tabs>
        <w:ind w:left="1134" w:hanging="567"/>
      </w:pPr>
      <w:r w:rsidRPr="00F61AF9">
        <w:t>the expenses it would incur to provide the average services (its assessed expenses) plus</w:t>
      </w:r>
    </w:p>
    <w:p w:rsidR="00597461" w:rsidRPr="00F61AF9" w:rsidRDefault="00597461" w:rsidP="00597461">
      <w:pPr>
        <w:pStyle w:val="CGCBulletlist"/>
        <w:numPr>
          <w:ilvl w:val="0"/>
          <w:numId w:val="11"/>
        </w:numPr>
        <w:tabs>
          <w:tab w:val="clear" w:pos="927"/>
        </w:tabs>
        <w:ind w:left="1134" w:hanging="567"/>
      </w:pPr>
      <w:r w:rsidRPr="00F61AF9">
        <w:t>the investment it would make to have the infrastructure required to provide the average services (its assessed investment) less</w:t>
      </w:r>
    </w:p>
    <w:p w:rsidR="00597461" w:rsidRPr="00F61AF9" w:rsidRDefault="00597461" w:rsidP="00597461">
      <w:pPr>
        <w:pStyle w:val="CGCBulletlist"/>
        <w:numPr>
          <w:ilvl w:val="0"/>
          <w:numId w:val="11"/>
        </w:numPr>
        <w:tabs>
          <w:tab w:val="clear" w:pos="927"/>
        </w:tabs>
        <w:ind w:left="1134" w:hanging="567"/>
      </w:pPr>
      <w:r w:rsidRPr="00F61AF9">
        <w:t>the net borrowing it would make to finish the year with the average per capita net financial worth (its assessed net borrowing) less</w:t>
      </w:r>
    </w:p>
    <w:p w:rsidR="00597461" w:rsidRPr="00F61AF9" w:rsidRDefault="00597461" w:rsidP="00597461">
      <w:pPr>
        <w:pStyle w:val="CGCBulletlist"/>
        <w:numPr>
          <w:ilvl w:val="0"/>
          <w:numId w:val="11"/>
        </w:numPr>
        <w:tabs>
          <w:tab w:val="clear" w:pos="927"/>
        </w:tabs>
        <w:ind w:left="1134" w:hanging="567"/>
      </w:pPr>
      <w:r w:rsidRPr="00F61AF9">
        <w:t>the revenue it would raise if it made the average revenue raising effort (its assessed revenue) less</w:t>
      </w:r>
    </w:p>
    <w:p w:rsidR="00597461" w:rsidRDefault="00597461" w:rsidP="00597461">
      <w:pPr>
        <w:pStyle w:val="CGCBulletlist"/>
        <w:numPr>
          <w:ilvl w:val="0"/>
          <w:numId w:val="11"/>
        </w:numPr>
        <w:tabs>
          <w:tab w:val="clear" w:pos="927"/>
        </w:tabs>
        <w:ind w:left="1134" w:hanging="567"/>
      </w:pPr>
      <w:proofErr w:type="gramStart"/>
      <w:r w:rsidRPr="00F61AF9">
        <w:t>the</w:t>
      </w:r>
      <w:proofErr w:type="gramEnd"/>
      <w:r w:rsidRPr="00F61AF9">
        <w:t xml:space="preserve"> revenue from Commonwealth payments which are available to fund its spending requirements. </w:t>
      </w:r>
      <w:r>
        <w:t xml:space="preserve"> </w:t>
      </w:r>
    </w:p>
    <w:p w:rsidR="00597461" w:rsidRDefault="00597461" w:rsidP="00597461">
      <w:pPr>
        <w:pStyle w:val="CGCNumberedPara"/>
      </w:pPr>
      <w:r>
        <w:t>A per capita relativity is derived for each State by expressing its per capita GST allocation as a ratio of the national average per capita GST distributed in the year.</w:t>
      </w:r>
    </w:p>
    <w:p w:rsidR="00597461" w:rsidRDefault="00597461" w:rsidP="00597461">
      <w:pPr>
        <w:pStyle w:val="CGCNumberedPara"/>
      </w:pPr>
      <w:r>
        <w:t xml:space="preserve">This calculation is undertaken for each of the </w:t>
      </w:r>
      <w:r w:rsidR="004803C9">
        <w:t>three</w:t>
      </w:r>
      <w:r>
        <w:t xml:space="preserve"> years in an inquiry (the assessment or reference years). The per capita relativities recommended for use in 2015</w:t>
      </w:r>
      <w:r>
        <w:noBreakHyphen/>
        <w:t xml:space="preserve"> 16 (the application year for this review) are the average of the annual relativities for the 3 assessment years 2011</w:t>
      </w:r>
      <w:r>
        <w:noBreakHyphen/>
        <w:t>12 to 2013</w:t>
      </w:r>
      <w:r>
        <w:noBreakHyphen/>
        <w:t xml:space="preserve">14 </w:t>
      </w:r>
      <w:r w:rsidRPr="000A4D51">
        <w:t>(see</w:t>
      </w:r>
      <w:r>
        <w:t xml:space="preserve"> </w:t>
      </w:r>
      <w:r>
        <w:fldChar w:fldCharType="begin"/>
      </w:r>
      <w:r>
        <w:instrText xml:space="preserve"> REF _Ref410306440 \h </w:instrText>
      </w:r>
      <w:r>
        <w:fldChar w:fldCharType="separate"/>
      </w:r>
      <w:r w:rsidR="007B6A4C">
        <w:t xml:space="preserve">Table </w:t>
      </w:r>
      <w:r w:rsidR="007B6A4C">
        <w:rPr>
          <w:noProof/>
        </w:rPr>
        <w:t>7</w:t>
      </w:r>
      <w:r>
        <w:fldChar w:fldCharType="end"/>
      </w:r>
      <w:r w:rsidRPr="000A4D51">
        <w:t>).</w:t>
      </w:r>
    </w:p>
    <w:p w:rsidR="00597461" w:rsidRDefault="00597461" w:rsidP="00597461">
      <w:pPr>
        <w:pStyle w:val="CGCNumberedPara"/>
      </w:pPr>
      <w:r>
        <w:fldChar w:fldCharType="begin"/>
      </w:r>
      <w:r>
        <w:instrText xml:space="preserve"> REF _Ref410131856 \h </w:instrText>
      </w:r>
      <w:r>
        <w:fldChar w:fldCharType="separate"/>
      </w:r>
      <w:r w:rsidR="007B6A4C">
        <w:t xml:space="preserve">Table </w:t>
      </w:r>
      <w:r w:rsidR="007B6A4C">
        <w:rPr>
          <w:noProof/>
        </w:rPr>
        <w:t>2</w:t>
      </w:r>
      <w:r>
        <w:fldChar w:fldCharType="end"/>
      </w:r>
      <w:r>
        <w:t xml:space="preserve">, </w:t>
      </w:r>
      <w:r>
        <w:fldChar w:fldCharType="begin"/>
      </w:r>
      <w:r>
        <w:instrText xml:space="preserve"> REF _Ref410136421 \h </w:instrText>
      </w:r>
      <w:r>
        <w:fldChar w:fldCharType="separate"/>
      </w:r>
      <w:r w:rsidR="007B6A4C">
        <w:t xml:space="preserve">Table </w:t>
      </w:r>
      <w:r w:rsidR="007B6A4C">
        <w:rPr>
          <w:noProof/>
        </w:rPr>
        <w:t>4</w:t>
      </w:r>
      <w:r>
        <w:fldChar w:fldCharType="end"/>
      </w:r>
      <w:r>
        <w:t xml:space="preserve"> and </w:t>
      </w:r>
      <w:r>
        <w:fldChar w:fldCharType="begin"/>
      </w:r>
      <w:r>
        <w:instrText xml:space="preserve"> REF _Ref410136432 \h </w:instrText>
      </w:r>
      <w:r>
        <w:fldChar w:fldCharType="separate"/>
      </w:r>
      <w:r w:rsidR="007B6A4C">
        <w:t xml:space="preserve">Table </w:t>
      </w:r>
      <w:r w:rsidR="007B6A4C">
        <w:rPr>
          <w:noProof/>
        </w:rPr>
        <w:t>6</w:t>
      </w:r>
      <w:r>
        <w:fldChar w:fldCharType="end"/>
      </w:r>
      <w:r>
        <w:t xml:space="preserve"> show an alternative presentation of the derivation of each State’s equalising requirement. In these tables, the equalising requirements are calculated as the average per capita GST paid during each year plus the State’s:</w:t>
      </w:r>
    </w:p>
    <w:p w:rsidR="00597461" w:rsidRDefault="00597461" w:rsidP="00597461">
      <w:pPr>
        <w:pStyle w:val="CGCBulletlist"/>
        <w:numPr>
          <w:ilvl w:val="0"/>
          <w:numId w:val="11"/>
        </w:numPr>
        <w:tabs>
          <w:tab w:val="clear" w:pos="927"/>
        </w:tabs>
        <w:ind w:left="1134" w:hanging="567"/>
      </w:pPr>
      <w:r>
        <w:t xml:space="preserve">per capita expense assessed difference (the State’s per capita assessed expenses less the average State per capita expenses) </w:t>
      </w:r>
    </w:p>
    <w:p w:rsidR="00597461" w:rsidRDefault="00597461" w:rsidP="00597461">
      <w:pPr>
        <w:pStyle w:val="CGCBulletlist"/>
        <w:numPr>
          <w:ilvl w:val="0"/>
          <w:numId w:val="11"/>
        </w:numPr>
        <w:tabs>
          <w:tab w:val="clear" w:pos="927"/>
        </w:tabs>
        <w:ind w:left="1134" w:hanging="567"/>
      </w:pPr>
      <w:r>
        <w:t xml:space="preserve">per capita investment assessed difference (the State’s per capita assessed investment less the average State per capita investment) </w:t>
      </w:r>
    </w:p>
    <w:p w:rsidR="00597461" w:rsidRDefault="00597461" w:rsidP="00597461">
      <w:pPr>
        <w:pStyle w:val="CGCBulletlist"/>
        <w:numPr>
          <w:ilvl w:val="0"/>
          <w:numId w:val="11"/>
        </w:numPr>
        <w:tabs>
          <w:tab w:val="clear" w:pos="927"/>
        </w:tabs>
        <w:ind w:left="1134" w:hanging="567"/>
      </w:pPr>
      <w:r>
        <w:t xml:space="preserve">per capita net borrowing assessed difference (the State’s per capita assessed net borrowing less the average State per capita net borrowing) </w:t>
      </w:r>
    </w:p>
    <w:p w:rsidR="00597461" w:rsidRDefault="00597461" w:rsidP="00597461">
      <w:pPr>
        <w:pStyle w:val="CGCBulletlist"/>
        <w:numPr>
          <w:ilvl w:val="0"/>
          <w:numId w:val="11"/>
        </w:numPr>
        <w:tabs>
          <w:tab w:val="clear" w:pos="927"/>
        </w:tabs>
        <w:ind w:left="1134" w:hanging="567"/>
      </w:pPr>
      <w:r>
        <w:lastRenderedPageBreak/>
        <w:t xml:space="preserve">per capita revenue assessed difference (the average State per capita revenue less the State’s per capita assessed revenue) </w:t>
      </w:r>
    </w:p>
    <w:p w:rsidR="00597461" w:rsidRDefault="00597461" w:rsidP="00597461">
      <w:pPr>
        <w:pStyle w:val="CGCBulletlist"/>
        <w:numPr>
          <w:ilvl w:val="0"/>
          <w:numId w:val="11"/>
        </w:numPr>
        <w:tabs>
          <w:tab w:val="clear" w:pos="927"/>
        </w:tabs>
        <w:ind w:left="1134" w:hanging="567"/>
      </w:pPr>
      <w:proofErr w:type="gramStart"/>
      <w:r>
        <w:t>per</w:t>
      </w:r>
      <w:proofErr w:type="gramEnd"/>
      <w:r>
        <w:t xml:space="preserve"> capita assessed difference for Commonwealth payments (the average State per capita Commonwealth payments less the State’s per capita Commonwealth payments).</w:t>
      </w:r>
    </w:p>
    <w:p w:rsidR="00597461" w:rsidRDefault="00597461" w:rsidP="00597461">
      <w:pPr>
        <w:pStyle w:val="CGCNumberedPara"/>
      </w:pPr>
      <w:r>
        <w:t xml:space="preserve">For more information about what </w:t>
      </w:r>
      <w:proofErr w:type="gramStart"/>
      <w:r>
        <w:t>a relativity</w:t>
      </w:r>
      <w:proofErr w:type="gramEnd"/>
      <w:r>
        <w:t xml:space="preserve"> is, see Box 4 in Volume 2, Chapter 1 — Implementing equalisation.</w:t>
      </w:r>
    </w:p>
    <w:p w:rsidR="00597461" w:rsidRDefault="00597461" w:rsidP="00597461">
      <w:pPr>
        <w:tabs>
          <w:tab w:val="clear" w:pos="567"/>
        </w:tabs>
        <w:rPr>
          <w:szCs w:val="24"/>
        </w:rPr>
      </w:pPr>
      <w:r>
        <w:br w:type="page"/>
      </w:r>
    </w:p>
    <w:p w:rsidR="00597461" w:rsidRDefault="00AF6D85" w:rsidP="00597461">
      <w:pPr>
        <w:pStyle w:val="Caption"/>
      </w:pPr>
      <w:bookmarkStart w:id="38" w:name="_Ref410131052"/>
      <w:bookmarkStart w:id="39" w:name="_Ref410907325"/>
      <w:r>
        <w:lastRenderedPageBreak/>
        <w:t xml:space="preserve">Table </w:t>
      </w:r>
      <w:bookmarkEnd w:id="38"/>
      <w:r>
        <w:fldChar w:fldCharType="begin"/>
      </w:r>
      <w:r>
        <w:instrText xml:space="preserve"> SEQ Table \* ARABIC \r1 </w:instrText>
      </w:r>
      <w:r>
        <w:fldChar w:fldCharType="separate"/>
      </w:r>
      <w:r w:rsidR="007B6A4C">
        <w:rPr>
          <w:noProof/>
        </w:rPr>
        <w:t>1</w:t>
      </w:r>
      <w:r>
        <w:fldChar w:fldCharType="end"/>
      </w:r>
      <w:bookmarkEnd w:id="39"/>
      <w:r w:rsidR="00597461">
        <w:tab/>
        <w:t>Per capita relativities, 2011</w:t>
      </w:r>
      <w:r w:rsidR="00597461">
        <w:noBreakHyphen/>
        <w:t>12</w:t>
      </w:r>
    </w:p>
    <w:tbl>
      <w:tblPr>
        <w:tblW w:w="9020" w:type="dxa"/>
        <w:tblLayout w:type="fixed"/>
        <w:tblCellMar>
          <w:left w:w="0" w:type="dxa"/>
          <w:right w:w="0" w:type="dxa"/>
        </w:tblCellMar>
        <w:tblLook w:val="04A0" w:firstRow="1" w:lastRow="0" w:firstColumn="1" w:lastColumn="0" w:noHBand="0" w:noVBand="1"/>
      </w:tblPr>
      <w:tblGrid>
        <w:gridCol w:w="2940"/>
        <w:gridCol w:w="672"/>
        <w:gridCol w:w="672"/>
        <w:gridCol w:w="672"/>
        <w:gridCol w:w="672"/>
        <w:gridCol w:w="672"/>
        <w:gridCol w:w="680"/>
        <w:gridCol w:w="680"/>
        <w:gridCol w:w="680"/>
        <w:gridCol w:w="680"/>
      </w:tblGrid>
      <w:tr w:rsidR="00BE39FE" w:rsidRPr="00BE39FE" w:rsidTr="00BE39FE">
        <w:trPr>
          <w:trHeight w:val="379"/>
        </w:trPr>
        <w:tc>
          <w:tcPr>
            <w:tcW w:w="2940" w:type="dxa"/>
            <w:tcBorders>
              <w:top w:val="single" w:sz="4" w:space="0" w:color="auto"/>
              <w:left w:val="nil"/>
              <w:bottom w:val="single" w:sz="4" w:space="0" w:color="auto"/>
              <w:right w:val="nil"/>
            </w:tcBorders>
            <w:shd w:val="clear" w:color="auto" w:fill="auto"/>
            <w:noWrap/>
            <w:vAlign w:val="center"/>
            <w:hideMark/>
          </w:tcPr>
          <w:p w:rsidR="00BE39FE" w:rsidRPr="00BE39FE" w:rsidRDefault="00BE39FE" w:rsidP="00BE39F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bookmarkStart w:id="40" w:name="RANGE!A5:J15"/>
            <w:r w:rsidRPr="00BE39FE">
              <w:rPr>
                <w:rFonts w:ascii="Calibri" w:eastAsia="Times New Roman" w:hAnsi="Calibri" w:cs="Times New Roman"/>
                <w:sz w:val="20"/>
                <w:szCs w:val="20"/>
                <w:lang w:eastAsia="en-AU"/>
              </w:rPr>
              <w:t> </w:t>
            </w:r>
            <w:bookmarkEnd w:id="40"/>
          </w:p>
        </w:tc>
        <w:tc>
          <w:tcPr>
            <w:tcW w:w="672" w:type="dxa"/>
            <w:tcBorders>
              <w:top w:val="single" w:sz="4" w:space="0" w:color="auto"/>
              <w:left w:val="nil"/>
              <w:bottom w:val="single" w:sz="4" w:space="0" w:color="auto"/>
              <w:right w:val="nil"/>
            </w:tcBorders>
            <w:shd w:val="clear" w:color="auto" w:fill="auto"/>
            <w:noWrap/>
            <w:vAlign w:val="center"/>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NSW</w:t>
            </w:r>
          </w:p>
        </w:tc>
        <w:tc>
          <w:tcPr>
            <w:tcW w:w="672" w:type="dxa"/>
            <w:tcBorders>
              <w:top w:val="single" w:sz="4" w:space="0" w:color="auto"/>
              <w:left w:val="nil"/>
              <w:bottom w:val="single" w:sz="4" w:space="0" w:color="auto"/>
              <w:right w:val="nil"/>
            </w:tcBorders>
            <w:shd w:val="clear" w:color="auto" w:fill="auto"/>
            <w:noWrap/>
            <w:vAlign w:val="center"/>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Vic</w:t>
            </w:r>
          </w:p>
        </w:tc>
        <w:tc>
          <w:tcPr>
            <w:tcW w:w="672" w:type="dxa"/>
            <w:tcBorders>
              <w:top w:val="single" w:sz="4" w:space="0" w:color="auto"/>
              <w:left w:val="nil"/>
              <w:bottom w:val="single" w:sz="4" w:space="0" w:color="auto"/>
              <w:right w:val="nil"/>
            </w:tcBorders>
            <w:shd w:val="clear" w:color="auto" w:fill="auto"/>
            <w:noWrap/>
            <w:vAlign w:val="center"/>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Qld</w:t>
            </w:r>
          </w:p>
        </w:tc>
        <w:tc>
          <w:tcPr>
            <w:tcW w:w="672" w:type="dxa"/>
            <w:tcBorders>
              <w:top w:val="single" w:sz="4" w:space="0" w:color="auto"/>
              <w:left w:val="nil"/>
              <w:bottom w:val="single" w:sz="4" w:space="0" w:color="auto"/>
              <w:right w:val="nil"/>
            </w:tcBorders>
            <w:shd w:val="clear" w:color="auto" w:fill="auto"/>
            <w:noWrap/>
            <w:vAlign w:val="center"/>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WA</w:t>
            </w:r>
          </w:p>
        </w:tc>
        <w:tc>
          <w:tcPr>
            <w:tcW w:w="672" w:type="dxa"/>
            <w:tcBorders>
              <w:top w:val="single" w:sz="4" w:space="0" w:color="auto"/>
              <w:left w:val="nil"/>
              <w:bottom w:val="single" w:sz="4" w:space="0" w:color="auto"/>
              <w:right w:val="nil"/>
            </w:tcBorders>
            <w:shd w:val="clear" w:color="auto" w:fill="auto"/>
            <w:noWrap/>
            <w:vAlign w:val="center"/>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SA</w:t>
            </w:r>
          </w:p>
        </w:tc>
        <w:tc>
          <w:tcPr>
            <w:tcW w:w="680" w:type="dxa"/>
            <w:tcBorders>
              <w:top w:val="single" w:sz="4" w:space="0" w:color="auto"/>
              <w:left w:val="nil"/>
              <w:bottom w:val="single" w:sz="4" w:space="0" w:color="auto"/>
              <w:right w:val="nil"/>
            </w:tcBorders>
            <w:shd w:val="clear" w:color="auto" w:fill="auto"/>
            <w:noWrap/>
            <w:vAlign w:val="center"/>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BE39FE">
              <w:rPr>
                <w:rFonts w:ascii="Calibri" w:eastAsia="Times New Roman" w:hAnsi="Calibri" w:cs="Times New Roman"/>
                <w:sz w:val="20"/>
                <w:szCs w:val="20"/>
                <w:lang w:eastAsia="en-AU"/>
              </w:rPr>
              <w:t>Tas</w:t>
            </w:r>
            <w:proofErr w:type="spellEnd"/>
          </w:p>
        </w:tc>
        <w:tc>
          <w:tcPr>
            <w:tcW w:w="680" w:type="dxa"/>
            <w:tcBorders>
              <w:top w:val="single" w:sz="4" w:space="0" w:color="auto"/>
              <w:left w:val="nil"/>
              <w:bottom w:val="single" w:sz="4" w:space="0" w:color="auto"/>
              <w:right w:val="nil"/>
            </w:tcBorders>
            <w:shd w:val="clear" w:color="auto" w:fill="auto"/>
            <w:noWrap/>
            <w:vAlign w:val="center"/>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ACT</w:t>
            </w:r>
          </w:p>
        </w:tc>
        <w:tc>
          <w:tcPr>
            <w:tcW w:w="680" w:type="dxa"/>
            <w:tcBorders>
              <w:top w:val="single" w:sz="4" w:space="0" w:color="auto"/>
              <w:left w:val="nil"/>
              <w:bottom w:val="single" w:sz="4" w:space="0" w:color="auto"/>
              <w:right w:val="nil"/>
            </w:tcBorders>
            <w:shd w:val="clear" w:color="auto" w:fill="auto"/>
            <w:noWrap/>
            <w:vAlign w:val="center"/>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NT</w:t>
            </w:r>
          </w:p>
        </w:tc>
        <w:tc>
          <w:tcPr>
            <w:tcW w:w="680" w:type="dxa"/>
            <w:tcBorders>
              <w:top w:val="single" w:sz="4" w:space="0" w:color="auto"/>
              <w:left w:val="nil"/>
              <w:bottom w:val="single" w:sz="4" w:space="0" w:color="auto"/>
              <w:right w:val="nil"/>
            </w:tcBorders>
            <w:shd w:val="clear" w:color="auto" w:fill="auto"/>
            <w:noWrap/>
            <w:vAlign w:val="center"/>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Ave</w:t>
            </w:r>
          </w:p>
        </w:tc>
      </w:tr>
      <w:tr w:rsidR="00BE39FE" w:rsidRPr="00BE39FE" w:rsidTr="00BE39FE">
        <w:trPr>
          <w:trHeight w:val="259"/>
        </w:trPr>
        <w:tc>
          <w:tcPr>
            <w:tcW w:w="2940"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p>
        </w:tc>
        <w:tc>
          <w:tcPr>
            <w:tcW w:w="672"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$pc</w:t>
            </w:r>
          </w:p>
        </w:tc>
        <w:tc>
          <w:tcPr>
            <w:tcW w:w="672"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$pc</w:t>
            </w:r>
          </w:p>
        </w:tc>
        <w:tc>
          <w:tcPr>
            <w:tcW w:w="672"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$pc</w:t>
            </w:r>
          </w:p>
        </w:tc>
        <w:tc>
          <w:tcPr>
            <w:tcW w:w="672"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$pc</w:t>
            </w:r>
          </w:p>
        </w:tc>
        <w:tc>
          <w:tcPr>
            <w:tcW w:w="672"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$pc</w:t>
            </w:r>
          </w:p>
        </w:tc>
        <w:tc>
          <w:tcPr>
            <w:tcW w:w="680"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$pc</w:t>
            </w:r>
          </w:p>
        </w:tc>
        <w:tc>
          <w:tcPr>
            <w:tcW w:w="680"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$pc</w:t>
            </w:r>
          </w:p>
        </w:tc>
        <w:tc>
          <w:tcPr>
            <w:tcW w:w="680"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$pc</w:t>
            </w:r>
          </w:p>
        </w:tc>
        <w:tc>
          <w:tcPr>
            <w:tcW w:w="680"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$pc</w:t>
            </w:r>
          </w:p>
        </w:tc>
      </w:tr>
      <w:tr w:rsidR="00BE39FE" w:rsidRPr="00BE39FE" w:rsidTr="00BE39FE">
        <w:trPr>
          <w:trHeight w:val="315"/>
        </w:trPr>
        <w:tc>
          <w:tcPr>
            <w:tcW w:w="2940"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Assessed expenses</w:t>
            </w:r>
          </w:p>
        </w:tc>
        <w:tc>
          <w:tcPr>
            <w:tcW w:w="672"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8 152</w:t>
            </w:r>
          </w:p>
        </w:tc>
        <w:tc>
          <w:tcPr>
            <w:tcW w:w="672"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7 776</w:t>
            </w:r>
          </w:p>
        </w:tc>
        <w:tc>
          <w:tcPr>
            <w:tcW w:w="672"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8 575</w:t>
            </w:r>
          </w:p>
        </w:tc>
        <w:tc>
          <w:tcPr>
            <w:tcW w:w="672"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9 132</w:t>
            </w:r>
          </w:p>
        </w:tc>
        <w:tc>
          <w:tcPr>
            <w:tcW w:w="672"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8 574</w:t>
            </w:r>
          </w:p>
        </w:tc>
        <w:tc>
          <w:tcPr>
            <w:tcW w:w="68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9 261</w:t>
            </w:r>
          </w:p>
        </w:tc>
        <w:tc>
          <w:tcPr>
            <w:tcW w:w="68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8 108</w:t>
            </w:r>
          </w:p>
        </w:tc>
        <w:tc>
          <w:tcPr>
            <w:tcW w:w="68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18 037</w:t>
            </w:r>
          </w:p>
        </w:tc>
        <w:tc>
          <w:tcPr>
            <w:tcW w:w="68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8 405</w:t>
            </w:r>
          </w:p>
        </w:tc>
      </w:tr>
      <w:tr w:rsidR="00BE39FE" w:rsidRPr="00BE39FE" w:rsidTr="00BE39FE">
        <w:trPr>
          <w:trHeight w:val="315"/>
        </w:trPr>
        <w:tc>
          <w:tcPr>
            <w:tcW w:w="2940"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BE39FE">
              <w:rPr>
                <w:rFonts w:ascii="Calibri" w:eastAsia="Times New Roman" w:hAnsi="Calibri" w:cs="Times New Roman"/>
                <w:i/>
                <w:iCs/>
                <w:sz w:val="20"/>
                <w:szCs w:val="20"/>
                <w:lang w:eastAsia="en-AU"/>
              </w:rPr>
              <w:t>plus:</w:t>
            </w:r>
            <w:r w:rsidRPr="00BE39FE">
              <w:rPr>
                <w:rFonts w:ascii="Calibri" w:eastAsia="Times New Roman" w:hAnsi="Calibri" w:cs="Times New Roman"/>
                <w:sz w:val="20"/>
                <w:szCs w:val="20"/>
                <w:lang w:eastAsia="en-AU"/>
              </w:rPr>
              <w:t xml:space="preserve"> Assessed investment</w:t>
            </w:r>
          </w:p>
        </w:tc>
        <w:tc>
          <w:tcPr>
            <w:tcW w:w="672"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710</w:t>
            </w:r>
          </w:p>
        </w:tc>
        <w:tc>
          <w:tcPr>
            <w:tcW w:w="672"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753</w:t>
            </w:r>
          </w:p>
        </w:tc>
        <w:tc>
          <w:tcPr>
            <w:tcW w:w="672"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791</w:t>
            </w:r>
          </w:p>
        </w:tc>
        <w:tc>
          <w:tcPr>
            <w:tcW w:w="672"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1131</w:t>
            </w:r>
          </w:p>
        </w:tc>
        <w:tc>
          <w:tcPr>
            <w:tcW w:w="672"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620</w:t>
            </w:r>
          </w:p>
        </w:tc>
        <w:tc>
          <w:tcPr>
            <w:tcW w:w="680"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518</w:t>
            </w:r>
          </w:p>
        </w:tc>
        <w:tc>
          <w:tcPr>
            <w:tcW w:w="680"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715</w:t>
            </w:r>
          </w:p>
        </w:tc>
        <w:tc>
          <w:tcPr>
            <w:tcW w:w="680"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1 036</w:t>
            </w:r>
          </w:p>
        </w:tc>
        <w:tc>
          <w:tcPr>
            <w:tcW w:w="680"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774</w:t>
            </w:r>
          </w:p>
        </w:tc>
      </w:tr>
      <w:tr w:rsidR="00BE39FE" w:rsidRPr="00BE39FE" w:rsidTr="00BE39FE">
        <w:trPr>
          <w:trHeight w:val="315"/>
        </w:trPr>
        <w:tc>
          <w:tcPr>
            <w:tcW w:w="2940"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Assessed expenditure</w:t>
            </w:r>
          </w:p>
        </w:tc>
        <w:tc>
          <w:tcPr>
            <w:tcW w:w="672"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8 861</w:t>
            </w:r>
          </w:p>
        </w:tc>
        <w:tc>
          <w:tcPr>
            <w:tcW w:w="672"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8 529</w:t>
            </w:r>
          </w:p>
        </w:tc>
        <w:tc>
          <w:tcPr>
            <w:tcW w:w="672"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9 366</w:t>
            </w:r>
          </w:p>
        </w:tc>
        <w:tc>
          <w:tcPr>
            <w:tcW w:w="672"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10 263</w:t>
            </w:r>
          </w:p>
        </w:tc>
        <w:tc>
          <w:tcPr>
            <w:tcW w:w="672"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9 193</w:t>
            </w:r>
          </w:p>
        </w:tc>
        <w:tc>
          <w:tcPr>
            <w:tcW w:w="680"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9 779</w:t>
            </w:r>
          </w:p>
        </w:tc>
        <w:tc>
          <w:tcPr>
            <w:tcW w:w="680"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8 823</w:t>
            </w:r>
          </w:p>
        </w:tc>
        <w:tc>
          <w:tcPr>
            <w:tcW w:w="680"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19 072</w:t>
            </w:r>
          </w:p>
        </w:tc>
        <w:tc>
          <w:tcPr>
            <w:tcW w:w="680"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9 179</w:t>
            </w:r>
          </w:p>
        </w:tc>
      </w:tr>
      <w:tr w:rsidR="00BE39FE" w:rsidRPr="00BE39FE" w:rsidTr="00BE39FE">
        <w:trPr>
          <w:trHeight w:val="315"/>
        </w:trPr>
        <w:tc>
          <w:tcPr>
            <w:tcW w:w="2940"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BE39FE">
              <w:rPr>
                <w:rFonts w:ascii="Calibri" w:eastAsia="Times New Roman" w:hAnsi="Calibri" w:cs="Times New Roman"/>
                <w:i/>
                <w:iCs/>
                <w:sz w:val="20"/>
                <w:szCs w:val="20"/>
                <w:lang w:eastAsia="en-AU"/>
              </w:rPr>
              <w:t>less:</w:t>
            </w:r>
            <w:r w:rsidRPr="00BE39FE">
              <w:rPr>
                <w:rFonts w:ascii="Calibri" w:eastAsia="Times New Roman" w:hAnsi="Calibri" w:cs="Times New Roman"/>
                <w:sz w:val="20"/>
                <w:szCs w:val="20"/>
                <w:lang w:eastAsia="en-AU"/>
              </w:rPr>
              <w:t xml:space="preserve"> Assessed net borrowing (a)</w:t>
            </w:r>
          </w:p>
        </w:tc>
        <w:tc>
          <w:tcPr>
            <w:tcW w:w="672"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874</w:t>
            </w:r>
          </w:p>
        </w:tc>
        <w:tc>
          <w:tcPr>
            <w:tcW w:w="672"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886</w:t>
            </w:r>
          </w:p>
        </w:tc>
        <w:tc>
          <w:tcPr>
            <w:tcW w:w="672"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894</w:t>
            </w:r>
          </w:p>
        </w:tc>
        <w:tc>
          <w:tcPr>
            <w:tcW w:w="672"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930</w:t>
            </w:r>
          </w:p>
        </w:tc>
        <w:tc>
          <w:tcPr>
            <w:tcW w:w="672"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866</w:t>
            </w:r>
          </w:p>
        </w:tc>
        <w:tc>
          <w:tcPr>
            <w:tcW w:w="680"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850</w:t>
            </w:r>
          </w:p>
        </w:tc>
        <w:tc>
          <w:tcPr>
            <w:tcW w:w="680"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890</w:t>
            </w:r>
          </w:p>
        </w:tc>
        <w:tc>
          <w:tcPr>
            <w:tcW w:w="680"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871</w:t>
            </w:r>
          </w:p>
        </w:tc>
        <w:tc>
          <w:tcPr>
            <w:tcW w:w="680"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886</w:t>
            </w:r>
          </w:p>
        </w:tc>
      </w:tr>
      <w:tr w:rsidR="00BE39FE" w:rsidRPr="00BE39FE" w:rsidTr="00BE39FE">
        <w:trPr>
          <w:trHeight w:val="315"/>
        </w:trPr>
        <w:tc>
          <w:tcPr>
            <w:tcW w:w="2940"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BE39FE">
              <w:rPr>
                <w:rFonts w:ascii="Calibri" w:eastAsia="Times New Roman" w:hAnsi="Calibri" w:cs="Times New Roman"/>
                <w:i/>
                <w:iCs/>
                <w:sz w:val="20"/>
                <w:szCs w:val="20"/>
                <w:lang w:eastAsia="en-AU"/>
              </w:rPr>
              <w:t>less:</w:t>
            </w:r>
            <w:r w:rsidRPr="00BE39FE">
              <w:rPr>
                <w:rFonts w:ascii="Calibri" w:eastAsia="Times New Roman" w:hAnsi="Calibri" w:cs="Times New Roman"/>
                <w:sz w:val="20"/>
                <w:szCs w:val="20"/>
                <w:lang w:eastAsia="en-AU"/>
              </w:rPr>
              <w:t xml:space="preserve"> Assessed revenue (a)</w:t>
            </w:r>
          </w:p>
        </w:tc>
        <w:tc>
          <w:tcPr>
            <w:tcW w:w="672"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4 402</w:t>
            </w:r>
          </w:p>
        </w:tc>
        <w:tc>
          <w:tcPr>
            <w:tcW w:w="672"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4 147</w:t>
            </w:r>
          </w:p>
        </w:tc>
        <w:tc>
          <w:tcPr>
            <w:tcW w:w="672"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4 714</w:t>
            </w:r>
          </w:p>
        </w:tc>
        <w:tc>
          <w:tcPr>
            <w:tcW w:w="672"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6 865</w:t>
            </w:r>
          </w:p>
        </w:tc>
        <w:tc>
          <w:tcPr>
            <w:tcW w:w="672"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3 780</w:t>
            </w:r>
          </w:p>
        </w:tc>
        <w:tc>
          <w:tcPr>
            <w:tcW w:w="680"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3 510</w:t>
            </w:r>
          </w:p>
        </w:tc>
        <w:tc>
          <w:tcPr>
            <w:tcW w:w="680"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4 078</w:t>
            </w:r>
          </w:p>
        </w:tc>
        <w:tc>
          <w:tcPr>
            <w:tcW w:w="680"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4 134</w:t>
            </w:r>
          </w:p>
        </w:tc>
        <w:tc>
          <w:tcPr>
            <w:tcW w:w="680"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4 589</w:t>
            </w:r>
          </w:p>
        </w:tc>
      </w:tr>
      <w:tr w:rsidR="00BE39FE" w:rsidRPr="00BE39FE" w:rsidTr="00BE39FE">
        <w:trPr>
          <w:trHeight w:val="315"/>
        </w:trPr>
        <w:tc>
          <w:tcPr>
            <w:tcW w:w="294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Total requirement for assistance</w:t>
            </w:r>
          </w:p>
        </w:tc>
        <w:tc>
          <w:tcPr>
            <w:tcW w:w="672"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3 586</w:t>
            </w:r>
          </w:p>
        </w:tc>
        <w:tc>
          <w:tcPr>
            <w:tcW w:w="672"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3 496</w:t>
            </w:r>
          </w:p>
        </w:tc>
        <w:tc>
          <w:tcPr>
            <w:tcW w:w="672"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3 759</w:t>
            </w:r>
          </w:p>
        </w:tc>
        <w:tc>
          <w:tcPr>
            <w:tcW w:w="672"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2 468</w:t>
            </w:r>
          </w:p>
        </w:tc>
        <w:tc>
          <w:tcPr>
            <w:tcW w:w="672"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4 547</w:t>
            </w:r>
          </w:p>
        </w:tc>
        <w:tc>
          <w:tcPr>
            <w:tcW w:w="68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5 419</w:t>
            </w:r>
          </w:p>
        </w:tc>
        <w:tc>
          <w:tcPr>
            <w:tcW w:w="68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3 855</w:t>
            </w:r>
          </w:p>
        </w:tc>
        <w:tc>
          <w:tcPr>
            <w:tcW w:w="68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14 067</w:t>
            </w:r>
          </w:p>
        </w:tc>
        <w:tc>
          <w:tcPr>
            <w:tcW w:w="68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3 704</w:t>
            </w:r>
          </w:p>
        </w:tc>
      </w:tr>
      <w:tr w:rsidR="00BE39FE" w:rsidRPr="00BE39FE" w:rsidTr="00BE39FE">
        <w:trPr>
          <w:trHeight w:val="315"/>
        </w:trPr>
        <w:tc>
          <w:tcPr>
            <w:tcW w:w="294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BE39FE">
              <w:rPr>
                <w:rFonts w:ascii="Calibri" w:eastAsia="Times New Roman" w:hAnsi="Calibri" w:cs="Times New Roman"/>
                <w:i/>
                <w:iCs/>
                <w:sz w:val="20"/>
                <w:szCs w:val="20"/>
                <w:lang w:eastAsia="en-AU"/>
              </w:rPr>
              <w:t>less:</w:t>
            </w:r>
            <w:r w:rsidRPr="00BE39FE">
              <w:rPr>
                <w:rFonts w:ascii="Calibri" w:eastAsia="Times New Roman" w:hAnsi="Calibri" w:cs="Times New Roman"/>
                <w:sz w:val="20"/>
                <w:szCs w:val="20"/>
                <w:lang w:eastAsia="en-AU"/>
              </w:rPr>
              <w:t xml:space="preserve"> Commonwealth payments</w:t>
            </w:r>
          </w:p>
        </w:tc>
        <w:tc>
          <w:tcPr>
            <w:tcW w:w="672"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1 574</w:t>
            </w:r>
          </w:p>
        </w:tc>
        <w:tc>
          <w:tcPr>
            <w:tcW w:w="672"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1 596</w:t>
            </w:r>
          </w:p>
        </w:tc>
        <w:tc>
          <w:tcPr>
            <w:tcW w:w="672"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1 710</w:t>
            </w:r>
          </w:p>
        </w:tc>
        <w:tc>
          <w:tcPr>
            <w:tcW w:w="672"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1 672</w:t>
            </w:r>
          </w:p>
        </w:tc>
        <w:tc>
          <w:tcPr>
            <w:tcW w:w="672"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1 990</w:t>
            </w:r>
          </w:p>
        </w:tc>
        <w:tc>
          <w:tcPr>
            <w:tcW w:w="68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1 633</w:t>
            </w:r>
          </w:p>
        </w:tc>
        <w:tc>
          <w:tcPr>
            <w:tcW w:w="68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1 485</w:t>
            </w:r>
          </w:p>
        </w:tc>
        <w:tc>
          <w:tcPr>
            <w:tcW w:w="68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2 729</w:t>
            </w:r>
          </w:p>
        </w:tc>
        <w:tc>
          <w:tcPr>
            <w:tcW w:w="68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1 659</w:t>
            </w:r>
          </w:p>
        </w:tc>
      </w:tr>
      <w:tr w:rsidR="00BE39FE" w:rsidRPr="00BE39FE" w:rsidTr="00BE39FE">
        <w:trPr>
          <w:trHeight w:val="315"/>
        </w:trPr>
        <w:tc>
          <w:tcPr>
            <w:tcW w:w="2940"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GST requirement</w:t>
            </w:r>
          </w:p>
        </w:tc>
        <w:tc>
          <w:tcPr>
            <w:tcW w:w="672"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2 012</w:t>
            </w:r>
          </w:p>
        </w:tc>
        <w:tc>
          <w:tcPr>
            <w:tcW w:w="672"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1 900</w:t>
            </w:r>
          </w:p>
        </w:tc>
        <w:tc>
          <w:tcPr>
            <w:tcW w:w="672"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2 048</w:t>
            </w:r>
          </w:p>
        </w:tc>
        <w:tc>
          <w:tcPr>
            <w:tcW w:w="672"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795</w:t>
            </w:r>
          </w:p>
        </w:tc>
        <w:tc>
          <w:tcPr>
            <w:tcW w:w="672"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2 558</w:t>
            </w:r>
          </w:p>
        </w:tc>
        <w:tc>
          <w:tcPr>
            <w:tcW w:w="680"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3 786</w:t>
            </w:r>
          </w:p>
        </w:tc>
        <w:tc>
          <w:tcPr>
            <w:tcW w:w="680"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2 370</w:t>
            </w:r>
          </w:p>
        </w:tc>
        <w:tc>
          <w:tcPr>
            <w:tcW w:w="680"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11 338</w:t>
            </w:r>
          </w:p>
        </w:tc>
        <w:tc>
          <w:tcPr>
            <w:tcW w:w="680"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2 045</w:t>
            </w:r>
          </w:p>
        </w:tc>
      </w:tr>
      <w:tr w:rsidR="00BE39FE" w:rsidRPr="00BE39FE" w:rsidTr="00BE39FE">
        <w:trPr>
          <w:trHeight w:val="315"/>
        </w:trPr>
        <w:tc>
          <w:tcPr>
            <w:tcW w:w="2940" w:type="dxa"/>
            <w:tcBorders>
              <w:top w:val="nil"/>
              <w:left w:val="nil"/>
              <w:bottom w:val="single" w:sz="4" w:space="0" w:color="auto"/>
              <w:right w:val="nil"/>
            </w:tcBorders>
            <w:shd w:val="clear" w:color="auto" w:fill="auto"/>
            <w:vAlign w:val="bottom"/>
            <w:hideMark/>
          </w:tcPr>
          <w:p w:rsidR="00BE39FE" w:rsidRPr="00BE39FE" w:rsidRDefault="00BE39FE"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Per capita relativity (</w:t>
            </w:r>
            <w:r w:rsidR="00E44CCF">
              <w:rPr>
                <w:rFonts w:ascii="Calibri" w:eastAsia="Times New Roman" w:hAnsi="Calibri" w:cs="Times New Roman"/>
                <w:sz w:val="20"/>
                <w:szCs w:val="20"/>
                <w:lang w:eastAsia="en-AU"/>
              </w:rPr>
              <w:t>c</w:t>
            </w:r>
            <w:r w:rsidRPr="00BE39FE">
              <w:rPr>
                <w:rFonts w:ascii="Calibri" w:eastAsia="Times New Roman" w:hAnsi="Calibri" w:cs="Times New Roman"/>
                <w:sz w:val="20"/>
                <w:szCs w:val="20"/>
                <w:lang w:eastAsia="en-AU"/>
              </w:rPr>
              <w:t>)</w:t>
            </w:r>
          </w:p>
        </w:tc>
        <w:tc>
          <w:tcPr>
            <w:tcW w:w="672"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0.984</w:t>
            </w:r>
          </w:p>
        </w:tc>
        <w:tc>
          <w:tcPr>
            <w:tcW w:w="672"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0.929</w:t>
            </w:r>
          </w:p>
        </w:tc>
        <w:tc>
          <w:tcPr>
            <w:tcW w:w="672"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1.002</w:t>
            </w:r>
          </w:p>
        </w:tc>
        <w:tc>
          <w:tcPr>
            <w:tcW w:w="672"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0.389</w:t>
            </w:r>
          </w:p>
        </w:tc>
        <w:tc>
          <w:tcPr>
            <w:tcW w:w="672"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1.251</w:t>
            </w:r>
          </w:p>
        </w:tc>
        <w:tc>
          <w:tcPr>
            <w:tcW w:w="680"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1.851</w:t>
            </w:r>
          </w:p>
        </w:tc>
        <w:tc>
          <w:tcPr>
            <w:tcW w:w="680"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1.159</w:t>
            </w:r>
          </w:p>
        </w:tc>
        <w:tc>
          <w:tcPr>
            <w:tcW w:w="680"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5.545</w:t>
            </w:r>
          </w:p>
        </w:tc>
        <w:tc>
          <w:tcPr>
            <w:tcW w:w="680"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1.000</w:t>
            </w:r>
          </w:p>
        </w:tc>
      </w:tr>
    </w:tbl>
    <w:p w:rsidR="00BE39FE" w:rsidRDefault="00BE39FE" w:rsidP="00BE39FE">
      <w:pPr>
        <w:pStyle w:val="CGCTableFootnote"/>
      </w:pPr>
      <w:r>
        <w:t>(a)</w:t>
      </w:r>
      <w:r>
        <w:tab/>
      </w:r>
      <w:r w:rsidRPr="00BB1D1A">
        <w:t>Net borrowing is shown</w:t>
      </w:r>
      <w:r>
        <w:t xml:space="preserve"> without a minus sign. It is another</w:t>
      </w:r>
      <w:r w:rsidRPr="00BB1D1A">
        <w:t xml:space="preserve"> source of funds to meet a State’s expenditure requirement.</w:t>
      </w:r>
    </w:p>
    <w:p w:rsidR="00BE39FE" w:rsidRDefault="00BE39FE" w:rsidP="00BE39FE">
      <w:pPr>
        <w:pStyle w:val="CGCTableFootnote"/>
      </w:pPr>
      <w:r>
        <w:t>(b)</w:t>
      </w:r>
      <w:r>
        <w:tab/>
        <w:t>Assessed revenue includes the net balancing transactions.</w:t>
      </w:r>
    </w:p>
    <w:p w:rsidR="00BE39FE" w:rsidRDefault="00BE39FE" w:rsidP="00BE39FE">
      <w:pPr>
        <w:pStyle w:val="CGCTableFootnote"/>
      </w:pPr>
      <w:r>
        <w:t>(c)</w:t>
      </w:r>
      <w:r>
        <w:tab/>
        <w:t>Per capita relativities are equal to each State's GST requirement divided by the average GST.</w:t>
      </w:r>
    </w:p>
    <w:p w:rsidR="00BE39FE" w:rsidRDefault="00BE39FE" w:rsidP="00BE39FE">
      <w:pPr>
        <w:pStyle w:val="CGCTableFootnote"/>
      </w:pPr>
      <w:r>
        <w:t xml:space="preserve">Source: </w:t>
      </w:r>
      <w:r>
        <w:tab/>
        <w:t>Commission calculation.</w:t>
      </w:r>
    </w:p>
    <w:p w:rsidR="00597461" w:rsidRDefault="00597461" w:rsidP="00597461">
      <w:pPr>
        <w:pStyle w:val="NoSpacing"/>
      </w:pPr>
    </w:p>
    <w:p w:rsidR="00597461" w:rsidRDefault="0004120A" w:rsidP="00597461">
      <w:pPr>
        <w:pStyle w:val="Caption"/>
      </w:pPr>
      <w:bookmarkStart w:id="41" w:name="_Ref410131856"/>
      <w:r>
        <w:t xml:space="preserve">Table </w:t>
      </w:r>
      <w:fldSimple w:instr=" SEQ Table \* ARABIC ">
        <w:r w:rsidR="007B6A4C">
          <w:rPr>
            <w:noProof/>
          </w:rPr>
          <w:t>2</w:t>
        </w:r>
      </w:fldSimple>
      <w:bookmarkEnd w:id="41"/>
      <w:r w:rsidR="00597461">
        <w:tab/>
        <w:t xml:space="preserve">Per capita relativities, alternative presentation, </w:t>
      </w:r>
      <w:proofErr w:type="gramStart"/>
      <w:r w:rsidR="00597461">
        <w:t>2011</w:t>
      </w:r>
      <w:proofErr w:type="gramEnd"/>
      <w:r w:rsidR="00597461">
        <w:noBreakHyphen/>
        <w:t>12</w:t>
      </w:r>
    </w:p>
    <w:tbl>
      <w:tblPr>
        <w:tblW w:w="8980" w:type="dxa"/>
        <w:tblLayout w:type="fixed"/>
        <w:tblCellMar>
          <w:left w:w="0" w:type="dxa"/>
          <w:right w:w="0" w:type="dxa"/>
        </w:tblCellMar>
        <w:tblLook w:val="04A0" w:firstRow="1" w:lastRow="0" w:firstColumn="1" w:lastColumn="0" w:noHBand="0" w:noVBand="1"/>
      </w:tblPr>
      <w:tblGrid>
        <w:gridCol w:w="2500"/>
        <w:gridCol w:w="700"/>
        <w:gridCol w:w="700"/>
        <w:gridCol w:w="700"/>
        <w:gridCol w:w="760"/>
        <w:gridCol w:w="700"/>
        <w:gridCol w:w="700"/>
        <w:gridCol w:w="700"/>
        <w:gridCol w:w="760"/>
        <w:gridCol w:w="760"/>
      </w:tblGrid>
      <w:tr w:rsidR="00BE39FE" w:rsidRPr="00BE39FE" w:rsidTr="00BE39FE">
        <w:trPr>
          <w:trHeight w:val="379"/>
        </w:trPr>
        <w:tc>
          <w:tcPr>
            <w:tcW w:w="2500" w:type="dxa"/>
            <w:tcBorders>
              <w:top w:val="single" w:sz="4" w:space="0" w:color="auto"/>
              <w:left w:val="nil"/>
              <w:bottom w:val="single" w:sz="4" w:space="0" w:color="auto"/>
              <w:right w:val="nil"/>
            </w:tcBorders>
            <w:shd w:val="clear" w:color="auto" w:fill="auto"/>
            <w:noWrap/>
            <w:vAlign w:val="center"/>
            <w:hideMark/>
          </w:tcPr>
          <w:p w:rsidR="00BE39FE" w:rsidRPr="00BE39FE" w:rsidRDefault="00BE39FE" w:rsidP="00BE39F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bookmarkStart w:id="42" w:name="RANGE!A4:J15"/>
            <w:r w:rsidRPr="00BE39FE">
              <w:rPr>
                <w:rFonts w:ascii="Calibri" w:eastAsia="Times New Roman" w:hAnsi="Calibri" w:cs="Times New Roman"/>
                <w:sz w:val="20"/>
                <w:szCs w:val="20"/>
                <w:lang w:eastAsia="en-AU"/>
              </w:rPr>
              <w:t> </w:t>
            </w:r>
            <w:bookmarkEnd w:id="42"/>
          </w:p>
        </w:tc>
        <w:tc>
          <w:tcPr>
            <w:tcW w:w="700" w:type="dxa"/>
            <w:tcBorders>
              <w:top w:val="single" w:sz="4" w:space="0" w:color="auto"/>
              <w:left w:val="nil"/>
              <w:bottom w:val="single" w:sz="4" w:space="0" w:color="auto"/>
              <w:right w:val="nil"/>
            </w:tcBorders>
            <w:shd w:val="clear" w:color="auto" w:fill="auto"/>
            <w:noWrap/>
            <w:vAlign w:val="center"/>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NSW</w:t>
            </w:r>
          </w:p>
        </w:tc>
        <w:tc>
          <w:tcPr>
            <w:tcW w:w="700" w:type="dxa"/>
            <w:tcBorders>
              <w:top w:val="single" w:sz="4" w:space="0" w:color="auto"/>
              <w:left w:val="nil"/>
              <w:bottom w:val="single" w:sz="4" w:space="0" w:color="auto"/>
              <w:right w:val="nil"/>
            </w:tcBorders>
            <w:shd w:val="clear" w:color="auto" w:fill="auto"/>
            <w:noWrap/>
            <w:vAlign w:val="center"/>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Vic</w:t>
            </w:r>
          </w:p>
        </w:tc>
        <w:tc>
          <w:tcPr>
            <w:tcW w:w="700" w:type="dxa"/>
            <w:tcBorders>
              <w:top w:val="single" w:sz="4" w:space="0" w:color="auto"/>
              <w:left w:val="nil"/>
              <w:bottom w:val="single" w:sz="4" w:space="0" w:color="auto"/>
              <w:right w:val="nil"/>
            </w:tcBorders>
            <w:shd w:val="clear" w:color="auto" w:fill="auto"/>
            <w:noWrap/>
            <w:vAlign w:val="center"/>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Qld</w:t>
            </w:r>
          </w:p>
        </w:tc>
        <w:tc>
          <w:tcPr>
            <w:tcW w:w="760" w:type="dxa"/>
            <w:tcBorders>
              <w:top w:val="single" w:sz="4" w:space="0" w:color="auto"/>
              <w:left w:val="nil"/>
              <w:bottom w:val="single" w:sz="4" w:space="0" w:color="auto"/>
              <w:right w:val="nil"/>
            </w:tcBorders>
            <w:shd w:val="clear" w:color="auto" w:fill="auto"/>
            <w:noWrap/>
            <w:vAlign w:val="center"/>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WA</w:t>
            </w:r>
          </w:p>
        </w:tc>
        <w:tc>
          <w:tcPr>
            <w:tcW w:w="700" w:type="dxa"/>
            <w:tcBorders>
              <w:top w:val="single" w:sz="4" w:space="0" w:color="auto"/>
              <w:left w:val="nil"/>
              <w:bottom w:val="single" w:sz="4" w:space="0" w:color="auto"/>
              <w:right w:val="nil"/>
            </w:tcBorders>
            <w:shd w:val="clear" w:color="auto" w:fill="auto"/>
            <w:noWrap/>
            <w:vAlign w:val="center"/>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SA</w:t>
            </w:r>
          </w:p>
        </w:tc>
        <w:tc>
          <w:tcPr>
            <w:tcW w:w="700" w:type="dxa"/>
            <w:tcBorders>
              <w:top w:val="single" w:sz="4" w:space="0" w:color="auto"/>
              <w:left w:val="nil"/>
              <w:bottom w:val="single" w:sz="4" w:space="0" w:color="auto"/>
              <w:right w:val="nil"/>
            </w:tcBorders>
            <w:shd w:val="clear" w:color="auto" w:fill="auto"/>
            <w:noWrap/>
            <w:vAlign w:val="center"/>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BE39FE">
              <w:rPr>
                <w:rFonts w:ascii="Calibri" w:eastAsia="Times New Roman" w:hAnsi="Calibri" w:cs="Times New Roman"/>
                <w:sz w:val="20"/>
                <w:szCs w:val="20"/>
                <w:lang w:eastAsia="en-AU"/>
              </w:rPr>
              <w:t>Tas</w:t>
            </w:r>
            <w:proofErr w:type="spellEnd"/>
          </w:p>
        </w:tc>
        <w:tc>
          <w:tcPr>
            <w:tcW w:w="700" w:type="dxa"/>
            <w:tcBorders>
              <w:top w:val="single" w:sz="4" w:space="0" w:color="auto"/>
              <w:left w:val="nil"/>
              <w:bottom w:val="single" w:sz="4" w:space="0" w:color="auto"/>
              <w:right w:val="nil"/>
            </w:tcBorders>
            <w:shd w:val="clear" w:color="auto" w:fill="auto"/>
            <w:noWrap/>
            <w:vAlign w:val="center"/>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ACT</w:t>
            </w:r>
          </w:p>
        </w:tc>
        <w:tc>
          <w:tcPr>
            <w:tcW w:w="760" w:type="dxa"/>
            <w:tcBorders>
              <w:top w:val="single" w:sz="4" w:space="0" w:color="auto"/>
              <w:left w:val="nil"/>
              <w:bottom w:val="single" w:sz="4" w:space="0" w:color="auto"/>
              <w:right w:val="nil"/>
            </w:tcBorders>
            <w:shd w:val="clear" w:color="auto" w:fill="auto"/>
            <w:noWrap/>
            <w:vAlign w:val="center"/>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NT</w:t>
            </w:r>
          </w:p>
        </w:tc>
        <w:tc>
          <w:tcPr>
            <w:tcW w:w="760" w:type="dxa"/>
            <w:tcBorders>
              <w:top w:val="single" w:sz="4" w:space="0" w:color="auto"/>
              <w:left w:val="nil"/>
              <w:bottom w:val="single" w:sz="4" w:space="0" w:color="auto"/>
              <w:right w:val="nil"/>
            </w:tcBorders>
            <w:shd w:val="clear" w:color="auto" w:fill="auto"/>
            <w:noWrap/>
            <w:vAlign w:val="center"/>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Ave</w:t>
            </w:r>
          </w:p>
        </w:tc>
      </w:tr>
      <w:tr w:rsidR="00BE39FE" w:rsidRPr="00BE39FE" w:rsidTr="00BE39FE">
        <w:trPr>
          <w:trHeight w:val="259"/>
        </w:trPr>
        <w:tc>
          <w:tcPr>
            <w:tcW w:w="2500"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$pc</w:t>
            </w:r>
          </w:p>
        </w:tc>
        <w:tc>
          <w:tcPr>
            <w:tcW w:w="700"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$pc</w:t>
            </w:r>
          </w:p>
        </w:tc>
        <w:tc>
          <w:tcPr>
            <w:tcW w:w="700"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$pc</w:t>
            </w:r>
          </w:p>
        </w:tc>
        <w:tc>
          <w:tcPr>
            <w:tcW w:w="760"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$pc</w:t>
            </w:r>
          </w:p>
        </w:tc>
        <w:tc>
          <w:tcPr>
            <w:tcW w:w="700"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$pc</w:t>
            </w:r>
          </w:p>
        </w:tc>
        <w:tc>
          <w:tcPr>
            <w:tcW w:w="700"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$pc</w:t>
            </w:r>
          </w:p>
        </w:tc>
        <w:tc>
          <w:tcPr>
            <w:tcW w:w="700"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$pc</w:t>
            </w:r>
          </w:p>
        </w:tc>
        <w:tc>
          <w:tcPr>
            <w:tcW w:w="760"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$pc</w:t>
            </w:r>
          </w:p>
        </w:tc>
        <w:tc>
          <w:tcPr>
            <w:tcW w:w="760"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$pc</w:t>
            </w:r>
          </w:p>
        </w:tc>
      </w:tr>
      <w:tr w:rsidR="00BE39FE" w:rsidRPr="00BE39FE" w:rsidTr="00BE39FE">
        <w:trPr>
          <w:trHeight w:val="315"/>
        </w:trPr>
        <w:tc>
          <w:tcPr>
            <w:tcW w:w="2500"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Average GST</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2 045</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2 045</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2 045</w:t>
            </w:r>
          </w:p>
        </w:tc>
        <w:tc>
          <w:tcPr>
            <w:tcW w:w="76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2 045</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2 045</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2 045</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2 045</w:t>
            </w:r>
          </w:p>
        </w:tc>
        <w:tc>
          <w:tcPr>
            <w:tcW w:w="76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2 045</w:t>
            </w:r>
          </w:p>
        </w:tc>
        <w:tc>
          <w:tcPr>
            <w:tcW w:w="76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2 045</w:t>
            </w:r>
          </w:p>
        </w:tc>
      </w:tr>
      <w:tr w:rsidR="00BE39FE" w:rsidRPr="00BE39FE" w:rsidTr="00BE39FE">
        <w:trPr>
          <w:trHeight w:val="315"/>
        </w:trPr>
        <w:tc>
          <w:tcPr>
            <w:tcW w:w="25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BE39FE">
              <w:rPr>
                <w:rFonts w:ascii="Calibri" w:eastAsia="Times New Roman" w:hAnsi="Calibri" w:cs="Times New Roman"/>
                <w:i/>
                <w:iCs/>
                <w:sz w:val="20"/>
                <w:szCs w:val="20"/>
                <w:lang w:eastAsia="en-AU"/>
              </w:rPr>
              <w:t xml:space="preserve">plus </w:t>
            </w:r>
            <w:r w:rsidRPr="00BE39FE">
              <w:rPr>
                <w:rFonts w:ascii="Calibri" w:eastAsia="Times New Roman" w:hAnsi="Calibri" w:cs="Times New Roman"/>
                <w:sz w:val="20"/>
                <w:szCs w:val="20"/>
                <w:lang w:eastAsia="en-AU"/>
              </w:rPr>
              <w:t>Assessed differences in</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p>
        </w:tc>
      </w:tr>
      <w:tr w:rsidR="00BE39FE" w:rsidRPr="00BE39FE" w:rsidTr="00BE39FE">
        <w:trPr>
          <w:trHeight w:val="315"/>
        </w:trPr>
        <w:tc>
          <w:tcPr>
            <w:tcW w:w="25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Expenses</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-254</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-630</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170</w:t>
            </w:r>
          </w:p>
        </w:tc>
        <w:tc>
          <w:tcPr>
            <w:tcW w:w="76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727</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169</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856</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-297</w:t>
            </w:r>
          </w:p>
        </w:tc>
        <w:tc>
          <w:tcPr>
            <w:tcW w:w="76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9 632</w:t>
            </w:r>
          </w:p>
        </w:tc>
        <w:tc>
          <w:tcPr>
            <w:tcW w:w="76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0</w:t>
            </w:r>
          </w:p>
        </w:tc>
      </w:tr>
      <w:tr w:rsidR="00BE39FE" w:rsidRPr="00BE39FE" w:rsidTr="00BE39FE">
        <w:trPr>
          <w:trHeight w:val="315"/>
        </w:trPr>
        <w:tc>
          <w:tcPr>
            <w:tcW w:w="25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Investment</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-64</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-21</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17</w:t>
            </w:r>
          </w:p>
        </w:tc>
        <w:tc>
          <w:tcPr>
            <w:tcW w:w="76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357</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-155</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-256</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-59</w:t>
            </w:r>
          </w:p>
        </w:tc>
        <w:tc>
          <w:tcPr>
            <w:tcW w:w="76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262</w:t>
            </w:r>
          </w:p>
        </w:tc>
        <w:tc>
          <w:tcPr>
            <w:tcW w:w="76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0</w:t>
            </w:r>
          </w:p>
        </w:tc>
      </w:tr>
      <w:tr w:rsidR="00BE39FE" w:rsidRPr="00BE39FE" w:rsidTr="00BE39FE">
        <w:trPr>
          <w:trHeight w:val="315"/>
        </w:trPr>
        <w:tc>
          <w:tcPr>
            <w:tcW w:w="25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Net borrowing</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13</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0</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-8</w:t>
            </w:r>
          </w:p>
        </w:tc>
        <w:tc>
          <w:tcPr>
            <w:tcW w:w="76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-44</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20</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36</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-4</w:t>
            </w:r>
          </w:p>
        </w:tc>
        <w:tc>
          <w:tcPr>
            <w:tcW w:w="76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15</w:t>
            </w:r>
          </w:p>
        </w:tc>
        <w:tc>
          <w:tcPr>
            <w:tcW w:w="76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0</w:t>
            </w:r>
          </w:p>
        </w:tc>
      </w:tr>
      <w:tr w:rsidR="00BE39FE" w:rsidRPr="00BE39FE" w:rsidTr="00BE39FE">
        <w:trPr>
          <w:trHeight w:val="315"/>
        </w:trPr>
        <w:tc>
          <w:tcPr>
            <w:tcW w:w="25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Revenue</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187</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442</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-125</w:t>
            </w:r>
          </w:p>
        </w:tc>
        <w:tc>
          <w:tcPr>
            <w:tcW w:w="76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-2 276</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809</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1 079</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511</w:t>
            </w:r>
          </w:p>
        </w:tc>
        <w:tc>
          <w:tcPr>
            <w:tcW w:w="76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454</w:t>
            </w:r>
          </w:p>
        </w:tc>
        <w:tc>
          <w:tcPr>
            <w:tcW w:w="76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0</w:t>
            </w:r>
          </w:p>
        </w:tc>
      </w:tr>
      <w:tr w:rsidR="00BE39FE" w:rsidRPr="00BE39FE" w:rsidTr="00BE39FE">
        <w:trPr>
          <w:trHeight w:val="315"/>
        </w:trPr>
        <w:tc>
          <w:tcPr>
            <w:tcW w:w="25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Commonwealth payments</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85</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64</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-51</w:t>
            </w:r>
          </w:p>
        </w:tc>
        <w:tc>
          <w:tcPr>
            <w:tcW w:w="76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-13</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-330</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26</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174</w:t>
            </w:r>
          </w:p>
        </w:tc>
        <w:tc>
          <w:tcPr>
            <w:tcW w:w="76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-1 070</w:t>
            </w:r>
          </w:p>
        </w:tc>
        <w:tc>
          <w:tcPr>
            <w:tcW w:w="76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0</w:t>
            </w:r>
          </w:p>
        </w:tc>
      </w:tr>
      <w:tr w:rsidR="00BE39FE" w:rsidRPr="00BE39FE" w:rsidTr="00BE39FE">
        <w:trPr>
          <w:trHeight w:val="315"/>
        </w:trPr>
        <w:tc>
          <w:tcPr>
            <w:tcW w:w="25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Total assessed differences</w:t>
            </w:r>
          </w:p>
        </w:tc>
        <w:tc>
          <w:tcPr>
            <w:tcW w:w="700" w:type="dxa"/>
            <w:tcBorders>
              <w:top w:val="single" w:sz="4" w:space="0" w:color="auto"/>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-33</w:t>
            </w:r>
          </w:p>
        </w:tc>
        <w:tc>
          <w:tcPr>
            <w:tcW w:w="700" w:type="dxa"/>
            <w:tcBorders>
              <w:top w:val="single" w:sz="4" w:space="0" w:color="auto"/>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-145</w:t>
            </w:r>
          </w:p>
        </w:tc>
        <w:tc>
          <w:tcPr>
            <w:tcW w:w="700" w:type="dxa"/>
            <w:tcBorders>
              <w:top w:val="single" w:sz="4" w:space="0" w:color="auto"/>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4</w:t>
            </w:r>
          </w:p>
        </w:tc>
        <w:tc>
          <w:tcPr>
            <w:tcW w:w="760" w:type="dxa"/>
            <w:tcBorders>
              <w:top w:val="single" w:sz="4" w:space="0" w:color="auto"/>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-1 249</w:t>
            </w:r>
          </w:p>
        </w:tc>
        <w:tc>
          <w:tcPr>
            <w:tcW w:w="700" w:type="dxa"/>
            <w:tcBorders>
              <w:top w:val="single" w:sz="4" w:space="0" w:color="auto"/>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513</w:t>
            </w:r>
          </w:p>
        </w:tc>
        <w:tc>
          <w:tcPr>
            <w:tcW w:w="700" w:type="dxa"/>
            <w:tcBorders>
              <w:top w:val="single" w:sz="4" w:space="0" w:color="auto"/>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1 741</w:t>
            </w:r>
          </w:p>
        </w:tc>
        <w:tc>
          <w:tcPr>
            <w:tcW w:w="700" w:type="dxa"/>
            <w:tcBorders>
              <w:top w:val="single" w:sz="4" w:space="0" w:color="auto"/>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325</w:t>
            </w:r>
          </w:p>
        </w:tc>
        <w:tc>
          <w:tcPr>
            <w:tcW w:w="760" w:type="dxa"/>
            <w:tcBorders>
              <w:top w:val="single" w:sz="4" w:space="0" w:color="auto"/>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9 293</w:t>
            </w:r>
          </w:p>
        </w:tc>
        <w:tc>
          <w:tcPr>
            <w:tcW w:w="760" w:type="dxa"/>
            <w:tcBorders>
              <w:top w:val="single" w:sz="4" w:space="0" w:color="auto"/>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0</w:t>
            </w:r>
          </w:p>
        </w:tc>
      </w:tr>
      <w:tr w:rsidR="00BE39FE" w:rsidRPr="00BE39FE" w:rsidTr="00BE39FE">
        <w:trPr>
          <w:trHeight w:val="315"/>
        </w:trPr>
        <w:tc>
          <w:tcPr>
            <w:tcW w:w="2500" w:type="dxa"/>
            <w:tcBorders>
              <w:top w:val="nil"/>
              <w:left w:val="nil"/>
              <w:bottom w:val="nil"/>
              <w:right w:val="nil"/>
            </w:tcBorders>
            <w:shd w:val="clear" w:color="auto" w:fill="auto"/>
            <w:noWrap/>
            <w:vAlign w:val="bottom"/>
            <w:hideMark/>
          </w:tcPr>
          <w:p w:rsidR="00BE39FE" w:rsidRPr="00BE39FE" w:rsidRDefault="00BE39FE" w:rsidP="00BE39FE">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GST requirement</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2 012</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1 900</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2 048</w:t>
            </w:r>
          </w:p>
        </w:tc>
        <w:tc>
          <w:tcPr>
            <w:tcW w:w="76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795</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2 558</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3 786</w:t>
            </w:r>
          </w:p>
        </w:tc>
        <w:tc>
          <w:tcPr>
            <w:tcW w:w="70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2 370</w:t>
            </w:r>
          </w:p>
        </w:tc>
        <w:tc>
          <w:tcPr>
            <w:tcW w:w="76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11 338</w:t>
            </w:r>
          </w:p>
        </w:tc>
        <w:tc>
          <w:tcPr>
            <w:tcW w:w="760" w:type="dxa"/>
            <w:tcBorders>
              <w:top w:val="nil"/>
              <w:left w:val="nil"/>
              <w:bottom w:val="nil"/>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2 045</w:t>
            </w:r>
          </w:p>
        </w:tc>
      </w:tr>
      <w:tr w:rsidR="00BE39FE" w:rsidRPr="00BE39FE" w:rsidTr="00BE39FE">
        <w:trPr>
          <w:trHeight w:val="315"/>
        </w:trPr>
        <w:tc>
          <w:tcPr>
            <w:tcW w:w="2500"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Per capita relativity (a)</w:t>
            </w:r>
          </w:p>
        </w:tc>
        <w:tc>
          <w:tcPr>
            <w:tcW w:w="700"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0.984</w:t>
            </w:r>
          </w:p>
        </w:tc>
        <w:tc>
          <w:tcPr>
            <w:tcW w:w="700"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0.929</w:t>
            </w:r>
          </w:p>
        </w:tc>
        <w:tc>
          <w:tcPr>
            <w:tcW w:w="700"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1.002</w:t>
            </w:r>
          </w:p>
        </w:tc>
        <w:tc>
          <w:tcPr>
            <w:tcW w:w="760"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0.389</w:t>
            </w:r>
          </w:p>
        </w:tc>
        <w:tc>
          <w:tcPr>
            <w:tcW w:w="700"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1.251</w:t>
            </w:r>
          </w:p>
        </w:tc>
        <w:tc>
          <w:tcPr>
            <w:tcW w:w="700"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1.851</w:t>
            </w:r>
          </w:p>
        </w:tc>
        <w:tc>
          <w:tcPr>
            <w:tcW w:w="700"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1.159</w:t>
            </w:r>
          </w:p>
        </w:tc>
        <w:tc>
          <w:tcPr>
            <w:tcW w:w="760"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5.545</w:t>
            </w:r>
          </w:p>
        </w:tc>
        <w:tc>
          <w:tcPr>
            <w:tcW w:w="760" w:type="dxa"/>
            <w:tcBorders>
              <w:top w:val="nil"/>
              <w:left w:val="nil"/>
              <w:bottom w:val="single" w:sz="4" w:space="0" w:color="auto"/>
              <w:right w:val="nil"/>
            </w:tcBorders>
            <w:shd w:val="clear" w:color="auto" w:fill="auto"/>
            <w:vAlign w:val="bottom"/>
            <w:hideMark/>
          </w:tcPr>
          <w:p w:rsidR="00BE39FE" w:rsidRPr="00BE39FE" w:rsidRDefault="00BE39FE" w:rsidP="00BE39FE">
            <w:pPr>
              <w:keepNext/>
              <w:keepLines/>
              <w:tabs>
                <w:tab w:val="clear" w:pos="567"/>
              </w:tabs>
              <w:spacing w:after="0" w:line="240" w:lineRule="auto"/>
              <w:jc w:val="right"/>
              <w:rPr>
                <w:rFonts w:ascii="Calibri" w:eastAsia="Times New Roman" w:hAnsi="Calibri" w:cs="Times New Roman"/>
                <w:sz w:val="20"/>
                <w:szCs w:val="20"/>
                <w:lang w:eastAsia="en-AU"/>
              </w:rPr>
            </w:pPr>
            <w:r w:rsidRPr="00BE39FE">
              <w:rPr>
                <w:rFonts w:ascii="Calibri" w:eastAsia="Times New Roman" w:hAnsi="Calibri" w:cs="Times New Roman"/>
                <w:sz w:val="20"/>
                <w:szCs w:val="20"/>
                <w:lang w:eastAsia="en-AU"/>
              </w:rPr>
              <w:t>1.000</w:t>
            </w:r>
          </w:p>
        </w:tc>
      </w:tr>
    </w:tbl>
    <w:p w:rsidR="00597461" w:rsidRDefault="00597461" w:rsidP="00597461">
      <w:pPr>
        <w:pStyle w:val="CGCTableFootnote"/>
        <w:ind w:left="0" w:firstLine="0"/>
      </w:pPr>
      <w:r>
        <w:t>(a)</w:t>
      </w:r>
      <w:r>
        <w:tab/>
        <w:t>Per capita relativities are equal to each State's GST requirement divided by the average GST.</w:t>
      </w:r>
    </w:p>
    <w:p w:rsidR="00597461" w:rsidRDefault="00597461" w:rsidP="00597461">
      <w:pPr>
        <w:pStyle w:val="CGCTableFootnote"/>
      </w:pPr>
      <w:r>
        <w:t xml:space="preserve">Source: </w:t>
      </w:r>
      <w:r>
        <w:tab/>
        <w:t>Commission calculation.</w:t>
      </w:r>
    </w:p>
    <w:p w:rsidR="00597461" w:rsidRDefault="00AF6D85" w:rsidP="00597461">
      <w:pPr>
        <w:pStyle w:val="Caption"/>
      </w:pPr>
      <w:bookmarkStart w:id="43" w:name="_Ref410136375"/>
      <w:r>
        <w:lastRenderedPageBreak/>
        <w:t xml:space="preserve">Table </w:t>
      </w:r>
      <w:fldSimple w:instr=" SEQ Table \* ARABIC ">
        <w:r w:rsidR="007B6A4C">
          <w:rPr>
            <w:noProof/>
          </w:rPr>
          <w:t>3</w:t>
        </w:r>
      </w:fldSimple>
      <w:bookmarkEnd w:id="43"/>
      <w:r w:rsidR="00597461">
        <w:tab/>
        <w:t>Per capita relativities, 2012</w:t>
      </w:r>
      <w:r w:rsidR="00597461">
        <w:noBreakHyphen/>
        <w:t>13</w:t>
      </w:r>
    </w:p>
    <w:tbl>
      <w:tblPr>
        <w:tblW w:w="9072" w:type="dxa"/>
        <w:tblLayout w:type="fixed"/>
        <w:tblCellMar>
          <w:left w:w="0" w:type="dxa"/>
          <w:right w:w="0" w:type="dxa"/>
        </w:tblCellMar>
        <w:tblLook w:val="04A0" w:firstRow="1" w:lastRow="0" w:firstColumn="1" w:lastColumn="0" w:noHBand="0" w:noVBand="1"/>
      </w:tblPr>
      <w:tblGrid>
        <w:gridCol w:w="2940"/>
        <w:gridCol w:w="672"/>
        <w:gridCol w:w="672"/>
        <w:gridCol w:w="672"/>
        <w:gridCol w:w="700"/>
        <w:gridCol w:w="672"/>
        <w:gridCol w:w="672"/>
        <w:gridCol w:w="672"/>
        <w:gridCol w:w="700"/>
        <w:gridCol w:w="700"/>
      </w:tblGrid>
      <w:tr w:rsidR="00E44CCF" w:rsidRPr="00E44CCF" w:rsidTr="00E44CCF">
        <w:trPr>
          <w:trHeight w:val="375"/>
        </w:trPr>
        <w:tc>
          <w:tcPr>
            <w:tcW w:w="294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 </w:t>
            </w:r>
          </w:p>
        </w:tc>
        <w:tc>
          <w:tcPr>
            <w:tcW w:w="672"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NSW</w:t>
            </w:r>
          </w:p>
        </w:tc>
        <w:tc>
          <w:tcPr>
            <w:tcW w:w="672"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Vic</w:t>
            </w:r>
          </w:p>
        </w:tc>
        <w:tc>
          <w:tcPr>
            <w:tcW w:w="672"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Qld</w:t>
            </w:r>
          </w:p>
        </w:tc>
        <w:tc>
          <w:tcPr>
            <w:tcW w:w="70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WA</w:t>
            </w:r>
          </w:p>
        </w:tc>
        <w:tc>
          <w:tcPr>
            <w:tcW w:w="672"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SA</w:t>
            </w:r>
          </w:p>
        </w:tc>
        <w:tc>
          <w:tcPr>
            <w:tcW w:w="672"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E44CCF">
              <w:rPr>
                <w:rFonts w:ascii="Calibri" w:eastAsia="Times New Roman" w:hAnsi="Calibri" w:cs="Times New Roman"/>
                <w:sz w:val="20"/>
                <w:szCs w:val="20"/>
                <w:lang w:eastAsia="en-AU"/>
              </w:rPr>
              <w:t>Tas</w:t>
            </w:r>
            <w:proofErr w:type="spellEnd"/>
          </w:p>
        </w:tc>
        <w:tc>
          <w:tcPr>
            <w:tcW w:w="672"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ACT</w:t>
            </w:r>
          </w:p>
        </w:tc>
        <w:tc>
          <w:tcPr>
            <w:tcW w:w="70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NT</w:t>
            </w:r>
          </w:p>
        </w:tc>
        <w:tc>
          <w:tcPr>
            <w:tcW w:w="70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Ave</w:t>
            </w:r>
          </w:p>
        </w:tc>
      </w:tr>
      <w:tr w:rsidR="00E44CCF" w:rsidRPr="00E44CCF" w:rsidTr="00E44CCF">
        <w:trPr>
          <w:trHeight w:val="255"/>
        </w:trPr>
        <w:tc>
          <w:tcPr>
            <w:tcW w:w="294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r>
      <w:tr w:rsidR="00E44CCF" w:rsidRPr="00E44CCF" w:rsidTr="00E44CCF">
        <w:trPr>
          <w:trHeight w:val="315"/>
        </w:trPr>
        <w:tc>
          <w:tcPr>
            <w:tcW w:w="294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Assessed expenses</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8 235</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7 839</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8 780</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9 268</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8 700</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9 444</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8 090</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18 389</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8 523</w:t>
            </w:r>
          </w:p>
        </w:tc>
      </w:tr>
      <w:tr w:rsidR="00E44CCF" w:rsidRPr="00E44CCF" w:rsidTr="00E44CCF">
        <w:trPr>
          <w:trHeight w:val="315"/>
        </w:trPr>
        <w:tc>
          <w:tcPr>
            <w:tcW w:w="294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plus: Assessed investment</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529</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575</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622</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1 051</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431</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246</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489</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1 959</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617</w:t>
            </w:r>
          </w:p>
        </w:tc>
      </w:tr>
      <w:tr w:rsidR="00E44CCF" w:rsidRPr="00E44CCF" w:rsidTr="00E44CCF">
        <w:trPr>
          <w:trHeight w:val="315"/>
        </w:trPr>
        <w:tc>
          <w:tcPr>
            <w:tcW w:w="294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Assessed expenditure</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8 764</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8 414</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9 402</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10 320</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9 131</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9 690</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8 580</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20 348</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9 139</w:t>
            </w:r>
          </w:p>
        </w:tc>
      </w:tr>
      <w:tr w:rsidR="00E44CCF" w:rsidRPr="00E44CCF" w:rsidTr="00E44CCF">
        <w:trPr>
          <w:trHeight w:val="315"/>
        </w:trPr>
        <w:tc>
          <w:tcPr>
            <w:tcW w:w="294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less: Assessed net borrowing (a)</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972</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981</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986</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1 018</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964</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948</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982</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1 002</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981</w:t>
            </w:r>
          </w:p>
        </w:tc>
      </w:tr>
      <w:tr w:rsidR="00E44CCF" w:rsidRPr="00E44CCF" w:rsidTr="00E44CCF">
        <w:trPr>
          <w:trHeight w:val="315"/>
        </w:trPr>
        <w:tc>
          <w:tcPr>
            <w:tcW w:w="294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less: Assessed revenue (a)</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4 337</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4 064</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4 520</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7 005</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3 740</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3 396</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3 953</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4 199</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4 522</w:t>
            </w:r>
          </w:p>
        </w:tc>
      </w:tr>
      <w:tr w:rsidR="00E44CCF" w:rsidRPr="00E44CCF" w:rsidTr="00E44CCF">
        <w:trPr>
          <w:trHeight w:val="315"/>
        </w:trPr>
        <w:tc>
          <w:tcPr>
            <w:tcW w:w="294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Total requirement for assistance</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3 455</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3 369</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3 896</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2 297</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4 426</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5 346</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3 645</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15 147</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3 635</w:t>
            </w:r>
          </w:p>
        </w:tc>
      </w:tr>
      <w:tr w:rsidR="00E44CCF" w:rsidRPr="00E44CCF" w:rsidTr="00E44CCF">
        <w:trPr>
          <w:trHeight w:val="315"/>
        </w:trPr>
        <w:tc>
          <w:tcPr>
            <w:tcW w:w="294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less: Commonwealth payments</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1 499</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1 514</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1 568</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1 548</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1 569</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1 636</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1 494</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2 309</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1 538</w:t>
            </w:r>
          </w:p>
        </w:tc>
      </w:tr>
      <w:tr w:rsidR="00E44CCF" w:rsidRPr="00E44CCF" w:rsidTr="00E44CCF">
        <w:trPr>
          <w:trHeight w:val="315"/>
        </w:trPr>
        <w:tc>
          <w:tcPr>
            <w:tcW w:w="294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GST requirement</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1 957</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1 856</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2 329</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749</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2 857</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3 710</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2 151</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12 838</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2 097</w:t>
            </w:r>
          </w:p>
        </w:tc>
      </w:tr>
      <w:tr w:rsidR="00E44CCF" w:rsidRPr="00E44CCF" w:rsidTr="00E44CCF">
        <w:trPr>
          <w:trHeight w:val="315"/>
        </w:trPr>
        <w:tc>
          <w:tcPr>
            <w:tcW w:w="294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Per capita relativity (</w:t>
            </w:r>
            <w:r>
              <w:rPr>
                <w:rFonts w:ascii="Calibri" w:eastAsia="Times New Roman" w:hAnsi="Calibri" w:cs="Times New Roman"/>
                <w:sz w:val="20"/>
                <w:szCs w:val="20"/>
                <w:lang w:eastAsia="en-AU"/>
              </w:rPr>
              <w:t>c</w:t>
            </w:r>
            <w:r w:rsidRPr="00E44CCF">
              <w:rPr>
                <w:rFonts w:ascii="Calibri" w:eastAsia="Times New Roman" w:hAnsi="Calibri" w:cs="Times New Roman"/>
                <w:sz w:val="20"/>
                <w:szCs w:val="20"/>
                <w:lang w:eastAsia="en-AU"/>
              </w:rPr>
              <w:t>)</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0.933</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0.885</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1.110</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0.357</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1.363</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1.769</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1.025</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6.122</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1.000</w:t>
            </w:r>
          </w:p>
        </w:tc>
      </w:tr>
    </w:tbl>
    <w:p w:rsidR="00E44CCF" w:rsidRDefault="00E44CCF" w:rsidP="00E44CCF">
      <w:pPr>
        <w:pStyle w:val="CGCTableFootnote"/>
      </w:pPr>
      <w:r>
        <w:t>(a)</w:t>
      </w:r>
      <w:r>
        <w:tab/>
      </w:r>
      <w:r w:rsidRPr="00BB1D1A">
        <w:t>Net borrowing is shown</w:t>
      </w:r>
      <w:r>
        <w:t xml:space="preserve"> without a minus sign. It is another</w:t>
      </w:r>
      <w:r w:rsidRPr="00BB1D1A">
        <w:t xml:space="preserve"> source of funds to meet a State’s expenditure requirement.</w:t>
      </w:r>
    </w:p>
    <w:p w:rsidR="00E44CCF" w:rsidRDefault="00E44CCF" w:rsidP="00E44CCF">
      <w:pPr>
        <w:pStyle w:val="CGCTableFootnote"/>
      </w:pPr>
      <w:r>
        <w:t>(b)</w:t>
      </w:r>
      <w:r>
        <w:tab/>
        <w:t>Assessed revenue includes the net balancing transactions.</w:t>
      </w:r>
    </w:p>
    <w:p w:rsidR="00E44CCF" w:rsidRDefault="00E44CCF" w:rsidP="00E44CCF">
      <w:pPr>
        <w:pStyle w:val="CGCTableFootnote"/>
      </w:pPr>
      <w:r>
        <w:t>(c)</w:t>
      </w:r>
      <w:r>
        <w:tab/>
        <w:t>Per capita relativities are equal to each State's GST requirement divided by the average GST.</w:t>
      </w:r>
    </w:p>
    <w:p w:rsidR="00E44CCF" w:rsidRDefault="00E44CCF" w:rsidP="00E44CCF">
      <w:pPr>
        <w:pStyle w:val="CGCTableFootnote"/>
      </w:pPr>
      <w:r>
        <w:t xml:space="preserve">Source: </w:t>
      </w:r>
      <w:r>
        <w:tab/>
        <w:t>Commission calculation.</w:t>
      </w:r>
    </w:p>
    <w:p w:rsidR="00597461" w:rsidRDefault="00597461" w:rsidP="00597461"/>
    <w:p w:rsidR="00597461" w:rsidRDefault="0004120A" w:rsidP="00597461">
      <w:pPr>
        <w:pStyle w:val="Caption"/>
      </w:pPr>
      <w:bookmarkStart w:id="44" w:name="_Ref410136421"/>
      <w:r>
        <w:t xml:space="preserve">Table </w:t>
      </w:r>
      <w:fldSimple w:instr=" SEQ Table \* ARABIC ">
        <w:r w:rsidR="007B6A4C">
          <w:rPr>
            <w:noProof/>
          </w:rPr>
          <w:t>4</w:t>
        </w:r>
      </w:fldSimple>
      <w:bookmarkEnd w:id="44"/>
      <w:r w:rsidR="00597461">
        <w:tab/>
        <w:t xml:space="preserve">Per capita relativities, alternative presentation, </w:t>
      </w:r>
      <w:proofErr w:type="gramStart"/>
      <w:r w:rsidR="00597461">
        <w:t>2012</w:t>
      </w:r>
      <w:proofErr w:type="gramEnd"/>
      <w:r w:rsidR="00597461">
        <w:noBreakHyphen/>
        <w:t>13</w:t>
      </w:r>
    </w:p>
    <w:tbl>
      <w:tblPr>
        <w:tblW w:w="8972" w:type="dxa"/>
        <w:tblLayout w:type="fixed"/>
        <w:tblCellMar>
          <w:left w:w="0" w:type="dxa"/>
          <w:right w:w="0" w:type="dxa"/>
        </w:tblCellMar>
        <w:tblLook w:val="04A0" w:firstRow="1" w:lastRow="0" w:firstColumn="1" w:lastColumn="0" w:noHBand="0" w:noVBand="1"/>
      </w:tblPr>
      <w:tblGrid>
        <w:gridCol w:w="2500"/>
        <w:gridCol w:w="700"/>
        <w:gridCol w:w="700"/>
        <w:gridCol w:w="700"/>
        <w:gridCol w:w="760"/>
        <w:gridCol w:w="700"/>
        <w:gridCol w:w="700"/>
        <w:gridCol w:w="700"/>
        <w:gridCol w:w="840"/>
        <w:gridCol w:w="672"/>
      </w:tblGrid>
      <w:tr w:rsidR="00E44CCF" w:rsidRPr="00E44CCF" w:rsidTr="00E44CCF">
        <w:trPr>
          <w:trHeight w:val="375"/>
        </w:trPr>
        <w:tc>
          <w:tcPr>
            <w:tcW w:w="250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 </w:t>
            </w:r>
          </w:p>
        </w:tc>
        <w:tc>
          <w:tcPr>
            <w:tcW w:w="70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NSW</w:t>
            </w:r>
          </w:p>
        </w:tc>
        <w:tc>
          <w:tcPr>
            <w:tcW w:w="70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Vic</w:t>
            </w:r>
          </w:p>
        </w:tc>
        <w:tc>
          <w:tcPr>
            <w:tcW w:w="70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Qld</w:t>
            </w:r>
          </w:p>
        </w:tc>
        <w:tc>
          <w:tcPr>
            <w:tcW w:w="76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WA</w:t>
            </w:r>
          </w:p>
        </w:tc>
        <w:tc>
          <w:tcPr>
            <w:tcW w:w="70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SA</w:t>
            </w:r>
          </w:p>
        </w:tc>
        <w:tc>
          <w:tcPr>
            <w:tcW w:w="70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E44CCF">
              <w:rPr>
                <w:rFonts w:ascii="Calibri" w:eastAsia="Times New Roman" w:hAnsi="Calibri" w:cs="Times New Roman"/>
                <w:sz w:val="20"/>
                <w:szCs w:val="20"/>
                <w:lang w:eastAsia="en-AU"/>
              </w:rPr>
              <w:t>Tas</w:t>
            </w:r>
            <w:proofErr w:type="spellEnd"/>
          </w:p>
        </w:tc>
        <w:tc>
          <w:tcPr>
            <w:tcW w:w="70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ACT</w:t>
            </w:r>
          </w:p>
        </w:tc>
        <w:tc>
          <w:tcPr>
            <w:tcW w:w="84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NT</w:t>
            </w:r>
          </w:p>
        </w:tc>
        <w:tc>
          <w:tcPr>
            <w:tcW w:w="672"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Ave</w:t>
            </w:r>
          </w:p>
        </w:tc>
      </w:tr>
      <w:tr w:rsidR="00E44CCF" w:rsidRPr="00E44CCF" w:rsidTr="00E44CCF">
        <w:trPr>
          <w:trHeight w:val="255"/>
        </w:trPr>
        <w:tc>
          <w:tcPr>
            <w:tcW w:w="25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c>
          <w:tcPr>
            <w:tcW w:w="76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c>
          <w:tcPr>
            <w:tcW w:w="84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r>
      <w:tr w:rsidR="00E44CCF" w:rsidRPr="00E44CCF" w:rsidTr="00E44CCF">
        <w:trPr>
          <w:trHeight w:val="315"/>
        </w:trPr>
        <w:tc>
          <w:tcPr>
            <w:tcW w:w="25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Average GST</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2 097</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2 097</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2 097</w:t>
            </w:r>
          </w:p>
        </w:tc>
        <w:tc>
          <w:tcPr>
            <w:tcW w:w="76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2 097</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2 097</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2 097</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2 097</w:t>
            </w:r>
          </w:p>
        </w:tc>
        <w:tc>
          <w:tcPr>
            <w:tcW w:w="84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2 097</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2 097</w:t>
            </w:r>
          </w:p>
        </w:tc>
      </w:tr>
      <w:tr w:rsidR="00E44CCF" w:rsidRPr="00E44CCF" w:rsidTr="00E44CCF">
        <w:trPr>
          <w:trHeight w:val="315"/>
        </w:trPr>
        <w:tc>
          <w:tcPr>
            <w:tcW w:w="25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plus Assessed differences in</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p>
        </w:tc>
        <w:tc>
          <w:tcPr>
            <w:tcW w:w="84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p>
        </w:tc>
      </w:tr>
      <w:tr w:rsidR="00E44CCF" w:rsidRPr="00E44CCF" w:rsidTr="00E44CCF">
        <w:trPr>
          <w:trHeight w:val="315"/>
        </w:trPr>
        <w:tc>
          <w:tcPr>
            <w:tcW w:w="25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Expenses</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-288</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-684</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258</w:t>
            </w:r>
          </w:p>
        </w:tc>
        <w:tc>
          <w:tcPr>
            <w:tcW w:w="76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746</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177</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921</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-432</w:t>
            </w:r>
          </w:p>
        </w:tc>
        <w:tc>
          <w:tcPr>
            <w:tcW w:w="84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9 867</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w:t>
            </w:r>
          </w:p>
        </w:tc>
      </w:tr>
      <w:tr w:rsidR="00E44CCF" w:rsidRPr="00E44CCF" w:rsidTr="00E44CCF">
        <w:trPr>
          <w:trHeight w:val="315"/>
        </w:trPr>
        <w:tc>
          <w:tcPr>
            <w:tcW w:w="25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Investment</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- 87</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-41</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5</w:t>
            </w:r>
          </w:p>
        </w:tc>
        <w:tc>
          <w:tcPr>
            <w:tcW w:w="76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435</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-186</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-370</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-127</w:t>
            </w:r>
          </w:p>
        </w:tc>
        <w:tc>
          <w:tcPr>
            <w:tcW w:w="84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1 342</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w:t>
            </w:r>
          </w:p>
        </w:tc>
      </w:tr>
      <w:tr w:rsidR="00E44CCF" w:rsidRPr="00E44CCF" w:rsidTr="00E44CCF">
        <w:trPr>
          <w:trHeight w:val="315"/>
        </w:trPr>
        <w:tc>
          <w:tcPr>
            <w:tcW w:w="25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Net borrowing</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9</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w:t>
            </w:r>
          </w:p>
        </w:tc>
        <w:tc>
          <w:tcPr>
            <w:tcW w:w="76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-37</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17</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33</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w:t>
            </w:r>
          </w:p>
        </w:tc>
        <w:tc>
          <w:tcPr>
            <w:tcW w:w="84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-21</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w:t>
            </w:r>
          </w:p>
        </w:tc>
      </w:tr>
      <w:tr w:rsidR="00E44CCF" w:rsidRPr="00E44CCF" w:rsidTr="00E44CCF">
        <w:trPr>
          <w:trHeight w:val="315"/>
        </w:trPr>
        <w:tc>
          <w:tcPr>
            <w:tcW w:w="25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Revenue</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186</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459</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w:t>
            </w:r>
          </w:p>
        </w:tc>
        <w:tc>
          <w:tcPr>
            <w:tcW w:w="76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-2 482</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782</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1 126</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570</w:t>
            </w:r>
          </w:p>
        </w:tc>
        <w:tc>
          <w:tcPr>
            <w:tcW w:w="84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323</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w:t>
            </w:r>
          </w:p>
        </w:tc>
      </w:tr>
      <w:tr w:rsidR="00E44CCF" w:rsidRPr="00E44CCF" w:rsidTr="00E44CCF">
        <w:trPr>
          <w:trHeight w:val="315"/>
        </w:trPr>
        <w:tc>
          <w:tcPr>
            <w:tcW w:w="25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Commonwealth payments</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40</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24</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-30</w:t>
            </w:r>
          </w:p>
        </w:tc>
        <w:tc>
          <w:tcPr>
            <w:tcW w:w="76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-10</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-31</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-98</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44</w:t>
            </w:r>
          </w:p>
        </w:tc>
        <w:tc>
          <w:tcPr>
            <w:tcW w:w="84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-771</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w:t>
            </w:r>
          </w:p>
        </w:tc>
      </w:tr>
      <w:tr w:rsidR="00E44CCF" w:rsidRPr="00E44CCF" w:rsidTr="00E44CCF">
        <w:trPr>
          <w:trHeight w:val="315"/>
        </w:trPr>
        <w:tc>
          <w:tcPr>
            <w:tcW w:w="25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Total assessed differences</w:t>
            </w:r>
          </w:p>
        </w:tc>
        <w:tc>
          <w:tcPr>
            <w:tcW w:w="700" w:type="dxa"/>
            <w:tcBorders>
              <w:top w:val="single" w:sz="4" w:space="0" w:color="auto"/>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-140</w:t>
            </w:r>
          </w:p>
        </w:tc>
        <w:tc>
          <w:tcPr>
            <w:tcW w:w="700" w:type="dxa"/>
            <w:tcBorders>
              <w:top w:val="single" w:sz="4" w:space="0" w:color="auto"/>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-241</w:t>
            </w:r>
          </w:p>
        </w:tc>
        <w:tc>
          <w:tcPr>
            <w:tcW w:w="700" w:type="dxa"/>
            <w:tcBorders>
              <w:top w:val="single" w:sz="4" w:space="0" w:color="auto"/>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231</w:t>
            </w:r>
          </w:p>
        </w:tc>
        <w:tc>
          <w:tcPr>
            <w:tcW w:w="760" w:type="dxa"/>
            <w:tcBorders>
              <w:top w:val="single" w:sz="4" w:space="0" w:color="auto"/>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-1 348</w:t>
            </w:r>
          </w:p>
        </w:tc>
        <w:tc>
          <w:tcPr>
            <w:tcW w:w="700" w:type="dxa"/>
            <w:tcBorders>
              <w:top w:val="single" w:sz="4" w:space="0" w:color="auto"/>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760</w:t>
            </w:r>
          </w:p>
        </w:tc>
        <w:tc>
          <w:tcPr>
            <w:tcW w:w="700" w:type="dxa"/>
            <w:tcBorders>
              <w:top w:val="single" w:sz="4" w:space="0" w:color="auto"/>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1 613</w:t>
            </w:r>
          </w:p>
        </w:tc>
        <w:tc>
          <w:tcPr>
            <w:tcW w:w="700" w:type="dxa"/>
            <w:tcBorders>
              <w:top w:val="single" w:sz="4" w:space="0" w:color="auto"/>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53</w:t>
            </w:r>
          </w:p>
        </w:tc>
        <w:tc>
          <w:tcPr>
            <w:tcW w:w="840" w:type="dxa"/>
            <w:tcBorders>
              <w:top w:val="single" w:sz="4" w:space="0" w:color="auto"/>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10 741</w:t>
            </w:r>
          </w:p>
        </w:tc>
        <w:tc>
          <w:tcPr>
            <w:tcW w:w="672" w:type="dxa"/>
            <w:tcBorders>
              <w:top w:val="single" w:sz="4" w:space="0" w:color="auto"/>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w:t>
            </w:r>
          </w:p>
        </w:tc>
      </w:tr>
      <w:tr w:rsidR="00E44CCF" w:rsidRPr="00E44CCF" w:rsidTr="00E44CCF">
        <w:trPr>
          <w:trHeight w:val="315"/>
        </w:trPr>
        <w:tc>
          <w:tcPr>
            <w:tcW w:w="25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GST requirement</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1 957</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1 856</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2 329</w:t>
            </w:r>
          </w:p>
        </w:tc>
        <w:tc>
          <w:tcPr>
            <w:tcW w:w="76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749</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2 857</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3 710</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2 151</w:t>
            </w:r>
          </w:p>
        </w:tc>
        <w:tc>
          <w:tcPr>
            <w:tcW w:w="84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12 838</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2 097</w:t>
            </w:r>
          </w:p>
        </w:tc>
      </w:tr>
      <w:tr w:rsidR="00E44CCF" w:rsidRPr="00E44CCF" w:rsidTr="00E44CCF">
        <w:trPr>
          <w:trHeight w:val="315"/>
        </w:trPr>
        <w:tc>
          <w:tcPr>
            <w:tcW w:w="25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Per capita relativity (a)</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0.933</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0.885</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1.110</w:t>
            </w:r>
          </w:p>
        </w:tc>
        <w:tc>
          <w:tcPr>
            <w:tcW w:w="76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0.357</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1.363</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1.769</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1.025</w:t>
            </w:r>
          </w:p>
        </w:tc>
        <w:tc>
          <w:tcPr>
            <w:tcW w:w="84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6.122</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1.000</w:t>
            </w:r>
          </w:p>
        </w:tc>
      </w:tr>
    </w:tbl>
    <w:p w:rsidR="00597461" w:rsidRDefault="00597461" w:rsidP="00597461">
      <w:pPr>
        <w:pStyle w:val="CGCTableFootnote"/>
        <w:ind w:left="0" w:firstLine="0"/>
      </w:pPr>
      <w:r>
        <w:t>(a)</w:t>
      </w:r>
      <w:r>
        <w:tab/>
        <w:t>Per capita relativities are equal to each State's GST requirement divided by the average GST.</w:t>
      </w:r>
    </w:p>
    <w:p w:rsidR="00597461" w:rsidRDefault="00597461" w:rsidP="00597461">
      <w:pPr>
        <w:pStyle w:val="CGCTableFootnote"/>
      </w:pPr>
      <w:r>
        <w:t xml:space="preserve">Source: </w:t>
      </w:r>
      <w:r>
        <w:tab/>
        <w:t>Commission calculation.</w:t>
      </w:r>
    </w:p>
    <w:p w:rsidR="00597461" w:rsidRDefault="00597461" w:rsidP="00597461">
      <w:pPr>
        <w:pStyle w:val="NoSpacing"/>
      </w:pPr>
    </w:p>
    <w:p w:rsidR="00597461" w:rsidRDefault="0004120A" w:rsidP="00597461">
      <w:pPr>
        <w:pStyle w:val="Caption"/>
      </w:pPr>
      <w:bookmarkStart w:id="45" w:name="_Ref410136389"/>
      <w:r>
        <w:lastRenderedPageBreak/>
        <w:t xml:space="preserve">Table </w:t>
      </w:r>
      <w:fldSimple w:instr=" SEQ Table \* ARABIC ">
        <w:r w:rsidR="007B6A4C">
          <w:rPr>
            <w:noProof/>
          </w:rPr>
          <w:t>5</w:t>
        </w:r>
      </w:fldSimple>
      <w:bookmarkEnd w:id="45"/>
      <w:r w:rsidR="00597461">
        <w:tab/>
        <w:t>Per capita relativities, 2013</w:t>
      </w:r>
      <w:r w:rsidR="00597461">
        <w:noBreakHyphen/>
        <w:t>14</w:t>
      </w:r>
    </w:p>
    <w:tbl>
      <w:tblPr>
        <w:tblW w:w="9072" w:type="dxa"/>
        <w:tblLayout w:type="fixed"/>
        <w:tblCellMar>
          <w:left w:w="0" w:type="dxa"/>
          <w:right w:w="0" w:type="dxa"/>
        </w:tblCellMar>
        <w:tblLook w:val="04A0" w:firstRow="1" w:lastRow="0" w:firstColumn="1" w:lastColumn="0" w:noHBand="0" w:noVBand="1"/>
      </w:tblPr>
      <w:tblGrid>
        <w:gridCol w:w="2940"/>
        <w:gridCol w:w="672"/>
        <w:gridCol w:w="672"/>
        <w:gridCol w:w="672"/>
        <w:gridCol w:w="700"/>
        <w:gridCol w:w="672"/>
        <w:gridCol w:w="672"/>
        <w:gridCol w:w="672"/>
        <w:gridCol w:w="700"/>
        <w:gridCol w:w="700"/>
      </w:tblGrid>
      <w:tr w:rsidR="00E44CCF" w:rsidRPr="00E44CCF" w:rsidTr="00E44CCF">
        <w:trPr>
          <w:trHeight w:val="375"/>
        </w:trPr>
        <w:tc>
          <w:tcPr>
            <w:tcW w:w="294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 </w:t>
            </w:r>
          </w:p>
        </w:tc>
        <w:tc>
          <w:tcPr>
            <w:tcW w:w="672"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NSW</w:t>
            </w:r>
          </w:p>
        </w:tc>
        <w:tc>
          <w:tcPr>
            <w:tcW w:w="672"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Vic</w:t>
            </w:r>
          </w:p>
        </w:tc>
        <w:tc>
          <w:tcPr>
            <w:tcW w:w="672"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Qld</w:t>
            </w:r>
          </w:p>
        </w:tc>
        <w:tc>
          <w:tcPr>
            <w:tcW w:w="70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WA</w:t>
            </w:r>
          </w:p>
        </w:tc>
        <w:tc>
          <w:tcPr>
            <w:tcW w:w="672"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SA</w:t>
            </w:r>
          </w:p>
        </w:tc>
        <w:tc>
          <w:tcPr>
            <w:tcW w:w="672"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E44CCF">
              <w:rPr>
                <w:rFonts w:ascii="Calibri" w:eastAsia="Times New Roman" w:hAnsi="Calibri" w:cs="Times New Roman"/>
                <w:sz w:val="20"/>
                <w:szCs w:val="20"/>
                <w:lang w:eastAsia="en-AU"/>
              </w:rPr>
              <w:t>Tas</w:t>
            </w:r>
            <w:proofErr w:type="spellEnd"/>
          </w:p>
        </w:tc>
        <w:tc>
          <w:tcPr>
            <w:tcW w:w="672"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ACT</w:t>
            </w:r>
          </w:p>
        </w:tc>
        <w:tc>
          <w:tcPr>
            <w:tcW w:w="70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NT</w:t>
            </w:r>
          </w:p>
        </w:tc>
        <w:tc>
          <w:tcPr>
            <w:tcW w:w="70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Ave</w:t>
            </w:r>
          </w:p>
        </w:tc>
      </w:tr>
      <w:tr w:rsidR="00E44CCF" w:rsidRPr="00E44CCF" w:rsidTr="00E44CCF">
        <w:trPr>
          <w:trHeight w:val="255"/>
        </w:trPr>
        <w:tc>
          <w:tcPr>
            <w:tcW w:w="294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r>
      <w:tr w:rsidR="00E44CCF" w:rsidRPr="00E44CCF" w:rsidTr="00E44CCF">
        <w:trPr>
          <w:trHeight w:val="315"/>
        </w:trPr>
        <w:tc>
          <w:tcPr>
            <w:tcW w:w="294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Assessed expenses</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8 541</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8 113</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9 383</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9 644</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9 136</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9 736</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8 475</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18 671</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8 899</w:t>
            </w:r>
          </w:p>
        </w:tc>
      </w:tr>
      <w:tr w:rsidR="00E44CCF" w:rsidRPr="00E44CCF" w:rsidTr="00E44CCF">
        <w:trPr>
          <w:trHeight w:val="315"/>
        </w:trPr>
        <w:tc>
          <w:tcPr>
            <w:tcW w:w="294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plus: Assessed investment</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487</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554</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484</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745</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335</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160</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364</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 xml:space="preserve"> 735</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514</w:t>
            </w:r>
          </w:p>
        </w:tc>
      </w:tr>
      <w:tr w:rsidR="00E44CCF" w:rsidRPr="00E44CCF" w:rsidTr="00E44CCF">
        <w:trPr>
          <w:trHeight w:val="315"/>
        </w:trPr>
        <w:tc>
          <w:tcPr>
            <w:tcW w:w="294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Assessed expenditure</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9 028</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8 667</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9 866</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10 390</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9 471</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9 896</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8 839</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19 406</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9 412</w:t>
            </w:r>
          </w:p>
        </w:tc>
      </w:tr>
      <w:tr w:rsidR="00E44CCF" w:rsidRPr="00E44CCF" w:rsidTr="00E44CCF">
        <w:trPr>
          <w:trHeight w:val="315"/>
        </w:trPr>
        <w:tc>
          <w:tcPr>
            <w:tcW w:w="294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less: Assessed net borrowing (a)</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481</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493</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488</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520</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464</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445</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484</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493</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488</w:t>
            </w:r>
          </w:p>
        </w:tc>
      </w:tr>
      <w:tr w:rsidR="00E44CCF" w:rsidRPr="00E44CCF" w:rsidTr="00E44CCF">
        <w:trPr>
          <w:trHeight w:val="315"/>
        </w:trPr>
        <w:tc>
          <w:tcPr>
            <w:tcW w:w="294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less: Assessed revenue (b)</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4 928</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4 528</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4 967</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7 953</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4 224</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3 746</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4 245</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5 018</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5 080</w:t>
            </w:r>
          </w:p>
        </w:tc>
      </w:tr>
      <w:tr w:rsidR="00E44CCF" w:rsidRPr="00E44CCF" w:rsidTr="00E44CCF">
        <w:trPr>
          <w:trHeight w:val="315"/>
        </w:trPr>
        <w:tc>
          <w:tcPr>
            <w:tcW w:w="294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Total requirement for assistance</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3 619</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3 646</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4 411</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1 916</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4 784</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5 706</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4 110</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13 894</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3 844</w:t>
            </w:r>
          </w:p>
        </w:tc>
      </w:tr>
      <w:tr w:rsidR="00E44CCF" w:rsidRPr="00E44CCF" w:rsidTr="00E44CCF">
        <w:trPr>
          <w:trHeight w:val="315"/>
        </w:trPr>
        <w:tc>
          <w:tcPr>
            <w:tcW w:w="294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less: Commonwealth payments</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1 591</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1 753</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1 627</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1 579</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1 577</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1 680</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1 664</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2 837</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1 652</w:t>
            </w:r>
          </w:p>
        </w:tc>
      </w:tr>
      <w:tr w:rsidR="00E44CCF" w:rsidRPr="00E44CCF" w:rsidTr="00E44CCF">
        <w:trPr>
          <w:trHeight w:val="315"/>
        </w:trPr>
        <w:tc>
          <w:tcPr>
            <w:tcW w:w="294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GST requirement</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2 028</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1 893</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2 785</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337</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3 207</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4 026</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2 446</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11 058</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2 192</w:t>
            </w:r>
          </w:p>
        </w:tc>
      </w:tr>
      <w:tr w:rsidR="00E44CCF" w:rsidRPr="00E44CCF" w:rsidTr="00E44CCF">
        <w:trPr>
          <w:trHeight w:val="315"/>
        </w:trPr>
        <w:tc>
          <w:tcPr>
            <w:tcW w:w="294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Per capita relativity (c)</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0.925</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0.864</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1.270</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0.154</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1.463</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1.837</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1.116</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5.045</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1.000</w:t>
            </w:r>
          </w:p>
        </w:tc>
      </w:tr>
    </w:tbl>
    <w:p w:rsidR="00E44CCF" w:rsidRDefault="00E44CCF" w:rsidP="00E44CCF">
      <w:pPr>
        <w:pStyle w:val="CGCTableFootnote"/>
      </w:pPr>
      <w:r>
        <w:t>(a)</w:t>
      </w:r>
      <w:r>
        <w:tab/>
      </w:r>
      <w:r w:rsidRPr="00BB1D1A">
        <w:t>Net borrowing is shown</w:t>
      </w:r>
      <w:r>
        <w:t xml:space="preserve"> without a minus sign. It is another</w:t>
      </w:r>
      <w:r w:rsidRPr="00BB1D1A">
        <w:t xml:space="preserve"> source of funds to meet a State’s expenditure requirement.</w:t>
      </w:r>
    </w:p>
    <w:p w:rsidR="00E44CCF" w:rsidRDefault="00E44CCF" w:rsidP="00E44CCF">
      <w:pPr>
        <w:pStyle w:val="CGCTableFootnote"/>
      </w:pPr>
      <w:r>
        <w:t>(b)</w:t>
      </w:r>
      <w:r>
        <w:tab/>
        <w:t>Assessed revenue includes the net balancing transactions.</w:t>
      </w:r>
    </w:p>
    <w:p w:rsidR="00E44CCF" w:rsidRDefault="00E44CCF" w:rsidP="00E44CCF">
      <w:pPr>
        <w:pStyle w:val="CGCTableFootnote"/>
      </w:pPr>
      <w:r>
        <w:t>(c)</w:t>
      </w:r>
      <w:r>
        <w:tab/>
        <w:t>Per capita relativities are equal to each State's GST requirement divided by the average GST.</w:t>
      </w:r>
    </w:p>
    <w:p w:rsidR="00E44CCF" w:rsidRDefault="00E44CCF" w:rsidP="00E44CCF">
      <w:pPr>
        <w:pStyle w:val="CGCTableFootnote"/>
      </w:pPr>
      <w:r>
        <w:t xml:space="preserve">Source: </w:t>
      </w:r>
      <w:r>
        <w:tab/>
        <w:t>Commission calculation.</w:t>
      </w:r>
    </w:p>
    <w:p w:rsidR="00597461" w:rsidRDefault="00597461" w:rsidP="00597461"/>
    <w:p w:rsidR="00597461" w:rsidRDefault="0004120A" w:rsidP="00597461">
      <w:pPr>
        <w:pStyle w:val="Caption"/>
      </w:pPr>
      <w:bookmarkStart w:id="46" w:name="_Ref410136432"/>
      <w:r>
        <w:t xml:space="preserve">Table </w:t>
      </w:r>
      <w:fldSimple w:instr=" SEQ Table \* ARABIC ">
        <w:r w:rsidR="007B6A4C">
          <w:rPr>
            <w:noProof/>
          </w:rPr>
          <w:t>6</w:t>
        </w:r>
      </w:fldSimple>
      <w:bookmarkEnd w:id="46"/>
      <w:r w:rsidR="00597461">
        <w:tab/>
        <w:t xml:space="preserve">Per capita relativities, alternative presentation, </w:t>
      </w:r>
      <w:proofErr w:type="gramStart"/>
      <w:r w:rsidR="00597461">
        <w:t>2013</w:t>
      </w:r>
      <w:proofErr w:type="gramEnd"/>
      <w:r w:rsidR="00597461">
        <w:noBreakHyphen/>
        <w:t>14</w:t>
      </w:r>
    </w:p>
    <w:tbl>
      <w:tblPr>
        <w:tblW w:w="8972" w:type="dxa"/>
        <w:tblLayout w:type="fixed"/>
        <w:tblCellMar>
          <w:left w:w="0" w:type="dxa"/>
          <w:right w:w="0" w:type="dxa"/>
        </w:tblCellMar>
        <w:tblLook w:val="04A0" w:firstRow="1" w:lastRow="0" w:firstColumn="1" w:lastColumn="0" w:noHBand="0" w:noVBand="1"/>
      </w:tblPr>
      <w:tblGrid>
        <w:gridCol w:w="2500"/>
        <w:gridCol w:w="700"/>
        <w:gridCol w:w="700"/>
        <w:gridCol w:w="700"/>
        <w:gridCol w:w="760"/>
        <w:gridCol w:w="700"/>
        <w:gridCol w:w="700"/>
        <w:gridCol w:w="700"/>
        <w:gridCol w:w="840"/>
        <w:gridCol w:w="672"/>
      </w:tblGrid>
      <w:tr w:rsidR="00E44CCF" w:rsidRPr="00E44CCF" w:rsidTr="00E44CCF">
        <w:trPr>
          <w:trHeight w:val="375"/>
        </w:trPr>
        <w:tc>
          <w:tcPr>
            <w:tcW w:w="250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 </w:t>
            </w:r>
          </w:p>
        </w:tc>
        <w:tc>
          <w:tcPr>
            <w:tcW w:w="70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NSW</w:t>
            </w:r>
          </w:p>
        </w:tc>
        <w:tc>
          <w:tcPr>
            <w:tcW w:w="70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Vic</w:t>
            </w:r>
          </w:p>
        </w:tc>
        <w:tc>
          <w:tcPr>
            <w:tcW w:w="70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Qld</w:t>
            </w:r>
          </w:p>
        </w:tc>
        <w:tc>
          <w:tcPr>
            <w:tcW w:w="76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WA</w:t>
            </w:r>
          </w:p>
        </w:tc>
        <w:tc>
          <w:tcPr>
            <w:tcW w:w="70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SA</w:t>
            </w:r>
          </w:p>
        </w:tc>
        <w:tc>
          <w:tcPr>
            <w:tcW w:w="70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E44CCF">
              <w:rPr>
                <w:rFonts w:ascii="Calibri" w:eastAsia="Times New Roman" w:hAnsi="Calibri" w:cs="Times New Roman"/>
                <w:sz w:val="20"/>
                <w:szCs w:val="20"/>
                <w:lang w:eastAsia="en-AU"/>
              </w:rPr>
              <w:t>Tas</w:t>
            </w:r>
            <w:proofErr w:type="spellEnd"/>
          </w:p>
        </w:tc>
        <w:tc>
          <w:tcPr>
            <w:tcW w:w="70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ACT</w:t>
            </w:r>
          </w:p>
        </w:tc>
        <w:tc>
          <w:tcPr>
            <w:tcW w:w="84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NT</w:t>
            </w:r>
          </w:p>
        </w:tc>
        <w:tc>
          <w:tcPr>
            <w:tcW w:w="672"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Ave</w:t>
            </w:r>
          </w:p>
        </w:tc>
      </w:tr>
      <w:tr w:rsidR="00E44CCF" w:rsidRPr="00E44CCF" w:rsidTr="00E44CCF">
        <w:trPr>
          <w:trHeight w:val="255"/>
        </w:trPr>
        <w:tc>
          <w:tcPr>
            <w:tcW w:w="25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c>
          <w:tcPr>
            <w:tcW w:w="76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c>
          <w:tcPr>
            <w:tcW w:w="84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$pc</w:t>
            </w:r>
          </w:p>
        </w:tc>
      </w:tr>
      <w:tr w:rsidR="00E44CCF" w:rsidRPr="00E44CCF" w:rsidTr="00E44CCF">
        <w:trPr>
          <w:trHeight w:val="315"/>
        </w:trPr>
        <w:tc>
          <w:tcPr>
            <w:tcW w:w="25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Average GST</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2 192</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2 192</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2 192</w:t>
            </w:r>
          </w:p>
        </w:tc>
        <w:tc>
          <w:tcPr>
            <w:tcW w:w="76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2 192</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2 192</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2 192</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2 192</w:t>
            </w:r>
          </w:p>
        </w:tc>
        <w:tc>
          <w:tcPr>
            <w:tcW w:w="84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2 192</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2 192</w:t>
            </w:r>
          </w:p>
        </w:tc>
      </w:tr>
      <w:tr w:rsidR="00E44CCF" w:rsidRPr="00E44CCF" w:rsidTr="00E44CCF">
        <w:trPr>
          <w:trHeight w:val="315"/>
        </w:trPr>
        <w:tc>
          <w:tcPr>
            <w:tcW w:w="25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plus Assessed differences in</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p>
        </w:tc>
        <w:tc>
          <w:tcPr>
            <w:tcW w:w="84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p>
        </w:tc>
      </w:tr>
      <w:tr w:rsidR="00E44CCF" w:rsidRPr="00E44CCF" w:rsidTr="00E44CCF">
        <w:trPr>
          <w:trHeight w:val="315"/>
        </w:trPr>
        <w:tc>
          <w:tcPr>
            <w:tcW w:w="25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Expenses</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-358</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-786</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484</w:t>
            </w:r>
          </w:p>
        </w:tc>
        <w:tc>
          <w:tcPr>
            <w:tcW w:w="76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745</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238</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838</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-424</w:t>
            </w:r>
          </w:p>
        </w:tc>
        <w:tc>
          <w:tcPr>
            <w:tcW w:w="84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9 772</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w:t>
            </w:r>
          </w:p>
        </w:tc>
      </w:tr>
      <w:tr w:rsidR="00E44CCF" w:rsidRPr="00E44CCF" w:rsidTr="00E44CCF">
        <w:trPr>
          <w:trHeight w:val="315"/>
        </w:trPr>
        <w:tc>
          <w:tcPr>
            <w:tcW w:w="25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Investment</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-27</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40</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-30</w:t>
            </w:r>
          </w:p>
        </w:tc>
        <w:tc>
          <w:tcPr>
            <w:tcW w:w="76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232</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-178</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-353</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-150</w:t>
            </w:r>
          </w:p>
        </w:tc>
        <w:tc>
          <w:tcPr>
            <w:tcW w:w="84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221</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w:t>
            </w:r>
          </w:p>
        </w:tc>
      </w:tr>
      <w:tr w:rsidR="00E44CCF" w:rsidRPr="00E44CCF" w:rsidTr="00E44CCF">
        <w:trPr>
          <w:trHeight w:val="315"/>
        </w:trPr>
        <w:tc>
          <w:tcPr>
            <w:tcW w:w="25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Net borrowing</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7</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-5</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w:t>
            </w:r>
          </w:p>
        </w:tc>
        <w:tc>
          <w:tcPr>
            <w:tcW w:w="76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-32</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24</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42</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w:t>
            </w:r>
          </w:p>
        </w:tc>
        <w:tc>
          <w:tcPr>
            <w:tcW w:w="84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-5</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w:t>
            </w:r>
          </w:p>
        </w:tc>
      </w:tr>
      <w:tr w:rsidR="00E44CCF" w:rsidRPr="00E44CCF" w:rsidTr="00E44CCF">
        <w:trPr>
          <w:trHeight w:val="315"/>
        </w:trPr>
        <w:tc>
          <w:tcPr>
            <w:tcW w:w="25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Revenue</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152</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553</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113</w:t>
            </w:r>
          </w:p>
        </w:tc>
        <w:tc>
          <w:tcPr>
            <w:tcW w:w="76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-2 873</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856</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1 335</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835</w:t>
            </w:r>
          </w:p>
        </w:tc>
        <w:tc>
          <w:tcPr>
            <w:tcW w:w="84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62</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w:t>
            </w:r>
          </w:p>
        </w:tc>
      </w:tr>
      <w:tr w:rsidR="00E44CCF" w:rsidRPr="00E44CCF" w:rsidTr="00E44CCF">
        <w:trPr>
          <w:trHeight w:val="315"/>
        </w:trPr>
        <w:tc>
          <w:tcPr>
            <w:tcW w:w="25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Commonwealth payments</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61</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-101</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26</w:t>
            </w:r>
          </w:p>
        </w:tc>
        <w:tc>
          <w:tcPr>
            <w:tcW w:w="76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73</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76</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-27</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-11</w:t>
            </w:r>
          </w:p>
        </w:tc>
        <w:tc>
          <w:tcPr>
            <w:tcW w:w="84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-1 184</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w:t>
            </w:r>
          </w:p>
        </w:tc>
      </w:tr>
      <w:tr w:rsidR="00E44CCF" w:rsidRPr="00E44CCF" w:rsidTr="00E44CCF">
        <w:trPr>
          <w:trHeight w:val="315"/>
        </w:trPr>
        <w:tc>
          <w:tcPr>
            <w:tcW w:w="25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Total assessed differences</w:t>
            </w:r>
          </w:p>
        </w:tc>
        <w:tc>
          <w:tcPr>
            <w:tcW w:w="700" w:type="dxa"/>
            <w:tcBorders>
              <w:top w:val="single" w:sz="4" w:space="0" w:color="auto"/>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-164</w:t>
            </w:r>
          </w:p>
        </w:tc>
        <w:tc>
          <w:tcPr>
            <w:tcW w:w="700" w:type="dxa"/>
            <w:tcBorders>
              <w:top w:val="single" w:sz="4" w:space="0" w:color="auto"/>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-299</w:t>
            </w:r>
          </w:p>
        </w:tc>
        <w:tc>
          <w:tcPr>
            <w:tcW w:w="700" w:type="dxa"/>
            <w:tcBorders>
              <w:top w:val="single" w:sz="4" w:space="0" w:color="auto"/>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593</w:t>
            </w:r>
          </w:p>
        </w:tc>
        <w:tc>
          <w:tcPr>
            <w:tcW w:w="760" w:type="dxa"/>
            <w:tcBorders>
              <w:top w:val="single" w:sz="4" w:space="0" w:color="auto"/>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-1 855</w:t>
            </w:r>
          </w:p>
        </w:tc>
        <w:tc>
          <w:tcPr>
            <w:tcW w:w="700" w:type="dxa"/>
            <w:tcBorders>
              <w:top w:val="single" w:sz="4" w:space="0" w:color="auto"/>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1 015</w:t>
            </w:r>
          </w:p>
        </w:tc>
        <w:tc>
          <w:tcPr>
            <w:tcW w:w="700" w:type="dxa"/>
            <w:tcBorders>
              <w:top w:val="single" w:sz="4" w:space="0" w:color="auto"/>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1 834</w:t>
            </w:r>
          </w:p>
        </w:tc>
        <w:tc>
          <w:tcPr>
            <w:tcW w:w="700" w:type="dxa"/>
            <w:tcBorders>
              <w:top w:val="single" w:sz="4" w:space="0" w:color="auto"/>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254</w:t>
            </w:r>
          </w:p>
        </w:tc>
        <w:tc>
          <w:tcPr>
            <w:tcW w:w="840" w:type="dxa"/>
            <w:tcBorders>
              <w:top w:val="single" w:sz="4" w:space="0" w:color="auto"/>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8 866</w:t>
            </w:r>
          </w:p>
        </w:tc>
        <w:tc>
          <w:tcPr>
            <w:tcW w:w="672" w:type="dxa"/>
            <w:tcBorders>
              <w:top w:val="single" w:sz="4" w:space="0" w:color="auto"/>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w:t>
            </w:r>
          </w:p>
        </w:tc>
      </w:tr>
      <w:tr w:rsidR="00E44CCF" w:rsidRPr="00E44CCF" w:rsidTr="00E44CCF">
        <w:trPr>
          <w:trHeight w:val="315"/>
        </w:trPr>
        <w:tc>
          <w:tcPr>
            <w:tcW w:w="25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GST requirement</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2 028</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1 893</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2 785</w:t>
            </w:r>
          </w:p>
        </w:tc>
        <w:tc>
          <w:tcPr>
            <w:tcW w:w="76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337</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3 207</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4 026</w:t>
            </w:r>
          </w:p>
        </w:tc>
        <w:tc>
          <w:tcPr>
            <w:tcW w:w="70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2 446</w:t>
            </w:r>
          </w:p>
        </w:tc>
        <w:tc>
          <w:tcPr>
            <w:tcW w:w="840"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11 058</w:t>
            </w:r>
          </w:p>
        </w:tc>
        <w:tc>
          <w:tcPr>
            <w:tcW w:w="672" w:type="dxa"/>
            <w:tcBorders>
              <w:top w:val="nil"/>
              <w:left w:val="nil"/>
              <w:bottom w:val="nil"/>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2 192</w:t>
            </w:r>
          </w:p>
        </w:tc>
      </w:tr>
      <w:tr w:rsidR="00E44CCF" w:rsidRPr="00E44CCF" w:rsidTr="00E44CCF">
        <w:trPr>
          <w:trHeight w:val="315"/>
        </w:trPr>
        <w:tc>
          <w:tcPr>
            <w:tcW w:w="25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Per capita relativity (a)</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0.925</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0.864</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1.270</w:t>
            </w:r>
          </w:p>
        </w:tc>
        <w:tc>
          <w:tcPr>
            <w:tcW w:w="76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0.154</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1.463</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1.837</w:t>
            </w:r>
          </w:p>
        </w:tc>
        <w:tc>
          <w:tcPr>
            <w:tcW w:w="7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1.116</w:t>
            </w:r>
          </w:p>
        </w:tc>
        <w:tc>
          <w:tcPr>
            <w:tcW w:w="84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5.045</w:t>
            </w:r>
          </w:p>
        </w:tc>
        <w:tc>
          <w:tcPr>
            <w:tcW w:w="672"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1.000</w:t>
            </w:r>
          </w:p>
        </w:tc>
      </w:tr>
    </w:tbl>
    <w:p w:rsidR="00597461" w:rsidRDefault="00597461" w:rsidP="00597461">
      <w:pPr>
        <w:pStyle w:val="CGCTableFootnote"/>
        <w:ind w:left="0" w:firstLine="0"/>
      </w:pPr>
      <w:r>
        <w:t>(a)</w:t>
      </w:r>
      <w:r>
        <w:tab/>
        <w:t>Per capita relativities are equal to each State's GST requirement divided by the average GST.</w:t>
      </w:r>
    </w:p>
    <w:p w:rsidR="00597461" w:rsidRDefault="00597461" w:rsidP="00597461">
      <w:pPr>
        <w:pStyle w:val="CGCTableFootnote"/>
      </w:pPr>
      <w:r>
        <w:t xml:space="preserve">Source: </w:t>
      </w:r>
      <w:r>
        <w:tab/>
        <w:t>Commission calculation.</w:t>
      </w:r>
    </w:p>
    <w:p w:rsidR="00597461" w:rsidRDefault="00597461" w:rsidP="00597461">
      <w:pPr>
        <w:pStyle w:val="NoSpacing"/>
      </w:pPr>
    </w:p>
    <w:p w:rsidR="00597461" w:rsidRDefault="00597461" w:rsidP="00597461">
      <w:pPr>
        <w:tabs>
          <w:tab w:val="clear" w:pos="567"/>
        </w:tabs>
      </w:pPr>
      <w:r>
        <w:br w:type="page"/>
      </w:r>
    </w:p>
    <w:p w:rsidR="00597461" w:rsidRDefault="0004120A" w:rsidP="00597461">
      <w:pPr>
        <w:pStyle w:val="Caption"/>
      </w:pPr>
      <w:bookmarkStart w:id="47" w:name="_Ref410306440"/>
      <w:r>
        <w:lastRenderedPageBreak/>
        <w:t xml:space="preserve">Table </w:t>
      </w:r>
      <w:fldSimple w:instr=" SEQ Table \* ARABIC ">
        <w:r w:rsidR="007B6A4C">
          <w:rPr>
            <w:noProof/>
          </w:rPr>
          <w:t>7</w:t>
        </w:r>
      </w:fldSimple>
      <w:bookmarkEnd w:id="47"/>
      <w:r w:rsidR="00597461">
        <w:tab/>
        <w:t>Assessed relativities, 2011-12 to 2013-14</w:t>
      </w:r>
    </w:p>
    <w:tbl>
      <w:tblPr>
        <w:tblW w:w="8972" w:type="dxa"/>
        <w:tblLayout w:type="fixed"/>
        <w:tblCellMar>
          <w:left w:w="0" w:type="dxa"/>
          <w:right w:w="0" w:type="dxa"/>
        </w:tblCellMar>
        <w:tblLook w:val="04A0" w:firstRow="1" w:lastRow="0" w:firstColumn="1" w:lastColumn="0" w:noHBand="0" w:noVBand="1"/>
      </w:tblPr>
      <w:tblGrid>
        <w:gridCol w:w="2500"/>
        <w:gridCol w:w="700"/>
        <w:gridCol w:w="700"/>
        <w:gridCol w:w="700"/>
        <w:gridCol w:w="760"/>
        <w:gridCol w:w="700"/>
        <w:gridCol w:w="700"/>
        <w:gridCol w:w="700"/>
        <w:gridCol w:w="840"/>
        <w:gridCol w:w="672"/>
      </w:tblGrid>
      <w:tr w:rsidR="00E44CCF" w:rsidRPr="00E44CCF" w:rsidTr="00E44CCF">
        <w:trPr>
          <w:trHeight w:val="379"/>
        </w:trPr>
        <w:tc>
          <w:tcPr>
            <w:tcW w:w="250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bookmarkStart w:id="48" w:name="RANGE!A64:J68"/>
            <w:r w:rsidRPr="00E44CCF">
              <w:rPr>
                <w:rFonts w:ascii="Calibri" w:eastAsia="Times New Roman" w:hAnsi="Calibri" w:cs="Times New Roman"/>
                <w:sz w:val="20"/>
                <w:szCs w:val="20"/>
                <w:lang w:eastAsia="en-AU"/>
              </w:rPr>
              <w:t> </w:t>
            </w:r>
            <w:bookmarkEnd w:id="48"/>
          </w:p>
        </w:tc>
        <w:tc>
          <w:tcPr>
            <w:tcW w:w="70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NSW</w:t>
            </w:r>
          </w:p>
        </w:tc>
        <w:tc>
          <w:tcPr>
            <w:tcW w:w="70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Vic</w:t>
            </w:r>
          </w:p>
        </w:tc>
        <w:tc>
          <w:tcPr>
            <w:tcW w:w="70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Qld</w:t>
            </w:r>
          </w:p>
        </w:tc>
        <w:tc>
          <w:tcPr>
            <w:tcW w:w="76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WA</w:t>
            </w:r>
          </w:p>
        </w:tc>
        <w:tc>
          <w:tcPr>
            <w:tcW w:w="70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SA</w:t>
            </w:r>
          </w:p>
        </w:tc>
        <w:tc>
          <w:tcPr>
            <w:tcW w:w="70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E44CCF">
              <w:rPr>
                <w:rFonts w:ascii="Calibri" w:eastAsia="Times New Roman" w:hAnsi="Calibri" w:cs="Times New Roman"/>
                <w:sz w:val="20"/>
                <w:szCs w:val="20"/>
                <w:lang w:eastAsia="en-AU"/>
              </w:rPr>
              <w:t>Tas</w:t>
            </w:r>
            <w:proofErr w:type="spellEnd"/>
          </w:p>
        </w:tc>
        <w:tc>
          <w:tcPr>
            <w:tcW w:w="70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ACT</w:t>
            </w:r>
          </w:p>
        </w:tc>
        <w:tc>
          <w:tcPr>
            <w:tcW w:w="840"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NT</w:t>
            </w:r>
          </w:p>
        </w:tc>
        <w:tc>
          <w:tcPr>
            <w:tcW w:w="672" w:type="dxa"/>
            <w:tcBorders>
              <w:top w:val="single" w:sz="4" w:space="0" w:color="auto"/>
              <w:left w:val="nil"/>
              <w:bottom w:val="single" w:sz="4" w:space="0" w:color="auto"/>
              <w:right w:val="nil"/>
            </w:tcBorders>
            <w:shd w:val="clear" w:color="auto" w:fill="auto"/>
            <w:noWrap/>
            <w:vAlign w:val="center"/>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Ave</w:t>
            </w:r>
          </w:p>
        </w:tc>
      </w:tr>
      <w:tr w:rsidR="00E44CCF" w:rsidRPr="00E44CCF" w:rsidTr="00E44CCF">
        <w:trPr>
          <w:trHeight w:val="315"/>
        </w:trPr>
        <w:tc>
          <w:tcPr>
            <w:tcW w:w="25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2011-12</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0.984</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0.929</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1.002</w:t>
            </w:r>
          </w:p>
        </w:tc>
        <w:tc>
          <w:tcPr>
            <w:tcW w:w="76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0.389</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1.251</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1.851</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1.159</w:t>
            </w:r>
          </w:p>
        </w:tc>
        <w:tc>
          <w:tcPr>
            <w:tcW w:w="84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5.545</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1.000</w:t>
            </w:r>
          </w:p>
        </w:tc>
      </w:tr>
      <w:tr w:rsidR="00E44CCF" w:rsidRPr="00E44CCF" w:rsidTr="00E44CCF">
        <w:trPr>
          <w:trHeight w:val="315"/>
        </w:trPr>
        <w:tc>
          <w:tcPr>
            <w:tcW w:w="25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2012-13</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0.933</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0.885</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1.110</w:t>
            </w:r>
          </w:p>
        </w:tc>
        <w:tc>
          <w:tcPr>
            <w:tcW w:w="76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0.357</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1.363</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1.769</w:t>
            </w:r>
          </w:p>
        </w:tc>
        <w:tc>
          <w:tcPr>
            <w:tcW w:w="7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1.025</w:t>
            </w:r>
          </w:p>
        </w:tc>
        <w:tc>
          <w:tcPr>
            <w:tcW w:w="84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6.122</w:t>
            </w:r>
          </w:p>
        </w:tc>
        <w:tc>
          <w:tcPr>
            <w:tcW w:w="672"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1.000</w:t>
            </w:r>
          </w:p>
        </w:tc>
      </w:tr>
      <w:tr w:rsidR="00E44CCF" w:rsidRPr="00E44CCF" w:rsidTr="00E44CCF">
        <w:trPr>
          <w:trHeight w:val="315"/>
        </w:trPr>
        <w:tc>
          <w:tcPr>
            <w:tcW w:w="2500" w:type="dxa"/>
            <w:tcBorders>
              <w:top w:val="nil"/>
              <w:left w:val="nil"/>
              <w:bottom w:val="nil"/>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2013-14</w:t>
            </w:r>
          </w:p>
        </w:tc>
        <w:tc>
          <w:tcPr>
            <w:tcW w:w="700" w:type="dxa"/>
            <w:tcBorders>
              <w:top w:val="nil"/>
              <w:left w:val="nil"/>
              <w:bottom w:val="single" w:sz="4" w:space="0" w:color="auto"/>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0.925</w:t>
            </w:r>
          </w:p>
        </w:tc>
        <w:tc>
          <w:tcPr>
            <w:tcW w:w="700" w:type="dxa"/>
            <w:tcBorders>
              <w:top w:val="nil"/>
              <w:left w:val="nil"/>
              <w:bottom w:val="single" w:sz="4" w:space="0" w:color="auto"/>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0.864</w:t>
            </w:r>
          </w:p>
        </w:tc>
        <w:tc>
          <w:tcPr>
            <w:tcW w:w="700" w:type="dxa"/>
            <w:tcBorders>
              <w:top w:val="nil"/>
              <w:left w:val="nil"/>
              <w:bottom w:val="single" w:sz="4" w:space="0" w:color="auto"/>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1.270</w:t>
            </w:r>
          </w:p>
        </w:tc>
        <w:tc>
          <w:tcPr>
            <w:tcW w:w="760" w:type="dxa"/>
            <w:tcBorders>
              <w:top w:val="nil"/>
              <w:left w:val="nil"/>
              <w:bottom w:val="single" w:sz="4" w:space="0" w:color="auto"/>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0.154</w:t>
            </w:r>
          </w:p>
        </w:tc>
        <w:tc>
          <w:tcPr>
            <w:tcW w:w="700" w:type="dxa"/>
            <w:tcBorders>
              <w:top w:val="nil"/>
              <w:left w:val="nil"/>
              <w:bottom w:val="single" w:sz="4" w:space="0" w:color="auto"/>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1.463</w:t>
            </w:r>
          </w:p>
        </w:tc>
        <w:tc>
          <w:tcPr>
            <w:tcW w:w="700" w:type="dxa"/>
            <w:tcBorders>
              <w:top w:val="nil"/>
              <w:left w:val="nil"/>
              <w:bottom w:val="single" w:sz="4" w:space="0" w:color="auto"/>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1.837</w:t>
            </w:r>
          </w:p>
        </w:tc>
        <w:tc>
          <w:tcPr>
            <w:tcW w:w="700" w:type="dxa"/>
            <w:tcBorders>
              <w:top w:val="nil"/>
              <w:left w:val="nil"/>
              <w:bottom w:val="single" w:sz="4" w:space="0" w:color="auto"/>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1.116</w:t>
            </w:r>
          </w:p>
        </w:tc>
        <w:tc>
          <w:tcPr>
            <w:tcW w:w="840" w:type="dxa"/>
            <w:tcBorders>
              <w:top w:val="nil"/>
              <w:left w:val="nil"/>
              <w:bottom w:val="single" w:sz="4" w:space="0" w:color="auto"/>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5.045</w:t>
            </w:r>
          </w:p>
        </w:tc>
        <w:tc>
          <w:tcPr>
            <w:tcW w:w="672" w:type="dxa"/>
            <w:tcBorders>
              <w:top w:val="nil"/>
              <w:left w:val="nil"/>
              <w:bottom w:val="single" w:sz="4" w:space="0" w:color="auto"/>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1.000</w:t>
            </w:r>
          </w:p>
        </w:tc>
      </w:tr>
      <w:tr w:rsidR="00E44CCF" w:rsidRPr="00E44CCF" w:rsidTr="00E44CCF">
        <w:trPr>
          <w:trHeight w:val="315"/>
        </w:trPr>
        <w:tc>
          <w:tcPr>
            <w:tcW w:w="2500" w:type="dxa"/>
            <w:tcBorders>
              <w:top w:val="nil"/>
              <w:left w:val="nil"/>
              <w:bottom w:val="single" w:sz="4" w:space="0" w:color="auto"/>
              <w:right w:val="nil"/>
            </w:tcBorders>
            <w:shd w:val="clear" w:color="auto" w:fill="auto"/>
            <w:vAlign w:val="bottom"/>
            <w:hideMark/>
          </w:tcPr>
          <w:p w:rsidR="00E44CCF" w:rsidRPr="00E44CCF" w:rsidRDefault="00E44CCF" w:rsidP="00E44CC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Average (a)</w:t>
            </w:r>
          </w:p>
        </w:tc>
        <w:tc>
          <w:tcPr>
            <w:tcW w:w="700" w:type="dxa"/>
            <w:tcBorders>
              <w:top w:val="nil"/>
              <w:left w:val="nil"/>
              <w:bottom w:val="single" w:sz="4" w:space="0" w:color="auto"/>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0.947</w:t>
            </w:r>
          </w:p>
        </w:tc>
        <w:tc>
          <w:tcPr>
            <w:tcW w:w="700" w:type="dxa"/>
            <w:tcBorders>
              <w:top w:val="nil"/>
              <w:left w:val="nil"/>
              <w:bottom w:val="single" w:sz="4" w:space="0" w:color="auto"/>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0.893</w:t>
            </w:r>
          </w:p>
        </w:tc>
        <w:tc>
          <w:tcPr>
            <w:tcW w:w="700" w:type="dxa"/>
            <w:tcBorders>
              <w:top w:val="nil"/>
              <w:left w:val="nil"/>
              <w:bottom w:val="single" w:sz="4" w:space="0" w:color="auto"/>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1.128</w:t>
            </w:r>
          </w:p>
        </w:tc>
        <w:tc>
          <w:tcPr>
            <w:tcW w:w="760" w:type="dxa"/>
            <w:tcBorders>
              <w:top w:val="nil"/>
              <w:left w:val="nil"/>
              <w:bottom w:val="single" w:sz="4" w:space="0" w:color="auto"/>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0.300</w:t>
            </w:r>
          </w:p>
        </w:tc>
        <w:tc>
          <w:tcPr>
            <w:tcW w:w="700" w:type="dxa"/>
            <w:tcBorders>
              <w:top w:val="nil"/>
              <w:left w:val="nil"/>
              <w:bottom w:val="single" w:sz="4" w:space="0" w:color="auto"/>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1.359</w:t>
            </w:r>
          </w:p>
        </w:tc>
        <w:tc>
          <w:tcPr>
            <w:tcW w:w="700" w:type="dxa"/>
            <w:tcBorders>
              <w:top w:val="nil"/>
              <w:left w:val="nil"/>
              <w:bottom w:val="single" w:sz="4" w:space="0" w:color="auto"/>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1.819</w:t>
            </w:r>
          </w:p>
        </w:tc>
        <w:tc>
          <w:tcPr>
            <w:tcW w:w="700" w:type="dxa"/>
            <w:tcBorders>
              <w:top w:val="nil"/>
              <w:left w:val="nil"/>
              <w:bottom w:val="single" w:sz="4" w:space="0" w:color="auto"/>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1.100</w:t>
            </w:r>
          </w:p>
        </w:tc>
        <w:tc>
          <w:tcPr>
            <w:tcW w:w="840" w:type="dxa"/>
            <w:tcBorders>
              <w:top w:val="nil"/>
              <w:left w:val="nil"/>
              <w:bottom w:val="single" w:sz="4" w:space="0" w:color="auto"/>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5.571</w:t>
            </w:r>
          </w:p>
        </w:tc>
        <w:tc>
          <w:tcPr>
            <w:tcW w:w="672" w:type="dxa"/>
            <w:tcBorders>
              <w:top w:val="nil"/>
              <w:left w:val="nil"/>
              <w:bottom w:val="single" w:sz="4" w:space="0" w:color="auto"/>
              <w:right w:val="nil"/>
            </w:tcBorders>
            <w:shd w:val="clear" w:color="auto" w:fill="auto"/>
            <w:noWrap/>
            <w:vAlign w:val="bottom"/>
            <w:hideMark/>
          </w:tcPr>
          <w:p w:rsidR="00E44CCF" w:rsidRPr="00E44CCF" w:rsidRDefault="00E44CCF" w:rsidP="00E44CCF">
            <w:pPr>
              <w:keepNext/>
              <w:keepLines/>
              <w:tabs>
                <w:tab w:val="clear" w:pos="567"/>
              </w:tabs>
              <w:spacing w:after="0" w:line="240" w:lineRule="auto"/>
              <w:jc w:val="right"/>
              <w:rPr>
                <w:rFonts w:ascii="Calibri" w:eastAsia="Times New Roman" w:hAnsi="Calibri" w:cs="Times New Roman"/>
                <w:sz w:val="20"/>
                <w:szCs w:val="20"/>
                <w:lang w:eastAsia="en-AU"/>
              </w:rPr>
            </w:pPr>
            <w:r w:rsidRPr="00E44CCF">
              <w:rPr>
                <w:rFonts w:ascii="Calibri" w:eastAsia="Times New Roman" w:hAnsi="Calibri" w:cs="Times New Roman"/>
                <w:sz w:val="20"/>
                <w:szCs w:val="20"/>
                <w:lang w:eastAsia="en-AU"/>
              </w:rPr>
              <w:t>1.000</w:t>
            </w:r>
          </w:p>
        </w:tc>
      </w:tr>
    </w:tbl>
    <w:p w:rsidR="00597461" w:rsidRDefault="00597461" w:rsidP="00597461">
      <w:pPr>
        <w:pStyle w:val="CGCTableFootnote"/>
      </w:pPr>
      <w:r>
        <w:t>(a)</w:t>
      </w:r>
      <w:r>
        <w:tab/>
        <w:t xml:space="preserve">Average of </w:t>
      </w:r>
      <w:r w:rsidR="00017847">
        <w:t>three</w:t>
      </w:r>
      <w:r>
        <w:t xml:space="preserve"> years. These are the recommended relativities.</w:t>
      </w:r>
    </w:p>
    <w:p w:rsidR="00597461" w:rsidRPr="00B40877" w:rsidRDefault="00597461" w:rsidP="00597461">
      <w:pPr>
        <w:pStyle w:val="CGCTableFootnote"/>
      </w:pPr>
      <w:r>
        <w:t xml:space="preserve">Source: </w:t>
      </w:r>
      <w:r>
        <w:tab/>
        <w:t>Commission calculation.</w:t>
      </w:r>
    </w:p>
    <w:p w:rsidR="00597461" w:rsidRDefault="00597461">
      <w:pPr>
        <w:tabs>
          <w:tab w:val="clear" w:pos="567"/>
        </w:tabs>
        <w:sectPr w:rsidR="00597461" w:rsidSect="00D22403">
          <w:footerReference w:type="default" r:id="rId33"/>
          <w:footerReference w:type="first" r:id="rId34"/>
          <w:footnotePr>
            <w:numRestart w:val="eachSect"/>
          </w:footnotePr>
          <w:pgSz w:w="11906" w:h="16838" w:code="9"/>
          <w:pgMar w:top="1701" w:right="1474" w:bottom="1701" w:left="1474" w:header="709" w:footer="709" w:gutter="0"/>
          <w:cols w:space="708"/>
          <w:titlePg/>
          <w:docGrid w:linePitch="360"/>
        </w:sectPr>
      </w:pPr>
    </w:p>
    <w:p w:rsidR="00597461" w:rsidRDefault="004A16B8" w:rsidP="00597461">
      <w:pPr>
        <w:pStyle w:val="Heading1"/>
      </w:pPr>
      <w:r>
        <w:rPr>
          <w:caps w:val="0"/>
        </w:rPr>
        <w:lastRenderedPageBreak/>
        <w:t>ATTACHMENT 7</w:t>
      </w:r>
    </w:p>
    <w:p w:rsidR="00597461" w:rsidRDefault="00FC647D" w:rsidP="00597461">
      <w:pPr>
        <w:pStyle w:val="Heading2"/>
      </w:pPr>
      <w:r>
        <w:rPr>
          <w:caps w:val="0"/>
        </w:rPr>
        <w:t>CONSULTATIONS</w:t>
      </w:r>
    </w:p>
    <w:p w:rsidR="00597461" w:rsidRDefault="00597461" w:rsidP="00597461">
      <w:pPr>
        <w:pStyle w:val="Heading3"/>
      </w:pPr>
      <w:r>
        <w:t>Consultation process</w:t>
      </w:r>
    </w:p>
    <w:p w:rsidR="00597461" w:rsidRDefault="00597461" w:rsidP="00597461">
      <w:pPr>
        <w:pStyle w:val="CGCNumberedPara"/>
        <w:numPr>
          <w:ilvl w:val="1"/>
          <w:numId w:val="24"/>
        </w:numPr>
      </w:pPr>
      <w:r>
        <w:t xml:space="preserve">On 21 June 2013, </w:t>
      </w:r>
      <w:r w:rsidR="00017847">
        <w:t xml:space="preserve">we received </w:t>
      </w:r>
      <w:r w:rsidRPr="001C05A3">
        <w:t xml:space="preserve">terms of reference </w:t>
      </w:r>
      <w:r w:rsidR="00017847">
        <w:t xml:space="preserve">from the Commonwealth Treasurer </w:t>
      </w:r>
      <w:r>
        <w:t xml:space="preserve">for a review of </w:t>
      </w:r>
      <w:r w:rsidRPr="00FF4096">
        <w:t xml:space="preserve">the methods used to derive the relativities for distributing the Goods and Services Tax </w:t>
      </w:r>
      <w:r>
        <w:t xml:space="preserve">(GST) </w:t>
      </w:r>
      <w:r w:rsidRPr="00FF4096">
        <w:t>revenue among the States and Territories</w:t>
      </w:r>
      <w:r>
        <w:t xml:space="preserve">. Supplementary terms of reference for the review were issued on 19 December 2014. </w:t>
      </w:r>
    </w:p>
    <w:p w:rsidR="00597461" w:rsidRDefault="00597461" w:rsidP="00597461">
      <w:pPr>
        <w:pStyle w:val="CGCNumberedPara"/>
      </w:pPr>
      <w:r>
        <w:t>The terms of reference asked the Commission to consult regularly with the Commonwealth and States as it considered the matters outlined in the terms of reference.</w:t>
      </w:r>
    </w:p>
    <w:p w:rsidR="00597461" w:rsidRPr="006107B0" w:rsidRDefault="00597461" w:rsidP="00597461">
      <w:pPr>
        <w:pStyle w:val="CGCNumberedPara"/>
      </w:pPr>
      <w:r>
        <w:t xml:space="preserve">The Commission has consulted extensively during the course of this review. </w:t>
      </w:r>
      <w:r w:rsidR="0004120A">
        <w:fldChar w:fldCharType="begin"/>
      </w:r>
      <w:r w:rsidR="0004120A">
        <w:instrText xml:space="preserve"> REF _Ref410907390 \h </w:instrText>
      </w:r>
      <w:r w:rsidR="0004120A">
        <w:fldChar w:fldCharType="separate"/>
      </w:r>
      <w:r w:rsidR="007B6A4C">
        <w:t>Table </w:t>
      </w:r>
      <w:r w:rsidR="007B6A4C">
        <w:rPr>
          <w:noProof/>
        </w:rPr>
        <w:t>1</w:t>
      </w:r>
      <w:r w:rsidR="0004120A">
        <w:fldChar w:fldCharType="end"/>
      </w:r>
      <w:r w:rsidR="0004120A">
        <w:t xml:space="preserve"> </w:t>
      </w:r>
      <w:r>
        <w:t xml:space="preserve">outlines the main stages of the consultation process. All Commission discussion papers and State submissions are available on the </w:t>
      </w:r>
      <w:hyperlink r:id="rId35" w:history="1">
        <w:r w:rsidR="002A3AC6" w:rsidRPr="002A3AC6">
          <w:rPr>
            <w:rStyle w:val="Hyperlink"/>
          </w:rPr>
          <w:t>Commission’s website</w:t>
        </w:r>
      </w:hyperlink>
      <w:r w:rsidR="002A3AC6">
        <w:t xml:space="preserve"> (</w:t>
      </w:r>
      <w:r w:rsidR="002A3AC6" w:rsidRPr="002A3AC6">
        <w:t>https://cgc.gov.au/</w:t>
      </w:r>
      <w:r w:rsidR="002A3AC6">
        <w:t>)</w:t>
      </w:r>
      <w:r>
        <w:t>.</w:t>
      </w:r>
    </w:p>
    <w:p w:rsidR="00597461" w:rsidRDefault="0004120A" w:rsidP="00597461">
      <w:pPr>
        <w:pStyle w:val="Caption"/>
      </w:pPr>
      <w:bookmarkStart w:id="49" w:name="_Ref410307910"/>
      <w:bookmarkStart w:id="50" w:name="_Ref410907390"/>
      <w:r>
        <w:lastRenderedPageBreak/>
        <w:t>Table </w:t>
      </w:r>
      <w:bookmarkEnd w:id="49"/>
      <w:r>
        <w:fldChar w:fldCharType="begin"/>
      </w:r>
      <w:r>
        <w:instrText xml:space="preserve"> SEQ Table \* ARABIC \r1 </w:instrText>
      </w:r>
      <w:r>
        <w:fldChar w:fldCharType="separate"/>
      </w:r>
      <w:r w:rsidR="007B6A4C">
        <w:rPr>
          <w:noProof/>
        </w:rPr>
        <w:t>1</w:t>
      </w:r>
      <w:r>
        <w:fldChar w:fldCharType="end"/>
      </w:r>
      <w:bookmarkEnd w:id="50"/>
      <w:r w:rsidR="00597461">
        <w:tab/>
        <w:t>2015 Review consultation process</w:t>
      </w:r>
    </w:p>
    <w:tbl>
      <w:tblPr>
        <w:tblW w:w="5000" w:type="pct"/>
        <w:tblCellMar>
          <w:left w:w="85" w:type="dxa"/>
          <w:right w:w="85" w:type="dxa"/>
        </w:tblCellMar>
        <w:tblLook w:val="0000" w:firstRow="0" w:lastRow="0" w:firstColumn="0" w:lastColumn="0" w:noHBand="0" w:noVBand="0"/>
      </w:tblPr>
      <w:tblGrid>
        <w:gridCol w:w="7173"/>
        <w:gridCol w:w="1955"/>
      </w:tblGrid>
      <w:tr w:rsidR="00597461" w:rsidRPr="004537EA" w:rsidTr="00597461">
        <w:tc>
          <w:tcPr>
            <w:tcW w:w="3929" w:type="pct"/>
            <w:tcBorders>
              <w:top w:val="single" w:sz="6" w:space="0" w:color="auto"/>
              <w:bottom w:val="single" w:sz="6" w:space="0" w:color="auto"/>
            </w:tcBorders>
            <w:vAlign w:val="bottom"/>
          </w:tcPr>
          <w:p w:rsidR="00597461" w:rsidRPr="004537EA" w:rsidRDefault="00597461" w:rsidP="00597461">
            <w:pPr>
              <w:pStyle w:val="TableColHeadings"/>
              <w:jc w:val="left"/>
              <w:rPr>
                <w:rFonts w:asciiTheme="minorHAnsi" w:hAnsiTheme="minorHAnsi" w:cstheme="minorHAnsi"/>
              </w:rPr>
            </w:pPr>
            <w:r>
              <w:rPr>
                <w:rFonts w:asciiTheme="minorHAnsi" w:hAnsiTheme="minorHAnsi" w:cstheme="minorHAnsi"/>
              </w:rPr>
              <w:t>Consultation</w:t>
            </w:r>
          </w:p>
        </w:tc>
        <w:tc>
          <w:tcPr>
            <w:tcW w:w="1071" w:type="pct"/>
            <w:tcBorders>
              <w:top w:val="single" w:sz="6" w:space="0" w:color="auto"/>
              <w:bottom w:val="single" w:sz="6" w:space="0" w:color="auto"/>
            </w:tcBorders>
            <w:vAlign w:val="bottom"/>
          </w:tcPr>
          <w:p w:rsidR="00597461" w:rsidRPr="004537EA" w:rsidRDefault="00597461" w:rsidP="00597461">
            <w:pPr>
              <w:pStyle w:val="TableColHeadings"/>
              <w:rPr>
                <w:rFonts w:asciiTheme="minorHAnsi" w:hAnsiTheme="minorHAnsi" w:cstheme="minorHAnsi"/>
              </w:rPr>
            </w:pPr>
            <w:r>
              <w:rPr>
                <w:rFonts w:asciiTheme="minorHAnsi" w:hAnsiTheme="minorHAnsi" w:cstheme="minorHAnsi"/>
              </w:rPr>
              <w:t>Date</w:t>
            </w:r>
          </w:p>
        </w:tc>
      </w:tr>
      <w:tr w:rsidR="00AC4006" w:rsidRPr="004537EA" w:rsidTr="00597461">
        <w:tc>
          <w:tcPr>
            <w:tcW w:w="3929" w:type="pct"/>
          </w:tcPr>
          <w:p w:rsidR="00AC4006" w:rsidRDefault="00AC4006" w:rsidP="00597461">
            <w:pPr>
              <w:pStyle w:val="CGCTableStub"/>
              <w:rPr>
                <w:rFonts w:cstheme="minorHAnsi"/>
              </w:rPr>
            </w:pPr>
            <w:r>
              <w:rPr>
                <w:rFonts w:cstheme="minorHAnsi"/>
              </w:rPr>
              <w:t>Data working party (DWP) consultation</w:t>
            </w:r>
          </w:p>
        </w:tc>
        <w:tc>
          <w:tcPr>
            <w:tcW w:w="1071" w:type="pct"/>
          </w:tcPr>
          <w:p w:rsidR="00AC4006" w:rsidRDefault="00AC4006" w:rsidP="00597461">
            <w:pPr>
              <w:pStyle w:val="TableRowNormal"/>
              <w:rPr>
                <w:rFonts w:cstheme="minorHAnsi"/>
              </w:rPr>
            </w:pPr>
            <w:r>
              <w:rPr>
                <w:rFonts w:cstheme="minorHAnsi"/>
              </w:rPr>
              <w:t>2011 to 2012</w:t>
            </w:r>
          </w:p>
        </w:tc>
      </w:tr>
      <w:tr w:rsidR="00597461" w:rsidRPr="004537EA" w:rsidTr="00597461">
        <w:tc>
          <w:tcPr>
            <w:tcW w:w="3929" w:type="pct"/>
          </w:tcPr>
          <w:p w:rsidR="00597461" w:rsidRPr="004537EA" w:rsidRDefault="008C4F24" w:rsidP="00597461">
            <w:pPr>
              <w:pStyle w:val="CGCTableStub"/>
              <w:rPr>
                <w:rFonts w:cstheme="minorHAnsi"/>
              </w:rPr>
            </w:pPr>
            <w:r>
              <w:rPr>
                <w:rFonts w:cstheme="minorHAnsi"/>
              </w:rPr>
              <w:t>Terms of reference issued</w:t>
            </w:r>
            <w:r w:rsidR="00597461">
              <w:rPr>
                <w:rFonts w:cstheme="minorHAnsi"/>
              </w:rPr>
              <w:t xml:space="preserve"> by the Treasurer</w:t>
            </w:r>
          </w:p>
        </w:tc>
        <w:tc>
          <w:tcPr>
            <w:tcW w:w="1071" w:type="pct"/>
          </w:tcPr>
          <w:p w:rsidR="00597461" w:rsidRPr="004537EA" w:rsidRDefault="00597461" w:rsidP="00597461">
            <w:pPr>
              <w:pStyle w:val="TableRowNormal"/>
              <w:rPr>
                <w:rFonts w:cstheme="minorHAnsi"/>
              </w:rPr>
            </w:pPr>
            <w:r>
              <w:rPr>
                <w:rFonts w:cstheme="minorHAnsi"/>
              </w:rPr>
              <w:t>21 June 2013</w:t>
            </w:r>
          </w:p>
        </w:tc>
      </w:tr>
      <w:tr w:rsidR="00597461" w:rsidRPr="004537EA" w:rsidTr="00597461">
        <w:tc>
          <w:tcPr>
            <w:tcW w:w="3929" w:type="pct"/>
          </w:tcPr>
          <w:p w:rsidR="00597461" w:rsidRDefault="00597461" w:rsidP="00597461">
            <w:pPr>
              <w:pStyle w:val="CGCTableStub"/>
              <w:rPr>
                <w:rFonts w:cstheme="minorHAnsi"/>
              </w:rPr>
            </w:pPr>
            <w:r>
              <w:rPr>
                <w:rFonts w:cstheme="minorHAnsi"/>
              </w:rPr>
              <w:t xml:space="preserve">Request for State submissions </w:t>
            </w:r>
          </w:p>
        </w:tc>
        <w:tc>
          <w:tcPr>
            <w:tcW w:w="1071" w:type="pct"/>
          </w:tcPr>
          <w:p w:rsidR="00597461" w:rsidRDefault="00597461" w:rsidP="00597461">
            <w:pPr>
              <w:pStyle w:val="TableRowNormal"/>
              <w:rPr>
                <w:rFonts w:cstheme="minorHAnsi"/>
              </w:rPr>
            </w:pPr>
            <w:r>
              <w:rPr>
                <w:rFonts w:cstheme="minorHAnsi"/>
              </w:rPr>
              <w:t>24 June 2013</w:t>
            </w:r>
          </w:p>
        </w:tc>
      </w:tr>
      <w:tr w:rsidR="00597461" w:rsidRPr="004537EA" w:rsidTr="00597461">
        <w:tc>
          <w:tcPr>
            <w:tcW w:w="3929" w:type="pct"/>
          </w:tcPr>
          <w:p w:rsidR="00597461" w:rsidRPr="004537EA" w:rsidRDefault="00597461" w:rsidP="00597461">
            <w:pPr>
              <w:pStyle w:val="CGCTableStub"/>
              <w:rPr>
                <w:rFonts w:cstheme="minorHAnsi"/>
              </w:rPr>
            </w:pPr>
            <w:r>
              <w:rPr>
                <w:rFonts w:cstheme="minorHAnsi"/>
              </w:rPr>
              <w:t>State submissions on terms of reference including priority issues</w:t>
            </w:r>
          </w:p>
        </w:tc>
        <w:tc>
          <w:tcPr>
            <w:tcW w:w="1071" w:type="pct"/>
          </w:tcPr>
          <w:p w:rsidR="00597461" w:rsidRPr="004537EA" w:rsidRDefault="00597461" w:rsidP="00597461">
            <w:pPr>
              <w:pStyle w:val="TableRowNormal"/>
              <w:rPr>
                <w:rFonts w:cstheme="minorHAnsi"/>
              </w:rPr>
            </w:pPr>
            <w:r>
              <w:rPr>
                <w:rFonts w:cstheme="minorHAnsi"/>
              </w:rPr>
              <w:t xml:space="preserve">July and August 2013 </w:t>
            </w:r>
          </w:p>
        </w:tc>
      </w:tr>
      <w:tr w:rsidR="00597461" w:rsidRPr="004537EA" w:rsidTr="00597461">
        <w:tc>
          <w:tcPr>
            <w:tcW w:w="3929" w:type="pct"/>
          </w:tcPr>
          <w:p w:rsidR="00597461" w:rsidRDefault="00597461" w:rsidP="00597461">
            <w:pPr>
              <w:pStyle w:val="CGCTableStub"/>
              <w:rPr>
                <w:rFonts w:cstheme="minorHAnsi"/>
              </w:rPr>
            </w:pPr>
            <w:r>
              <w:rPr>
                <w:rFonts w:cstheme="minorHAnsi"/>
              </w:rPr>
              <w:t>Commission consultation with State Treasurers (bilateral meetings)</w:t>
            </w:r>
          </w:p>
        </w:tc>
        <w:tc>
          <w:tcPr>
            <w:tcW w:w="1071" w:type="pct"/>
          </w:tcPr>
          <w:p w:rsidR="00597461" w:rsidRDefault="00597461" w:rsidP="00597461">
            <w:pPr>
              <w:pStyle w:val="TableRowNormal"/>
              <w:rPr>
                <w:rFonts w:cstheme="minorHAnsi"/>
              </w:rPr>
            </w:pPr>
            <w:r w:rsidRPr="007061A5">
              <w:rPr>
                <w:rFonts w:cstheme="minorHAnsi"/>
              </w:rPr>
              <w:t xml:space="preserve">August </w:t>
            </w:r>
            <w:r>
              <w:rPr>
                <w:rFonts w:cstheme="minorHAnsi"/>
              </w:rPr>
              <w:t>and</w:t>
            </w:r>
            <w:r w:rsidRPr="007061A5">
              <w:rPr>
                <w:rFonts w:cstheme="minorHAnsi"/>
              </w:rPr>
              <w:t xml:space="preserve"> September 2013</w:t>
            </w:r>
          </w:p>
        </w:tc>
      </w:tr>
      <w:tr w:rsidR="00597461" w:rsidRPr="004537EA" w:rsidTr="00597461">
        <w:tc>
          <w:tcPr>
            <w:tcW w:w="3929" w:type="pct"/>
          </w:tcPr>
          <w:p w:rsidR="00597461" w:rsidRDefault="00597461" w:rsidP="00597461">
            <w:pPr>
              <w:pStyle w:val="CGCTableStub"/>
              <w:rPr>
                <w:rFonts w:cstheme="minorHAnsi"/>
              </w:rPr>
            </w:pPr>
            <w:r>
              <w:rPr>
                <w:rFonts w:cstheme="minorHAnsi"/>
              </w:rPr>
              <w:t>Staff consultation with State treasury officers (multilateral meeting)</w:t>
            </w:r>
          </w:p>
        </w:tc>
        <w:tc>
          <w:tcPr>
            <w:tcW w:w="1071" w:type="pct"/>
          </w:tcPr>
          <w:p w:rsidR="00597461" w:rsidRDefault="00597461" w:rsidP="00597461">
            <w:pPr>
              <w:pStyle w:val="TableRowNormal"/>
              <w:rPr>
                <w:rFonts w:cstheme="minorHAnsi"/>
              </w:rPr>
            </w:pPr>
            <w:r>
              <w:rPr>
                <w:rFonts w:cstheme="minorHAnsi"/>
              </w:rPr>
              <w:t>September 2013</w:t>
            </w:r>
          </w:p>
        </w:tc>
      </w:tr>
      <w:tr w:rsidR="00597461" w:rsidRPr="004537EA" w:rsidTr="00597461">
        <w:tc>
          <w:tcPr>
            <w:tcW w:w="3929" w:type="pct"/>
          </w:tcPr>
          <w:p w:rsidR="00597461" w:rsidRPr="004537EA" w:rsidRDefault="00597461" w:rsidP="00597461">
            <w:pPr>
              <w:pStyle w:val="CGCTableStub"/>
              <w:rPr>
                <w:rFonts w:cstheme="minorHAnsi"/>
              </w:rPr>
            </w:pPr>
            <w:r>
              <w:rPr>
                <w:rFonts w:cstheme="minorHAnsi"/>
              </w:rPr>
              <w:t xml:space="preserve">Commission position paper on </w:t>
            </w:r>
            <w:r w:rsidRPr="00BE596F">
              <w:rPr>
                <w:rFonts w:cstheme="minorHAnsi"/>
                <w:i/>
              </w:rPr>
              <w:t>Equalis</w:t>
            </w:r>
            <w:r>
              <w:rPr>
                <w:rFonts w:cstheme="minorHAnsi"/>
                <w:i/>
              </w:rPr>
              <w:t xml:space="preserve">ation objectives and supporting </w:t>
            </w:r>
            <w:r w:rsidRPr="00BE596F">
              <w:rPr>
                <w:rFonts w:cstheme="minorHAnsi"/>
                <w:i/>
              </w:rPr>
              <w:t>principles</w:t>
            </w:r>
            <w:r>
              <w:rPr>
                <w:rFonts w:cstheme="minorHAnsi"/>
              </w:rPr>
              <w:t> (CGC </w:t>
            </w:r>
            <w:r w:rsidRPr="00BE596F">
              <w:rPr>
                <w:rFonts w:cstheme="minorHAnsi"/>
              </w:rPr>
              <w:t>2013-05</w:t>
            </w:r>
            <w:r>
              <w:rPr>
                <w:rFonts w:cstheme="minorHAnsi"/>
              </w:rPr>
              <w:t xml:space="preserve">) and staff discussion papers on </w:t>
            </w:r>
            <w:r w:rsidRPr="00BE596F">
              <w:rPr>
                <w:rFonts w:cstheme="minorHAnsi"/>
                <w:i/>
              </w:rPr>
              <w:t>Implementation and Methodological Issues</w:t>
            </w:r>
            <w:r>
              <w:rPr>
                <w:rFonts w:cstheme="minorHAnsi"/>
              </w:rPr>
              <w:t xml:space="preserve"> (CGC 2013-06</w:t>
            </w:r>
            <w:r w:rsidRPr="00BE596F">
              <w:rPr>
                <w:rFonts w:cstheme="minorHAnsi"/>
              </w:rPr>
              <w:t>S</w:t>
            </w:r>
            <w:r>
              <w:rPr>
                <w:rFonts w:cstheme="minorHAnsi"/>
              </w:rPr>
              <w:t xml:space="preserve">) and </w:t>
            </w:r>
            <w:r w:rsidRPr="00BE596F">
              <w:rPr>
                <w:rFonts w:cstheme="minorHAnsi"/>
                <w:i/>
              </w:rPr>
              <w:t>Proposed assessments</w:t>
            </w:r>
            <w:r>
              <w:rPr>
                <w:rFonts w:cstheme="minorHAnsi"/>
              </w:rPr>
              <w:t xml:space="preserve"> (</w:t>
            </w:r>
            <w:r w:rsidRPr="00BE596F">
              <w:rPr>
                <w:rFonts w:cstheme="minorHAnsi"/>
              </w:rPr>
              <w:t>CGC 2013-07S</w:t>
            </w:r>
            <w:r>
              <w:rPr>
                <w:rFonts w:cstheme="minorHAnsi"/>
              </w:rPr>
              <w:t>)</w:t>
            </w:r>
          </w:p>
        </w:tc>
        <w:tc>
          <w:tcPr>
            <w:tcW w:w="1071" w:type="pct"/>
          </w:tcPr>
          <w:p w:rsidR="00597461" w:rsidRPr="004537EA" w:rsidRDefault="00597461" w:rsidP="00597461">
            <w:pPr>
              <w:pStyle w:val="TableRowNormal"/>
              <w:rPr>
                <w:rFonts w:cstheme="minorHAnsi"/>
              </w:rPr>
            </w:pPr>
            <w:r>
              <w:rPr>
                <w:rFonts w:cstheme="minorHAnsi"/>
              </w:rPr>
              <w:t>October 2013</w:t>
            </w:r>
          </w:p>
        </w:tc>
      </w:tr>
      <w:tr w:rsidR="00597461" w:rsidRPr="004537EA" w:rsidTr="00597461">
        <w:tc>
          <w:tcPr>
            <w:tcW w:w="3929" w:type="pct"/>
          </w:tcPr>
          <w:p w:rsidR="00597461" w:rsidRPr="004537EA" w:rsidRDefault="00597461" w:rsidP="00597461">
            <w:pPr>
              <w:pStyle w:val="CGCTableStub"/>
              <w:rPr>
                <w:rFonts w:cstheme="minorHAnsi"/>
              </w:rPr>
            </w:pPr>
            <w:r>
              <w:rPr>
                <w:rFonts w:cstheme="minorHAnsi"/>
              </w:rPr>
              <w:t>Staff consultation with State treasury officers (bilateral meetings)</w:t>
            </w:r>
          </w:p>
        </w:tc>
        <w:tc>
          <w:tcPr>
            <w:tcW w:w="1071" w:type="pct"/>
          </w:tcPr>
          <w:p w:rsidR="00597461" w:rsidRPr="004537EA" w:rsidRDefault="00597461" w:rsidP="00597461">
            <w:pPr>
              <w:pStyle w:val="TableRowNormal"/>
              <w:rPr>
                <w:rFonts w:cstheme="minorHAnsi"/>
              </w:rPr>
            </w:pPr>
            <w:r>
              <w:rPr>
                <w:rFonts w:cstheme="minorHAnsi"/>
              </w:rPr>
              <w:t>November 2013</w:t>
            </w:r>
          </w:p>
        </w:tc>
      </w:tr>
      <w:tr w:rsidR="00597461" w:rsidRPr="004537EA" w:rsidTr="00597461">
        <w:tc>
          <w:tcPr>
            <w:tcW w:w="3929" w:type="pct"/>
          </w:tcPr>
          <w:p w:rsidR="00597461" w:rsidRPr="004537EA" w:rsidRDefault="00597461" w:rsidP="00597461">
            <w:pPr>
              <w:pStyle w:val="CGCTableStub"/>
              <w:rPr>
                <w:rFonts w:cstheme="minorHAnsi"/>
              </w:rPr>
            </w:pPr>
            <w:r>
              <w:rPr>
                <w:rFonts w:cstheme="minorHAnsi"/>
              </w:rPr>
              <w:t>State submissions in response to Commission position paper and staff discussion papers</w:t>
            </w:r>
          </w:p>
        </w:tc>
        <w:tc>
          <w:tcPr>
            <w:tcW w:w="1071" w:type="pct"/>
          </w:tcPr>
          <w:p w:rsidR="00597461" w:rsidRPr="004537EA" w:rsidRDefault="00597461" w:rsidP="00597461">
            <w:pPr>
              <w:pStyle w:val="TableRowNormal"/>
              <w:rPr>
                <w:rFonts w:cstheme="minorHAnsi"/>
              </w:rPr>
            </w:pPr>
            <w:r>
              <w:rPr>
                <w:rFonts w:cstheme="minorHAnsi"/>
              </w:rPr>
              <w:t>January and February 2014</w:t>
            </w:r>
          </w:p>
        </w:tc>
      </w:tr>
      <w:tr w:rsidR="00597461" w:rsidRPr="004537EA" w:rsidTr="00597461">
        <w:tc>
          <w:tcPr>
            <w:tcW w:w="3929" w:type="pct"/>
          </w:tcPr>
          <w:p w:rsidR="00597461" w:rsidRDefault="00597461" w:rsidP="00597461">
            <w:pPr>
              <w:pStyle w:val="CGCTableStub"/>
              <w:rPr>
                <w:rFonts w:cstheme="minorHAnsi"/>
              </w:rPr>
            </w:pPr>
            <w:r>
              <w:rPr>
                <w:rFonts w:cstheme="minorHAnsi"/>
              </w:rPr>
              <w:t>Staff consultation with State treasury officers (multilateral meeting)</w:t>
            </w:r>
          </w:p>
        </w:tc>
        <w:tc>
          <w:tcPr>
            <w:tcW w:w="1071" w:type="pct"/>
          </w:tcPr>
          <w:p w:rsidR="00597461" w:rsidRDefault="00597461" w:rsidP="00597461">
            <w:pPr>
              <w:pStyle w:val="TableRowNormal"/>
              <w:rPr>
                <w:rFonts w:cstheme="minorHAnsi"/>
              </w:rPr>
            </w:pPr>
            <w:r>
              <w:rPr>
                <w:rFonts w:cstheme="minorHAnsi"/>
              </w:rPr>
              <w:t>April 2014</w:t>
            </w:r>
          </w:p>
        </w:tc>
      </w:tr>
      <w:tr w:rsidR="00597461" w:rsidRPr="004537EA" w:rsidTr="00597461">
        <w:tc>
          <w:tcPr>
            <w:tcW w:w="3929" w:type="pct"/>
          </w:tcPr>
          <w:p w:rsidR="00597461" w:rsidRPr="00210083" w:rsidRDefault="00597461" w:rsidP="00597461">
            <w:pPr>
              <w:pStyle w:val="CGCTableStub"/>
              <w:rPr>
                <w:rFonts w:cstheme="minorHAnsi"/>
              </w:rPr>
            </w:pPr>
            <w:r>
              <w:rPr>
                <w:rFonts w:cstheme="minorHAnsi"/>
              </w:rPr>
              <w:t>Draft report</w:t>
            </w:r>
          </w:p>
        </w:tc>
        <w:tc>
          <w:tcPr>
            <w:tcW w:w="1071" w:type="pct"/>
          </w:tcPr>
          <w:p w:rsidR="00597461" w:rsidRDefault="00597461" w:rsidP="00597461">
            <w:pPr>
              <w:pStyle w:val="TableRowNormal"/>
              <w:rPr>
                <w:rFonts w:cstheme="minorHAnsi"/>
              </w:rPr>
            </w:pPr>
            <w:r>
              <w:rPr>
                <w:rFonts w:cstheme="minorHAnsi"/>
              </w:rPr>
              <w:t>June 2014</w:t>
            </w:r>
          </w:p>
        </w:tc>
      </w:tr>
      <w:tr w:rsidR="00597461" w:rsidRPr="004537EA" w:rsidTr="00597461">
        <w:tc>
          <w:tcPr>
            <w:tcW w:w="3929" w:type="pct"/>
          </w:tcPr>
          <w:p w:rsidR="00597461" w:rsidRPr="004537EA" w:rsidRDefault="00597461" w:rsidP="00597461">
            <w:pPr>
              <w:pStyle w:val="CGCTableStub"/>
              <w:rPr>
                <w:rFonts w:cstheme="minorHAnsi"/>
              </w:rPr>
            </w:pPr>
            <w:r w:rsidRPr="00210083">
              <w:rPr>
                <w:rFonts w:cstheme="minorHAnsi"/>
              </w:rPr>
              <w:t>Update and supplementary issues for the 2015 Review</w:t>
            </w:r>
            <w:r w:rsidR="008C4F24">
              <w:rPr>
                <w:rFonts w:cstheme="minorHAnsi"/>
              </w:rPr>
              <w:t xml:space="preserve"> </w:t>
            </w:r>
            <w:r>
              <w:rPr>
                <w:rFonts w:cstheme="minorHAnsi"/>
              </w:rPr>
              <w:t>released  for comment</w:t>
            </w:r>
          </w:p>
        </w:tc>
        <w:tc>
          <w:tcPr>
            <w:tcW w:w="1071" w:type="pct"/>
          </w:tcPr>
          <w:p w:rsidR="00597461" w:rsidRPr="004537EA" w:rsidRDefault="00597461" w:rsidP="00597461">
            <w:pPr>
              <w:pStyle w:val="TableRowNormal"/>
              <w:rPr>
                <w:rFonts w:cstheme="minorHAnsi"/>
              </w:rPr>
            </w:pPr>
            <w:r>
              <w:rPr>
                <w:rFonts w:cstheme="minorHAnsi"/>
              </w:rPr>
              <w:t>August 2014</w:t>
            </w:r>
          </w:p>
        </w:tc>
      </w:tr>
      <w:tr w:rsidR="00597461" w:rsidRPr="004537EA" w:rsidTr="00597461">
        <w:tc>
          <w:tcPr>
            <w:tcW w:w="3929" w:type="pct"/>
          </w:tcPr>
          <w:p w:rsidR="00597461" w:rsidRPr="004537EA" w:rsidRDefault="00597461" w:rsidP="00597461">
            <w:pPr>
              <w:pStyle w:val="CGCTableStub"/>
              <w:rPr>
                <w:rFonts w:cstheme="minorHAnsi"/>
              </w:rPr>
            </w:pPr>
            <w:r>
              <w:rPr>
                <w:rFonts w:cstheme="minorHAnsi"/>
              </w:rPr>
              <w:t>Staff consultatio</w:t>
            </w:r>
            <w:r w:rsidR="008C4F24">
              <w:rPr>
                <w:rFonts w:cstheme="minorHAnsi"/>
              </w:rPr>
              <w:t xml:space="preserve">n with State treasury officers </w:t>
            </w:r>
            <w:r>
              <w:rPr>
                <w:rFonts w:cstheme="minorHAnsi"/>
              </w:rPr>
              <w:t>(bilateral meetings)</w:t>
            </w:r>
          </w:p>
        </w:tc>
        <w:tc>
          <w:tcPr>
            <w:tcW w:w="1071" w:type="pct"/>
          </w:tcPr>
          <w:p w:rsidR="00597461" w:rsidRPr="004537EA" w:rsidRDefault="00597461" w:rsidP="00597461">
            <w:pPr>
              <w:pStyle w:val="TableRowNormal"/>
              <w:rPr>
                <w:rFonts w:cstheme="minorHAnsi"/>
              </w:rPr>
            </w:pPr>
            <w:r>
              <w:rPr>
                <w:rFonts w:cstheme="minorHAnsi"/>
              </w:rPr>
              <w:t>August and September 2014</w:t>
            </w:r>
          </w:p>
        </w:tc>
      </w:tr>
      <w:tr w:rsidR="00597461" w:rsidRPr="004537EA" w:rsidTr="00597461">
        <w:tc>
          <w:tcPr>
            <w:tcW w:w="3929" w:type="pct"/>
          </w:tcPr>
          <w:p w:rsidR="00597461" w:rsidRDefault="00597461" w:rsidP="00597461">
            <w:pPr>
              <w:pStyle w:val="CGCTableStub"/>
              <w:rPr>
                <w:rFonts w:cstheme="minorHAnsi"/>
              </w:rPr>
            </w:pPr>
            <w:r>
              <w:rPr>
                <w:rFonts w:cstheme="minorHAnsi"/>
              </w:rPr>
              <w:t>St</w:t>
            </w:r>
            <w:r w:rsidR="008C4F24">
              <w:rPr>
                <w:rFonts w:cstheme="minorHAnsi"/>
              </w:rPr>
              <w:t>ate submissions in response to D</w:t>
            </w:r>
            <w:r>
              <w:rPr>
                <w:rFonts w:cstheme="minorHAnsi"/>
              </w:rPr>
              <w:t>raft report (a)</w:t>
            </w:r>
          </w:p>
        </w:tc>
        <w:tc>
          <w:tcPr>
            <w:tcW w:w="1071" w:type="pct"/>
          </w:tcPr>
          <w:p w:rsidR="00597461" w:rsidRDefault="00597461" w:rsidP="00597461">
            <w:pPr>
              <w:pStyle w:val="TableRowNormal"/>
              <w:rPr>
                <w:rFonts w:cstheme="minorHAnsi"/>
              </w:rPr>
            </w:pPr>
            <w:r>
              <w:rPr>
                <w:rFonts w:cstheme="minorHAnsi"/>
              </w:rPr>
              <w:t>October 2014</w:t>
            </w:r>
          </w:p>
        </w:tc>
      </w:tr>
      <w:tr w:rsidR="00597461" w:rsidRPr="004537EA" w:rsidTr="00597461">
        <w:tc>
          <w:tcPr>
            <w:tcW w:w="3929" w:type="pct"/>
          </w:tcPr>
          <w:p w:rsidR="00597461" w:rsidRDefault="00597461" w:rsidP="00597461">
            <w:pPr>
              <w:pStyle w:val="CGCTableStub"/>
              <w:rPr>
                <w:rFonts w:cstheme="minorHAnsi"/>
              </w:rPr>
            </w:pPr>
            <w:r>
              <w:rPr>
                <w:rFonts w:cstheme="minorHAnsi"/>
              </w:rPr>
              <w:t xml:space="preserve">Commission position paper on </w:t>
            </w:r>
            <w:r w:rsidR="008C4F24">
              <w:rPr>
                <w:rFonts w:cstheme="minorHAnsi"/>
                <w:i/>
              </w:rPr>
              <w:t>Significant Changes Since the Draft R</w:t>
            </w:r>
            <w:r w:rsidRPr="007061A5">
              <w:rPr>
                <w:rFonts w:cstheme="minorHAnsi"/>
                <w:i/>
              </w:rPr>
              <w:t>eport</w:t>
            </w:r>
            <w:r>
              <w:rPr>
                <w:rFonts w:cstheme="minorHAnsi"/>
              </w:rPr>
              <w:t xml:space="preserve"> </w:t>
            </w:r>
          </w:p>
        </w:tc>
        <w:tc>
          <w:tcPr>
            <w:tcW w:w="1071" w:type="pct"/>
          </w:tcPr>
          <w:p w:rsidR="00597461" w:rsidRDefault="00597461" w:rsidP="00597461">
            <w:pPr>
              <w:pStyle w:val="TableRowNormal"/>
              <w:rPr>
                <w:rFonts w:cstheme="minorHAnsi"/>
              </w:rPr>
            </w:pPr>
            <w:r>
              <w:rPr>
                <w:rFonts w:cstheme="minorHAnsi"/>
              </w:rPr>
              <w:t>November 2014</w:t>
            </w:r>
          </w:p>
        </w:tc>
      </w:tr>
      <w:tr w:rsidR="00597461" w:rsidRPr="004537EA" w:rsidTr="00597461">
        <w:tc>
          <w:tcPr>
            <w:tcW w:w="3929" w:type="pct"/>
          </w:tcPr>
          <w:p w:rsidR="00597461" w:rsidRDefault="00597461" w:rsidP="00597461">
            <w:pPr>
              <w:pStyle w:val="CGCTableStub"/>
              <w:rPr>
                <w:rFonts w:cstheme="minorHAnsi"/>
              </w:rPr>
            </w:pPr>
            <w:r>
              <w:rPr>
                <w:rFonts w:cstheme="minorHAnsi"/>
              </w:rPr>
              <w:t xml:space="preserve">Commission consultation with State </w:t>
            </w:r>
            <w:r w:rsidR="003E22A6">
              <w:rPr>
                <w:rFonts w:cstheme="minorHAnsi"/>
              </w:rPr>
              <w:t xml:space="preserve">Under </w:t>
            </w:r>
            <w:r>
              <w:rPr>
                <w:rFonts w:cstheme="minorHAnsi"/>
              </w:rPr>
              <w:t>Treasurers (bilateral meetings)</w:t>
            </w:r>
          </w:p>
        </w:tc>
        <w:tc>
          <w:tcPr>
            <w:tcW w:w="1071" w:type="pct"/>
          </w:tcPr>
          <w:p w:rsidR="00597461" w:rsidRDefault="00597461" w:rsidP="00597461">
            <w:pPr>
              <w:pStyle w:val="TableRowNormal"/>
              <w:rPr>
                <w:rFonts w:cstheme="minorHAnsi"/>
              </w:rPr>
            </w:pPr>
            <w:r>
              <w:rPr>
                <w:rFonts w:cstheme="minorHAnsi"/>
              </w:rPr>
              <w:t>October to December 2014</w:t>
            </w:r>
          </w:p>
        </w:tc>
      </w:tr>
      <w:tr w:rsidR="00597461" w:rsidRPr="004537EA" w:rsidTr="00597461">
        <w:tc>
          <w:tcPr>
            <w:tcW w:w="3929" w:type="pct"/>
          </w:tcPr>
          <w:p w:rsidR="00597461" w:rsidRDefault="00597461" w:rsidP="008C4F24">
            <w:pPr>
              <w:pStyle w:val="CGCTableStub"/>
              <w:rPr>
                <w:rFonts w:cstheme="minorHAnsi"/>
              </w:rPr>
            </w:pPr>
            <w:r>
              <w:rPr>
                <w:rFonts w:cstheme="minorHAnsi"/>
              </w:rPr>
              <w:t xml:space="preserve">State submissions in response </w:t>
            </w:r>
            <w:r w:rsidR="008C4F24">
              <w:rPr>
                <w:rFonts w:cstheme="minorHAnsi"/>
              </w:rPr>
              <w:t>to</w:t>
            </w:r>
            <w:r>
              <w:rPr>
                <w:rFonts w:cstheme="minorHAnsi"/>
              </w:rPr>
              <w:t xml:space="preserve"> </w:t>
            </w:r>
            <w:r w:rsidR="008C4F24" w:rsidRPr="008C4F24">
              <w:rPr>
                <w:rFonts w:cstheme="minorHAnsi"/>
                <w:i/>
              </w:rPr>
              <w:t>Significant Changes Since the Draft R</w:t>
            </w:r>
            <w:r w:rsidRPr="008C4F24">
              <w:rPr>
                <w:rFonts w:cstheme="minorHAnsi"/>
                <w:i/>
              </w:rPr>
              <w:t>eport</w:t>
            </w:r>
            <w:r>
              <w:rPr>
                <w:rFonts w:cstheme="minorHAnsi"/>
              </w:rPr>
              <w:t xml:space="preserve"> (a)</w:t>
            </w:r>
          </w:p>
        </w:tc>
        <w:tc>
          <w:tcPr>
            <w:tcW w:w="1071" w:type="pct"/>
          </w:tcPr>
          <w:p w:rsidR="00597461" w:rsidRDefault="00597461" w:rsidP="00597461">
            <w:pPr>
              <w:pStyle w:val="TableRowNormal"/>
              <w:rPr>
                <w:rFonts w:cstheme="minorHAnsi"/>
              </w:rPr>
            </w:pPr>
            <w:r>
              <w:rPr>
                <w:rFonts w:cstheme="minorHAnsi"/>
              </w:rPr>
              <w:t>December 2014</w:t>
            </w:r>
          </w:p>
        </w:tc>
      </w:tr>
      <w:tr w:rsidR="00597461" w:rsidRPr="004537EA" w:rsidTr="00597461">
        <w:tc>
          <w:tcPr>
            <w:tcW w:w="3929" w:type="pct"/>
          </w:tcPr>
          <w:p w:rsidR="00597461" w:rsidRPr="004537EA" w:rsidRDefault="00597461" w:rsidP="00597461">
            <w:pPr>
              <w:pStyle w:val="CGCTableStub"/>
              <w:rPr>
                <w:rFonts w:cstheme="minorHAnsi"/>
              </w:rPr>
            </w:pPr>
            <w:r>
              <w:rPr>
                <w:rFonts w:cstheme="minorHAnsi"/>
              </w:rPr>
              <w:t>Supplementary terms of reference</w:t>
            </w:r>
            <w:r w:rsidR="008C4F24">
              <w:rPr>
                <w:rFonts w:cstheme="minorHAnsi"/>
              </w:rPr>
              <w:t xml:space="preserve"> issued</w:t>
            </w:r>
          </w:p>
        </w:tc>
        <w:tc>
          <w:tcPr>
            <w:tcW w:w="1071" w:type="pct"/>
          </w:tcPr>
          <w:p w:rsidR="00597461" w:rsidRPr="004537EA" w:rsidRDefault="00597461" w:rsidP="00597461">
            <w:pPr>
              <w:pStyle w:val="TableRowNormal"/>
              <w:rPr>
                <w:rFonts w:cstheme="minorHAnsi"/>
              </w:rPr>
            </w:pPr>
            <w:r>
              <w:rPr>
                <w:rFonts w:cstheme="minorHAnsi"/>
              </w:rPr>
              <w:t>19 December 2014</w:t>
            </w:r>
          </w:p>
        </w:tc>
      </w:tr>
      <w:tr w:rsidR="00597461" w:rsidRPr="004537EA" w:rsidTr="00597461">
        <w:tc>
          <w:tcPr>
            <w:tcW w:w="3929" w:type="pct"/>
            <w:tcBorders>
              <w:bottom w:val="single" w:sz="6" w:space="0" w:color="auto"/>
            </w:tcBorders>
          </w:tcPr>
          <w:p w:rsidR="00597461" w:rsidRDefault="00597461" w:rsidP="00597461">
            <w:pPr>
              <w:pStyle w:val="CGCTableStub"/>
              <w:rPr>
                <w:rFonts w:cstheme="minorHAnsi"/>
              </w:rPr>
            </w:pPr>
            <w:r>
              <w:rPr>
                <w:rFonts w:cstheme="minorHAnsi"/>
              </w:rPr>
              <w:t>Final report to Treasurer</w:t>
            </w:r>
          </w:p>
        </w:tc>
        <w:tc>
          <w:tcPr>
            <w:tcW w:w="1071" w:type="pct"/>
            <w:tcBorders>
              <w:bottom w:val="single" w:sz="6" w:space="0" w:color="auto"/>
            </w:tcBorders>
          </w:tcPr>
          <w:p w:rsidR="00597461" w:rsidRDefault="00597461" w:rsidP="008C4F24">
            <w:pPr>
              <w:pStyle w:val="TableRowNormal"/>
              <w:rPr>
                <w:rFonts w:cstheme="minorHAnsi"/>
              </w:rPr>
            </w:pPr>
            <w:r>
              <w:rPr>
                <w:rFonts w:cstheme="minorHAnsi"/>
              </w:rPr>
              <w:t>2</w:t>
            </w:r>
            <w:r w:rsidR="008C4F24">
              <w:rPr>
                <w:rFonts w:cstheme="minorHAnsi"/>
              </w:rPr>
              <w:t>7</w:t>
            </w:r>
            <w:r>
              <w:rPr>
                <w:rFonts w:cstheme="minorHAnsi"/>
              </w:rPr>
              <w:t xml:space="preserve"> February 2015 </w:t>
            </w:r>
          </w:p>
        </w:tc>
      </w:tr>
    </w:tbl>
    <w:p w:rsidR="00597461" w:rsidRDefault="00597461" w:rsidP="00597461">
      <w:pPr>
        <w:pStyle w:val="CGCTableFootnote"/>
      </w:pPr>
      <w:r w:rsidRPr="00783305">
        <w:t>(a)</w:t>
      </w:r>
      <w:r w:rsidRPr="00783305">
        <w:tab/>
        <w:t xml:space="preserve">All State submissions are available on the </w:t>
      </w:r>
      <w:hyperlink r:id="rId36" w:history="1">
        <w:r w:rsidR="002A3AC6" w:rsidRPr="002A3AC6">
          <w:rPr>
            <w:rStyle w:val="Hyperlink"/>
          </w:rPr>
          <w:t>Commission’s website</w:t>
        </w:r>
      </w:hyperlink>
      <w:r w:rsidR="002A3AC6">
        <w:t xml:space="preserve"> (</w:t>
      </w:r>
      <w:r w:rsidR="002A3AC6" w:rsidRPr="002A3AC6">
        <w:t>https://cgc.gov.au/</w:t>
      </w:r>
      <w:r w:rsidR="002A3AC6">
        <w:t>)</w:t>
      </w:r>
      <w:r>
        <w:t>.</w:t>
      </w:r>
    </w:p>
    <w:p w:rsidR="00597461" w:rsidRDefault="00597461" w:rsidP="00597461">
      <w:pPr>
        <w:pStyle w:val="CGCNumberedPara"/>
      </w:pPr>
      <w:r>
        <w:t xml:space="preserve">Consultation is an important aspect of Commission processes. During the shortened review period, the Commission held bilateral meetings with State </w:t>
      </w:r>
      <w:r w:rsidR="003E22A6">
        <w:t>Treasurers in August and September 2013</w:t>
      </w:r>
      <w:r w:rsidR="00BF108F">
        <w:t xml:space="preserve"> </w:t>
      </w:r>
      <w:r>
        <w:t xml:space="preserve">after the Commission had received opening State submissions. Records of these meetings are available on the </w:t>
      </w:r>
      <w:hyperlink r:id="rId37" w:history="1">
        <w:r w:rsidR="002A3AC6" w:rsidRPr="002A3AC6">
          <w:rPr>
            <w:rStyle w:val="Hyperlink"/>
          </w:rPr>
          <w:t>Commission’s website</w:t>
        </w:r>
      </w:hyperlink>
      <w:r w:rsidR="002A3AC6">
        <w:t xml:space="preserve"> (</w:t>
      </w:r>
      <w:r w:rsidR="002A3AC6" w:rsidRPr="002A3AC6">
        <w:t>https://cgc.gov.au/</w:t>
      </w:r>
      <w:r w:rsidR="002A3AC6">
        <w:t>)</w:t>
      </w:r>
      <w:r>
        <w:t xml:space="preserve">. </w:t>
      </w:r>
      <w:r w:rsidR="003E22A6">
        <w:t xml:space="preserve">The Commission conducted a further round of </w:t>
      </w:r>
      <w:r>
        <w:t xml:space="preserve">bilateral meetings with State </w:t>
      </w:r>
      <w:proofErr w:type="gramStart"/>
      <w:r w:rsidR="003E22A6">
        <w:t>Under</w:t>
      </w:r>
      <w:proofErr w:type="gramEnd"/>
      <w:r w:rsidR="003E22A6">
        <w:t xml:space="preserve"> Treasurers between October and December 2014 </w:t>
      </w:r>
      <w:r>
        <w:t xml:space="preserve">following the release of the draft report. </w:t>
      </w:r>
    </w:p>
    <w:p w:rsidR="00597461" w:rsidRDefault="00597461" w:rsidP="00597461">
      <w:pPr>
        <w:pStyle w:val="CGCNumberedPara"/>
      </w:pPr>
      <w:r>
        <w:t>In addition to the formal consultation process, Commission staff consulted States on a range of technical issues and responded to State queries as required.</w:t>
      </w:r>
    </w:p>
    <w:p w:rsidR="00597461" w:rsidRDefault="00597461" w:rsidP="00597461">
      <w:pPr>
        <w:pStyle w:val="Heading3"/>
      </w:pPr>
      <w:r>
        <w:lastRenderedPageBreak/>
        <w:t>Discussion papers</w:t>
      </w:r>
    </w:p>
    <w:p w:rsidR="00597461" w:rsidRDefault="00597461" w:rsidP="00597461">
      <w:pPr>
        <w:pStyle w:val="CGCNumberedPara"/>
      </w:pPr>
      <w:r>
        <w:t xml:space="preserve">During the review, the Commission circulated several discussion papers to help facilitate consultation. These papers are listed in </w:t>
      </w:r>
      <w:r>
        <w:fldChar w:fldCharType="begin"/>
      </w:r>
      <w:r>
        <w:instrText xml:space="preserve"> REF _Ref410641046 \h </w:instrText>
      </w:r>
      <w:r>
        <w:fldChar w:fldCharType="separate"/>
      </w:r>
      <w:r w:rsidR="007B6A4C">
        <w:t xml:space="preserve">Table </w:t>
      </w:r>
      <w:r w:rsidR="007B6A4C">
        <w:rPr>
          <w:noProof/>
        </w:rPr>
        <w:t>2</w:t>
      </w:r>
      <w:r>
        <w:fldChar w:fldCharType="end"/>
      </w:r>
      <w:r>
        <w:t>.</w:t>
      </w:r>
    </w:p>
    <w:p w:rsidR="00597461" w:rsidRDefault="0004120A" w:rsidP="00597461">
      <w:pPr>
        <w:pStyle w:val="Caption"/>
      </w:pPr>
      <w:bookmarkStart w:id="51" w:name="_Ref410641046"/>
      <w:r>
        <w:t xml:space="preserve">Table </w:t>
      </w:r>
      <w:fldSimple w:instr=" SEQ Table \* ARABIC ">
        <w:r w:rsidR="007B6A4C">
          <w:rPr>
            <w:noProof/>
          </w:rPr>
          <w:t>2</w:t>
        </w:r>
      </w:fldSimple>
      <w:bookmarkEnd w:id="51"/>
      <w:r w:rsidR="00597461">
        <w:tab/>
        <w:t>Position papers and discussion papers</w:t>
      </w:r>
    </w:p>
    <w:tbl>
      <w:tblPr>
        <w:tblW w:w="5000" w:type="pct"/>
        <w:tblCellMar>
          <w:left w:w="85" w:type="dxa"/>
          <w:right w:w="85" w:type="dxa"/>
        </w:tblCellMar>
        <w:tblLook w:val="0000" w:firstRow="0" w:lastRow="0" w:firstColumn="0" w:lastColumn="0" w:noHBand="0" w:noVBand="0"/>
      </w:tblPr>
      <w:tblGrid>
        <w:gridCol w:w="2636"/>
        <w:gridCol w:w="6492"/>
      </w:tblGrid>
      <w:tr w:rsidR="00597461" w:rsidRPr="004537EA" w:rsidTr="00597461">
        <w:tc>
          <w:tcPr>
            <w:tcW w:w="1444" w:type="pct"/>
            <w:tcBorders>
              <w:top w:val="single" w:sz="4" w:space="0" w:color="auto"/>
            </w:tcBorders>
            <w:vAlign w:val="bottom"/>
          </w:tcPr>
          <w:p w:rsidR="00597461" w:rsidRPr="000B52F1" w:rsidRDefault="00597461" w:rsidP="00597461">
            <w:pPr>
              <w:pStyle w:val="TableColHeadings"/>
              <w:jc w:val="left"/>
              <w:rPr>
                <w:rFonts w:asciiTheme="minorHAnsi" w:hAnsiTheme="minorHAnsi" w:cstheme="minorHAnsi"/>
                <w:b/>
              </w:rPr>
            </w:pPr>
            <w:r w:rsidRPr="000B52F1">
              <w:rPr>
                <w:rFonts w:asciiTheme="minorHAnsi" w:hAnsiTheme="minorHAnsi" w:cstheme="minorHAnsi"/>
                <w:b/>
              </w:rPr>
              <w:t xml:space="preserve">Commission </w:t>
            </w:r>
            <w:r>
              <w:rPr>
                <w:rFonts w:asciiTheme="minorHAnsi" w:hAnsiTheme="minorHAnsi" w:cstheme="minorHAnsi"/>
                <w:b/>
              </w:rPr>
              <w:t xml:space="preserve">position </w:t>
            </w:r>
            <w:r w:rsidRPr="000B52F1">
              <w:rPr>
                <w:rFonts w:asciiTheme="minorHAnsi" w:hAnsiTheme="minorHAnsi" w:cstheme="minorHAnsi"/>
                <w:b/>
              </w:rPr>
              <w:t>papers</w:t>
            </w:r>
          </w:p>
        </w:tc>
        <w:tc>
          <w:tcPr>
            <w:tcW w:w="3556" w:type="pct"/>
            <w:tcBorders>
              <w:top w:val="single" w:sz="4" w:space="0" w:color="auto"/>
            </w:tcBorders>
            <w:vAlign w:val="bottom"/>
          </w:tcPr>
          <w:p w:rsidR="00597461" w:rsidRPr="004537EA" w:rsidRDefault="00597461" w:rsidP="00597461">
            <w:pPr>
              <w:pStyle w:val="TableColHeadings"/>
              <w:rPr>
                <w:rFonts w:asciiTheme="minorHAnsi" w:hAnsiTheme="minorHAnsi" w:cstheme="minorHAnsi"/>
              </w:rPr>
            </w:pPr>
          </w:p>
        </w:tc>
      </w:tr>
      <w:tr w:rsidR="00597461" w:rsidRPr="004537EA" w:rsidTr="00597461">
        <w:tc>
          <w:tcPr>
            <w:tcW w:w="1444" w:type="pct"/>
            <w:vAlign w:val="bottom"/>
          </w:tcPr>
          <w:p w:rsidR="00597461" w:rsidRPr="004537EA" w:rsidRDefault="00597461" w:rsidP="00597461">
            <w:pPr>
              <w:pStyle w:val="CGCTableStub"/>
              <w:rPr>
                <w:rFonts w:cstheme="minorHAnsi"/>
              </w:rPr>
            </w:pPr>
            <w:r>
              <w:rPr>
                <w:rFonts w:cstheme="minorHAnsi"/>
              </w:rPr>
              <w:t>CGC </w:t>
            </w:r>
            <w:r w:rsidRPr="00BE596F">
              <w:rPr>
                <w:rFonts w:cstheme="minorHAnsi"/>
              </w:rPr>
              <w:t>2013-05</w:t>
            </w:r>
          </w:p>
        </w:tc>
        <w:tc>
          <w:tcPr>
            <w:tcW w:w="3556" w:type="pct"/>
            <w:vAlign w:val="bottom"/>
          </w:tcPr>
          <w:p w:rsidR="00597461" w:rsidRPr="00F26F33" w:rsidRDefault="00597461" w:rsidP="00597461">
            <w:pPr>
              <w:pStyle w:val="CGCTableStub"/>
              <w:rPr>
                <w:rFonts w:cstheme="minorHAnsi"/>
              </w:rPr>
            </w:pPr>
            <w:r w:rsidRPr="00F26F33">
              <w:rPr>
                <w:rFonts w:cstheme="minorHAnsi"/>
              </w:rPr>
              <w:t>Equalisation objectives and supporting principles </w:t>
            </w:r>
          </w:p>
        </w:tc>
      </w:tr>
      <w:tr w:rsidR="00597461" w:rsidRPr="004537EA" w:rsidTr="00597461">
        <w:tc>
          <w:tcPr>
            <w:tcW w:w="1444" w:type="pct"/>
            <w:vAlign w:val="bottom"/>
          </w:tcPr>
          <w:p w:rsidR="00597461" w:rsidRDefault="00597461" w:rsidP="00597461">
            <w:pPr>
              <w:pStyle w:val="CGCTableStub"/>
              <w:rPr>
                <w:rFonts w:cstheme="minorHAnsi"/>
              </w:rPr>
            </w:pPr>
            <w:r>
              <w:rPr>
                <w:rFonts w:cstheme="minorHAnsi"/>
              </w:rPr>
              <w:t>Draft report</w:t>
            </w:r>
          </w:p>
        </w:tc>
        <w:tc>
          <w:tcPr>
            <w:tcW w:w="3556" w:type="pct"/>
            <w:vAlign w:val="bottom"/>
          </w:tcPr>
          <w:p w:rsidR="00597461" w:rsidRPr="00F26F33" w:rsidRDefault="00597461" w:rsidP="00597461">
            <w:pPr>
              <w:pStyle w:val="CGCTableStub"/>
              <w:rPr>
                <w:rFonts w:cstheme="minorHAnsi"/>
              </w:rPr>
            </w:pPr>
          </w:p>
        </w:tc>
      </w:tr>
      <w:tr w:rsidR="00597461" w:rsidRPr="004537EA" w:rsidTr="00597461">
        <w:tc>
          <w:tcPr>
            <w:tcW w:w="1444" w:type="pct"/>
            <w:vAlign w:val="bottom"/>
          </w:tcPr>
          <w:p w:rsidR="00597461" w:rsidRDefault="00597461" w:rsidP="00597461">
            <w:pPr>
              <w:pStyle w:val="CGCTableStub"/>
              <w:rPr>
                <w:rFonts w:cstheme="minorHAnsi"/>
              </w:rPr>
            </w:pPr>
            <w:r w:rsidRPr="000B52F1">
              <w:rPr>
                <w:rFonts w:cstheme="minorHAnsi"/>
              </w:rPr>
              <w:t>CGC 2014-04</w:t>
            </w:r>
          </w:p>
        </w:tc>
        <w:tc>
          <w:tcPr>
            <w:tcW w:w="3556" w:type="pct"/>
            <w:vAlign w:val="bottom"/>
          </w:tcPr>
          <w:p w:rsidR="00597461" w:rsidRDefault="00597461" w:rsidP="00597461">
            <w:pPr>
              <w:pStyle w:val="CGCTableStub"/>
              <w:rPr>
                <w:rFonts w:cstheme="minorHAnsi"/>
              </w:rPr>
            </w:pPr>
            <w:r>
              <w:rPr>
                <w:rFonts w:cstheme="minorHAnsi"/>
              </w:rPr>
              <w:t>Significant changes since the draft report</w:t>
            </w:r>
          </w:p>
        </w:tc>
      </w:tr>
      <w:tr w:rsidR="00597461" w:rsidRPr="004537EA" w:rsidTr="00597461">
        <w:tc>
          <w:tcPr>
            <w:tcW w:w="1444" w:type="pct"/>
            <w:vAlign w:val="bottom"/>
          </w:tcPr>
          <w:p w:rsidR="00597461" w:rsidRDefault="00597461" w:rsidP="00597461">
            <w:pPr>
              <w:pStyle w:val="CGCTableStub"/>
              <w:rPr>
                <w:rFonts w:cstheme="minorHAnsi"/>
              </w:rPr>
            </w:pPr>
            <w:r>
              <w:rPr>
                <w:rFonts w:cstheme="minorHAnsi"/>
              </w:rPr>
              <w:t>Final report</w:t>
            </w:r>
          </w:p>
        </w:tc>
        <w:tc>
          <w:tcPr>
            <w:tcW w:w="3556" w:type="pct"/>
            <w:vAlign w:val="bottom"/>
          </w:tcPr>
          <w:p w:rsidR="00597461" w:rsidRDefault="00597461" w:rsidP="00597461">
            <w:pPr>
              <w:pStyle w:val="CGCTableStub"/>
              <w:rPr>
                <w:rFonts w:cstheme="minorHAnsi"/>
              </w:rPr>
            </w:pPr>
          </w:p>
        </w:tc>
      </w:tr>
      <w:tr w:rsidR="00597461" w:rsidRPr="004537EA" w:rsidTr="00597461">
        <w:tc>
          <w:tcPr>
            <w:tcW w:w="1444" w:type="pct"/>
            <w:vAlign w:val="bottom"/>
          </w:tcPr>
          <w:p w:rsidR="00597461" w:rsidRPr="000B52F1" w:rsidRDefault="00597461" w:rsidP="00597461">
            <w:pPr>
              <w:pStyle w:val="CGCTableStub"/>
              <w:rPr>
                <w:rFonts w:cstheme="minorHAnsi"/>
                <w:b/>
              </w:rPr>
            </w:pPr>
            <w:r w:rsidRPr="000B52F1">
              <w:rPr>
                <w:rFonts w:cstheme="minorHAnsi"/>
                <w:b/>
              </w:rPr>
              <w:t xml:space="preserve">Staff </w:t>
            </w:r>
            <w:r>
              <w:rPr>
                <w:rFonts w:cstheme="minorHAnsi"/>
                <w:b/>
              </w:rPr>
              <w:t xml:space="preserve">discussion </w:t>
            </w:r>
            <w:r w:rsidRPr="000B52F1">
              <w:rPr>
                <w:rFonts w:cstheme="minorHAnsi"/>
                <w:b/>
              </w:rPr>
              <w:t>papers</w:t>
            </w:r>
          </w:p>
        </w:tc>
        <w:tc>
          <w:tcPr>
            <w:tcW w:w="3556" w:type="pct"/>
            <w:vAlign w:val="bottom"/>
          </w:tcPr>
          <w:p w:rsidR="00597461" w:rsidRPr="004537EA" w:rsidRDefault="00597461" w:rsidP="00597461">
            <w:pPr>
              <w:pStyle w:val="CGCTableStub"/>
              <w:rPr>
                <w:rFonts w:cstheme="minorHAnsi"/>
              </w:rPr>
            </w:pPr>
          </w:p>
        </w:tc>
      </w:tr>
      <w:tr w:rsidR="00597461" w:rsidRPr="004537EA" w:rsidTr="00597461">
        <w:tc>
          <w:tcPr>
            <w:tcW w:w="1444" w:type="pct"/>
            <w:vAlign w:val="bottom"/>
          </w:tcPr>
          <w:p w:rsidR="00597461" w:rsidRPr="00E0027D" w:rsidRDefault="00597461" w:rsidP="00597461">
            <w:pPr>
              <w:pStyle w:val="CGCTableStub"/>
              <w:rPr>
                <w:rFonts w:cstheme="minorHAnsi"/>
              </w:rPr>
            </w:pPr>
            <w:r>
              <w:rPr>
                <w:rFonts w:cstheme="minorHAnsi"/>
              </w:rPr>
              <w:t>CGC 2011-01 to CGC 2011-17</w:t>
            </w:r>
          </w:p>
        </w:tc>
        <w:tc>
          <w:tcPr>
            <w:tcW w:w="3556" w:type="pct"/>
            <w:vAlign w:val="bottom"/>
          </w:tcPr>
          <w:p w:rsidR="00597461" w:rsidRPr="00E0027D" w:rsidRDefault="00597461" w:rsidP="00597461">
            <w:pPr>
              <w:pStyle w:val="CGCTableStub"/>
              <w:rPr>
                <w:rFonts w:cstheme="minorHAnsi"/>
              </w:rPr>
            </w:pPr>
            <w:r w:rsidRPr="007613BC">
              <w:rPr>
                <w:rFonts w:cstheme="minorHAnsi"/>
              </w:rPr>
              <w:t>Data working party discussion paper</w:t>
            </w:r>
            <w:r>
              <w:rPr>
                <w:rFonts w:cstheme="minorHAnsi"/>
              </w:rPr>
              <w:t>s</w:t>
            </w:r>
            <w:r w:rsidRPr="007613BC">
              <w:rPr>
                <w:rFonts w:cstheme="minorHAnsi"/>
              </w:rPr>
              <w:t xml:space="preserve"> </w:t>
            </w:r>
          </w:p>
        </w:tc>
      </w:tr>
      <w:tr w:rsidR="00597461" w:rsidRPr="004537EA" w:rsidTr="00597461">
        <w:tc>
          <w:tcPr>
            <w:tcW w:w="1444" w:type="pct"/>
            <w:vAlign w:val="bottom"/>
          </w:tcPr>
          <w:p w:rsidR="00597461" w:rsidRPr="00E0027D" w:rsidRDefault="00597461" w:rsidP="00597461">
            <w:pPr>
              <w:pStyle w:val="CGCTableStub"/>
              <w:rPr>
                <w:rFonts w:cstheme="minorHAnsi"/>
              </w:rPr>
            </w:pPr>
            <w:r>
              <w:rPr>
                <w:rFonts w:cstheme="minorHAnsi"/>
              </w:rPr>
              <w:t>CGC 2012-01</w:t>
            </w:r>
          </w:p>
        </w:tc>
        <w:tc>
          <w:tcPr>
            <w:tcW w:w="3556" w:type="pct"/>
            <w:vAlign w:val="bottom"/>
          </w:tcPr>
          <w:p w:rsidR="00597461" w:rsidRPr="00E0027D" w:rsidRDefault="00597461" w:rsidP="00597461">
            <w:pPr>
              <w:pStyle w:val="CGCTableStub"/>
              <w:rPr>
                <w:rFonts w:cstheme="minorHAnsi"/>
              </w:rPr>
            </w:pPr>
            <w:r>
              <w:rPr>
                <w:rFonts w:cstheme="minorHAnsi"/>
              </w:rPr>
              <w:t>Data working party discussion paper — progress and proposals</w:t>
            </w:r>
          </w:p>
        </w:tc>
      </w:tr>
      <w:tr w:rsidR="00597461" w:rsidRPr="004537EA" w:rsidTr="00597461">
        <w:tc>
          <w:tcPr>
            <w:tcW w:w="1444" w:type="pct"/>
            <w:vAlign w:val="bottom"/>
          </w:tcPr>
          <w:p w:rsidR="00597461" w:rsidRPr="00E0027D" w:rsidRDefault="00597461" w:rsidP="00597461">
            <w:pPr>
              <w:pStyle w:val="CGCTableStub"/>
              <w:rPr>
                <w:rFonts w:cstheme="minorHAnsi"/>
              </w:rPr>
            </w:pPr>
            <w:r>
              <w:rPr>
                <w:rFonts w:cstheme="minorHAnsi"/>
              </w:rPr>
              <w:t>CGC 2012-03</w:t>
            </w:r>
          </w:p>
        </w:tc>
        <w:tc>
          <w:tcPr>
            <w:tcW w:w="3556" w:type="pct"/>
            <w:vAlign w:val="bottom"/>
          </w:tcPr>
          <w:p w:rsidR="00597461" w:rsidRPr="00E0027D" w:rsidRDefault="00597461" w:rsidP="00597461">
            <w:pPr>
              <w:pStyle w:val="CGCTableStub"/>
              <w:rPr>
                <w:rFonts w:cstheme="minorHAnsi"/>
              </w:rPr>
            </w:pPr>
            <w:r>
              <w:rPr>
                <w:rFonts w:cstheme="minorHAnsi"/>
              </w:rPr>
              <w:t>Measuring socio-economic status</w:t>
            </w:r>
          </w:p>
        </w:tc>
      </w:tr>
      <w:tr w:rsidR="00597461" w:rsidRPr="004537EA" w:rsidTr="00597461">
        <w:tc>
          <w:tcPr>
            <w:tcW w:w="1444" w:type="pct"/>
            <w:vAlign w:val="bottom"/>
          </w:tcPr>
          <w:p w:rsidR="00597461" w:rsidRPr="00E0027D" w:rsidRDefault="00597461" w:rsidP="00597461">
            <w:pPr>
              <w:pStyle w:val="CGCTableStub"/>
              <w:rPr>
                <w:rFonts w:cstheme="minorHAnsi"/>
              </w:rPr>
            </w:pPr>
            <w:r>
              <w:rPr>
                <w:rFonts w:cstheme="minorHAnsi"/>
              </w:rPr>
              <w:t>CGC 2012-04</w:t>
            </w:r>
          </w:p>
        </w:tc>
        <w:tc>
          <w:tcPr>
            <w:tcW w:w="3556" w:type="pct"/>
            <w:vAlign w:val="bottom"/>
          </w:tcPr>
          <w:p w:rsidR="00597461" w:rsidRPr="00E0027D" w:rsidRDefault="00597461" w:rsidP="00597461">
            <w:pPr>
              <w:pStyle w:val="CGCTableStub"/>
              <w:rPr>
                <w:rFonts w:cstheme="minorHAnsi"/>
              </w:rPr>
            </w:pPr>
            <w:r>
              <w:rPr>
                <w:rFonts w:cstheme="minorHAnsi"/>
              </w:rPr>
              <w:t>Relative Indigenous disadvantage</w:t>
            </w:r>
          </w:p>
        </w:tc>
      </w:tr>
      <w:tr w:rsidR="00597461" w:rsidRPr="004537EA" w:rsidTr="00597461">
        <w:tc>
          <w:tcPr>
            <w:tcW w:w="1444" w:type="pct"/>
            <w:vAlign w:val="bottom"/>
          </w:tcPr>
          <w:p w:rsidR="00597461" w:rsidRPr="00F26F33" w:rsidRDefault="00597461" w:rsidP="00597461">
            <w:pPr>
              <w:pStyle w:val="CGCTableStub"/>
              <w:rPr>
                <w:rFonts w:cstheme="minorHAnsi"/>
              </w:rPr>
            </w:pPr>
            <w:r w:rsidRPr="00E0027D">
              <w:rPr>
                <w:rFonts w:cstheme="minorHAnsi"/>
              </w:rPr>
              <w:t>CGC 2013-01</w:t>
            </w:r>
          </w:p>
        </w:tc>
        <w:tc>
          <w:tcPr>
            <w:tcW w:w="3556" w:type="pct"/>
            <w:vAlign w:val="bottom"/>
          </w:tcPr>
          <w:p w:rsidR="00597461" w:rsidRPr="00F26F33" w:rsidRDefault="00597461" w:rsidP="00597461">
            <w:pPr>
              <w:pStyle w:val="TableRowNormal"/>
              <w:jc w:val="left"/>
              <w:rPr>
                <w:rFonts w:cstheme="minorHAnsi"/>
              </w:rPr>
            </w:pPr>
            <w:r w:rsidRPr="00E0027D">
              <w:rPr>
                <w:rFonts w:cstheme="minorHAnsi"/>
              </w:rPr>
              <w:t>Remoteness Classification</w:t>
            </w:r>
          </w:p>
        </w:tc>
      </w:tr>
      <w:tr w:rsidR="00597461" w:rsidRPr="004537EA" w:rsidTr="00597461">
        <w:tc>
          <w:tcPr>
            <w:tcW w:w="1444" w:type="pct"/>
            <w:vAlign w:val="bottom"/>
          </w:tcPr>
          <w:p w:rsidR="00597461" w:rsidRPr="004537EA" w:rsidRDefault="00597461" w:rsidP="00597461">
            <w:pPr>
              <w:pStyle w:val="CGCTableStub"/>
              <w:rPr>
                <w:rFonts w:cstheme="minorHAnsi"/>
              </w:rPr>
            </w:pPr>
            <w:r w:rsidRPr="00F26F33">
              <w:rPr>
                <w:rFonts w:cstheme="minorHAnsi"/>
              </w:rPr>
              <w:t>CGC 2013-06S</w:t>
            </w:r>
          </w:p>
        </w:tc>
        <w:tc>
          <w:tcPr>
            <w:tcW w:w="3556" w:type="pct"/>
            <w:vAlign w:val="bottom"/>
          </w:tcPr>
          <w:p w:rsidR="00597461" w:rsidRPr="004537EA" w:rsidRDefault="00597461" w:rsidP="00597461">
            <w:pPr>
              <w:pStyle w:val="TableRowNormal"/>
              <w:jc w:val="left"/>
              <w:rPr>
                <w:rFonts w:cstheme="minorHAnsi"/>
              </w:rPr>
            </w:pPr>
            <w:r w:rsidRPr="00F26F33">
              <w:rPr>
                <w:rFonts w:cstheme="minorHAnsi"/>
              </w:rPr>
              <w:t>Implementation and Methodological Issues</w:t>
            </w:r>
          </w:p>
        </w:tc>
      </w:tr>
      <w:tr w:rsidR="00597461" w:rsidRPr="004537EA" w:rsidTr="00597461">
        <w:tc>
          <w:tcPr>
            <w:tcW w:w="1444" w:type="pct"/>
            <w:vAlign w:val="bottom"/>
          </w:tcPr>
          <w:p w:rsidR="00597461" w:rsidRPr="00F26F33" w:rsidRDefault="00597461" w:rsidP="00597461">
            <w:pPr>
              <w:pStyle w:val="CGCTableStub"/>
              <w:rPr>
                <w:rFonts w:cstheme="minorHAnsi"/>
              </w:rPr>
            </w:pPr>
            <w:r w:rsidRPr="00F26F33">
              <w:rPr>
                <w:rFonts w:cstheme="minorHAnsi"/>
              </w:rPr>
              <w:t>CGC 2013-07S</w:t>
            </w:r>
          </w:p>
        </w:tc>
        <w:tc>
          <w:tcPr>
            <w:tcW w:w="3556" w:type="pct"/>
            <w:vAlign w:val="bottom"/>
          </w:tcPr>
          <w:p w:rsidR="00597461" w:rsidRPr="00F26F33" w:rsidRDefault="00597461" w:rsidP="00597461">
            <w:pPr>
              <w:pStyle w:val="TableRowNormal"/>
              <w:jc w:val="left"/>
              <w:rPr>
                <w:rFonts w:cstheme="minorHAnsi"/>
              </w:rPr>
            </w:pPr>
            <w:r>
              <w:rPr>
                <w:rFonts w:cstheme="minorHAnsi"/>
              </w:rPr>
              <w:t>Proposed assessments</w:t>
            </w:r>
          </w:p>
        </w:tc>
      </w:tr>
      <w:tr w:rsidR="00597461" w:rsidRPr="004537EA" w:rsidTr="00597461">
        <w:tc>
          <w:tcPr>
            <w:tcW w:w="1444" w:type="pct"/>
            <w:vAlign w:val="bottom"/>
          </w:tcPr>
          <w:p w:rsidR="00597461" w:rsidRPr="00F26F33" w:rsidRDefault="00597461" w:rsidP="00597461">
            <w:pPr>
              <w:pStyle w:val="CGCTableStub"/>
              <w:rPr>
                <w:rFonts w:cstheme="minorHAnsi"/>
              </w:rPr>
            </w:pPr>
            <w:r w:rsidRPr="000B52F1">
              <w:rPr>
                <w:rFonts w:cstheme="minorHAnsi"/>
              </w:rPr>
              <w:t>CGC 2013-08-S</w:t>
            </w:r>
          </w:p>
        </w:tc>
        <w:tc>
          <w:tcPr>
            <w:tcW w:w="3556" w:type="pct"/>
            <w:vAlign w:val="bottom"/>
          </w:tcPr>
          <w:p w:rsidR="00597461" w:rsidRPr="00F26F33" w:rsidRDefault="00597461" w:rsidP="00597461">
            <w:pPr>
              <w:pStyle w:val="TableRowNormal"/>
              <w:jc w:val="left"/>
              <w:rPr>
                <w:rFonts w:cstheme="minorHAnsi"/>
              </w:rPr>
            </w:pPr>
            <w:r w:rsidRPr="000B52F1">
              <w:rPr>
                <w:rFonts w:cstheme="minorHAnsi"/>
              </w:rPr>
              <w:t>Draft quality assurance strategic plan</w:t>
            </w:r>
          </w:p>
        </w:tc>
      </w:tr>
      <w:tr w:rsidR="00597461" w:rsidRPr="004537EA" w:rsidTr="00597461">
        <w:tc>
          <w:tcPr>
            <w:tcW w:w="1444" w:type="pct"/>
            <w:vAlign w:val="bottom"/>
          </w:tcPr>
          <w:p w:rsidR="00597461" w:rsidRPr="000B52F1" w:rsidRDefault="00597461" w:rsidP="00597461">
            <w:pPr>
              <w:pStyle w:val="CGCTableStub"/>
              <w:rPr>
                <w:rFonts w:cstheme="minorHAnsi"/>
              </w:rPr>
            </w:pPr>
            <w:r w:rsidRPr="00E0027D">
              <w:rPr>
                <w:rFonts w:cstheme="minorHAnsi"/>
              </w:rPr>
              <w:t>CGC 2014-01-S</w:t>
            </w:r>
          </w:p>
        </w:tc>
        <w:tc>
          <w:tcPr>
            <w:tcW w:w="3556" w:type="pct"/>
            <w:vAlign w:val="bottom"/>
          </w:tcPr>
          <w:p w:rsidR="00597461" w:rsidRPr="000B52F1" w:rsidRDefault="00597461" w:rsidP="00597461">
            <w:pPr>
              <w:pStyle w:val="TableRowNormal"/>
              <w:jc w:val="left"/>
              <w:rPr>
                <w:rFonts w:cstheme="minorHAnsi"/>
              </w:rPr>
            </w:pPr>
            <w:r w:rsidRPr="00E0027D">
              <w:rPr>
                <w:rFonts w:cstheme="minorHAnsi"/>
              </w:rPr>
              <w:t>Simplifying the Interstate wages regression model</w:t>
            </w:r>
          </w:p>
        </w:tc>
      </w:tr>
      <w:tr w:rsidR="00597461" w:rsidRPr="004537EA" w:rsidTr="00597461">
        <w:tc>
          <w:tcPr>
            <w:tcW w:w="1444" w:type="pct"/>
            <w:vAlign w:val="bottom"/>
          </w:tcPr>
          <w:p w:rsidR="00597461" w:rsidRPr="00E0027D" w:rsidRDefault="00597461" w:rsidP="00597461">
            <w:pPr>
              <w:pStyle w:val="CGCTableStub"/>
              <w:rPr>
                <w:rFonts w:cstheme="minorHAnsi"/>
              </w:rPr>
            </w:pPr>
            <w:r w:rsidRPr="00E0027D">
              <w:rPr>
                <w:rFonts w:cstheme="minorHAnsi"/>
              </w:rPr>
              <w:t>CGC 2014-02-S</w:t>
            </w:r>
          </w:p>
        </w:tc>
        <w:tc>
          <w:tcPr>
            <w:tcW w:w="3556" w:type="pct"/>
            <w:vAlign w:val="bottom"/>
          </w:tcPr>
          <w:p w:rsidR="00597461" w:rsidRPr="00E0027D" w:rsidRDefault="00597461" w:rsidP="00597461">
            <w:pPr>
              <w:pStyle w:val="TableRowNormal"/>
              <w:jc w:val="left"/>
              <w:rPr>
                <w:rFonts w:cstheme="minorHAnsi"/>
              </w:rPr>
            </w:pPr>
            <w:r>
              <w:rPr>
                <w:rFonts w:cstheme="minorHAnsi"/>
              </w:rPr>
              <w:t>A capital cost index</w:t>
            </w:r>
          </w:p>
        </w:tc>
      </w:tr>
      <w:tr w:rsidR="00597461" w:rsidRPr="004537EA" w:rsidTr="00597461">
        <w:tc>
          <w:tcPr>
            <w:tcW w:w="1444" w:type="pct"/>
            <w:vAlign w:val="bottom"/>
          </w:tcPr>
          <w:p w:rsidR="00597461" w:rsidRPr="000B52F1" w:rsidRDefault="00597461" w:rsidP="00597461">
            <w:pPr>
              <w:pStyle w:val="CGCTableStub"/>
              <w:rPr>
                <w:rFonts w:cstheme="minorHAnsi"/>
              </w:rPr>
            </w:pPr>
            <w:r w:rsidRPr="000B52F1">
              <w:rPr>
                <w:rFonts w:cstheme="minorHAnsi"/>
              </w:rPr>
              <w:t>CGC 2014-03-S</w:t>
            </w:r>
          </w:p>
        </w:tc>
        <w:tc>
          <w:tcPr>
            <w:tcW w:w="3556" w:type="pct"/>
            <w:vAlign w:val="bottom"/>
          </w:tcPr>
          <w:p w:rsidR="00597461" w:rsidRPr="000B52F1" w:rsidRDefault="00597461" w:rsidP="00597461">
            <w:pPr>
              <w:pStyle w:val="TableRowNormal"/>
              <w:jc w:val="left"/>
              <w:rPr>
                <w:rFonts w:cstheme="minorHAnsi"/>
              </w:rPr>
            </w:pPr>
            <w:r w:rsidRPr="000B52F1">
              <w:rPr>
                <w:rFonts w:cstheme="minorHAnsi"/>
              </w:rPr>
              <w:t>Update and supplementary issues for the 2015 Review</w:t>
            </w:r>
          </w:p>
        </w:tc>
      </w:tr>
      <w:tr w:rsidR="00597461" w:rsidRPr="004537EA" w:rsidTr="00597461">
        <w:tc>
          <w:tcPr>
            <w:tcW w:w="1444" w:type="pct"/>
            <w:tcBorders>
              <w:bottom w:val="single" w:sz="6" w:space="0" w:color="auto"/>
            </w:tcBorders>
            <w:vAlign w:val="bottom"/>
          </w:tcPr>
          <w:p w:rsidR="00597461" w:rsidRPr="000B52F1" w:rsidRDefault="00597461" w:rsidP="00597461">
            <w:pPr>
              <w:pStyle w:val="CGCTableStub"/>
              <w:rPr>
                <w:rFonts w:cstheme="minorHAnsi"/>
              </w:rPr>
            </w:pPr>
            <w:r>
              <w:rPr>
                <w:rFonts w:cstheme="minorHAnsi"/>
              </w:rPr>
              <w:t>-</w:t>
            </w:r>
          </w:p>
        </w:tc>
        <w:tc>
          <w:tcPr>
            <w:tcW w:w="3556" w:type="pct"/>
            <w:tcBorders>
              <w:bottom w:val="single" w:sz="6" w:space="0" w:color="auto"/>
            </w:tcBorders>
            <w:vAlign w:val="bottom"/>
          </w:tcPr>
          <w:p w:rsidR="00597461" w:rsidRPr="000B52F1" w:rsidRDefault="00597461" w:rsidP="00597461">
            <w:pPr>
              <w:pStyle w:val="TableRowNormal"/>
              <w:jc w:val="left"/>
              <w:rPr>
                <w:rFonts w:cstheme="minorHAnsi"/>
              </w:rPr>
            </w:pPr>
            <w:r>
              <w:rPr>
                <w:rFonts w:cstheme="minorHAnsi"/>
              </w:rPr>
              <w:t>Health substitutability</w:t>
            </w:r>
          </w:p>
        </w:tc>
      </w:tr>
    </w:tbl>
    <w:p w:rsidR="00597461" w:rsidRDefault="00597461" w:rsidP="00597461">
      <w:pPr>
        <w:pStyle w:val="CGCTableFootnote"/>
      </w:pPr>
      <w:r>
        <w:tab/>
      </w:r>
    </w:p>
    <w:p w:rsidR="00597461" w:rsidRDefault="00597461" w:rsidP="00597461">
      <w:pPr>
        <w:pStyle w:val="Heading3"/>
      </w:pPr>
      <w:r>
        <w:t>State submissions</w:t>
      </w:r>
    </w:p>
    <w:p w:rsidR="00597461" w:rsidRDefault="00597461" w:rsidP="00597461">
      <w:pPr>
        <w:pStyle w:val="CGCNumberedPara"/>
      </w:pPr>
      <w:r>
        <w:t xml:space="preserve">Written submissions are the main means by which States present their views to the Commission. All submissions have been placed on the </w:t>
      </w:r>
      <w:hyperlink r:id="rId38" w:history="1">
        <w:r w:rsidR="002A3AC6" w:rsidRPr="002A3AC6">
          <w:rPr>
            <w:rStyle w:val="Hyperlink"/>
          </w:rPr>
          <w:t>Commission’s website</w:t>
        </w:r>
      </w:hyperlink>
      <w:r w:rsidR="002A3AC6">
        <w:t xml:space="preserve"> (</w:t>
      </w:r>
      <w:r w:rsidR="002A3AC6" w:rsidRPr="002A3AC6">
        <w:t>https://cgc.gov.au/</w:t>
      </w:r>
      <w:r w:rsidR="002A3AC6">
        <w:t>)</w:t>
      </w:r>
      <w:r>
        <w:t>.</w:t>
      </w:r>
    </w:p>
    <w:p w:rsidR="00597461" w:rsidRDefault="00597461" w:rsidP="00597461">
      <w:pPr>
        <w:pStyle w:val="Heading4"/>
      </w:pPr>
      <w:r>
        <w:t>State submissions on terms of reference</w:t>
      </w:r>
      <w:r>
        <w:rPr>
          <w:rStyle w:val="FootnoteReference"/>
        </w:rPr>
        <w:footnoteReference w:id="5"/>
      </w:r>
    </w:p>
    <w:p w:rsidR="00597461" w:rsidRDefault="00597461" w:rsidP="00597461">
      <w:pPr>
        <w:pStyle w:val="CGCBulletlist"/>
        <w:numPr>
          <w:ilvl w:val="0"/>
          <w:numId w:val="11"/>
        </w:numPr>
        <w:tabs>
          <w:tab w:val="clear" w:pos="927"/>
        </w:tabs>
        <w:ind w:left="1134" w:hanging="567"/>
      </w:pPr>
      <w:r>
        <w:t>New South Wales Submission to the CGC 2015 Methodology Review, July 2013</w:t>
      </w:r>
    </w:p>
    <w:p w:rsidR="00597461" w:rsidRDefault="00597461" w:rsidP="00597461">
      <w:pPr>
        <w:pStyle w:val="CGCBulletlist"/>
        <w:numPr>
          <w:ilvl w:val="0"/>
          <w:numId w:val="11"/>
        </w:numPr>
        <w:tabs>
          <w:tab w:val="clear" w:pos="927"/>
        </w:tabs>
        <w:ind w:left="1134" w:hanging="567"/>
      </w:pPr>
      <w:r>
        <w:t>Victorian Government Submission, Commonwealth Grants Commission 2015 Methodology Review, July 2013</w:t>
      </w:r>
    </w:p>
    <w:p w:rsidR="00597461" w:rsidRDefault="00597461" w:rsidP="00597461">
      <w:pPr>
        <w:pStyle w:val="CGCBulletlist"/>
        <w:numPr>
          <w:ilvl w:val="0"/>
          <w:numId w:val="11"/>
        </w:numPr>
        <w:tabs>
          <w:tab w:val="clear" w:pos="927"/>
        </w:tabs>
        <w:ind w:left="1134" w:hanging="567"/>
      </w:pPr>
      <w:r>
        <w:lastRenderedPageBreak/>
        <w:t>Queensland Treasury Response to Terms of Reference for Commonwealth Grants Commission 2015 Methodology Review, July 2013</w:t>
      </w:r>
    </w:p>
    <w:p w:rsidR="00597461" w:rsidRDefault="00597461" w:rsidP="00597461">
      <w:pPr>
        <w:pStyle w:val="CGCBulletlist"/>
        <w:numPr>
          <w:ilvl w:val="0"/>
          <w:numId w:val="11"/>
        </w:numPr>
        <w:tabs>
          <w:tab w:val="clear" w:pos="927"/>
        </w:tabs>
        <w:ind w:left="1134" w:hanging="567"/>
      </w:pPr>
      <w:r>
        <w:t>Western Australia’s submission to the Commonwealth Grants Commission’s 2015 Methodology Review, July 2013</w:t>
      </w:r>
    </w:p>
    <w:p w:rsidR="00597461" w:rsidRDefault="00597461" w:rsidP="00597461">
      <w:pPr>
        <w:pStyle w:val="CGCBulletlist"/>
        <w:numPr>
          <w:ilvl w:val="0"/>
          <w:numId w:val="11"/>
        </w:numPr>
        <w:tabs>
          <w:tab w:val="clear" w:pos="927"/>
        </w:tabs>
        <w:ind w:left="1134" w:hanging="567"/>
      </w:pPr>
      <w:r>
        <w:t xml:space="preserve">Submission by South Australian Department of Treasury and Finance, 2015 Review, First Submission, July 2013 </w:t>
      </w:r>
    </w:p>
    <w:p w:rsidR="00597461" w:rsidRDefault="00597461" w:rsidP="00597461">
      <w:pPr>
        <w:pStyle w:val="CGCBulletlist"/>
        <w:numPr>
          <w:ilvl w:val="0"/>
          <w:numId w:val="11"/>
        </w:numPr>
        <w:tabs>
          <w:tab w:val="clear" w:pos="927"/>
        </w:tabs>
        <w:ind w:left="1134" w:hanging="567"/>
      </w:pPr>
      <w:r w:rsidRPr="00E01B9E">
        <w:rPr>
          <w:i/>
        </w:rPr>
        <w:t>Horizontal Fiscal Equalisation: Modelling the welfare and efficiency effects</w:t>
      </w:r>
      <w:r>
        <w:t>, Report was prepared for the South Australian Department of Treasury and Finance, 16 February 2012</w:t>
      </w:r>
    </w:p>
    <w:p w:rsidR="00597461" w:rsidRDefault="00597461" w:rsidP="00597461">
      <w:pPr>
        <w:pStyle w:val="CGCBulletlist"/>
        <w:numPr>
          <w:ilvl w:val="0"/>
          <w:numId w:val="11"/>
        </w:numPr>
        <w:tabs>
          <w:tab w:val="clear" w:pos="927"/>
        </w:tabs>
        <w:ind w:left="1134" w:hanging="567"/>
      </w:pPr>
      <w:r>
        <w:t>Tasmanian Government Submission, Commonwealth Grants Commission 2015 Methodology Review, July 2013</w:t>
      </w:r>
    </w:p>
    <w:p w:rsidR="00597461" w:rsidRDefault="00597461" w:rsidP="00597461">
      <w:pPr>
        <w:pStyle w:val="CGCBulletlist"/>
        <w:numPr>
          <w:ilvl w:val="0"/>
          <w:numId w:val="11"/>
        </w:numPr>
        <w:tabs>
          <w:tab w:val="clear" w:pos="927"/>
        </w:tabs>
        <w:ind w:left="1134" w:hanging="567"/>
      </w:pPr>
      <w:r>
        <w:t>Australian C</w:t>
      </w:r>
      <w:r w:rsidR="008C4F24">
        <w:t>apital Territory</w:t>
      </w:r>
      <w:r>
        <w:t>, Opening Submission to the Commonwealth Grants Commission 2015 Methodology Review, July 2013</w:t>
      </w:r>
    </w:p>
    <w:p w:rsidR="00597461" w:rsidRDefault="00597461" w:rsidP="00597461">
      <w:pPr>
        <w:pStyle w:val="CGCBulletlist"/>
        <w:numPr>
          <w:ilvl w:val="0"/>
          <w:numId w:val="11"/>
        </w:numPr>
        <w:tabs>
          <w:tab w:val="clear" w:pos="927"/>
        </w:tabs>
        <w:ind w:left="1134" w:hanging="567"/>
      </w:pPr>
      <w:r>
        <w:t>Northern Territory Submission on Architecture of Horizontal Fiscal Equalisation: Principles and Interpretations; and Priority Issues for States, July 2013</w:t>
      </w:r>
    </w:p>
    <w:p w:rsidR="00597461" w:rsidRDefault="00597461" w:rsidP="00597461">
      <w:pPr>
        <w:pStyle w:val="Heading4"/>
      </w:pPr>
      <w:r>
        <w:t>State submissions on initial Commission discussion papers</w:t>
      </w:r>
      <w:r>
        <w:rPr>
          <w:rStyle w:val="FootnoteReference"/>
        </w:rPr>
        <w:footnoteReference w:id="6"/>
      </w:r>
    </w:p>
    <w:p w:rsidR="00597461" w:rsidRDefault="00597461" w:rsidP="00597461">
      <w:pPr>
        <w:pStyle w:val="CGCBulletlist"/>
        <w:numPr>
          <w:ilvl w:val="0"/>
          <w:numId w:val="11"/>
        </w:numPr>
        <w:tabs>
          <w:tab w:val="clear" w:pos="927"/>
        </w:tabs>
        <w:ind w:left="1134" w:hanging="567"/>
      </w:pPr>
      <w:r>
        <w:t>New South Wales, Second Submission to the CGC 2015 Methodology Review, January 2014</w:t>
      </w:r>
    </w:p>
    <w:p w:rsidR="00597461" w:rsidRDefault="00597461" w:rsidP="00597461">
      <w:pPr>
        <w:pStyle w:val="CGCBulletlist"/>
        <w:numPr>
          <w:ilvl w:val="0"/>
          <w:numId w:val="11"/>
        </w:numPr>
        <w:tabs>
          <w:tab w:val="clear" w:pos="927"/>
        </w:tabs>
        <w:ind w:left="1134" w:hanging="567"/>
      </w:pPr>
      <w:r>
        <w:t>Victorian Response to 2015 Methodology Review Discussion Papers, Department of Treasury and Finance, January 2014</w:t>
      </w:r>
    </w:p>
    <w:p w:rsidR="00597461" w:rsidRDefault="00597461" w:rsidP="00597461">
      <w:pPr>
        <w:pStyle w:val="CGCBulletlist"/>
        <w:numPr>
          <w:ilvl w:val="0"/>
          <w:numId w:val="11"/>
        </w:numPr>
        <w:tabs>
          <w:tab w:val="clear" w:pos="927"/>
        </w:tabs>
        <w:ind w:left="1134" w:hanging="567"/>
      </w:pPr>
      <w:r>
        <w:t>Victorian Response to CGC Draft Quality Assurance Strategic Plan for the 2015 Review, January 2014</w:t>
      </w:r>
    </w:p>
    <w:p w:rsidR="00597461" w:rsidRDefault="00597461" w:rsidP="00597461">
      <w:pPr>
        <w:pStyle w:val="CGCBulletlist"/>
        <w:numPr>
          <w:ilvl w:val="0"/>
          <w:numId w:val="11"/>
        </w:numPr>
        <w:tabs>
          <w:tab w:val="clear" w:pos="927"/>
        </w:tabs>
        <w:ind w:left="1134" w:hanging="567"/>
      </w:pPr>
      <w:r>
        <w:t>Queensland Treasury Response to Commonwealth Grants Commission 2015 Methodology Review Staff Discussion Paper CGC 2013-07S Proposed Assessments, January 2014</w:t>
      </w:r>
    </w:p>
    <w:p w:rsidR="00597461" w:rsidRDefault="00597461" w:rsidP="00597461">
      <w:pPr>
        <w:pStyle w:val="CGCBulletlist"/>
        <w:numPr>
          <w:ilvl w:val="0"/>
          <w:numId w:val="11"/>
        </w:numPr>
        <w:tabs>
          <w:tab w:val="clear" w:pos="927"/>
        </w:tabs>
        <w:ind w:left="1134" w:hanging="567"/>
      </w:pPr>
      <w:r>
        <w:t>Queensland Treasury Response to Commonwealth Grants Commission 2015 Methodology Review Commission Position Paper CGC 2013-05 — Equalisation Objectives, Supporting Principles and Staff Discussion Paper CGC 2013-06S — Implementation and Methodological Issues, and Staff Discussion Paper CGC 2013-08S — Draft Quality Assurance Strategic Plan, January 2014</w:t>
      </w:r>
    </w:p>
    <w:p w:rsidR="00597461" w:rsidRDefault="00597461" w:rsidP="00597461">
      <w:pPr>
        <w:pStyle w:val="CGCBulletlist"/>
        <w:numPr>
          <w:ilvl w:val="0"/>
          <w:numId w:val="11"/>
        </w:numPr>
        <w:tabs>
          <w:tab w:val="clear" w:pos="927"/>
        </w:tabs>
        <w:ind w:left="1134" w:hanging="567"/>
      </w:pPr>
      <w:r>
        <w:t>Queensland Government Statistician’s Office, Feedback on CGC Staff Assessment Proposals  for Transport (Urban Public Transport Subsidies) and  Interstate Wages, March 2014</w:t>
      </w:r>
    </w:p>
    <w:p w:rsidR="00597461" w:rsidRDefault="00597461" w:rsidP="00597461">
      <w:pPr>
        <w:pStyle w:val="CGCBulletlist"/>
        <w:numPr>
          <w:ilvl w:val="0"/>
          <w:numId w:val="11"/>
        </w:numPr>
        <w:tabs>
          <w:tab w:val="clear" w:pos="927"/>
        </w:tabs>
        <w:ind w:left="1134" w:hanging="567"/>
      </w:pPr>
      <w:r>
        <w:t>Western Australia’s Submission to the Commonwealth Grants Commission’s 2015 Methodology Review, February 2014</w:t>
      </w:r>
    </w:p>
    <w:p w:rsidR="00597461" w:rsidRDefault="00597461" w:rsidP="00597461">
      <w:pPr>
        <w:pStyle w:val="CGCBulletlist"/>
        <w:numPr>
          <w:ilvl w:val="0"/>
          <w:numId w:val="11"/>
        </w:numPr>
        <w:tabs>
          <w:tab w:val="clear" w:pos="927"/>
        </w:tabs>
        <w:ind w:left="1134" w:hanging="567"/>
      </w:pPr>
      <w:r>
        <w:lastRenderedPageBreak/>
        <w:t>South Australian Submission on CGC discussion papers prepared for the 2015 Review, CGC 2013-05, CGC 2013-06S, CGC2013-07S and CGC2013-08S, South Australian Department of Treasury and Finance, January 2014</w:t>
      </w:r>
    </w:p>
    <w:p w:rsidR="00597461" w:rsidRDefault="00597461" w:rsidP="00597461">
      <w:pPr>
        <w:pStyle w:val="CGCBulletlist"/>
        <w:numPr>
          <w:ilvl w:val="0"/>
          <w:numId w:val="11"/>
        </w:numPr>
        <w:tabs>
          <w:tab w:val="clear" w:pos="927"/>
        </w:tabs>
        <w:ind w:left="1134" w:hanging="567"/>
      </w:pPr>
      <w:r>
        <w:t>Tasmanian Government Submission in Response to Staff Discussion Paper CGC 2013-07S, January 2014</w:t>
      </w:r>
    </w:p>
    <w:p w:rsidR="00597461" w:rsidRDefault="00597461" w:rsidP="00597461">
      <w:pPr>
        <w:pStyle w:val="CGCBulletlist"/>
        <w:numPr>
          <w:ilvl w:val="0"/>
          <w:numId w:val="11"/>
        </w:numPr>
        <w:tabs>
          <w:tab w:val="clear" w:pos="927"/>
        </w:tabs>
        <w:ind w:left="1134" w:hanging="567"/>
      </w:pPr>
      <w:r>
        <w:t>Tasmanian Government Submission in Response to Staff Discussion Paper CGC 2013-06S, January 2014</w:t>
      </w:r>
    </w:p>
    <w:p w:rsidR="00597461" w:rsidRDefault="00597461" w:rsidP="00597461">
      <w:pPr>
        <w:pStyle w:val="CGCBulletlist"/>
        <w:numPr>
          <w:ilvl w:val="0"/>
          <w:numId w:val="11"/>
        </w:numPr>
        <w:tabs>
          <w:tab w:val="clear" w:pos="927"/>
        </w:tabs>
        <w:ind w:left="1134" w:hanging="567"/>
      </w:pPr>
      <w:r>
        <w:t>Australian Capital Territory, Chief Minister &amp; Treasury Directorate, Rejoinder Submission to the Commonwealth Grants Commission 2015 Methodology Review: Equalisation Objectives and Supporting Principles, Implementation and Methodological Issues; Proposed Assessments; and Review Draft Quality Assurance Strategic Plan, January 2014</w:t>
      </w:r>
    </w:p>
    <w:p w:rsidR="00597461" w:rsidRDefault="00597461" w:rsidP="00597461">
      <w:pPr>
        <w:pStyle w:val="CGCBulletlist"/>
        <w:numPr>
          <w:ilvl w:val="0"/>
          <w:numId w:val="11"/>
        </w:numPr>
        <w:tabs>
          <w:tab w:val="clear" w:pos="927"/>
        </w:tabs>
        <w:ind w:left="1134" w:hanging="567"/>
      </w:pPr>
      <w:r>
        <w:t>Northern Territory Second Submission to the Commonwealth Grants Commission – 2015 Methodology Review, February 2014</w:t>
      </w:r>
    </w:p>
    <w:p w:rsidR="00597461" w:rsidRDefault="00597461" w:rsidP="00597461">
      <w:pPr>
        <w:pStyle w:val="Heading4"/>
      </w:pPr>
      <w:r>
        <w:t>State submissions on 2015 Review Update and supplementary issues</w:t>
      </w:r>
      <w:r>
        <w:rPr>
          <w:rStyle w:val="FootnoteReference"/>
        </w:rPr>
        <w:footnoteReference w:id="7"/>
      </w:r>
    </w:p>
    <w:p w:rsidR="00597461" w:rsidRDefault="00597461" w:rsidP="00597461">
      <w:pPr>
        <w:pStyle w:val="CGCBulletlist"/>
        <w:numPr>
          <w:ilvl w:val="0"/>
          <w:numId w:val="11"/>
        </w:numPr>
        <w:tabs>
          <w:tab w:val="clear" w:pos="927"/>
        </w:tabs>
        <w:ind w:left="1134" w:hanging="567"/>
      </w:pPr>
      <w:r>
        <w:t xml:space="preserve">New South Wales Treasury, Comments on Commonwealth Grants Commission 2015 Methodology Review, Update and Supplementary Issues for the 2015 Review, staff discussion paper 2014-03-S, October 2014  </w:t>
      </w:r>
    </w:p>
    <w:p w:rsidR="00597461" w:rsidRDefault="00597461" w:rsidP="00597461">
      <w:pPr>
        <w:pStyle w:val="CGCBulletlist"/>
        <w:numPr>
          <w:ilvl w:val="0"/>
          <w:numId w:val="11"/>
        </w:numPr>
        <w:tabs>
          <w:tab w:val="clear" w:pos="927"/>
        </w:tabs>
        <w:ind w:left="1134" w:hanging="567"/>
      </w:pPr>
      <w:r>
        <w:t>Queensland Treasury Response to Staff Discussion Paper 2014-03-S — Update and Supplementary Issues for the 2015 Review, September 2014</w:t>
      </w:r>
    </w:p>
    <w:p w:rsidR="00597461" w:rsidRDefault="00597461" w:rsidP="00597461">
      <w:pPr>
        <w:pStyle w:val="CGCBulletlist"/>
        <w:numPr>
          <w:ilvl w:val="0"/>
          <w:numId w:val="11"/>
        </w:numPr>
        <w:tabs>
          <w:tab w:val="clear" w:pos="927"/>
        </w:tabs>
        <w:ind w:left="1134" w:hanging="567"/>
      </w:pPr>
      <w:r>
        <w:t xml:space="preserve">Western Australian Government Submission, Response to </w:t>
      </w:r>
      <w:r w:rsidRPr="00167DB6">
        <w:t>the Commonwealth Grants Commission’s (CGC’s) discussion paper CGC 2014 03 S</w:t>
      </w:r>
      <w:r>
        <w:t xml:space="preserve"> — Update and Supplementary Issues for the 2015 Review, October 2015</w:t>
      </w:r>
    </w:p>
    <w:p w:rsidR="00597461" w:rsidRDefault="00597461" w:rsidP="00597461">
      <w:pPr>
        <w:pStyle w:val="CGCBulletlist"/>
        <w:numPr>
          <w:ilvl w:val="0"/>
          <w:numId w:val="11"/>
        </w:numPr>
        <w:tabs>
          <w:tab w:val="clear" w:pos="927"/>
        </w:tabs>
        <w:ind w:left="1134" w:hanging="567"/>
      </w:pPr>
      <w:r>
        <w:t>Submission by South Australian Department of Treasury and Finance, Response to Staff Discussion Paper 2014-03-S — Update and Supplementary Issues for the 2015 Review, September 2014</w:t>
      </w:r>
    </w:p>
    <w:p w:rsidR="00597461" w:rsidRDefault="00597461" w:rsidP="00597461">
      <w:pPr>
        <w:pStyle w:val="CGCBulletlist"/>
        <w:numPr>
          <w:ilvl w:val="0"/>
          <w:numId w:val="11"/>
        </w:numPr>
        <w:tabs>
          <w:tab w:val="clear" w:pos="927"/>
        </w:tabs>
        <w:ind w:left="1134" w:hanging="567"/>
      </w:pPr>
      <w:r>
        <w:t xml:space="preserve">Tasmanian Government Submission, </w:t>
      </w:r>
      <w:r w:rsidRPr="009054EC">
        <w:t>Update and Supplementary Issues for the 2015 Review</w:t>
      </w:r>
      <w:r>
        <w:t>, September 2014</w:t>
      </w:r>
    </w:p>
    <w:p w:rsidR="00597461" w:rsidRDefault="00597461" w:rsidP="00597461">
      <w:pPr>
        <w:pStyle w:val="CGCBulletlist"/>
        <w:numPr>
          <w:ilvl w:val="0"/>
          <w:numId w:val="11"/>
        </w:numPr>
        <w:tabs>
          <w:tab w:val="clear" w:pos="927"/>
        </w:tabs>
        <w:ind w:left="1134" w:hanging="567"/>
      </w:pPr>
      <w:r>
        <w:t>Australian Capital Territory response to 2015 Review Update and Supplementary Issues for the 2015 Review, October 2014</w:t>
      </w:r>
    </w:p>
    <w:p w:rsidR="00597461" w:rsidRDefault="00597461" w:rsidP="00597461">
      <w:pPr>
        <w:pStyle w:val="Heading4"/>
      </w:pPr>
      <w:r>
        <w:t>Submissions on the Draft Report</w:t>
      </w:r>
      <w:r>
        <w:rPr>
          <w:rStyle w:val="FootnoteReference"/>
        </w:rPr>
        <w:footnoteReference w:id="8"/>
      </w:r>
    </w:p>
    <w:p w:rsidR="00597461" w:rsidRDefault="00597461" w:rsidP="00597461">
      <w:pPr>
        <w:pStyle w:val="CGCBulletlist"/>
        <w:numPr>
          <w:ilvl w:val="0"/>
          <w:numId w:val="11"/>
        </w:numPr>
        <w:tabs>
          <w:tab w:val="clear" w:pos="927"/>
        </w:tabs>
        <w:ind w:left="1134" w:hanging="567"/>
      </w:pPr>
      <w:r>
        <w:t>New South Wales Government, Third Submission to the CGC 2015 Methodology Review, September 2014</w:t>
      </w:r>
    </w:p>
    <w:p w:rsidR="00597461" w:rsidRDefault="00597461" w:rsidP="00597461">
      <w:pPr>
        <w:pStyle w:val="CGCBulletlist"/>
        <w:numPr>
          <w:ilvl w:val="0"/>
          <w:numId w:val="11"/>
        </w:numPr>
        <w:tabs>
          <w:tab w:val="clear" w:pos="927"/>
        </w:tabs>
        <w:ind w:left="1134" w:hanging="567"/>
      </w:pPr>
      <w:r>
        <w:lastRenderedPageBreak/>
        <w:t>Victorian Response to 2015 Methodology Review Draft Report, Department of Treasury and Finance, September 2014</w:t>
      </w:r>
    </w:p>
    <w:p w:rsidR="00597461" w:rsidRDefault="00597461" w:rsidP="00597461">
      <w:pPr>
        <w:pStyle w:val="CGCBulletlist"/>
        <w:numPr>
          <w:ilvl w:val="0"/>
          <w:numId w:val="11"/>
        </w:numPr>
        <w:tabs>
          <w:tab w:val="clear" w:pos="927"/>
        </w:tabs>
        <w:ind w:left="1134" w:hanging="567"/>
      </w:pPr>
      <w:r>
        <w:t>Queensland Treasury, Response to the Draft Report on State Revenue Sharing Relativities, 2015 Methodology Review, September 2014</w:t>
      </w:r>
    </w:p>
    <w:p w:rsidR="00597461" w:rsidRDefault="00597461" w:rsidP="00597461">
      <w:pPr>
        <w:pStyle w:val="CGCBulletlist"/>
        <w:numPr>
          <w:ilvl w:val="0"/>
          <w:numId w:val="11"/>
        </w:numPr>
        <w:tabs>
          <w:tab w:val="clear" w:pos="927"/>
        </w:tabs>
        <w:ind w:left="1134" w:hanging="567"/>
      </w:pPr>
      <w:r>
        <w:t>Queensland Public Service Commission, Response to Commonwealth Grants Commission 2015 Methodology Review: Interstate Wages Assessment, September 2014</w:t>
      </w:r>
    </w:p>
    <w:p w:rsidR="00597461" w:rsidRDefault="00597461" w:rsidP="00597461">
      <w:pPr>
        <w:pStyle w:val="CGCBulletlist"/>
        <w:numPr>
          <w:ilvl w:val="0"/>
          <w:numId w:val="11"/>
        </w:numPr>
        <w:tabs>
          <w:tab w:val="clear" w:pos="927"/>
        </w:tabs>
        <w:ind w:left="1134" w:hanging="567"/>
      </w:pPr>
      <w:r>
        <w:t>Western Australian Government Submission to the Commonwealth Grants Commission’s 2015 Methodology Review, September 2014</w:t>
      </w:r>
    </w:p>
    <w:p w:rsidR="00597461" w:rsidRDefault="00597461" w:rsidP="00597461">
      <w:pPr>
        <w:pStyle w:val="CGCBulletlist"/>
        <w:numPr>
          <w:ilvl w:val="0"/>
          <w:numId w:val="11"/>
        </w:numPr>
        <w:tabs>
          <w:tab w:val="clear" w:pos="927"/>
        </w:tabs>
        <w:ind w:left="1134" w:hanging="567"/>
      </w:pPr>
      <w:r>
        <w:t xml:space="preserve">Submission by South Australian Department of Treasury and Finance on the Draft Report on State Revenue Sharing Relativities. 2015 Review, September 2014 </w:t>
      </w:r>
    </w:p>
    <w:p w:rsidR="00597461" w:rsidRDefault="00597461" w:rsidP="00597461">
      <w:pPr>
        <w:pStyle w:val="CGCBulletlist"/>
        <w:numPr>
          <w:ilvl w:val="0"/>
          <w:numId w:val="11"/>
        </w:numPr>
        <w:tabs>
          <w:tab w:val="clear" w:pos="927"/>
        </w:tabs>
        <w:ind w:left="1134" w:hanging="567"/>
      </w:pPr>
      <w:r>
        <w:t>Australian Capital Territory, Final Submission to the Commonwealth Grants Commission 2015 Methodology Review, September 2014</w:t>
      </w:r>
    </w:p>
    <w:p w:rsidR="00597461" w:rsidRDefault="00597461" w:rsidP="00597461">
      <w:pPr>
        <w:pStyle w:val="CGCBulletlist"/>
        <w:numPr>
          <w:ilvl w:val="0"/>
          <w:numId w:val="11"/>
        </w:numPr>
        <w:tabs>
          <w:tab w:val="clear" w:pos="927"/>
        </w:tabs>
        <w:ind w:left="1134" w:hanging="567"/>
      </w:pPr>
      <w:r>
        <w:t>Australian Capital Territory, Commonwealth payments for Infrastructure, October 2014</w:t>
      </w:r>
    </w:p>
    <w:p w:rsidR="00597461" w:rsidRDefault="00597461" w:rsidP="00597461">
      <w:pPr>
        <w:pStyle w:val="CGCBulletlist"/>
        <w:numPr>
          <w:ilvl w:val="0"/>
          <w:numId w:val="11"/>
        </w:numPr>
        <w:tabs>
          <w:tab w:val="clear" w:pos="927"/>
        </w:tabs>
        <w:ind w:left="1134" w:hanging="567"/>
      </w:pPr>
      <w:r w:rsidRPr="009054EC">
        <w:t>Tasmanian Government Submission in Response to the Draft Report on State Revenue Sharing Relativities 2015 Review</w:t>
      </w:r>
      <w:r>
        <w:t>, September 2014</w:t>
      </w:r>
    </w:p>
    <w:p w:rsidR="00597461" w:rsidRDefault="00597461" w:rsidP="00597461">
      <w:pPr>
        <w:pStyle w:val="CGCBulletlist"/>
        <w:numPr>
          <w:ilvl w:val="0"/>
          <w:numId w:val="11"/>
        </w:numPr>
        <w:tabs>
          <w:tab w:val="clear" w:pos="927"/>
        </w:tabs>
        <w:ind w:left="1134" w:hanging="567"/>
      </w:pPr>
      <w:r w:rsidRPr="009054EC">
        <w:t>Tasmanian Government Supplementary Submission on Mining Revenue in Response to the Draft Report on State Revenue Sharing Relativities 2015 Review</w:t>
      </w:r>
      <w:r>
        <w:t>, September 2014</w:t>
      </w:r>
    </w:p>
    <w:p w:rsidR="00597461" w:rsidRPr="000D1909" w:rsidRDefault="00597461" w:rsidP="00597461">
      <w:pPr>
        <w:pStyle w:val="CGCBulletlist"/>
        <w:numPr>
          <w:ilvl w:val="0"/>
          <w:numId w:val="11"/>
        </w:numPr>
        <w:tabs>
          <w:tab w:val="clear" w:pos="927"/>
        </w:tabs>
        <w:ind w:left="1134" w:hanging="567"/>
      </w:pPr>
      <w:r>
        <w:t>The Northern Territory’s Submission to the Commonwealth Grants Commission - 2015 Draft Report, September 2014</w:t>
      </w:r>
    </w:p>
    <w:p w:rsidR="00597461" w:rsidRDefault="00597461" w:rsidP="00597461">
      <w:pPr>
        <w:pStyle w:val="Heading4"/>
      </w:pPr>
      <w:r>
        <w:t>Submission</w:t>
      </w:r>
      <w:r w:rsidR="00EC179C">
        <w:t>s</w:t>
      </w:r>
      <w:r>
        <w:t xml:space="preserve"> on Significant changes since the Draft Report</w:t>
      </w:r>
      <w:r>
        <w:rPr>
          <w:rStyle w:val="FootnoteReference"/>
        </w:rPr>
        <w:footnoteReference w:id="9"/>
      </w:r>
    </w:p>
    <w:p w:rsidR="00597461" w:rsidRDefault="00597461" w:rsidP="00597461">
      <w:pPr>
        <w:pStyle w:val="CGCBulletlist"/>
        <w:numPr>
          <w:ilvl w:val="0"/>
          <w:numId w:val="11"/>
        </w:numPr>
        <w:tabs>
          <w:tab w:val="clear" w:pos="927"/>
        </w:tabs>
        <w:ind w:left="1134" w:hanging="567"/>
      </w:pPr>
      <w:r>
        <w:t xml:space="preserve">New South Wales Treasury, Comments </w:t>
      </w:r>
      <w:r w:rsidR="008C4F24">
        <w:t>o</w:t>
      </w:r>
      <w:r>
        <w:t>n</w:t>
      </w:r>
      <w:r w:rsidR="008C4F24">
        <w:t xml:space="preserve"> Significant changes since the Draft R</w:t>
      </w:r>
      <w:r>
        <w:t>eport, Commission position paper CGC 2014-04, December 2014</w:t>
      </w:r>
    </w:p>
    <w:p w:rsidR="00597461" w:rsidRDefault="00597461" w:rsidP="00597461">
      <w:pPr>
        <w:pStyle w:val="CGCBulletlist"/>
        <w:numPr>
          <w:ilvl w:val="0"/>
          <w:numId w:val="11"/>
        </w:numPr>
        <w:tabs>
          <w:tab w:val="clear" w:pos="927"/>
        </w:tabs>
        <w:ind w:left="1134" w:hanging="567"/>
      </w:pPr>
      <w:r>
        <w:t>Victorian Response to Significant Changes Since the Draft Report, Department of Treasury and Finance, January 2015</w:t>
      </w:r>
    </w:p>
    <w:p w:rsidR="00597461" w:rsidRDefault="00597461" w:rsidP="00597461">
      <w:pPr>
        <w:pStyle w:val="CGCBulletlist"/>
        <w:numPr>
          <w:ilvl w:val="0"/>
          <w:numId w:val="11"/>
        </w:numPr>
        <w:tabs>
          <w:tab w:val="clear" w:pos="927"/>
        </w:tabs>
        <w:ind w:left="1134" w:hanging="567"/>
      </w:pPr>
      <w:r>
        <w:t>Queensland Treasury Response to Commission Position Paper CGC 2014-04 Significant changes since the Draft Report, January 2015</w:t>
      </w:r>
    </w:p>
    <w:p w:rsidR="00597461" w:rsidRDefault="00597461" w:rsidP="00597461">
      <w:pPr>
        <w:pStyle w:val="CGCBulletlist"/>
        <w:numPr>
          <w:ilvl w:val="0"/>
          <w:numId w:val="11"/>
        </w:numPr>
        <w:tabs>
          <w:tab w:val="clear" w:pos="927"/>
        </w:tabs>
        <w:ind w:left="1134" w:hanging="567"/>
      </w:pPr>
      <w:r>
        <w:t xml:space="preserve">Queensland Government Statistician’s Office, </w:t>
      </w:r>
      <w:r w:rsidRPr="006D5655">
        <w:t>CGC urban transport – 2015 QGSO review</w:t>
      </w:r>
      <w:r>
        <w:t>, January 2015</w:t>
      </w:r>
    </w:p>
    <w:p w:rsidR="00597461" w:rsidRDefault="00597461" w:rsidP="00597461">
      <w:pPr>
        <w:pStyle w:val="CGCBulletlist"/>
        <w:numPr>
          <w:ilvl w:val="0"/>
          <w:numId w:val="11"/>
        </w:numPr>
        <w:tabs>
          <w:tab w:val="clear" w:pos="927"/>
        </w:tabs>
        <w:ind w:left="1134" w:hanging="567"/>
      </w:pPr>
      <w:r>
        <w:t xml:space="preserve">Western Australian Submission to the Commonwealth Grants Commission 2015 Methodology Review, Response to the </w:t>
      </w:r>
      <w:r>
        <w:rPr>
          <w:i/>
        </w:rPr>
        <w:t>Significant Changes since the Draft Report</w:t>
      </w:r>
      <w:r>
        <w:t xml:space="preserve"> Commission Position Paper (CGC 2014</w:t>
      </w:r>
      <w:r>
        <w:noBreakHyphen/>
        <w:t>04), December 2014</w:t>
      </w:r>
    </w:p>
    <w:p w:rsidR="00597461" w:rsidRDefault="00597461" w:rsidP="00597461">
      <w:pPr>
        <w:pStyle w:val="CGCBulletlist"/>
        <w:numPr>
          <w:ilvl w:val="0"/>
          <w:numId w:val="11"/>
        </w:numPr>
        <w:tabs>
          <w:tab w:val="clear" w:pos="927"/>
        </w:tabs>
        <w:ind w:left="1134" w:hanging="567"/>
      </w:pPr>
      <w:r>
        <w:lastRenderedPageBreak/>
        <w:t>South Australian Submission on Significant Changes since the Draft Report —2015 Review, South Australian Department of Treasury and Finance, December 2014</w:t>
      </w:r>
    </w:p>
    <w:p w:rsidR="00597461" w:rsidRDefault="00597461" w:rsidP="00597461">
      <w:pPr>
        <w:pStyle w:val="CGCBulletlist"/>
        <w:numPr>
          <w:ilvl w:val="0"/>
          <w:numId w:val="11"/>
        </w:numPr>
        <w:tabs>
          <w:tab w:val="clear" w:pos="927"/>
        </w:tabs>
        <w:ind w:left="1134" w:hanging="567"/>
      </w:pPr>
      <w:r>
        <w:t>Tasmanian Government Submission in Response to the Commission Position Paper (CGC 2014-04) –</w:t>
      </w:r>
      <w:r w:rsidR="008C4F24">
        <w:t xml:space="preserve"> </w:t>
      </w:r>
      <w:r>
        <w:t>Significant Changes since the Draft Report, December 2014</w:t>
      </w:r>
    </w:p>
    <w:p w:rsidR="00597461" w:rsidRDefault="00597461" w:rsidP="00597461">
      <w:pPr>
        <w:pStyle w:val="CGCBulletlist"/>
        <w:numPr>
          <w:ilvl w:val="0"/>
          <w:numId w:val="11"/>
        </w:numPr>
        <w:tabs>
          <w:tab w:val="clear" w:pos="927"/>
        </w:tabs>
        <w:ind w:left="1134" w:hanging="567"/>
      </w:pPr>
      <w:r>
        <w:t>Australian Capital Territory</w:t>
      </w:r>
      <w:r w:rsidRPr="00CF0121">
        <w:t xml:space="preserve"> </w:t>
      </w:r>
      <w:r>
        <w:t>Response to</w:t>
      </w:r>
      <w:r w:rsidRPr="00CF0121">
        <w:t xml:space="preserve"> 2015 R</w:t>
      </w:r>
      <w:r>
        <w:t>eview</w:t>
      </w:r>
      <w:r w:rsidRPr="00CF0121">
        <w:t xml:space="preserve">: </w:t>
      </w:r>
      <w:r>
        <w:t>Significant Changes since the Draft Report</w:t>
      </w:r>
      <w:r w:rsidRPr="00CF0121">
        <w:t xml:space="preserve"> – Com</w:t>
      </w:r>
      <w:r w:rsidR="008C4F24">
        <w:t>mission Position Paper CGC 2014</w:t>
      </w:r>
      <w:r w:rsidRPr="00CF0121">
        <w:t>-04</w:t>
      </w:r>
      <w:r>
        <w:t>, December 2014</w:t>
      </w:r>
    </w:p>
    <w:p w:rsidR="00597461" w:rsidRPr="006D6D4D" w:rsidRDefault="00597461" w:rsidP="00597461">
      <w:pPr>
        <w:pStyle w:val="CGCBulletlist"/>
        <w:numPr>
          <w:ilvl w:val="0"/>
          <w:numId w:val="11"/>
        </w:numPr>
        <w:tabs>
          <w:tab w:val="clear" w:pos="927"/>
        </w:tabs>
        <w:ind w:left="1134" w:hanging="567"/>
      </w:pPr>
      <w:r>
        <w:t>Northern Territory Response to Commission Position Paper CGC 2014-04</w:t>
      </w:r>
      <w:r w:rsidR="008C4F24">
        <w:t> </w:t>
      </w:r>
      <w:r>
        <w:t>–</w:t>
      </w:r>
      <w:r w:rsidR="008C4F24">
        <w:t> </w:t>
      </w:r>
      <w:r>
        <w:t>Significant Changes Since The Draft Report, December 2014</w:t>
      </w:r>
    </w:p>
    <w:p w:rsidR="00597461" w:rsidRDefault="00597461" w:rsidP="00597461">
      <w:pPr>
        <w:pStyle w:val="Heading3"/>
      </w:pPr>
      <w:r>
        <w:t>Consultant</w:t>
      </w:r>
      <w:r w:rsidR="00EC179C">
        <w:t>s’</w:t>
      </w:r>
      <w:r>
        <w:t xml:space="preserve"> reports</w:t>
      </w:r>
    </w:p>
    <w:p w:rsidR="00597461" w:rsidRDefault="00597461" w:rsidP="00597461">
      <w:pPr>
        <w:pStyle w:val="CGCNumberedPara"/>
      </w:pPr>
      <w:r>
        <w:t xml:space="preserve">The Commission engaged a number of consultants to provide expert advice on a number of issues. Consultant reports prepared for the Commission for the 2015 Review are listed below. The reports are available on the </w:t>
      </w:r>
      <w:hyperlink r:id="rId39" w:history="1">
        <w:r w:rsidR="002A3AC6" w:rsidRPr="002A3AC6">
          <w:rPr>
            <w:rStyle w:val="Hyperlink"/>
          </w:rPr>
          <w:t>Commission’s website</w:t>
        </w:r>
      </w:hyperlink>
      <w:r w:rsidR="002A3AC6">
        <w:t xml:space="preserve"> (</w:t>
      </w:r>
      <w:r w:rsidR="002A3AC6" w:rsidRPr="002A3AC6">
        <w:t>https://cgc.gov.au/</w:t>
      </w:r>
      <w:r w:rsidR="002A3AC6">
        <w:t>)</w:t>
      </w:r>
      <w:r>
        <w:t>.</w:t>
      </w:r>
    </w:p>
    <w:p w:rsidR="00597461" w:rsidRDefault="00597461" w:rsidP="00597461">
      <w:pPr>
        <w:pStyle w:val="CGCBulletlist"/>
        <w:numPr>
          <w:ilvl w:val="0"/>
          <w:numId w:val="11"/>
        </w:numPr>
        <w:tabs>
          <w:tab w:val="clear" w:pos="927"/>
        </w:tabs>
        <w:ind w:left="1134" w:hanging="567"/>
      </w:pPr>
      <w:r w:rsidRPr="006C21AB">
        <w:rPr>
          <w:i/>
        </w:rPr>
        <w:t>Impact of environmental characteristics on asset costs</w:t>
      </w:r>
      <w:r>
        <w:t xml:space="preserve">, </w:t>
      </w:r>
      <w:proofErr w:type="spellStart"/>
      <w:r w:rsidRPr="00701DA7">
        <w:t>Pottinger</w:t>
      </w:r>
      <w:proofErr w:type="spellEnd"/>
      <w:r w:rsidRPr="00701DA7">
        <w:t xml:space="preserve"> and AECOM</w:t>
      </w:r>
      <w:r>
        <w:t xml:space="preserve">, </w:t>
      </w:r>
      <w:r w:rsidRPr="00701DA7">
        <w:t xml:space="preserve"> </w:t>
      </w:r>
      <w:r>
        <w:t>27 June 2013</w:t>
      </w:r>
    </w:p>
    <w:p w:rsidR="00597461" w:rsidRDefault="00597461" w:rsidP="00597461">
      <w:pPr>
        <w:pStyle w:val="CGCBulletlist"/>
        <w:numPr>
          <w:ilvl w:val="0"/>
          <w:numId w:val="11"/>
        </w:numPr>
        <w:tabs>
          <w:tab w:val="clear" w:pos="927"/>
        </w:tabs>
        <w:ind w:left="1134" w:hanging="567"/>
      </w:pPr>
      <w:r w:rsidRPr="006C21AB">
        <w:rPr>
          <w:i/>
        </w:rPr>
        <w:t>Report on econometric work conducted by CGC</w:t>
      </w:r>
      <w:r>
        <w:t xml:space="preserve">, </w:t>
      </w:r>
      <w:proofErr w:type="spellStart"/>
      <w:r>
        <w:t>Xiaodong</w:t>
      </w:r>
      <w:proofErr w:type="spellEnd"/>
      <w:r>
        <w:t xml:space="preserve"> Gong, IGPA, University of Canberra, July 2014</w:t>
      </w:r>
    </w:p>
    <w:p w:rsidR="00597461" w:rsidRDefault="00597461" w:rsidP="00597461">
      <w:pPr>
        <w:pStyle w:val="CGCBulletlist"/>
        <w:numPr>
          <w:ilvl w:val="0"/>
          <w:numId w:val="11"/>
        </w:numPr>
        <w:tabs>
          <w:tab w:val="clear" w:pos="927"/>
        </w:tabs>
        <w:ind w:left="1134" w:hanging="567"/>
      </w:pPr>
      <w:r w:rsidRPr="006C21AB">
        <w:rPr>
          <w:i/>
        </w:rPr>
        <w:t>Advice on the Commonwealth Grant Commission’s proposed health assessment for the 2015 Review</w:t>
      </w:r>
      <w:r>
        <w:t>, Elizabeth Savage, November 2014</w:t>
      </w:r>
    </w:p>
    <w:p w:rsidR="00597461" w:rsidRDefault="00597461" w:rsidP="00597461">
      <w:pPr>
        <w:pStyle w:val="CGCBulletlist"/>
        <w:numPr>
          <w:ilvl w:val="0"/>
          <w:numId w:val="11"/>
        </w:numPr>
        <w:tabs>
          <w:tab w:val="clear" w:pos="927"/>
        </w:tabs>
        <w:ind w:left="1134" w:hanging="567"/>
      </w:pPr>
      <w:r w:rsidRPr="006C21AB">
        <w:rPr>
          <w:i/>
        </w:rPr>
        <w:t>Conceptual Review of the Commonwealth Grants Commission Methodology for Health Assessment for the 2015 Review</w:t>
      </w:r>
      <w:r>
        <w:t xml:space="preserve">, James </w:t>
      </w:r>
      <w:proofErr w:type="spellStart"/>
      <w:r>
        <w:t>Downie</w:t>
      </w:r>
      <w:proofErr w:type="spellEnd"/>
      <w:r>
        <w:t>, November 2014</w:t>
      </w:r>
    </w:p>
    <w:p w:rsidR="00597461" w:rsidRDefault="00597461" w:rsidP="00597461">
      <w:pPr>
        <w:pStyle w:val="CGCBulletlist"/>
        <w:numPr>
          <w:ilvl w:val="0"/>
          <w:numId w:val="11"/>
        </w:numPr>
        <w:tabs>
          <w:tab w:val="clear" w:pos="927"/>
        </w:tabs>
        <w:ind w:left="1134" w:hanging="567"/>
      </w:pPr>
      <w:r w:rsidRPr="006C21AB">
        <w:rPr>
          <w:i/>
        </w:rPr>
        <w:t>Consultant's Advice on CGC's Decision Making Processes in the 2015 Review</w:t>
      </w:r>
      <w:r>
        <w:t xml:space="preserve">, </w:t>
      </w:r>
      <w:r w:rsidRPr="006C21AB">
        <w:t>Glenn Poole</w:t>
      </w:r>
      <w:r>
        <w:t>, 15 January 2015</w:t>
      </w:r>
    </w:p>
    <w:p w:rsidR="00597461" w:rsidRPr="00E0027D" w:rsidRDefault="00597461" w:rsidP="00597461">
      <w:pPr>
        <w:pStyle w:val="CGCBulletlist"/>
        <w:numPr>
          <w:ilvl w:val="0"/>
          <w:numId w:val="11"/>
        </w:numPr>
        <w:tabs>
          <w:tab w:val="clear" w:pos="927"/>
        </w:tabs>
        <w:ind w:left="1134" w:hanging="567"/>
      </w:pPr>
      <w:r>
        <w:rPr>
          <w:i/>
        </w:rPr>
        <w:t xml:space="preserve">Audit of Staff Compliance with Quality Assurance Processes, 2015 Review, </w:t>
      </w:r>
      <w:r w:rsidRPr="006C21AB">
        <w:t>Lace Wang, January 2015</w:t>
      </w:r>
    </w:p>
    <w:p w:rsidR="00597461" w:rsidRPr="00783305" w:rsidRDefault="00597461" w:rsidP="00597461">
      <w:pPr>
        <w:pStyle w:val="Heading4"/>
      </w:pPr>
    </w:p>
    <w:p w:rsidR="00CE57DC" w:rsidRDefault="00CE57DC" w:rsidP="00597461">
      <w:pPr>
        <w:sectPr w:rsidR="00CE57DC" w:rsidSect="00D22403">
          <w:headerReference w:type="default" r:id="rId40"/>
          <w:footerReference w:type="default" r:id="rId41"/>
          <w:headerReference w:type="first" r:id="rId42"/>
          <w:footerReference w:type="first" r:id="rId43"/>
          <w:footnotePr>
            <w:numRestart w:val="eachSect"/>
          </w:footnotePr>
          <w:pgSz w:w="11906" w:h="16838" w:code="9"/>
          <w:pgMar w:top="1701" w:right="1474" w:bottom="1701" w:left="1474" w:header="709" w:footer="709" w:gutter="0"/>
          <w:cols w:space="708"/>
          <w:titlePg/>
          <w:docGrid w:linePitch="360"/>
        </w:sectPr>
      </w:pPr>
    </w:p>
    <w:p w:rsidR="00111245" w:rsidRDefault="004A16B8" w:rsidP="00111245">
      <w:pPr>
        <w:pStyle w:val="Heading1"/>
      </w:pPr>
      <w:r>
        <w:rPr>
          <w:caps w:val="0"/>
        </w:rPr>
        <w:lastRenderedPageBreak/>
        <w:t>ATTACHMENT 8</w:t>
      </w:r>
    </w:p>
    <w:p w:rsidR="00111245" w:rsidRPr="004E6DEE" w:rsidRDefault="00FC647D" w:rsidP="00111245">
      <w:pPr>
        <w:pStyle w:val="Heading2"/>
      </w:pPr>
      <w:r>
        <w:rPr>
          <w:caps w:val="0"/>
        </w:rPr>
        <w:t>COMMISSION TERMINOLOGY</w:t>
      </w:r>
    </w:p>
    <w:p w:rsidR="00111245" w:rsidRDefault="00111245" w:rsidP="00111245">
      <w:pPr>
        <w:pStyle w:val="CGCNumberedPara"/>
        <w:numPr>
          <w:ilvl w:val="1"/>
          <w:numId w:val="26"/>
        </w:numPr>
      </w:pPr>
      <w:r>
        <w:t>The Commission aims to keep the language it uses as simple as possible to make its reports and other documents more accessible. That said</w:t>
      </w:r>
      <w:proofErr w:type="gramStart"/>
      <w:r>
        <w:t>,</w:t>
      </w:r>
      <w:proofErr w:type="gramEnd"/>
      <w:r>
        <w:t xml:space="preserve"> there will always be a need for special terms to describe some concepts. This attachment provides a list of the main terms that have a meaning specific to the Commission.</w:t>
      </w:r>
    </w:p>
    <w:p w:rsidR="00111245" w:rsidRDefault="00111245" w:rsidP="00111245">
      <w:pPr>
        <w:pStyle w:val="CGCNumberedPara"/>
      </w:pPr>
      <w:r>
        <w:t>Note</w:t>
      </w:r>
      <w:proofErr w:type="gramStart"/>
      <w:r>
        <w:t>,</w:t>
      </w:r>
      <w:proofErr w:type="gramEnd"/>
      <w:r>
        <w:t xml:space="preserve"> the term ‘State(s)’ includes the Australian Capital Territory and the Northern Territory. The term ‘average’ refers to the average of all the States as defined. Where a defined term is used in a definition of another term, it is shown in italics.</w:t>
      </w:r>
    </w:p>
    <w:p w:rsidR="00111245" w:rsidRDefault="00D24D46" w:rsidP="00111245">
      <w:pPr>
        <w:pStyle w:val="Heading3"/>
      </w:pPr>
      <w:r>
        <w:t>Terms</w:t>
      </w:r>
    </w:p>
    <w:p w:rsidR="00111245" w:rsidRPr="000A3D59" w:rsidRDefault="00111245" w:rsidP="00111245">
      <w:pPr>
        <w:pStyle w:val="CGCterminologylabel"/>
      </w:pPr>
      <w:proofErr w:type="gramStart"/>
      <w:r w:rsidRPr="000A3D59">
        <w:t>actual</w:t>
      </w:r>
      <w:proofErr w:type="gramEnd"/>
      <w:r w:rsidRPr="000A3D59">
        <w:t xml:space="preserve"> per capita assessment method </w:t>
      </w:r>
    </w:p>
    <w:p w:rsidR="00111245" w:rsidRDefault="00111245" w:rsidP="00111245">
      <w:r>
        <w:t>The assessed expense or revenue for each State is set equal to its actual expense or revenue. It is used when, in the Commission’s judgment, the policies of all States are the same and any differences in expenses or revenue per capita are due to differences in State circumstances.</w:t>
      </w:r>
    </w:p>
    <w:p w:rsidR="00111245" w:rsidRPr="000A3D59" w:rsidRDefault="00111245" w:rsidP="00111245">
      <w:pPr>
        <w:pStyle w:val="CGCterminologylabel"/>
      </w:pPr>
      <w:proofErr w:type="gramStart"/>
      <w:r w:rsidRPr="000A3D59">
        <w:t>adjusted</w:t>
      </w:r>
      <w:proofErr w:type="gramEnd"/>
      <w:r w:rsidRPr="000A3D59">
        <w:t xml:space="preserve"> budget</w:t>
      </w:r>
    </w:p>
    <w:p w:rsidR="00111245" w:rsidRDefault="00111245" w:rsidP="00111245">
      <w:proofErr w:type="gramStart"/>
      <w:r>
        <w:t>A representation of State budgets used by the Commission to calculate the average per capita revenue and expenditures.</w:t>
      </w:r>
      <w:proofErr w:type="gramEnd"/>
      <w:r>
        <w:t xml:space="preserve"> The scope of the adjusted budget covers </w:t>
      </w:r>
      <w:r w:rsidRPr="00671A53">
        <w:t xml:space="preserve">all transactions of the State general government sector </w:t>
      </w:r>
      <w:r w:rsidR="00C861A8">
        <w:t>and urban transport and social housing public non</w:t>
      </w:r>
      <w:r w:rsidR="00C861A8">
        <w:noBreakHyphen/>
        <w:t xml:space="preserve">financial corporations, </w:t>
      </w:r>
      <w:r w:rsidR="00C861A8" w:rsidRPr="00671A53">
        <w:t>which</w:t>
      </w:r>
      <w:r w:rsidRPr="00671A53">
        <w:t xml:space="preserve"> are in whole or part financed by GST revenue</w:t>
      </w:r>
      <w:r>
        <w:t xml:space="preserve">. </w:t>
      </w:r>
      <w:r w:rsidR="00C861A8">
        <w:t>For more information on the adjusted budget see Attachment 3.</w:t>
      </w:r>
    </w:p>
    <w:p w:rsidR="00111245" w:rsidRPr="000A3D59" w:rsidRDefault="00111245" w:rsidP="00111245">
      <w:pPr>
        <w:pStyle w:val="CGCterminologylabel"/>
      </w:pPr>
      <w:proofErr w:type="gramStart"/>
      <w:r w:rsidRPr="000A3D59">
        <w:t>administrative</w:t>
      </w:r>
      <w:proofErr w:type="gramEnd"/>
      <w:r w:rsidRPr="000A3D59">
        <w:t xml:space="preserve"> scale disability</w:t>
      </w:r>
    </w:p>
    <w:p w:rsidR="00111245" w:rsidRDefault="00111245" w:rsidP="00111245">
      <w:r>
        <w:t>A disability that measures differences in costs which States incur in providing the minimum level of administration and policy development required to deliver services. It relates to core head office functions and to specialised State</w:t>
      </w:r>
      <w:r w:rsidR="00017847">
        <w:t>-</w:t>
      </w:r>
      <w:r>
        <w:t xml:space="preserve">wide services provided centrally. </w:t>
      </w:r>
    </w:p>
    <w:p w:rsidR="00111245" w:rsidRPr="000A3D59" w:rsidRDefault="00111245" w:rsidP="00111245">
      <w:pPr>
        <w:pStyle w:val="CGCterminologylabel"/>
      </w:pPr>
      <w:proofErr w:type="gramStart"/>
      <w:r w:rsidRPr="000A3D59">
        <w:t>application</w:t>
      </w:r>
      <w:proofErr w:type="gramEnd"/>
      <w:r w:rsidRPr="000A3D59">
        <w:t xml:space="preserve"> year</w:t>
      </w:r>
    </w:p>
    <w:p w:rsidR="00111245" w:rsidRDefault="00111245" w:rsidP="00111245">
      <w:r>
        <w:t>The year in which the relativities assessed are to be used to distribute the GST revenue. In this review, the year of application is 2015-16.</w:t>
      </w:r>
    </w:p>
    <w:p w:rsidR="00111245" w:rsidRDefault="00111245" w:rsidP="00111245">
      <w:pPr>
        <w:pStyle w:val="CGCterminologylabel"/>
      </w:pPr>
      <w:proofErr w:type="gramStart"/>
      <w:r>
        <w:lastRenderedPageBreak/>
        <w:t>assessed</w:t>
      </w:r>
      <w:proofErr w:type="gramEnd"/>
      <w:r>
        <w:t xml:space="preserve"> capital requirements ratio</w:t>
      </w:r>
    </w:p>
    <w:p w:rsidR="00111245" w:rsidRDefault="00111245" w:rsidP="00111245">
      <w:r>
        <w:t>A ratio of a State’s assessed capital requirements per capita to the Australian average capital requirement per capita. The assessed capital requirements are what a State would have needed to invest or lend/borrow (net) to have the Australian average level of capital.</w:t>
      </w:r>
    </w:p>
    <w:p w:rsidR="00111245" w:rsidRDefault="00111245" w:rsidP="00111245">
      <w:pPr>
        <w:pStyle w:val="CGCterminologylabel"/>
      </w:pPr>
      <w:proofErr w:type="gramStart"/>
      <w:r>
        <w:t>assessed</w:t>
      </w:r>
      <w:proofErr w:type="gramEnd"/>
      <w:r>
        <w:t xml:space="preserve"> differences (also known as needs)</w:t>
      </w:r>
    </w:p>
    <w:p w:rsidR="00111245" w:rsidRDefault="00111245" w:rsidP="00111245">
      <w:proofErr w:type="gramStart"/>
      <w:r>
        <w:t>The financial impact on a State’s budget of its disabilities.</w:t>
      </w:r>
      <w:proofErr w:type="gramEnd"/>
      <w:r>
        <w:t xml:space="preserve"> They are measured, for example, as the difference between assessed expenses and average expenses, average revenue and assessed revenue. Assessed differences can be either positive or negative.  </w:t>
      </w:r>
    </w:p>
    <w:p w:rsidR="00111245" w:rsidRDefault="00111245" w:rsidP="00111245">
      <w:pPr>
        <w:pStyle w:val="CGCterminologylabel"/>
      </w:pPr>
      <w:proofErr w:type="gramStart"/>
      <w:r>
        <w:t>assessed</w:t>
      </w:r>
      <w:proofErr w:type="gramEnd"/>
      <w:r>
        <w:t xml:space="preserve"> expenses</w:t>
      </w:r>
    </w:p>
    <w:p w:rsidR="00111245" w:rsidRDefault="00111245" w:rsidP="00111245">
      <w:r>
        <w:t>The expenses a State would incur if it were to follow average expense policies, allowing for the disabilities it faces in providing services, and assuming it provides services at the average level of efficiency. Assessed expenses equal assessed service use multiplied by assessed unit cost. Assessed expenses exclude differences from the average due to policy choices under the control of a State.</w:t>
      </w:r>
    </w:p>
    <w:p w:rsidR="00111245" w:rsidRDefault="00111245" w:rsidP="00111245">
      <w:pPr>
        <w:pStyle w:val="CGCterminologylabel"/>
      </w:pPr>
      <w:proofErr w:type="gramStart"/>
      <w:r>
        <w:t>assessed</w:t>
      </w:r>
      <w:proofErr w:type="gramEnd"/>
      <w:r>
        <w:t xml:space="preserve"> GST requirement</w:t>
      </w:r>
    </w:p>
    <w:p w:rsidR="00111245" w:rsidRDefault="00111245" w:rsidP="00111245">
      <w:proofErr w:type="gramStart"/>
      <w:r>
        <w:t>A State’s requirement for funds from GST revenue.</w:t>
      </w:r>
      <w:proofErr w:type="gramEnd"/>
      <w:r>
        <w:t xml:space="preserve"> It is measured as its assessed expenses, plus its assessed investment, less its assessed revenue, less assessed Commonwealth payments plus its assessed investment less assessed net borrowing.</w:t>
      </w:r>
    </w:p>
    <w:p w:rsidR="00111245" w:rsidRDefault="00111245" w:rsidP="00111245">
      <w:pPr>
        <w:pStyle w:val="CGCterminologylabel"/>
      </w:pPr>
      <w:proofErr w:type="gramStart"/>
      <w:r>
        <w:t>assessed</w:t>
      </w:r>
      <w:proofErr w:type="gramEnd"/>
      <w:r>
        <w:t xml:space="preserve"> investment</w:t>
      </w:r>
    </w:p>
    <w:p w:rsidR="00111245" w:rsidRDefault="00111245" w:rsidP="00111245">
      <w:r>
        <w:t xml:space="preserve">The expenditure on new infrastructure a State would incur if it were to follow average policies, allowing for disabilities it faces in providing infrastructure, and assuming it requires the average level of infrastructure to deliver the average level of services. Assessed investment excludes differences from the average due to policy choices under the control of that State. </w:t>
      </w:r>
    </w:p>
    <w:p w:rsidR="00111245" w:rsidRDefault="00111245" w:rsidP="00111245">
      <w:pPr>
        <w:pStyle w:val="CGCterminologylabel"/>
      </w:pPr>
      <w:proofErr w:type="gramStart"/>
      <w:r>
        <w:t>assessed</w:t>
      </w:r>
      <w:proofErr w:type="gramEnd"/>
      <w:r>
        <w:t xml:space="preserve"> net lending/borrowing</w:t>
      </w:r>
    </w:p>
    <w:p w:rsidR="00111245" w:rsidRDefault="00111245" w:rsidP="00111245">
      <w:proofErr w:type="gramStart"/>
      <w:r>
        <w:t>The transaction-based change in net financial worth that a State would require to achieve the average net financial worth at the end of each year.</w:t>
      </w:r>
      <w:proofErr w:type="gramEnd"/>
      <w:r>
        <w:t xml:space="preserve"> The Commission’s method for calculating assessed net lending/borrowing assumes that each State has the average net financial worth at the start of each year.</w:t>
      </w:r>
    </w:p>
    <w:p w:rsidR="00111245" w:rsidRDefault="00111245" w:rsidP="00111245">
      <w:pPr>
        <w:pStyle w:val="CGCterminologylabel"/>
      </w:pPr>
      <w:proofErr w:type="gramStart"/>
      <w:r>
        <w:t>assessed</w:t>
      </w:r>
      <w:proofErr w:type="gramEnd"/>
      <w:r>
        <w:t xml:space="preserve"> revenue</w:t>
      </w:r>
    </w:p>
    <w:p w:rsidR="00111245" w:rsidRDefault="00111245" w:rsidP="00111245">
      <w:r>
        <w:t xml:space="preserve">The revenue a State would </w:t>
      </w:r>
      <w:proofErr w:type="gramStart"/>
      <w:r>
        <w:t>raise</w:t>
      </w:r>
      <w:proofErr w:type="gramEnd"/>
      <w:r>
        <w:t xml:space="preserve"> if it were to apply the average policies to its revenue base, and raised revenue at the average level of efficiency. Assessed revenue excludes differences from the average due to policy choices under the control of that State, for example a higher or lower tax rate applied by a State compared to the average.</w:t>
      </w:r>
    </w:p>
    <w:p w:rsidR="00111245" w:rsidRDefault="00111245" w:rsidP="00111245">
      <w:pPr>
        <w:pStyle w:val="CGCterminologylabel"/>
      </w:pPr>
      <w:proofErr w:type="gramStart"/>
      <w:r>
        <w:t>assessed</w:t>
      </w:r>
      <w:proofErr w:type="gramEnd"/>
      <w:r>
        <w:t xml:space="preserve"> service use</w:t>
      </w:r>
    </w:p>
    <w:p w:rsidR="00111245" w:rsidRDefault="00111245" w:rsidP="00111245">
      <w:r>
        <w:t xml:space="preserve">The use assessed by the Commission for a State to achieve average service delivery to its population. Assessed service use can be influenced by many things especially the demographics of the State's population (for example, percentage of low income people, </w:t>
      </w:r>
      <w:r>
        <w:lastRenderedPageBreak/>
        <w:t>percentage in remote communities) and geography (which influences, for example, length of roads).</w:t>
      </w:r>
    </w:p>
    <w:p w:rsidR="00111245" w:rsidRDefault="00111245" w:rsidP="00111245">
      <w:pPr>
        <w:pStyle w:val="CGCterminologylabel"/>
      </w:pPr>
      <w:proofErr w:type="gramStart"/>
      <w:r>
        <w:t>assessed</w:t>
      </w:r>
      <w:proofErr w:type="gramEnd"/>
      <w:r>
        <w:t xml:space="preserve"> unit cost (of a service)</w:t>
      </w:r>
    </w:p>
    <w:p w:rsidR="00111245" w:rsidRDefault="00111245" w:rsidP="00111245">
      <w:r>
        <w:t>The cost per unit of service assessed by the Commission for a State to deliver a particular service to a particular segment of the population at the average standard (for example, cost per student of State primary education). The assessed unit cost can differ for different population groups.</w:t>
      </w:r>
    </w:p>
    <w:p w:rsidR="00111245" w:rsidRDefault="00111245" w:rsidP="00111245">
      <w:pPr>
        <w:pStyle w:val="CGCterminologylabel"/>
      </w:pPr>
      <w:proofErr w:type="gramStart"/>
      <w:r>
        <w:t>assessment</w:t>
      </w:r>
      <w:proofErr w:type="gramEnd"/>
      <w:r>
        <w:t xml:space="preserve"> years</w:t>
      </w:r>
    </w:p>
    <w:p w:rsidR="00111245" w:rsidRDefault="00111245" w:rsidP="00111245">
      <w:r>
        <w:t xml:space="preserve">The financial years used in a review or an update to calculate relativities. The Commission uses data for </w:t>
      </w:r>
      <w:r w:rsidR="00017847">
        <w:t xml:space="preserve">three </w:t>
      </w:r>
      <w:r>
        <w:t>financial years. For example, the relativities recommended in the 2015 Review are based on the average of three annual relativities calculated for the most recent completed financial years at the time the relativities are released (2011</w:t>
      </w:r>
      <w:r>
        <w:noBreakHyphen/>
        <w:t>12 to 2013</w:t>
      </w:r>
      <w:r>
        <w:noBreakHyphen/>
        <w:t>14).</w:t>
      </w:r>
    </w:p>
    <w:p w:rsidR="00111245" w:rsidRDefault="00111245" w:rsidP="00111245">
      <w:pPr>
        <w:pStyle w:val="CGCterminologylabel"/>
      </w:pPr>
      <w:proofErr w:type="gramStart"/>
      <w:r>
        <w:t>average</w:t>
      </w:r>
      <w:proofErr w:type="gramEnd"/>
      <w:r>
        <w:t xml:space="preserve"> (or Australian average)</w:t>
      </w:r>
    </w:p>
    <w:p w:rsidR="00111245" w:rsidRDefault="00111245" w:rsidP="00111245">
      <w:proofErr w:type="gramStart"/>
      <w:r>
        <w:t>The benchmark against which the performance or characteristics of a State are assessed.</w:t>
      </w:r>
      <w:proofErr w:type="gramEnd"/>
      <w:r>
        <w:t xml:space="preserve"> </w:t>
      </w:r>
    </w:p>
    <w:p w:rsidR="00111245" w:rsidRDefault="00111245" w:rsidP="00111245">
      <w:r>
        <w:t xml:space="preserve">It is an average derived from the policies or financial data of all States, and hence may be a financial average or a policy average. </w:t>
      </w:r>
    </w:p>
    <w:p w:rsidR="00111245" w:rsidRDefault="00111245" w:rsidP="00111245">
      <w:pPr>
        <w:pStyle w:val="CGCterminologylabel"/>
      </w:pPr>
      <w:proofErr w:type="gramStart"/>
      <w:r>
        <w:t>average</w:t>
      </w:r>
      <w:proofErr w:type="gramEnd"/>
      <w:r>
        <w:t xml:space="preserve"> expenses</w:t>
      </w:r>
    </w:p>
    <w:p w:rsidR="00111245" w:rsidRDefault="00111245" w:rsidP="00111245">
      <w:proofErr w:type="gramStart"/>
      <w:r>
        <w:t>The average per capita expense, in a category, a group of categories or in total.</w:t>
      </w:r>
      <w:proofErr w:type="gramEnd"/>
      <w:r>
        <w:t xml:space="preserve"> It is calculated as the sum of expenses of all States, divided by the Australian population.</w:t>
      </w:r>
    </w:p>
    <w:p w:rsidR="00111245" w:rsidRDefault="00111245" w:rsidP="00111245">
      <w:pPr>
        <w:pStyle w:val="CGCterminologylabel"/>
      </w:pPr>
      <w:proofErr w:type="gramStart"/>
      <w:r>
        <w:t>average</w:t>
      </w:r>
      <w:proofErr w:type="gramEnd"/>
      <w:r>
        <w:t xml:space="preserve"> revenue</w:t>
      </w:r>
    </w:p>
    <w:p w:rsidR="00111245" w:rsidRDefault="00111245" w:rsidP="00111245">
      <w:proofErr w:type="gramStart"/>
      <w:r>
        <w:t>The average per capita revenue, in a category, a group of categories or in total.</w:t>
      </w:r>
      <w:proofErr w:type="gramEnd"/>
      <w:r>
        <w:t xml:space="preserve"> It is calculated as the sum of State revenues, divided by the Australian population.</w:t>
      </w:r>
    </w:p>
    <w:p w:rsidR="00111245" w:rsidRDefault="00111245" w:rsidP="00111245">
      <w:pPr>
        <w:pStyle w:val="CGCterminologylabel"/>
      </w:pPr>
      <w:proofErr w:type="spellStart"/>
      <w:proofErr w:type="gramStart"/>
      <w:r>
        <w:t>backcasting</w:t>
      </w:r>
      <w:proofErr w:type="spellEnd"/>
      <w:proofErr w:type="gramEnd"/>
    </w:p>
    <w:p w:rsidR="00111245" w:rsidRDefault="00111245" w:rsidP="00111245">
      <w:r>
        <w:t xml:space="preserve">Changes made to figures for assessment years to reflect current or future Commonwealth or State policies. </w:t>
      </w:r>
      <w:proofErr w:type="spellStart"/>
      <w:r>
        <w:t>Backcasting</w:t>
      </w:r>
      <w:proofErr w:type="spellEnd"/>
      <w:r>
        <w:t xml:space="preserve"> is mainly used to reflect major changes in federal financial arrangements. Where required by the Commission's terms of reference, it has also been used to reflect other changes, such as the replacement of one tax with another tax or the abolition of a tax. In effect, </w:t>
      </w:r>
      <w:proofErr w:type="spellStart"/>
      <w:r>
        <w:t>backcasting</w:t>
      </w:r>
      <w:proofErr w:type="spellEnd"/>
      <w:r>
        <w:t xml:space="preserve"> produces notional financial data that simulate a changed distribution of a Commonwealth payment or State revenue collection before they may have actually changed. Actual figures for the assessment period are adjusted to reflect what is </w:t>
      </w:r>
      <w:r w:rsidR="007E500F">
        <w:t xml:space="preserve">reliably </w:t>
      </w:r>
      <w:r>
        <w:t>known to be happening in the application year.</w:t>
      </w:r>
    </w:p>
    <w:p w:rsidR="00111245" w:rsidRDefault="00111245" w:rsidP="00111245">
      <w:proofErr w:type="spellStart"/>
      <w:r>
        <w:t>Backcasting</w:t>
      </w:r>
      <w:proofErr w:type="spellEnd"/>
      <w:r>
        <w:t xml:space="preserve"> is also used to refer to estimating population for periods before June 2011, using the 2011 Census based estimates, and independent estimates of births, deaths and net migration. </w:t>
      </w:r>
    </w:p>
    <w:p w:rsidR="00111245" w:rsidRDefault="00111245" w:rsidP="00111245">
      <w:pPr>
        <w:pStyle w:val="CGCterminologylabel"/>
      </w:pPr>
      <w:proofErr w:type="gramStart"/>
      <w:r>
        <w:lastRenderedPageBreak/>
        <w:t>capital</w:t>
      </w:r>
      <w:proofErr w:type="gramEnd"/>
      <w:r>
        <w:t xml:space="preserve"> assessments</w:t>
      </w:r>
    </w:p>
    <w:p w:rsidR="00111245" w:rsidRDefault="00111245" w:rsidP="00111245">
      <w:r>
        <w:t xml:space="preserve">In this report, the term capital refers to the Investment, Depreciation and Net borrowing assessments. </w:t>
      </w:r>
    </w:p>
    <w:p w:rsidR="00111245" w:rsidRDefault="00111245" w:rsidP="00111245">
      <w:pPr>
        <w:pStyle w:val="CGCterminologylabel"/>
      </w:pPr>
      <w:proofErr w:type="gramStart"/>
      <w:r>
        <w:t>category</w:t>
      </w:r>
      <w:proofErr w:type="gramEnd"/>
    </w:p>
    <w:p w:rsidR="00111245" w:rsidRDefault="00111245" w:rsidP="00111245">
      <w:proofErr w:type="gramStart"/>
      <w:r>
        <w:t xml:space="preserve">A classification of </w:t>
      </w:r>
      <w:r w:rsidR="00017847">
        <w:t>in-scope</w:t>
      </w:r>
      <w:r>
        <w:t xml:space="preserve"> transactions relating to distinct services or revenue sources, used for analytical purposes.</w:t>
      </w:r>
      <w:proofErr w:type="gramEnd"/>
      <w:r>
        <w:t xml:space="preserve"> In this review, the adjusted budget is divided into Commonwealth payments, six specific revenue categories, </w:t>
      </w:r>
      <w:r w:rsidR="008E1917">
        <w:t xml:space="preserve">twelve </w:t>
      </w:r>
      <w:r>
        <w:t>specific expenditure categories</w:t>
      </w:r>
      <w:r w:rsidR="00017847">
        <w:t>, net borrowing</w:t>
      </w:r>
      <w:r>
        <w:t xml:space="preserve"> and two residual (or other) categories — one for revenue and one for expenditure. </w:t>
      </w:r>
    </w:p>
    <w:p w:rsidR="00111245" w:rsidRDefault="00111245" w:rsidP="00111245">
      <w:pPr>
        <w:pStyle w:val="CGCterminologylabel"/>
      </w:pPr>
      <w:proofErr w:type="gramStart"/>
      <w:r>
        <w:t>category</w:t>
      </w:r>
      <w:proofErr w:type="gramEnd"/>
      <w:r>
        <w:t xml:space="preserve"> factor</w:t>
      </w:r>
    </w:p>
    <w:p w:rsidR="00111245" w:rsidRDefault="00111245" w:rsidP="00111245">
      <w:r>
        <w:t>The combined result of all the disability factors in a category, or where the category is made up of multiple components, the combined disability factors for all of those components.</w:t>
      </w:r>
    </w:p>
    <w:p w:rsidR="00111245" w:rsidRDefault="00111245" w:rsidP="00111245">
      <w:pPr>
        <w:pStyle w:val="CGCterminologylabel"/>
      </w:pPr>
      <w:r>
        <w:t>Commonwealth payments</w:t>
      </w:r>
    </w:p>
    <w:p w:rsidR="00111245" w:rsidRDefault="00111245" w:rsidP="00111245">
      <w:r>
        <w:t>Payments to States made by the Australian Government, including general revenue grants, National specific purpose payments (SPPs), National partnership payments (NPPs) and Commonwealth own purpose expenses. The Commission examines the purpose of each payment using established guidelines to decide whether the payment has an impact on State fiscal capacities.</w:t>
      </w:r>
    </w:p>
    <w:p w:rsidR="00111245" w:rsidRDefault="00111245" w:rsidP="00111245">
      <w:pPr>
        <w:pStyle w:val="CGCterminologylabel"/>
      </w:pPr>
      <w:proofErr w:type="gramStart"/>
      <w:r>
        <w:t>component</w:t>
      </w:r>
      <w:proofErr w:type="gramEnd"/>
    </w:p>
    <w:p w:rsidR="00111245" w:rsidRDefault="00111245" w:rsidP="00111245">
      <w:r>
        <w:t>A part of an expense or revenue category that is separated from others in the category because different disability factors apply to it.</w:t>
      </w:r>
    </w:p>
    <w:p w:rsidR="00111245" w:rsidRDefault="00111245" w:rsidP="00111245">
      <w:pPr>
        <w:pStyle w:val="CGCterminologylabel"/>
      </w:pPr>
      <w:proofErr w:type="gramStart"/>
      <w:r>
        <w:t>cost</w:t>
      </w:r>
      <w:proofErr w:type="gramEnd"/>
      <w:r>
        <w:t xml:space="preserve"> of service ratio</w:t>
      </w:r>
    </w:p>
    <w:p w:rsidR="00111245" w:rsidRDefault="00111245" w:rsidP="00111245">
      <w:r>
        <w:t>A State’s per capita cost of providing services at average standards, relative to the average per capita cost. It is calculated by dividing per capita assessed expenses by per capita average expenses.</w:t>
      </w:r>
    </w:p>
    <w:p w:rsidR="00111245" w:rsidRDefault="00111245" w:rsidP="00111245">
      <w:pPr>
        <w:pStyle w:val="CGCterminologylabel"/>
      </w:pPr>
      <w:proofErr w:type="gramStart"/>
      <w:r>
        <w:t>cross-border</w:t>
      </w:r>
      <w:proofErr w:type="gramEnd"/>
      <w:r>
        <w:t xml:space="preserve"> factor</w:t>
      </w:r>
    </w:p>
    <w:p w:rsidR="00111245" w:rsidRDefault="00111245" w:rsidP="00111245">
      <w:proofErr w:type="gramStart"/>
      <w:r>
        <w:t>A disability factor that measures the net effects on a State’s costs of the use of its services by residents of other States and vice versa.</w:t>
      </w:r>
      <w:proofErr w:type="gramEnd"/>
      <w:r>
        <w:t xml:space="preserve"> </w:t>
      </w:r>
    </w:p>
    <w:p w:rsidR="00111245" w:rsidRDefault="00111245" w:rsidP="00111245">
      <w:pPr>
        <w:pStyle w:val="CGCterminologylabel"/>
      </w:pPr>
      <w:proofErr w:type="gramStart"/>
      <w:r>
        <w:t>disability</w:t>
      </w:r>
      <w:proofErr w:type="gramEnd"/>
    </w:p>
    <w:p w:rsidR="00111245" w:rsidRDefault="00111245" w:rsidP="00111245">
      <w:r>
        <w:t>An influence beyond a State’s control that requires it:</w:t>
      </w:r>
    </w:p>
    <w:p w:rsidR="00111245" w:rsidRDefault="00111245" w:rsidP="00111245">
      <w:pPr>
        <w:pStyle w:val="CGCBulletlist"/>
        <w:numPr>
          <w:ilvl w:val="0"/>
          <w:numId w:val="11"/>
        </w:numPr>
        <w:tabs>
          <w:tab w:val="clear" w:pos="927"/>
        </w:tabs>
        <w:ind w:left="1134" w:hanging="567"/>
      </w:pPr>
      <w:r>
        <w:t xml:space="preserve">to spend more (or less) per capita than the average to provide the average level of service, or </w:t>
      </w:r>
    </w:p>
    <w:p w:rsidR="00111245" w:rsidRDefault="00111245" w:rsidP="00111245">
      <w:pPr>
        <w:pStyle w:val="CGCBulletlist"/>
        <w:numPr>
          <w:ilvl w:val="0"/>
          <w:numId w:val="11"/>
        </w:numPr>
        <w:tabs>
          <w:tab w:val="clear" w:pos="927"/>
        </w:tabs>
        <w:ind w:left="1134" w:hanging="567"/>
      </w:pPr>
      <w:proofErr w:type="gramStart"/>
      <w:r>
        <w:t>to</w:t>
      </w:r>
      <w:proofErr w:type="gramEnd"/>
      <w:r>
        <w:t xml:space="preserve"> make a greater (or lesser) effort than the average to raise the average amount of revenue per capita. </w:t>
      </w:r>
    </w:p>
    <w:p w:rsidR="00111245" w:rsidRDefault="00111245" w:rsidP="00111245">
      <w:pPr>
        <w:pStyle w:val="CGCterminologylabel"/>
      </w:pPr>
      <w:proofErr w:type="gramStart"/>
      <w:r>
        <w:lastRenderedPageBreak/>
        <w:t>disability</w:t>
      </w:r>
      <w:proofErr w:type="gramEnd"/>
      <w:r>
        <w:t xml:space="preserve"> factor</w:t>
      </w:r>
    </w:p>
    <w:p w:rsidR="00111245" w:rsidRDefault="00111245" w:rsidP="00111245">
      <w:r>
        <w:t>A measure of a State’s use, cost or revenue raising disability, expressed as a ratio of the State's use, assessed cost or assessed revenue over the corresponding average figure. Policy differences between States are specifically excluded when calculating disability factors. The population weighted average of a disability factor is 1.0.</w:t>
      </w:r>
    </w:p>
    <w:p w:rsidR="00111245" w:rsidRDefault="00111245" w:rsidP="00111245">
      <w:pPr>
        <w:pStyle w:val="CGCterminologylabel"/>
      </w:pPr>
      <w:proofErr w:type="gramStart"/>
      <w:r>
        <w:t>discounting</w:t>
      </w:r>
      <w:proofErr w:type="gramEnd"/>
    </w:p>
    <w:p w:rsidR="00111245" w:rsidRDefault="00111245" w:rsidP="00111245">
      <w:r>
        <w:t xml:space="preserve">Where a case for including a disability in a category is established by the Commission, but the measure of that disability is affected by imperfect data or methods, the Commission may decide to discount. When an assessment is to be discounted, a uniform set of discounts is used (12.5%, 25% or 50%), with higher discounts being applied where there is less confidence in the outcome of the assessment or more concern attached to the information. </w:t>
      </w:r>
    </w:p>
    <w:p w:rsidR="00111245" w:rsidRDefault="00111245" w:rsidP="00111245">
      <w:pPr>
        <w:pStyle w:val="CGCterminologylabel"/>
      </w:pPr>
      <w:proofErr w:type="gramStart"/>
      <w:r>
        <w:t>distribution</w:t>
      </w:r>
      <w:proofErr w:type="gramEnd"/>
    </w:p>
    <w:p w:rsidR="00111245" w:rsidRDefault="00111245" w:rsidP="00111245">
      <w:r>
        <w:t>State shares of GST as determined by the relativities.</w:t>
      </w:r>
    </w:p>
    <w:p w:rsidR="00111245" w:rsidRDefault="00111245" w:rsidP="00111245">
      <w:pPr>
        <w:pStyle w:val="CGCterminologylabel"/>
      </w:pPr>
      <w:proofErr w:type="gramStart"/>
      <w:r>
        <w:t>distribution</w:t>
      </w:r>
      <w:proofErr w:type="gramEnd"/>
      <w:r>
        <w:t xml:space="preserve"> model</w:t>
      </w:r>
    </w:p>
    <w:p w:rsidR="00111245" w:rsidRDefault="00111245" w:rsidP="00111245">
      <w:proofErr w:type="gramStart"/>
      <w:r>
        <w:t>A formulation, mathematical or otherwise, of the way in which relativities are calculated.</w:t>
      </w:r>
      <w:proofErr w:type="gramEnd"/>
    </w:p>
    <w:p w:rsidR="00111245" w:rsidRDefault="00111245" w:rsidP="00111245">
      <w:pPr>
        <w:pStyle w:val="CGCterminologylabel"/>
      </w:pPr>
      <w:proofErr w:type="gramStart"/>
      <w:r>
        <w:t>equal</w:t>
      </w:r>
      <w:proofErr w:type="gramEnd"/>
      <w:r>
        <w:t xml:space="preserve"> per capita assessment method (EPC) </w:t>
      </w:r>
    </w:p>
    <w:p w:rsidR="00111245" w:rsidRDefault="00111245" w:rsidP="00111245">
      <w:r>
        <w:t>Each State’s assessed expense or assessed revenue in a category is set equal to the Australian average per capita amount. It is typically used when there are judged to be no material disabilities between the States and any differences between the States in the cost of providing services or raising revenue reflect differences in State policies, or no reliable assessments could be developed due to data or other limitations. Such an assessment means that no needs are assessed for any State and that there is no impact on the relativities.</w:t>
      </w:r>
    </w:p>
    <w:p w:rsidR="00111245" w:rsidRDefault="00111245" w:rsidP="00111245">
      <w:pPr>
        <w:pStyle w:val="CGCterminologylabel"/>
      </w:pPr>
      <w:proofErr w:type="gramStart"/>
      <w:r>
        <w:t>equalisation</w:t>
      </w:r>
      <w:proofErr w:type="gramEnd"/>
    </w:p>
    <w:p w:rsidR="00111245" w:rsidRDefault="00111245" w:rsidP="00111245">
      <w:r>
        <w:t>See horizontal fiscal equalisation.</w:t>
      </w:r>
    </w:p>
    <w:p w:rsidR="00111245" w:rsidRDefault="00111245" w:rsidP="00111245">
      <w:pPr>
        <w:pStyle w:val="CGCterminologylabel"/>
      </w:pPr>
      <w:proofErr w:type="gramStart"/>
      <w:r>
        <w:t>expenditure</w:t>
      </w:r>
      <w:proofErr w:type="gramEnd"/>
    </w:p>
    <w:p w:rsidR="00111245" w:rsidRDefault="00111245" w:rsidP="00111245">
      <w:r>
        <w:t>This term is used to refer to expenses and capital expenditure.</w:t>
      </w:r>
    </w:p>
    <w:p w:rsidR="00111245" w:rsidRDefault="00111245" w:rsidP="00111245">
      <w:pPr>
        <w:pStyle w:val="CGCterminologylabel"/>
      </w:pPr>
      <w:proofErr w:type="gramStart"/>
      <w:r>
        <w:t>expenses</w:t>
      </w:r>
      <w:proofErr w:type="gramEnd"/>
    </w:p>
    <w:p w:rsidR="00111245" w:rsidRDefault="00111245" w:rsidP="00111245">
      <w:proofErr w:type="gramStart"/>
      <w:r>
        <w:t>Operating outlays under an accrual budgeting framework.</w:t>
      </w:r>
      <w:proofErr w:type="gramEnd"/>
    </w:p>
    <w:p w:rsidR="00111245" w:rsidRDefault="00111245" w:rsidP="00111245">
      <w:pPr>
        <w:pStyle w:val="CGCterminologylabel"/>
      </w:pPr>
      <w:proofErr w:type="gramStart"/>
      <w:r>
        <w:t>expense</w:t>
      </w:r>
      <w:proofErr w:type="gramEnd"/>
      <w:r>
        <w:t xml:space="preserve"> assessment framework</w:t>
      </w:r>
    </w:p>
    <w:p w:rsidR="00111245" w:rsidRDefault="00111245" w:rsidP="00111245">
      <w:r>
        <w:t>The general approach used to assess expenses. Under the current framework, an expense category is divided into expense components, separate disabilities which move average expenses away from an</w:t>
      </w:r>
      <w:r w:rsidR="00B64887">
        <w:t xml:space="preserve"> equal per capita distribution </w:t>
      </w:r>
      <w:r>
        <w:t xml:space="preserve">are recognised in each component and the final category assessment is achieved by summing the component assessed expenses. </w:t>
      </w:r>
    </w:p>
    <w:p w:rsidR="00111245" w:rsidRDefault="00111245" w:rsidP="00111245">
      <w:pPr>
        <w:pStyle w:val="CGCterminologylabel"/>
      </w:pPr>
      <w:proofErr w:type="gramStart"/>
      <w:r>
        <w:lastRenderedPageBreak/>
        <w:t>financial</w:t>
      </w:r>
      <w:proofErr w:type="gramEnd"/>
      <w:r>
        <w:t xml:space="preserve"> averages</w:t>
      </w:r>
    </w:p>
    <w:p w:rsidR="00111245" w:rsidRDefault="00111245" w:rsidP="00111245">
      <w:proofErr w:type="gramStart"/>
      <w:r>
        <w:t>The weighted average per capita expenses and revenues for each category in the adjusted budget.</w:t>
      </w:r>
      <w:proofErr w:type="gramEnd"/>
      <w:r>
        <w:t xml:space="preserve"> These are calculated by dividing the sum of expense or revenue for all States by the Australian population.</w:t>
      </w:r>
    </w:p>
    <w:p w:rsidR="00111245" w:rsidRDefault="00111245" w:rsidP="00111245">
      <w:pPr>
        <w:pStyle w:val="CGCterminologylabel"/>
      </w:pPr>
      <w:proofErr w:type="gramStart"/>
      <w:r>
        <w:t>fiscal</w:t>
      </w:r>
      <w:proofErr w:type="gramEnd"/>
      <w:r>
        <w:t xml:space="preserve"> capacity</w:t>
      </w:r>
    </w:p>
    <w:p w:rsidR="00111245" w:rsidRDefault="00111245" w:rsidP="00111245">
      <w:r>
        <w:t>The fiscal capacity of a State is a measure of its ability to provide average services, including infrastructure, to its population if it raised revenue from its own revenue bases at average rates and received its actual Commonwealth payments, excluding the GST. Once the GST has been distributed using the Commission’s relativities, State fiscal capacities should be equal.</w:t>
      </w:r>
    </w:p>
    <w:p w:rsidR="00111245" w:rsidRDefault="00111245" w:rsidP="00111245">
      <w:r>
        <w:t>The relative capacity of each State is a comparison of its fiscal capacity with the average capacity. In this update, the Commission has chosen to equalise the net financial worth position of States in deciding the distribution of the GST.</w:t>
      </w:r>
    </w:p>
    <w:p w:rsidR="00111245" w:rsidRDefault="00111245" w:rsidP="00111245">
      <w:pPr>
        <w:pStyle w:val="CGCterminologylabel"/>
      </w:pPr>
      <w:r>
        <w:t>Goods and Services Tax (GST) revenue/GST pool</w:t>
      </w:r>
    </w:p>
    <w:p w:rsidR="00111245" w:rsidRDefault="00111245" w:rsidP="00111245">
      <w:r>
        <w:t>The funds made available by the Australian Government for transfer to the States as untied financial assistance.</w:t>
      </w:r>
    </w:p>
    <w:p w:rsidR="00111245" w:rsidRDefault="00111245" w:rsidP="00111245">
      <w:pPr>
        <w:pStyle w:val="CGCterminologylabel"/>
      </w:pPr>
      <w:proofErr w:type="gramStart"/>
      <w:r>
        <w:t>grant</w:t>
      </w:r>
      <w:proofErr w:type="gramEnd"/>
      <w:r>
        <w:t xml:space="preserve"> design inefficiency</w:t>
      </w:r>
    </w:p>
    <w:p w:rsidR="00111245" w:rsidRDefault="00111245" w:rsidP="00111245">
      <w:proofErr w:type="gramStart"/>
      <w:r>
        <w:t>A flaw in a method of assessment which would allow a State to influence its relativity by changing its expense or revenue policies (apart from any effect of these policies on the average).</w:t>
      </w:r>
      <w:proofErr w:type="gramEnd"/>
    </w:p>
    <w:p w:rsidR="00111245" w:rsidRDefault="00111245" w:rsidP="00111245">
      <w:pPr>
        <w:pStyle w:val="CGCterminologylabel"/>
      </w:pPr>
      <w:proofErr w:type="gramStart"/>
      <w:r>
        <w:t>horizontal</w:t>
      </w:r>
      <w:proofErr w:type="gramEnd"/>
      <w:r>
        <w:t xml:space="preserve"> fiscal equalisation (equalisation)</w:t>
      </w:r>
    </w:p>
    <w:p w:rsidR="00111245" w:rsidRDefault="00111245" w:rsidP="00111245">
      <w:r>
        <w:t>A distribution of GST revenue to State governments such that, after allowing for material factors affecting revenues and expenditures, each would have the fiscal capacity to provide services and their associated infrastructure at the same standard, if each made the same effort to raise revenue from its own sources, operated at the same level of efficiency and maintained the average per capita net financial worth.</w:t>
      </w:r>
    </w:p>
    <w:p w:rsidR="00111245" w:rsidRDefault="00111245" w:rsidP="00111245">
      <w:pPr>
        <w:pStyle w:val="CGCterminologylabel"/>
      </w:pPr>
      <w:proofErr w:type="gramStart"/>
      <w:r>
        <w:t>impact</w:t>
      </w:r>
      <w:proofErr w:type="gramEnd"/>
      <w:r>
        <w:t xml:space="preserve"> on relativities (see also no impact on relativities)</w:t>
      </w:r>
    </w:p>
    <w:p w:rsidR="00111245" w:rsidRDefault="00111245" w:rsidP="00111245">
      <w:r>
        <w:t>Treatment applied to a Commonwealth payment that provides budget support for State services for which expenditure needs are assessed. The expenses</w:t>
      </w:r>
      <w:r w:rsidR="00B64887">
        <w:t xml:space="preserve"> funded by payments that impact</w:t>
      </w:r>
      <w:r>
        <w:t xml:space="preserve"> on the relativities are assessed differentially in relevant categories and the revenue is assessed on an actual per capita basis. </w:t>
      </w:r>
    </w:p>
    <w:p w:rsidR="00111245" w:rsidRDefault="00111245" w:rsidP="00111245">
      <w:pPr>
        <w:pStyle w:val="CGCterminologylabel"/>
      </w:pPr>
      <w:proofErr w:type="gramStart"/>
      <w:r>
        <w:t>infrastructure</w:t>
      </w:r>
      <w:proofErr w:type="gramEnd"/>
    </w:p>
    <w:p w:rsidR="00111245" w:rsidRDefault="00111245" w:rsidP="00111245">
      <w:r>
        <w:t>Infrastructure refers to the stock of physical assets owned by a State’s general government sector and its urban public transport and housing PNFCs for the purpose of delivering services. It includes buildings, non-building construction (such as roads) and plant and equipment for economic and social purposes.</w:t>
      </w:r>
    </w:p>
    <w:p w:rsidR="00111245" w:rsidRDefault="00111245" w:rsidP="00111245">
      <w:pPr>
        <w:pStyle w:val="CGCterminologylabel"/>
      </w:pPr>
      <w:proofErr w:type="gramStart"/>
      <w:r>
        <w:lastRenderedPageBreak/>
        <w:t>investment</w:t>
      </w:r>
      <w:proofErr w:type="gramEnd"/>
    </w:p>
    <w:p w:rsidR="00111245" w:rsidRDefault="00111245" w:rsidP="00111245">
      <w:r>
        <w:t>Investment refers to acquisition of new infrastructure. It is conceptually equivalent to ‘net acquisition of non-financial assets’ that appears in the Australian Bureau of Statistics Government Finance Statistics State operating statement.</w:t>
      </w:r>
    </w:p>
    <w:p w:rsidR="00111245" w:rsidRDefault="00111245" w:rsidP="00111245">
      <w:pPr>
        <w:pStyle w:val="CGCterminologylabel"/>
      </w:pPr>
      <w:proofErr w:type="gramStart"/>
      <w:r>
        <w:t>joint</w:t>
      </w:r>
      <w:proofErr w:type="gramEnd"/>
      <w:r>
        <w:t xml:space="preserve"> disability assessment</w:t>
      </w:r>
    </w:p>
    <w:p w:rsidR="00111245" w:rsidRDefault="00111245" w:rsidP="00111245">
      <w:proofErr w:type="gramStart"/>
      <w:r>
        <w:t>A disability assessment in which more than one disability is calculated simultaneously.</w:t>
      </w:r>
      <w:proofErr w:type="gramEnd"/>
      <w:r>
        <w:t xml:space="preserve"> Joint disability assessments are most frequently used for the calculation of socio-demographic composition disability factors. </w:t>
      </w:r>
    </w:p>
    <w:p w:rsidR="00111245" w:rsidRDefault="00111245" w:rsidP="00111245">
      <w:pPr>
        <w:pStyle w:val="CGCterminologylabel"/>
      </w:pPr>
      <w:proofErr w:type="gramStart"/>
      <w:r>
        <w:t>level</w:t>
      </w:r>
      <w:proofErr w:type="gramEnd"/>
      <w:r>
        <w:t xml:space="preserve"> of capital provision ratio</w:t>
      </w:r>
    </w:p>
    <w:p w:rsidR="00111245" w:rsidRDefault="00111245" w:rsidP="00111245">
      <w:r>
        <w:t xml:space="preserve">A ratio that reflects how a State’s policies on the level of capital provided varies from the average policies. It is measured by dividing actual per capita expense by assessed expense per capita. </w:t>
      </w:r>
    </w:p>
    <w:p w:rsidR="00111245" w:rsidRDefault="00111245" w:rsidP="00111245">
      <w:pPr>
        <w:pStyle w:val="CGCterminologylabel"/>
      </w:pPr>
      <w:proofErr w:type="gramStart"/>
      <w:r>
        <w:t>level</w:t>
      </w:r>
      <w:proofErr w:type="gramEnd"/>
      <w:r>
        <w:t xml:space="preserve"> of service ratio</w:t>
      </w:r>
    </w:p>
    <w:p w:rsidR="00111245" w:rsidRDefault="00111245" w:rsidP="00111245">
      <w:r>
        <w:t xml:space="preserve">A ratio that reflects how a State’s policies on the level of services provided and the relative efficiency with which they are provided vary from the average policies. It is measured by dividing actual per capita expense by assessed expense per capita. </w:t>
      </w:r>
    </w:p>
    <w:p w:rsidR="00111245" w:rsidRDefault="00111245" w:rsidP="00111245">
      <w:pPr>
        <w:pStyle w:val="CGCterminologylabel"/>
      </w:pPr>
      <w:proofErr w:type="gramStart"/>
      <w:r>
        <w:t>material</w:t>
      </w:r>
      <w:proofErr w:type="gramEnd"/>
      <w:r>
        <w:t xml:space="preserve">, materiality </w:t>
      </w:r>
    </w:p>
    <w:p w:rsidR="00111245" w:rsidRDefault="00111245" w:rsidP="00111245">
      <w:r>
        <w:t>A test used to assist decisions on when a separate assessment of disabilities should be undertaken or when data should be adjusted. The materiality levels are defined in terms of the amount of GST redistributed per capita for any State. Different thresholds are used for each. An assessment or adjustment is said to be material if it exceeds the threshold set for it. (</w:t>
      </w:r>
      <w:proofErr w:type="gramStart"/>
      <w:r>
        <w:t>see</w:t>
      </w:r>
      <w:proofErr w:type="gramEnd"/>
      <w:r>
        <w:t xml:space="preserve"> the Assessment Guidelines, Chapter 1 of the 2015 Review Report, Volume 2)</w:t>
      </w:r>
    </w:p>
    <w:p w:rsidR="00111245" w:rsidRDefault="00111245" w:rsidP="00111245">
      <w:pPr>
        <w:pStyle w:val="CGCterminologylabel"/>
      </w:pPr>
      <w:proofErr w:type="gramStart"/>
      <w:r>
        <w:t>model</w:t>
      </w:r>
      <w:proofErr w:type="gramEnd"/>
    </w:p>
    <w:p w:rsidR="00111245" w:rsidRDefault="00111245" w:rsidP="00111245">
      <w:r>
        <w:t>See distribution model.</w:t>
      </w:r>
    </w:p>
    <w:p w:rsidR="00111245" w:rsidRDefault="00111245" w:rsidP="00111245">
      <w:pPr>
        <w:pStyle w:val="CGCterminologylabel"/>
      </w:pPr>
      <w:proofErr w:type="gramStart"/>
      <w:r>
        <w:t>national</w:t>
      </w:r>
      <w:proofErr w:type="gramEnd"/>
      <w:r>
        <w:t xml:space="preserve"> capital disability</w:t>
      </w:r>
    </w:p>
    <w:p w:rsidR="00111245" w:rsidRDefault="00111245" w:rsidP="00111245">
      <w:proofErr w:type="gramStart"/>
      <w:r>
        <w:t>A disability that measures the additional costs that the ACT incurs because of Canberra’s status as the national capital.</w:t>
      </w:r>
      <w:proofErr w:type="gramEnd"/>
      <w:r>
        <w:t xml:space="preserve"> </w:t>
      </w:r>
    </w:p>
    <w:p w:rsidR="00111245" w:rsidRDefault="00111245" w:rsidP="00111245">
      <w:pPr>
        <w:pStyle w:val="CGCterminologylabel"/>
      </w:pPr>
      <w:proofErr w:type="gramStart"/>
      <w:r>
        <w:t>national</w:t>
      </w:r>
      <w:proofErr w:type="gramEnd"/>
      <w:r>
        <w:t xml:space="preserve"> partnership payments (NPPs)</w:t>
      </w:r>
    </w:p>
    <w:p w:rsidR="00111245" w:rsidRDefault="00111245" w:rsidP="00111245">
      <w:r>
        <w:t xml:space="preserve">Commonwealth payments to States that support the delivery of specified projects, facilitate reforms, or reward those jurisdictions that deliver on nationally-significant reforms. </w:t>
      </w:r>
    </w:p>
    <w:p w:rsidR="00111245" w:rsidRDefault="00111245" w:rsidP="00111245">
      <w:pPr>
        <w:pStyle w:val="CGCterminologylabel"/>
      </w:pPr>
      <w:proofErr w:type="gramStart"/>
      <w:r>
        <w:t>native</w:t>
      </w:r>
      <w:proofErr w:type="gramEnd"/>
      <w:r>
        <w:t xml:space="preserve"> title and land rights disability</w:t>
      </w:r>
    </w:p>
    <w:p w:rsidR="00111245" w:rsidRDefault="00111245" w:rsidP="00111245">
      <w:r>
        <w:t xml:space="preserve">A disability that measures differences in costs that States incur because of the operation of the Australian Government’s Native Title Act 1993 or the additional and unique costs that the Northern Territory incurs because of the operation of the Australian Government’s Aboriginal Land Rights (Northern Territory) Act 1976. </w:t>
      </w:r>
    </w:p>
    <w:p w:rsidR="00111245" w:rsidRDefault="00111245" w:rsidP="00111245">
      <w:pPr>
        <w:pStyle w:val="CGCterminologylabel"/>
      </w:pPr>
      <w:proofErr w:type="gramStart"/>
      <w:r>
        <w:t>needs</w:t>
      </w:r>
      <w:proofErr w:type="gramEnd"/>
    </w:p>
    <w:p w:rsidR="00111245" w:rsidRDefault="00111245" w:rsidP="00111245">
      <w:r>
        <w:t>See assessed differences.</w:t>
      </w:r>
    </w:p>
    <w:p w:rsidR="00111245" w:rsidRDefault="00111245" w:rsidP="00111245">
      <w:pPr>
        <w:pStyle w:val="CGCterminologylabel"/>
      </w:pPr>
      <w:proofErr w:type="gramStart"/>
      <w:r>
        <w:lastRenderedPageBreak/>
        <w:t>net</w:t>
      </w:r>
      <w:proofErr w:type="gramEnd"/>
      <w:r>
        <w:t xml:space="preserve"> financial worth</w:t>
      </w:r>
    </w:p>
    <w:p w:rsidR="00111245" w:rsidRDefault="00111245" w:rsidP="00111245">
      <w:r>
        <w:t>Net financial worth is the sum of financial assets minus the sum of liabilities.</w:t>
      </w:r>
    </w:p>
    <w:p w:rsidR="00111245" w:rsidRDefault="00111245" w:rsidP="00111245">
      <w:pPr>
        <w:pStyle w:val="CGCterminologylabel"/>
      </w:pPr>
      <w:proofErr w:type="gramStart"/>
      <w:r>
        <w:t>net</w:t>
      </w:r>
      <w:proofErr w:type="gramEnd"/>
      <w:r>
        <w:t xml:space="preserve"> balancing transactions</w:t>
      </w:r>
    </w:p>
    <w:p w:rsidR="00111245" w:rsidRDefault="00C861A8" w:rsidP="00111245">
      <w:r>
        <w:t xml:space="preserve">An accounting entry ensuring the sum of total State expenditure and total State revenue including the GST are equal. </w:t>
      </w:r>
      <w:r w:rsidR="00111245">
        <w:t xml:space="preserve">Net balancing transactions are included in the adjusted budget but they have no impact </w:t>
      </w:r>
      <w:r w:rsidR="008E1917">
        <w:t xml:space="preserve">on </w:t>
      </w:r>
      <w:r w:rsidR="00111245">
        <w:t xml:space="preserve">the assessment of State fiscal capacities. They generally appear </w:t>
      </w:r>
      <w:r>
        <w:t xml:space="preserve">in adjusted budget and assessed budget in the </w:t>
      </w:r>
      <w:proofErr w:type="gramStart"/>
      <w:r w:rsidR="008E1917">
        <w:t>O</w:t>
      </w:r>
      <w:r>
        <w:t>ther</w:t>
      </w:r>
      <w:proofErr w:type="gramEnd"/>
      <w:r>
        <w:t xml:space="preserve"> revenue category</w:t>
      </w:r>
      <w:r w:rsidR="00111245">
        <w:t xml:space="preserve">.   </w:t>
      </w:r>
    </w:p>
    <w:p w:rsidR="00111245" w:rsidRDefault="00111245" w:rsidP="00111245">
      <w:pPr>
        <w:pStyle w:val="CGCterminologylabel"/>
      </w:pPr>
      <w:proofErr w:type="gramStart"/>
      <w:r>
        <w:t>net</w:t>
      </w:r>
      <w:proofErr w:type="gramEnd"/>
      <w:r>
        <w:t xml:space="preserve"> borrowing</w:t>
      </w:r>
    </w:p>
    <w:p w:rsidR="00111245" w:rsidRDefault="00111245" w:rsidP="00111245">
      <w:r>
        <w:t>The outcome of an operating budget calculated as expenses and expenditure on non</w:t>
      </w:r>
      <w:r>
        <w:noBreakHyphen/>
        <w:t>financial assets less State own source revenues and revenues received from the Australian Government.</w:t>
      </w:r>
    </w:p>
    <w:p w:rsidR="00111245" w:rsidRDefault="00111245" w:rsidP="00111245">
      <w:pPr>
        <w:pStyle w:val="CGCterminologylabel"/>
      </w:pPr>
      <w:proofErr w:type="gramStart"/>
      <w:r>
        <w:t>no</w:t>
      </w:r>
      <w:proofErr w:type="gramEnd"/>
      <w:r>
        <w:t xml:space="preserve"> impact on relativities (previously called exclusion or out of scope)</w:t>
      </w:r>
    </w:p>
    <w:p w:rsidR="00111245" w:rsidRDefault="00111245" w:rsidP="00111245">
      <w:r>
        <w:t>Treatment applied to a Commonwealth payment that does not provide budget support for State services or for which expenditure needs are not assessed. Both the payment and the expenses relating to it have no impact on a State’s fiscal capacity. Occasionally the terms of reference instruct the Commission to ensure a particular payment has no impact on relativities. (</w:t>
      </w:r>
      <w:proofErr w:type="gramStart"/>
      <w:r>
        <w:t>see</w:t>
      </w:r>
      <w:proofErr w:type="gramEnd"/>
      <w:r>
        <w:t xml:space="preserve"> quarantine)</w:t>
      </w:r>
    </w:p>
    <w:p w:rsidR="00111245" w:rsidRDefault="00111245" w:rsidP="00111245">
      <w:pPr>
        <w:pStyle w:val="CGCterminologylabel"/>
      </w:pPr>
      <w:proofErr w:type="gramStart"/>
      <w:r>
        <w:t>policy</w:t>
      </w:r>
      <w:proofErr w:type="gramEnd"/>
      <w:r>
        <w:t xml:space="preserve"> averages</w:t>
      </w:r>
    </w:p>
    <w:p w:rsidR="00111245" w:rsidRDefault="00111245" w:rsidP="00111245">
      <w:r>
        <w:t xml:space="preserve">The average policies as reflected in the practices of the States in the collection of revenue and the provision of services. These averages are usually weighted according to the size of the user or revenue bases in each State. </w:t>
      </w:r>
    </w:p>
    <w:p w:rsidR="00111245" w:rsidRDefault="00111245" w:rsidP="00111245">
      <w:pPr>
        <w:pStyle w:val="CGCterminologylabel"/>
      </w:pPr>
      <w:proofErr w:type="gramStart"/>
      <w:r>
        <w:t>policy</w:t>
      </w:r>
      <w:proofErr w:type="gramEnd"/>
      <w:r>
        <w:t xml:space="preserve"> neutral assessment</w:t>
      </w:r>
    </w:p>
    <w:p w:rsidR="00111245" w:rsidRDefault="00111245" w:rsidP="00111245">
      <w:proofErr w:type="gramStart"/>
      <w:r>
        <w:t>An assessment in which the policy average is applied to every State.</w:t>
      </w:r>
      <w:proofErr w:type="gramEnd"/>
      <w:r>
        <w:t xml:space="preserve"> The resultant assessment is therefore unaffected by the policies of individual States, other than through the influence of those policies on the averages.</w:t>
      </w:r>
    </w:p>
    <w:p w:rsidR="00111245" w:rsidRDefault="00111245" w:rsidP="00111245">
      <w:pPr>
        <w:pStyle w:val="CGCterminologylabel"/>
      </w:pPr>
      <w:proofErr w:type="gramStart"/>
      <w:r>
        <w:t>quarantine</w:t>
      </w:r>
      <w:proofErr w:type="gramEnd"/>
    </w:p>
    <w:p w:rsidR="00111245" w:rsidRDefault="00111245" w:rsidP="00111245">
      <w:proofErr w:type="gramStart"/>
      <w:r>
        <w:t>The treatment of a Commonwealth payment, and where possible the expense for which it is used, in such a way as to have no impact on the relativities.</w:t>
      </w:r>
      <w:proofErr w:type="gramEnd"/>
      <w:r>
        <w:t xml:space="preserve"> Quarantining always results from instructions given directly to the Commission in its terms of reference and the term is used only in this context.</w:t>
      </w:r>
    </w:p>
    <w:p w:rsidR="00111245" w:rsidRDefault="00111245" w:rsidP="00111245">
      <w:pPr>
        <w:pStyle w:val="CGCterminologylabel"/>
      </w:pPr>
      <w:proofErr w:type="gramStart"/>
      <w:r>
        <w:t>redistribution</w:t>
      </w:r>
      <w:proofErr w:type="gramEnd"/>
    </w:p>
    <w:p w:rsidR="00111245" w:rsidRDefault="00111245" w:rsidP="00111245">
      <w:proofErr w:type="gramStart"/>
      <w:r>
        <w:t>The difference between an EPC share of the GST and the distribution determined by the relativities.</w:t>
      </w:r>
      <w:proofErr w:type="gramEnd"/>
    </w:p>
    <w:p w:rsidR="00111245" w:rsidRDefault="00111245" w:rsidP="00111245">
      <w:pPr>
        <w:pStyle w:val="CGCterminologylabel"/>
      </w:pPr>
      <w:proofErr w:type="gramStart"/>
      <w:r>
        <w:t>regional</w:t>
      </w:r>
      <w:proofErr w:type="gramEnd"/>
      <w:r>
        <w:t xml:space="preserve"> costs disability</w:t>
      </w:r>
    </w:p>
    <w:p w:rsidR="00111245" w:rsidRDefault="00111245" w:rsidP="00111245">
      <w:r>
        <w:t>A disability that measures cost differences within a State due to differences in the wages paid and in the price and quantity of other inputs to State services.</w:t>
      </w:r>
    </w:p>
    <w:p w:rsidR="00111245" w:rsidRDefault="00111245" w:rsidP="00111245">
      <w:pPr>
        <w:pStyle w:val="CGCterminologylabel"/>
      </w:pPr>
      <w:proofErr w:type="gramStart"/>
      <w:r>
        <w:lastRenderedPageBreak/>
        <w:t>relativity</w:t>
      </w:r>
      <w:proofErr w:type="gramEnd"/>
    </w:p>
    <w:p w:rsidR="00111245" w:rsidRDefault="00111245" w:rsidP="00111245">
      <w:r>
        <w:t xml:space="preserve">A per capita weight assessed by the Commission for use by Treasury in calculating the share of the GST revenue a State requires </w:t>
      </w:r>
      <w:proofErr w:type="gramStart"/>
      <w:r>
        <w:t>to achieve</w:t>
      </w:r>
      <w:proofErr w:type="gramEnd"/>
      <w:r>
        <w:t xml:space="preserve"> horizontal fiscal equalisation. </w:t>
      </w:r>
    </w:p>
    <w:p w:rsidR="00111245" w:rsidRDefault="00111245" w:rsidP="00111245">
      <w:pPr>
        <w:pStyle w:val="CGCterminologylabel"/>
      </w:pPr>
      <w:proofErr w:type="gramStart"/>
      <w:r>
        <w:t>revenue</w:t>
      </w:r>
      <w:proofErr w:type="gramEnd"/>
      <w:r>
        <w:t xml:space="preserve"> base</w:t>
      </w:r>
    </w:p>
    <w:p w:rsidR="00111245" w:rsidRDefault="00111245" w:rsidP="00111245">
      <w:proofErr w:type="gramStart"/>
      <w:r>
        <w:t>A measure of the transactions, activities, or assets that are taxed by the States.</w:t>
      </w:r>
      <w:proofErr w:type="gramEnd"/>
      <w:r>
        <w:t xml:space="preserve"> Differences between the revenue bases of each State are used by the Commission to determine the relative capacities of each to raise a particular type of revenue. </w:t>
      </w:r>
    </w:p>
    <w:p w:rsidR="00111245" w:rsidRDefault="00111245" w:rsidP="00111245">
      <w:pPr>
        <w:pStyle w:val="CGCterminologylabel"/>
      </w:pPr>
      <w:proofErr w:type="gramStart"/>
      <w:r>
        <w:t>revenue</w:t>
      </w:r>
      <w:proofErr w:type="gramEnd"/>
      <w:r>
        <w:t xml:space="preserve"> effort</w:t>
      </w:r>
    </w:p>
    <w:p w:rsidR="00111245" w:rsidRDefault="00111245" w:rsidP="00111245">
      <w:r>
        <w:t xml:space="preserve">The intensity of use of a revenue base (the implied tax rate) measured as actual revenue divided by the assessed revenue. It is influenced by the rate of tax or charge, the exemptions, and concessions provided, actual scope of the revenue base in a State, and the effort put into ensuring compliance. </w:t>
      </w:r>
    </w:p>
    <w:p w:rsidR="00111245" w:rsidRDefault="00111245" w:rsidP="00111245">
      <w:pPr>
        <w:pStyle w:val="CGCterminologylabel"/>
      </w:pPr>
      <w:proofErr w:type="gramStart"/>
      <w:r>
        <w:t>revenue</w:t>
      </w:r>
      <w:proofErr w:type="gramEnd"/>
      <w:r>
        <w:t xml:space="preserve"> raising capacity ratio</w:t>
      </w:r>
    </w:p>
    <w:p w:rsidR="00111245" w:rsidRDefault="00111245" w:rsidP="00111245">
      <w:proofErr w:type="gramStart"/>
      <w:r>
        <w:t>A ratio which indicates the capacity of a State to raise revenue relative to the average.</w:t>
      </w:r>
      <w:proofErr w:type="gramEnd"/>
      <w:r>
        <w:t xml:space="preserve"> It reflects the size of a State’s revenue base per capita relative to the average and is measured by dividing assessed revenue per capita by average revenue per capita.</w:t>
      </w:r>
    </w:p>
    <w:p w:rsidR="00111245" w:rsidRDefault="00111245" w:rsidP="00111245">
      <w:pPr>
        <w:pStyle w:val="CGCterminologylabel"/>
      </w:pPr>
      <w:proofErr w:type="gramStart"/>
      <w:r>
        <w:t>revenue</w:t>
      </w:r>
      <w:proofErr w:type="gramEnd"/>
      <w:r>
        <w:t xml:space="preserve"> raising effort ratio</w:t>
      </w:r>
    </w:p>
    <w:p w:rsidR="00111245" w:rsidRDefault="00111245" w:rsidP="00111245">
      <w:proofErr w:type="gramStart"/>
      <w:r>
        <w:t>A ratio which indicates the actual effort made by a State to raise revenue relative to the average effort.</w:t>
      </w:r>
      <w:proofErr w:type="gramEnd"/>
      <w:r>
        <w:t xml:space="preserve"> It is primarily a measure of the deviation of a State's tax rates and efficiency in ensuring compliance from the average rates and compliance efficiency. It is measured by dividing actual per capita revenue by assessed revenue per capita.</w:t>
      </w:r>
    </w:p>
    <w:p w:rsidR="00111245" w:rsidRDefault="00111245" w:rsidP="00111245">
      <w:pPr>
        <w:pStyle w:val="CGCterminologylabel"/>
      </w:pPr>
      <w:proofErr w:type="gramStart"/>
      <w:r>
        <w:t>review</w:t>
      </w:r>
      <w:proofErr w:type="gramEnd"/>
    </w:p>
    <w:p w:rsidR="00111245" w:rsidRDefault="00111245" w:rsidP="00111245">
      <w:r>
        <w:t>The process in which the Commission reconsiders the methods used to calculate State relativities, according to terms of reference given to it. From 1988 onwards, reviews have usually been done every five years. By contrast, an update is conducted every year other than a review year and updates the relativities using the methods determined in the last review and the latest financial data.</w:t>
      </w:r>
    </w:p>
    <w:p w:rsidR="00111245" w:rsidRDefault="00111245" w:rsidP="00111245">
      <w:pPr>
        <w:pStyle w:val="CGCterminologylabel"/>
      </w:pPr>
      <w:proofErr w:type="gramStart"/>
      <w:r>
        <w:t>service</w:t>
      </w:r>
      <w:proofErr w:type="gramEnd"/>
      <w:r>
        <w:t xml:space="preserve"> delivery scale disability</w:t>
      </w:r>
    </w:p>
    <w:p w:rsidR="00111245" w:rsidRDefault="00111245" w:rsidP="00111245">
      <w:r>
        <w:t xml:space="preserve">A disability that measures the additional costs of providing a service where it needs to be delivered but where the delivery is of less than economic size because the population served is small and remote from other points of service delivery. </w:t>
      </w:r>
    </w:p>
    <w:p w:rsidR="00111245" w:rsidRDefault="00111245" w:rsidP="00111245">
      <w:pPr>
        <w:pStyle w:val="CGCterminologylabel"/>
      </w:pPr>
      <w:proofErr w:type="gramStart"/>
      <w:r>
        <w:t>socio-demographic</w:t>
      </w:r>
      <w:proofErr w:type="gramEnd"/>
      <w:r>
        <w:t xml:space="preserve"> composition disability</w:t>
      </w:r>
    </w:p>
    <w:p w:rsidR="00111245" w:rsidRDefault="00111245" w:rsidP="00111245">
      <w:r>
        <w:t>A disability that measures the budgetary impact, due to differences in both the average use and cost of providing services, that results from differences between States in the relative size of socio-demographic groups. It can reflect differences between States in some or all population characteristics such as age-sex structure, socio-economic status, Indigen</w:t>
      </w:r>
      <w:r w:rsidR="00B64887">
        <w:t>ous status</w:t>
      </w:r>
      <w:r>
        <w:t xml:space="preserve"> and location of residence. </w:t>
      </w:r>
    </w:p>
    <w:p w:rsidR="00111245" w:rsidRDefault="00111245" w:rsidP="00111245">
      <w:pPr>
        <w:pStyle w:val="CGCterminologylabel"/>
      </w:pPr>
      <w:r>
        <w:lastRenderedPageBreak/>
        <w:t>Specific purpose payments (SPPs)</w:t>
      </w:r>
    </w:p>
    <w:p w:rsidR="00111245" w:rsidRDefault="00111245" w:rsidP="00111245">
      <w:proofErr w:type="gramStart"/>
      <w:r>
        <w:t>Commonwealth payments to States for specific purposes which enable national policy objectives to be achieved in areas that may be administered by States.</w:t>
      </w:r>
      <w:proofErr w:type="gramEnd"/>
    </w:p>
    <w:p w:rsidR="00111245" w:rsidRDefault="00111245" w:rsidP="00111245">
      <w:pPr>
        <w:pStyle w:val="CGCterminologylabel"/>
      </w:pPr>
      <w:r>
        <w:t>State(s)</w:t>
      </w:r>
    </w:p>
    <w:p w:rsidR="00111245" w:rsidRDefault="00111245" w:rsidP="00111245">
      <w:r>
        <w:t>Unless the context indicates otherwise, the term ‘State(s)’ includes the Australian Capital Territory and the Northern Territory.</w:t>
      </w:r>
    </w:p>
    <w:p w:rsidR="00111245" w:rsidRDefault="00111245" w:rsidP="00111245">
      <w:pPr>
        <w:pStyle w:val="CGCterminologylabel"/>
      </w:pPr>
      <w:proofErr w:type="gramStart"/>
      <w:r>
        <w:t>tax</w:t>
      </w:r>
      <w:proofErr w:type="gramEnd"/>
      <w:r>
        <w:t xml:space="preserve"> base</w:t>
      </w:r>
    </w:p>
    <w:p w:rsidR="00111245" w:rsidRDefault="00111245" w:rsidP="00111245">
      <w:r>
        <w:t xml:space="preserve">See revenue base. </w:t>
      </w:r>
    </w:p>
    <w:p w:rsidR="00111245" w:rsidRDefault="00111245" w:rsidP="00111245">
      <w:pPr>
        <w:pStyle w:val="CGCterminologylabel"/>
      </w:pPr>
      <w:proofErr w:type="gramStart"/>
      <w:r>
        <w:t>update</w:t>
      </w:r>
      <w:proofErr w:type="gramEnd"/>
    </w:p>
    <w:p w:rsidR="00111245" w:rsidRDefault="00111245" w:rsidP="00111245">
      <w:proofErr w:type="gramStart"/>
      <w:r>
        <w:t>The annual assessment of State relativities undertaken by the Commission between reviews.</w:t>
      </w:r>
      <w:proofErr w:type="gramEnd"/>
      <w:r>
        <w:t xml:space="preserve"> Update assessments incorporate new budgetary developments and the most recent available data. In general, the methods used to calculate the relativities are those adopted in the most recent review. </w:t>
      </w:r>
    </w:p>
    <w:p w:rsidR="00111245" w:rsidRDefault="00111245" w:rsidP="00111245">
      <w:pPr>
        <w:pStyle w:val="CGCterminologylabel"/>
      </w:pPr>
      <w:proofErr w:type="gramStart"/>
      <w:r>
        <w:t>user</w:t>
      </w:r>
      <w:proofErr w:type="gramEnd"/>
      <w:r>
        <w:t xml:space="preserve"> charges</w:t>
      </w:r>
    </w:p>
    <w:p w:rsidR="00111245" w:rsidRDefault="00111245" w:rsidP="00111245">
      <w:r>
        <w:t>Fees and charges raised by States through the provision of goods or services. In the adjusted budget, user charges for health, post-secondary education, electricity, water and protection of the environment, mining regulation and public transport are deducted from related expenses</w:t>
      </w:r>
      <w:r w:rsidR="008E1917">
        <w:t>. Housing user charges are assessed in a separate component in the Housing category. O</w:t>
      </w:r>
      <w:r>
        <w:t xml:space="preserve">ther user charges are included </w:t>
      </w:r>
      <w:r w:rsidR="008E1917">
        <w:t xml:space="preserve">in the </w:t>
      </w:r>
      <w:proofErr w:type="gramStart"/>
      <w:r w:rsidR="008E1917">
        <w:t>O</w:t>
      </w:r>
      <w:r>
        <w:t>ther</w:t>
      </w:r>
      <w:proofErr w:type="gramEnd"/>
      <w:r>
        <w:t xml:space="preserve"> revenue</w:t>
      </w:r>
      <w:r w:rsidR="008E1917">
        <w:t xml:space="preserve"> category</w:t>
      </w:r>
      <w:r>
        <w:t>.</w:t>
      </w:r>
    </w:p>
    <w:p w:rsidR="00111245" w:rsidRDefault="00111245" w:rsidP="00111245">
      <w:pPr>
        <w:pStyle w:val="CGCterminologylabel"/>
      </w:pPr>
      <w:proofErr w:type="gramStart"/>
      <w:r>
        <w:t>wage</w:t>
      </w:r>
      <w:proofErr w:type="gramEnd"/>
      <w:r>
        <w:t xml:space="preserve"> costs disability</w:t>
      </w:r>
    </w:p>
    <w:p w:rsidR="00111245" w:rsidRDefault="00111245" w:rsidP="00111245">
      <w:proofErr w:type="gramStart"/>
      <w:r>
        <w:t>Recognises that otherwise comparable public sector employees in different States are paid different wages, partly due to differences in labour markets beyond the control of State governments.</w:t>
      </w:r>
      <w:proofErr w:type="gramEnd"/>
    </w:p>
    <w:p w:rsidR="004C2DC0" w:rsidRDefault="004C2DC0" w:rsidP="00111245">
      <w:pPr>
        <w:sectPr w:rsidR="004C2DC0" w:rsidSect="00D22403">
          <w:headerReference w:type="default" r:id="rId44"/>
          <w:footerReference w:type="default" r:id="rId45"/>
          <w:headerReference w:type="first" r:id="rId46"/>
          <w:footerReference w:type="first" r:id="rId47"/>
          <w:footnotePr>
            <w:numRestart w:val="eachSect"/>
          </w:footnotePr>
          <w:pgSz w:w="11906" w:h="16838" w:code="9"/>
          <w:pgMar w:top="1701" w:right="1474" w:bottom="1701" w:left="1474" w:header="709" w:footer="709" w:gutter="0"/>
          <w:cols w:space="708"/>
          <w:titlePg/>
          <w:docGrid w:linePitch="360"/>
        </w:sectPr>
      </w:pPr>
    </w:p>
    <w:p w:rsidR="001C45B5" w:rsidRDefault="004A16B8" w:rsidP="001C45B5">
      <w:pPr>
        <w:pStyle w:val="Heading1"/>
      </w:pPr>
      <w:r>
        <w:rPr>
          <w:caps w:val="0"/>
        </w:rPr>
        <w:lastRenderedPageBreak/>
        <w:t>ATTACHMENT 9</w:t>
      </w:r>
    </w:p>
    <w:p w:rsidR="001C45B5" w:rsidRDefault="00FC647D" w:rsidP="001C45B5">
      <w:pPr>
        <w:pStyle w:val="Heading2"/>
      </w:pPr>
      <w:r>
        <w:rPr>
          <w:caps w:val="0"/>
        </w:rPr>
        <w:t>ACRONYMS</w:t>
      </w:r>
    </w:p>
    <w:tbl>
      <w:tblPr>
        <w:tblW w:w="8940" w:type="dxa"/>
        <w:tblLook w:val="04A0" w:firstRow="1" w:lastRow="0" w:firstColumn="1" w:lastColumn="0" w:noHBand="0" w:noVBand="1"/>
      </w:tblPr>
      <w:tblGrid>
        <w:gridCol w:w="2180"/>
        <w:gridCol w:w="6760"/>
      </w:tblGrid>
      <w:tr w:rsidR="001C45B5" w:rsidRPr="00B67A98" w:rsidTr="00C5731C">
        <w:trPr>
          <w:trHeight w:val="315"/>
        </w:trPr>
        <w:tc>
          <w:tcPr>
            <w:tcW w:w="218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ABS</w:t>
            </w:r>
          </w:p>
        </w:tc>
        <w:tc>
          <w:tcPr>
            <w:tcW w:w="676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Australian Bureau of Statistics</w:t>
            </w:r>
          </w:p>
        </w:tc>
      </w:tr>
      <w:tr w:rsidR="001C45B5" w:rsidRPr="00B67A98" w:rsidTr="00C5731C">
        <w:trPr>
          <w:trHeight w:val="315"/>
        </w:trPr>
        <w:tc>
          <w:tcPr>
            <w:tcW w:w="218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ACARA</w:t>
            </w:r>
          </w:p>
        </w:tc>
        <w:tc>
          <w:tcPr>
            <w:tcW w:w="676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Australian Curriculum, Assessment and Reporting Authority</w:t>
            </w:r>
          </w:p>
        </w:tc>
      </w:tr>
      <w:tr w:rsidR="001C45B5" w:rsidRPr="00B67A98" w:rsidTr="00C5731C">
        <w:trPr>
          <w:trHeight w:val="315"/>
        </w:trPr>
        <w:tc>
          <w:tcPr>
            <w:tcW w:w="2180" w:type="dxa"/>
            <w:tcBorders>
              <w:top w:val="nil"/>
              <w:left w:val="nil"/>
              <w:bottom w:val="nil"/>
              <w:right w:val="nil"/>
            </w:tcBorders>
            <w:shd w:val="clear" w:color="auto" w:fill="auto"/>
          </w:tcPr>
          <w:p w:rsidR="001C45B5"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AIHW</w:t>
            </w:r>
          </w:p>
        </w:tc>
        <w:tc>
          <w:tcPr>
            <w:tcW w:w="6760" w:type="dxa"/>
            <w:tcBorders>
              <w:top w:val="nil"/>
              <w:left w:val="nil"/>
              <w:bottom w:val="nil"/>
              <w:right w:val="nil"/>
            </w:tcBorders>
            <w:shd w:val="clear" w:color="auto" w:fill="auto"/>
          </w:tcPr>
          <w:p w:rsidR="001C45B5" w:rsidRPr="002009CB" w:rsidRDefault="001C45B5" w:rsidP="00C5731C">
            <w:pPr>
              <w:tabs>
                <w:tab w:val="clear" w:pos="567"/>
              </w:tabs>
              <w:spacing w:after="0" w:line="240" w:lineRule="auto"/>
              <w:rPr>
                <w:rFonts w:cstheme="minorHAnsi"/>
                <w:color w:val="000000" w:themeColor="text1"/>
                <w:sz w:val="20"/>
                <w:szCs w:val="20"/>
                <w:lang w:eastAsia="en-AU"/>
              </w:rPr>
            </w:pPr>
            <w:r w:rsidRPr="002009CB">
              <w:rPr>
                <w:rFonts w:cstheme="minorHAnsi"/>
                <w:bCs/>
                <w:color w:val="000000" w:themeColor="text1"/>
                <w:sz w:val="20"/>
                <w:szCs w:val="20"/>
                <w:lang w:eastAsia="en-AU"/>
              </w:rPr>
              <w:t>Australian Institute of Health and Welfare</w:t>
            </w:r>
          </w:p>
        </w:tc>
      </w:tr>
      <w:tr w:rsidR="001C45B5" w:rsidRPr="00B67A98" w:rsidTr="00C5731C">
        <w:trPr>
          <w:trHeight w:val="315"/>
        </w:trPr>
        <w:tc>
          <w:tcPr>
            <w:tcW w:w="218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APC</w:t>
            </w:r>
          </w:p>
        </w:tc>
        <w:tc>
          <w:tcPr>
            <w:tcW w:w="6760" w:type="dxa"/>
            <w:tcBorders>
              <w:top w:val="nil"/>
              <w:left w:val="nil"/>
              <w:bottom w:val="nil"/>
              <w:right w:val="nil"/>
            </w:tcBorders>
            <w:shd w:val="clear" w:color="auto" w:fill="auto"/>
            <w:noWrap/>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Actual per capita</w:t>
            </w:r>
          </w:p>
        </w:tc>
      </w:tr>
      <w:tr w:rsidR="001C45B5" w:rsidRPr="00B67A98" w:rsidTr="00C5731C">
        <w:trPr>
          <w:trHeight w:val="315"/>
        </w:trPr>
        <w:tc>
          <w:tcPr>
            <w:tcW w:w="218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APRA</w:t>
            </w:r>
          </w:p>
        </w:tc>
        <w:tc>
          <w:tcPr>
            <w:tcW w:w="6760" w:type="dxa"/>
            <w:tcBorders>
              <w:top w:val="nil"/>
              <w:left w:val="nil"/>
              <w:bottom w:val="nil"/>
              <w:right w:val="nil"/>
            </w:tcBorders>
            <w:shd w:val="clear" w:color="auto" w:fill="auto"/>
            <w:noWrap/>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Australian Prudential Regulation Authority</w:t>
            </w:r>
          </w:p>
        </w:tc>
      </w:tr>
      <w:tr w:rsidR="001C45B5" w:rsidRPr="00B67A98" w:rsidTr="00C5731C">
        <w:trPr>
          <w:trHeight w:val="315"/>
        </w:trPr>
        <w:tc>
          <w:tcPr>
            <w:tcW w:w="218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ARIA</w:t>
            </w:r>
          </w:p>
        </w:tc>
        <w:tc>
          <w:tcPr>
            <w:tcW w:w="6760" w:type="dxa"/>
            <w:tcBorders>
              <w:top w:val="nil"/>
              <w:left w:val="nil"/>
              <w:bottom w:val="nil"/>
              <w:right w:val="nil"/>
            </w:tcBorders>
            <w:shd w:val="clear" w:color="auto" w:fill="auto"/>
            <w:noWrap/>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2009CB">
              <w:rPr>
                <w:rFonts w:cstheme="minorHAnsi"/>
                <w:color w:val="000000" w:themeColor="text1"/>
                <w:sz w:val="20"/>
                <w:szCs w:val="20"/>
                <w:lang w:eastAsia="en-AU"/>
              </w:rPr>
              <w:t>Accessibility/Remoteness Index of Australia</w:t>
            </w:r>
          </w:p>
        </w:tc>
      </w:tr>
      <w:tr w:rsidR="001C45B5" w:rsidRPr="00E930A1" w:rsidTr="00C5731C">
        <w:trPr>
          <w:trHeight w:val="315"/>
        </w:trPr>
        <w:tc>
          <w:tcPr>
            <w:tcW w:w="218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BCCS</w:t>
            </w:r>
          </w:p>
        </w:tc>
        <w:tc>
          <w:tcPr>
            <w:tcW w:w="676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Basic Community Care Services</w:t>
            </w:r>
          </w:p>
        </w:tc>
      </w:tr>
      <w:tr w:rsidR="001C45B5" w:rsidRPr="00E930A1" w:rsidTr="00C5731C">
        <w:trPr>
          <w:trHeight w:val="315"/>
        </w:trPr>
        <w:tc>
          <w:tcPr>
            <w:tcW w:w="218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BITRE</w:t>
            </w:r>
          </w:p>
        </w:tc>
        <w:tc>
          <w:tcPr>
            <w:tcW w:w="676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Bureau of Infrastructure, Transport and Regional Economics</w:t>
            </w:r>
          </w:p>
        </w:tc>
      </w:tr>
      <w:tr w:rsidR="001C45B5" w:rsidRPr="00B67A98" w:rsidTr="00C5731C">
        <w:trPr>
          <w:trHeight w:val="315"/>
        </w:trPr>
        <w:tc>
          <w:tcPr>
            <w:tcW w:w="218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CALD</w:t>
            </w:r>
          </w:p>
        </w:tc>
        <w:tc>
          <w:tcPr>
            <w:tcW w:w="676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Cultural and linguistic diversity</w:t>
            </w:r>
          </w:p>
        </w:tc>
      </w:tr>
      <w:tr w:rsidR="001C45B5" w:rsidRPr="00B67A98" w:rsidTr="00C5731C">
        <w:trPr>
          <w:trHeight w:val="315"/>
        </w:trPr>
        <w:tc>
          <w:tcPr>
            <w:tcW w:w="218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CGC</w:t>
            </w:r>
          </w:p>
        </w:tc>
        <w:tc>
          <w:tcPr>
            <w:tcW w:w="676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Commonwealth Grants Commission</w:t>
            </w:r>
          </w:p>
        </w:tc>
      </w:tr>
      <w:tr w:rsidR="001C45B5" w:rsidRPr="00B67A98" w:rsidTr="00C5731C">
        <w:trPr>
          <w:trHeight w:val="315"/>
        </w:trPr>
        <w:tc>
          <w:tcPr>
            <w:tcW w:w="218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DoE</w:t>
            </w:r>
          </w:p>
        </w:tc>
        <w:tc>
          <w:tcPr>
            <w:tcW w:w="6760" w:type="dxa"/>
            <w:tcBorders>
              <w:top w:val="nil"/>
              <w:left w:val="nil"/>
              <w:bottom w:val="nil"/>
              <w:right w:val="nil"/>
            </w:tcBorders>
            <w:shd w:val="clear" w:color="auto" w:fill="auto"/>
            <w:noWrap/>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Department of Education</w:t>
            </w:r>
          </w:p>
        </w:tc>
      </w:tr>
      <w:tr w:rsidR="001C45B5" w:rsidRPr="00B67A98" w:rsidTr="00C5731C">
        <w:trPr>
          <w:trHeight w:val="315"/>
        </w:trPr>
        <w:tc>
          <w:tcPr>
            <w:tcW w:w="218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proofErr w:type="spellStart"/>
            <w:r>
              <w:rPr>
                <w:rFonts w:cstheme="minorHAnsi"/>
                <w:color w:val="000000" w:themeColor="text1"/>
                <w:sz w:val="20"/>
                <w:szCs w:val="20"/>
                <w:lang w:eastAsia="en-AU"/>
              </w:rPr>
              <w:t>Do</w:t>
            </w:r>
            <w:r w:rsidRPr="00B67A98">
              <w:rPr>
                <w:rFonts w:cstheme="minorHAnsi"/>
                <w:color w:val="000000" w:themeColor="text1"/>
                <w:sz w:val="20"/>
                <w:szCs w:val="20"/>
                <w:lang w:eastAsia="en-AU"/>
              </w:rPr>
              <w:t>F</w:t>
            </w:r>
            <w:proofErr w:type="spellEnd"/>
          </w:p>
        </w:tc>
        <w:tc>
          <w:tcPr>
            <w:tcW w:w="6760" w:type="dxa"/>
            <w:tcBorders>
              <w:top w:val="nil"/>
              <w:left w:val="nil"/>
              <w:bottom w:val="nil"/>
              <w:right w:val="nil"/>
            </w:tcBorders>
            <w:shd w:val="clear" w:color="auto" w:fill="auto"/>
            <w:noWrap/>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 xml:space="preserve">Department of Finance </w:t>
            </w:r>
          </w:p>
        </w:tc>
      </w:tr>
      <w:tr w:rsidR="001C45B5" w:rsidRPr="00B67A98" w:rsidTr="00C5731C">
        <w:trPr>
          <w:trHeight w:val="315"/>
        </w:trPr>
        <w:tc>
          <w:tcPr>
            <w:tcW w:w="218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proofErr w:type="spellStart"/>
            <w:r w:rsidRPr="00B67A98">
              <w:rPr>
                <w:rFonts w:cstheme="minorHAnsi"/>
                <w:color w:val="000000" w:themeColor="text1"/>
                <w:sz w:val="20"/>
                <w:szCs w:val="20"/>
                <w:lang w:eastAsia="en-AU"/>
              </w:rPr>
              <w:t>DoH</w:t>
            </w:r>
            <w:r w:rsidR="00481EFD">
              <w:rPr>
                <w:rFonts w:cstheme="minorHAnsi"/>
                <w:color w:val="000000" w:themeColor="text1"/>
                <w:sz w:val="20"/>
                <w:szCs w:val="20"/>
                <w:lang w:eastAsia="en-AU"/>
              </w:rPr>
              <w:t>A</w:t>
            </w:r>
            <w:proofErr w:type="spellEnd"/>
          </w:p>
        </w:tc>
        <w:tc>
          <w:tcPr>
            <w:tcW w:w="676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 xml:space="preserve">Department of Health </w:t>
            </w:r>
            <w:r w:rsidR="00481EFD">
              <w:rPr>
                <w:rFonts w:cstheme="minorHAnsi"/>
                <w:color w:val="000000" w:themeColor="text1"/>
                <w:sz w:val="20"/>
                <w:szCs w:val="20"/>
                <w:lang w:eastAsia="en-AU"/>
              </w:rPr>
              <w:t xml:space="preserve"> and Ageing</w:t>
            </w:r>
          </w:p>
        </w:tc>
      </w:tr>
      <w:tr w:rsidR="001C45B5" w:rsidRPr="00B67A98" w:rsidTr="00C5731C">
        <w:trPr>
          <w:trHeight w:val="315"/>
        </w:trPr>
        <w:tc>
          <w:tcPr>
            <w:tcW w:w="218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ED</w:t>
            </w:r>
          </w:p>
        </w:tc>
        <w:tc>
          <w:tcPr>
            <w:tcW w:w="676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Emergency department</w:t>
            </w:r>
          </w:p>
        </w:tc>
      </w:tr>
      <w:tr w:rsidR="001C45B5" w:rsidRPr="00B67A98" w:rsidTr="00C5731C">
        <w:trPr>
          <w:trHeight w:val="315"/>
        </w:trPr>
        <w:tc>
          <w:tcPr>
            <w:tcW w:w="218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EPC</w:t>
            </w:r>
          </w:p>
        </w:tc>
        <w:tc>
          <w:tcPr>
            <w:tcW w:w="676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Equal per capita</w:t>
            </w:r>
          </w:p>
        </w:tc>
      </w:tr>
      <w:tr w:rsidR="001C45B5" w:rsidRPr="00B67A98" w:rsidTr="00C5731C">
        <w:trPr>
          <w:trHeight w:val="315"/>
        </w:trPr>
        <w:tc>
          <w:tcPr>
            <w:tcW w:w="2180" w:type="dxa"/>
            <w:tcBorders>
              <w:top w:val="nil"/>
              <w:left w:val="nil"/>
              <w:bottom w:val="nil"/>
              <w:right w:val="nil"/>
            </w:tcBorders>
            <w:shd w:val="clear" w:color="auto" w:fill="auto"/>
            <w:noWrap/>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ERP</w:t>
            </w:r>
          </w:p>
        </w:tc>
        <w:tc>
          <w:tcPr>
            <w:tcW w:w="6760" w:type="dxa"/>
            <w:tcBorders>
              <w:top w:val="nil"/>
              <w:left w:val="nil"/>
              <w:bottom w:val="nil"/>
              <w:right w:val="nil"/>
            </w:tcBorders>
            <w:shd w:val="clear" w:color="auto" w:fill="auto"/>
            <w:noWrap/>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Estimate</w:t>
            </w:r>
            <w:r w:rsidR="007E500F">
              <w:rPr>
                <w:rFonts w:cstheme="minorHAnsi"/>
                <w:color w:val="000000" w:themeColor="text1"/>
                <w:sz w:val="20"/>
                <w:szCs w:val="20"/>
                <w:lang w:eastAsia="en-AU"/>
              </w:rPr>
              <w:t>d</w:t>
            </w:r>
            <w:r w:rsidRPr="00B67A98">
              <w:rPr>
                <w:rFonts w:cstheme="minorHAnsi"/>
                <w:color w:val="000000" w:themeColor="text1"/>
                <w:sz w:val="20"/>
                <w:szCs w:val="20"/>
                <w:lang w:eastAsia="en-AU"/>
              </w:rPr>
              <w:t xml:space="preserve"> Resident Population</w:t>
            </w:r>
          </w:p>
        </w:tc>
      </w:tr>
      <w:tr w:rsidR="001C45B5" w:rsidRPr="00B67A98" w:rsidTr="00C5731C">
        <w:trPr>
          <w:trHeight w:val="315"/>
        </w:trPr>
        <w:tc>
          <w:tcPr>
            <w:tcW w:w="2180" w:type="dxa"/>
            <w:tcBorders>
              <w:top w:val="nil"/>
              <w:left w:val="nil"/>
              <w:bottom w:val="nil"/>
              <w:right w:val="nil"/>
            </w:tcBorders>
            <w:shd w:val="clear" w:color="auto" w:fill="auto"/>
            <w:noWrap/>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GFS</w:t>
            </w:r>
          </w:p>
        </w:tc>
        <w:tc>
          <w:tcPr>
            <w:tcW w:w="6760" w:type="dxa"/>
            <w:tcBorders>
              <w:top w:val="nil"/>
              <w:left w:val="nil"/>
              <w:bottom w:val="nil"/>
              <w:right w:val="nil"/>
            </w:tcBorders>
            <w:shd w:val="clear" w:color="auto" w:fill="auto"/>
            <w:noWrap/>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Government finance statistics</w:t>
            </w:r>
          </w:p>
        </w:tc>
      </w:tr>
      <w:tr w:rsidR="001C45B5" w:rsidRPr="00B67A98" w:rsidTr="00C5731C">
        <w:trPr>
          <w:trHeight w:val="315"/>
        </w:trPr>
        <w:tc>
          <w:tcPr>
            <w:tcW w:w="218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GP</w:t>
            </w:r>
          </w:p>
        </w:tc>
        <w:tc>
          <w:tcPr>
            <w:tcW w:w="676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General practitioner</w:t>
            </w:r>
          </w:p>
        </w:tc>
      </w:tr>
      <w:tr w:rsidR="001C45B5" w:rsidRPr="00B67A98" w:rsidTr="00C5731C">
        <w:trPr>
          <w:trHeight w:val="315"/>
        </w:trPr>
        <w:tc>
          <w:tcPr>
            <w:tcW w:w="218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GST</w:t>
            </w:r>
          </w:p>
        </w:tc>
        <w:tc>
          <w:tcPr>
            <w:tcW w:w="676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Goods and Services Tax</w:t>
            </w:r>
          </w:p>
        </w:tc>
      </w:tr>
      <w:tr w:rsidR="001C45B5" w:rsidRPr="00B67A98" w:rsidTr="00C5731C">
        <w:trPr>
          <w:trHeight w:val="315"/>
        </w:trPr>
        <w:tc>
          <w:tcPr>
            <w:tcW w:w="218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HACC</w:t>
            </w:r>
          </w:p>
        </w:tc>
        <w:tc>
          <w:tcPr>
            <w:tcW w:w="676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Home and Community Care</w:t>
            </w:r>
          </w:p>
        </w:tc>
      </w:tr>
      <w:tr w:rsidR="001C45B5" w:rsidRPr="00B67A98" w:rsidTr="00C5731C">
        <w:trPr>
          <w:trHeight w:val="315"/>
        </w:trPr>
        <w:tc>
          <w:tcPr>
            <w:tcW w:w="218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HFE</w:t>
            </w:r>
          </w:p>
        </w:tc>
        <w:tc>
          <w:tcPr>
            <w:tcW w:w="676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Horizontal fiscal equalisation</w:t>
            </w:r>
          </w:p>
        </w:tc>
      </w:tr>
      <w:tr w:rsidR="001C45B5" w:rsidRPr="00B67A98" w:rsidTr="00C5731C">
        <w:trPr>
          <w:trHeight w:val="315"/>
        </w:trPr>
        <w:tc>
          <w:tcPr>
            <w:tcW w:w="218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IGA</w:t>
            </w:r>
          </w:p>
        </w:tc>
        <w:tc>
          <w:tcPr>
            <w:tcW w:w="676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Intergovernmental Agreement on Federal Financial Relations</w:t>
            </w:r>
          </w:p>
        </w:tc>
      </w:tr>
      <w:tr w:rsidR="001C45B5" w:rsidRPr="00B67A98" w:rsidTr="00C5731C">
        <w:trPr>
          <w:trHeight w:val="315"/>
        </w:trPr>
        <w:tc>
          <w:tcPr>
            <w:tcW w:w="218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IHPA</w:t>
            </w:r>
          </w:p>
        </w:tc>
        <w:tc>
          <w:tcPr>
            <w:tcW w:w="676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Independent Hospital Pricing Authority</w:t>
            </w:r>
          </w:p>
        </w:tc>
      </w:tr>
      <w:tr w:rsidR="001C45B5" w:rsidRPr="00B67A98" w:rsidTr="00C5731C">
        <w:trPr>
          <w:trHeight w:val="315"/>
        </w:trPr>
        <w:tc>
          <w:tcPr>
            <w:tcW w:w="2180" w:type="dxa"/>
            <w:tcBorders>
              <w:top w:val="nil"/>
              <w:left w:val="nil"/>
              <w:bottom w:val="nil"/>
              <w:right w:val="nil"/>
            </w:tcBorders>
            <w:shd w:val="clear" w:color="auto" w:fill="auto"/>
          </w:tcPr>
          <w:p w:rsidR="001C45B5"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IRHD</w:t>
            </w:r>
          </w:p>
        </w:tc>
        <w:tc>
          <w:tcPr>
            <w:tcW w:w="6760" w:type="dxa"/>
            <w:tcBorders>
              <w:top w:val="nil"/>
              <w:left w:val="nil"/>
              <w:bottom w:val="nil"/>
              <w:right w:val="nil"/>
            </w:tcBorders>
            <w:shd w:val="clear" w:color="auto" w:fill="auto"/>
          </w:tcPr>
          <w:p w:rsidR="001C45B5" w:rsidRPr="00303E29" w:rsidRDefault="001C45B5" w:rsidP="00C5731C">
            <w:pPr>
              <w:tabs>
                <w:tab w:val="clear" w:pos="567"/>
              </w:tabs>
              <w:spacing w:after="0" w:line="240" w:lineRule="auto"/>
              <w:rPr>
                <w:rFonts w:cstheme="minorHAnsi"/>
                <w:color w:val="000000" w:themeColor="text1"/>
                <w:sz w:val="20"/>
                <w:szCs w:val="20"/>
                <w:lang w:eastAsia="en-AU"/>
              </w:rPr>
            </w:pPr>
            <w:r w:rsidRPr="00303E29">
              <w:rPr>
                <w:sz w:val="20"/>
                <w:szCs w:val="20"/>
              </w:rPr>
              <w:t>Indigenous and Rural Health Division</w:t>
            </w:r>
          </w:p>
        </w:tc>
      </w:tr>
      <w:tr w:rsidR="001C45B5" w:rsidRPr="00B67A98" w:rsidTr="00C5731C">
        <w:trPr>
          <w:trHeight w:val="315"/>
        </w:trPr>
        <w:tc>
          <w:tcPr>
            <w:tcW w:w="218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IRSEO</w:t>
            </w:r>
          </w:p>
        </w:tc>
        <w:tc>
          <w:tcPr>
            <w:tcW w:w="676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Indigenous relative socio-economic outcomes (index)</w:t>
            </w:r>
          </w:p>
        </w:tc>
      </w:tr>
      <w:tr w:rsidR="001C45B5" w:rsidRPr="00B67A98" w:rsidTr="00C5731C">
        <w:trPr>
          <w:trHeight w:val="315"/>
        </w:trPr>
        <w:tc>
          <w:tcPr>
            <w:tcW w:w="2180" w:type="dxa"/>
            <w:tcBorders>
              <w:top w:val="nil"/>
              <w:left w:val="nil"/>
              <w:bottom w:val="nil"/>
              <w:right w:val="nil"/>
            </w:tcBorders>
            <w:shd w:val="clear" w:color="auto" w:fill="auto"/>
          </w:tcPr>
          <w:p w:rsidR="001C45B5"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LBOTE</w:t>
            </w:r>
          </w:p>
        </w:tc>
        <w:tc>
          <w:tcPr>
            <w:tcW w:w="6760" w:type="dxa"/>
            <w:tcBorders>
              <w:top w:val="nil"/>
              <w:left w:val="nil"/>
              <w:bottom w:val="nil"/>
              <w:right w:val="nil"/>
            </w:tcBorders>
            <w:shd w:val="clear" w:color="auto" w:fill="auto"/>
          </w:tcPr>
          <w:p w:rsidR="001C45B5"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Language background other than English</w:t>
            </w:r>
          </w:p>
        </w:tc>
      </w:tr>
      <w:tr w:rsidR="001C45B5" w:rsidRPr="00B67A98" w:rsidTr="00C5731C">
        <w:trPr>
          <w:trHeight w:val="315"/>
        </w:trPr>
        <w:tc>
          <w:tcPr>
            <w:tcW w:w="218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LHN</w:t>
            </w:r>
          </w:p>
        </w:tc>
        <w:tc>
          <w:tcPr>
            <w:tcW w:w="676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Local Hospital Network</w:t>
            </w:r>
          </w:p>
        </w:tc>
      </w:tr>
      <w:tr w:rsidR="001C45B5" w:rsidRPr="00B67A98" w:rsidTr="00C5731C">
        <w:trPr>
          <w:trHeight w:val="315"/>
        </w:trPr>
        <w:tc>
          <w:tcPr>
            <w:tcW w:w="218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MYEFO</w:t>
            </w:r>
          </w:p>
        </w:tc>
        <w:tc>
          <w:tcPr>
            <w:tcW w:w="676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Mid-Year Economic and Fiscal Outlook</w:t>
            </w:r>
          </w:p>
        </w:tc>
      </w:tr>
      <w:tr w:rsidR="001C45B5" w:rsidRPr="00B67A98" w:rsidTr="00C5731C">
        <w:trPr>
          <w:trHeight w:val="315"/>
        </w:trPr>
        <w:tc>
          <w:tcPr>
            <w:tcW w:w="2180" w:type="dxa"/>
            <w:tcBorders>
              <w:top w:val="nil"/>
              <w:left w:val="nil"/>
              <w:bottom w:val="nil"/>
              <w:right w:val="nil"/>
            </w:tcBorders>
            <w:shd w:val="clear" w:color="auto" w:fill="auto"/>
          </w:tcPr>
          <w:p w:rsidR="001C45B5"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NCVER</w:t>
            </w:r>
          </w:p>
        </w:tc>
        <w:tc>
          <w:tcPr>
            <w:tcW w:w="6760" w:type="dxa"/>
            <w:tcBorders>
              <w:top w:val="nil"/>
              <w:left w:val="nil"/>
              <w:bottom w:val="nil"/>
              <w:right w:val="nil"/>
            </w:tcBorders>
            <w:shd w:val="clear" w:color="auto" w:fill="auto"/>
          </w:tcPr>
          <w:p w:rsidR="001C45B5"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National Centre for Vocational Education Research</w:t>
            </w:r>
          </w:p>
        </w:tc>
      </w:tr>
      <w:tr w:rsidR="001C45B5" w:rsidRPr="00B67A98" w:rsidTr="00C5731C">
        <w:trPr>
          <w:trHeight w:val="315"/>
        </w:trPr>
        <w:tc>
          <w:tcPr>
            <w:tcW w:w="2180" w:type="dxa"/>
            <w:tcBorders>
              <w:top w:val="nil"/>
              <w:left w:val="nil"/>
              <w:bottom w:val="nil"/>
              <w:right w:val="nil"/>
            </w:tcBorders>
            <w:shd w:val="clear" w:color="auto" w:fill="auto"/>
          </w:tcPr>
          <w:p w:rsidR="001C45B5"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NDA</w:t>
            </w:r>
          </w:p>
        </w:tc>
        <w:tc>
          <w:tcPr>
            <w:tcW w:w="6760" w:type="dxa"/>
            <w:tcBorders>
              <w:top w:val="nil"/>
              <w:left w:val="nil"/>
              <w:bottom w:val="nil"/>
              <w:right w:val="nil"/>
            </w:tcBorders>
            <w:shd w:val="clear" w:color="auto" w:fill="auto"/>
          </w:tcPr>
          <w:p w:rsidR="001C45B5"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National Disability Agreement</w:t>
            </w:r>
          </w:p>
        </w:tc>
      </w:tr>
      <w:tr w:rsidR="001C45B5" w:rsidRPr="00B67A98" w:rsidTr="00C5731C">
        <w:trPr>
          <w:trHeight w:val="315"/>
        </w:trPr>
        <w:tc>
          <w:tcPr>
            <w:tcW w:w="218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NDIS</w:t>
            </w:r>
          </w:p>
        </w:tc>
        <w:tc>
          <w:tcPr>
            <w:tcW w:w="676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National Disability Insurance Scheme</w:t>
            </w:r>
          </w:p>
        </w:tc>
      </w:tr>
      <w:tr w:rsidR="001C45B5" w:rsidRPr="00B67A98" w:rsidTr="00C5731C">
        <w:trPr>
          <w:trHeight w:val="315"/>
        </w:trPr>
        <w:tc>
          <w:tcPr>
            <w:tcW w:w="218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NDRRA</w:t>
            </w:r>
          </w:p>
        </w:tc>
        <w:tc>
          <w:tcPr>
            <w:tcW w:w="676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Natural Disaster Relief and Recovery Arrangements</w:t>
            </w:r>
          </w:p>
        </w:tc>
      </w:tr>
      <w:tr w:rsidR="001C45B5" w:rsidRPr="00B67A98" w:rsidTr="00C5731C">
        <w:trPr>
          <w:trHeight w:val="315"/>
        </w:trPr>
        <w:tc>
          <w:tcPr>
            <w:tcW w:w="218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NERA</w:t>
            </w:r>
          </w:p>
        </w:tc>
        <w:tc>
          <w:tcPr>
            <w:tcW w:w="6760" w:type="dxa"/>
            <w:tcBorders>
              <w:top w:val="nil"/>
              <w:left w:val="nil"/>
              <w:bottom w:val="nil"/>
              <w:right w:val="nil"/>
            </w:tcBorders>
            <w:shd w:val="clear" w:color="auto" w:fill="auto"/>
            <w:noWrap/>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National Education Reform Agreement</w:t>
            </w:r>
          </w:p>
        </w:tc>
      </w:tr>
      <w:tr w:rsidR="001C45B5" w:rsidRPr="00B67A98" w:rsidTr="00C5731C">
        <w:trPr>
          <w:trHeight w:val="315"/>
        </w:trPr>
        <w:tc>
          <w:tcPr>
            <w:tcW w:w="218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NHR</w:t>
            </w:r>
          </w:p>
        </w:tc>
        <w:tc>
          <w:tcPr>
            <w:tcW w:w="6760" w:type="dxa"/>
            <w:tcBorders>
              <w:top w:val="nil"/>
              <w:left w:val="nil"/>
              <w:bottom w:val="nil"/>
              <w:right w:val="nil"/>
            </w:tcBorders>
            <w:shd w:val="clear" w:color="auto" w:fill="auto"/>
            <w:noWrap/>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National Health Reform</w:t>
            </w:r>
          </w:p>
        </w:tc>
      </w:tr>
      <w:tr w:rsidR="001C45B5" w:rsidRPr="00B67A98" w:rsidTr="00C5731C">
        <w:trPr>
          <w:trHeight w:val="315"/>
        </w:trPr>
        <w:tc>
          <w:tcPr>
            <w:tcW w:w="218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lastRenderedPageBreak/>
              <w:t>NISEIFA</w:t>
            </w:r>
          </w:p>
        </w:tc>
        <w:tc>
          <w:tcPr>
            <w:tcW w:w="676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Non-Indigenous socio</w:t>
            </w:r>
            <w:r>
              <w:rPr>
                <w:rFonts w:cstheme="minorHAnsi"/>
                <w:color w:val="000000" w:themeColor="text1"/>
                <w:sz w:val="20"/>
                <w:szCs w:val="20"/>
                <w:lang w:eastAsia="en-AU"/>
              </w:rPr>
              <w:noBreakHyphen/>
              <w:t>economic index for areas</w:t>
            </w:r>
          </w:p>
        </w:tc>
      </w:tr>
      <w:tr w:rsidR="001C45B5" w:rsidRPr="00B67A98" w:rsidTr="00C5731C">
        <w:trPr>
          <w:trHeight w:val="315"/>
        </w:trPr>
        <w:tc>
          <w:tcPr>
            <w:tcW w:w="2180" w:type="dxa"/>
            <w:tcBorders>
              <w:top w:val="nil"/>
              <w:left w:val="nil"/>
              <w:bottom w:val="nil"/>
              <w:right w:val="nil"/>
            </w:tcBorders>
            <w:shd w:val="clear" w:color="auto" w:fill="auto"/>
          </w:tcPr>
          <w:p w:rsidR="001C45B5"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NNR</w:t>
            </w:r>
          </w:p>
        </w:tc>
        <w:tc>
          <w:tcPr>
            <w:tcW w:w="6760" w:type="dxa"/>
            <w:tcBorders>
              <w:top w:val="nil"/>
              <w:left w:val="nil"/>
              <w:bottom w:val="nil"/>
              <w:right w:val="nil"/>
            </w:tcBorders>
            <w:shd w:val="clear" w:color="auto" w:fill="auto"/>
          </w:tcPr>
          <w:p w:rsidR="001C45B5"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National network roads</w:t>
            </w:r>
          </w:p>
        </w:tc>
      </w:tr>
      <w:tr w:rsidR="001C45B5" w:rsidRPr="00B67A98" w:rsidTr="00C5731C">
        <w:trPr>
          <w:trHeight w:val="315"/>
        </w:trPr>
        <w:tc>
          <w:tcPr>
            <w:tcW w:w="218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NPP</w:t>
            </w:r>
          </w:p>
        </w:tc>
        <w:tc>
          <w:tcPr>
            <w:tcW w:w="676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National partnership payment</w:t>
            </w:r>
          </w:p>
        </w:tc>
      </w:tr>
      <w:tr w:rsidR="001C45B5" w:rsidRPr="00B67A98" w:rsidTr="00C5731C">
        <w:trPr>
          <w:trHeight w:val="315"/>
        </w:trPr>
        <w:tc>
          <w:tcPr>
            <w:tcW w:w="218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NTC</w:t>
            </w:r>
          </w:p>
        </w:tc>
        <w:tc>
          <w:tcPr>
            <w:tcW w:w="676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National Transport Commission</w:t>
            </w:r>
          </w:p>
        </w:tc>
      </w:tr>
      <w:tr w:rsidR="001C45B5" w:rsidRPr="00B67A98" w:rsidTr="00C5731C">
        <w:trPr>
          <w:trHeight w:val="315"/>
        </w:trPr>
        <w:tc>
          <w:tcPr>
            <w:tcW w:w="218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NWAU</w:t>
            </w:r>
          </w:p>
        </w:tc>
        <w:tc>
          <w:tcPr>
            <w:tcW w:w="676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National Weighted Activity Unit</w:t>
            </w:r>
          </w:p>
        </w:tc>
      </w:tr>
      <w:tr w:rsidR="001C45B5" w:rsidRPr="00B67A98" w:rsidTr="00C5731C">
        <w:trPr>
          <w:trHeight w:val="315"/>
        </w:trPr>
        <w:tc>
          <w:tcPr>
            <w:tcW w:w="218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PNFC</w:t>
            </w:r>
          </w:p>
        </w:tc>
        <w:tc>
          <w:tcPr>
            <w:tcW w:w="676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Public non-financial corporation</w:t>
            </w:r>
          </w:p>
        </w:tc>
      </w:tr>
      <w:tr w:rsidR="001C45B5" w:rsidRPr="00B67A98" w:rsidTr="00C5731C">
        <w:trPr>
          <w:trHeight w:val="315"/>
        </w:trPr>
        <w:tc>
          <w:tcPr>
            <w:tcW w:w="218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PTE</w:t>
            </w:r>
          </w:p>
        </w:tc>
        <w:tc>
          <w:tcPr>
            <w:tcW w:w="676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Public trading enterprise</w:t>
            </w:r>
          </w:p>
        </w:tc>
      </w:tr>
      <w:tr w:rsidR="001C45B5" w:rsidRPr="00B67A98" w:rsidTr="00C5731C">
        <w:trPr>
          <w:trHeight w:val="315"/>
        </w:trPr>
        <w:tc>
          <w:tcPr>
            <w:tcW w:w="2180" w:type="dxa"/>
            <w:tcBorders>
              <w:top w:val="nil"/>
              <w:left w:val="nil"/>
              <w:bottom w:val="nil"/>
              <w:right w:val="nil"/>
            </w:tcBorders>
            <w:shd w:val="clear" w:color="auto" w:fill="auto"/>
          </w:tcPr>
          <w:p w:rsidR="001C45B5" w:rsidRPr="00B67A98" w:rsidRDefault="001C45B5" w:rsidP="00C5731C">
            <w:pPr>
              <w:tabs>
                <w:tab w:val="clear" w:pos="567"/>
              </w:tabs>
              <w:spacing w:after="0" w:line="360" w:lineRule="auto"/>
              <w:rPr>
                <w:rFonts w:cstheme="minorHAnsi"/>
                <w:color w:val="000000" w:themeColor="text1"/>
                <w:sz w:val="20"/>
                <w:szCs w:val="20"/>
                <w:lang w:eastAsia="en-AU"/>
              </w:rPr>
            </w:pPr>
            <w:r>
              <w:rPr>
                <w:rFonts w:cstheme="minorHAnsi"/>
                <w:color w:val="000000" w:themeColor="text1"/>
                <w:sz w:val="20"/>
                <w:szCs w:val="20"/>
                <w:lang w:eastAsia="en-AU"/>
              </w:rPr>
              <w:t>RTO</w:t>
            </w:r>
          </w:p>
        </w:tc>
        <w:tc>
          <w:tcPr>
            <w:tcW w:w="6760" w:type="dxa"/>
            <w:tcBorders>
              <w:top w:val="nil"/>
              <w:left w:val="nil"/>
              <w:bottom w:val="nil"/>
              <w:right w:val="nil"/>
            </w:tcBorders>
            <w:shd w:val="clear" w:color="auto" w:fill="auto"/>
          </w:tcPr>
          <w:p w:rsidR="001C45B5" w:rsidRPr="00B67A98" w:rsidRDefault="001C45B5" w:rsidP="00C5731C">
            <w:pPr>
              <w:tabs>
                <w:tab w:val="clear" w:pos="567"/>
              </w:tabs>
              <w:spacing w:after="0" w:line="360" w:lineRule="auto"/>
              <w:rPr>
                <w:rFonts w:cstheme="minorHAnsi"/>
                <w:color w:val="000000" w:themeColor="text1"/>
                <w:sz w:val="20"/>
                <w:szCs w:val="20"/>
                <w:lang w:eastAsia="en-AU"/>
              </w:rPr>
            </w:pPr>
            <w:r>
              <w:rPr>
                <w:rFonts w:cstheme="minorHAnsi"/>
                <w:color w:val="000000" w:themeColor="text1"/>
                <w:sz w:val="20"/>
                <w:szCs w:val="20"/>
                <w:lang w:eastAsia="en-AU"/>
              </w:rPr>
              <w:t>Registered training organisation</w:t>
            </w:r>
          </w:p>
        </w:tc>
      </w:tr>
      <w:tr w:rsidR="001C45B5" w:rsidRPr="00B67A98" w:rsidTr="00C5731C">
        <w:trPr>
          <w:trHeight w:val="315"/>
        </w:trPr>
        <w:tc>
          <w:tcPr>
            <w:tcW w:w="2180" w:type="dxa"/>
            <w:tcBorders>
              <w:top w:val="nil"/>
              <w:left w:val="nil"/>
              <w:bottom w:val="nil"/>
              <w:right w:val="nil"/>
            </w:tcBorders>
            <w:shd w:val="clear" w:color="auto" w:fill="auto"/>
            <w:noWrap/>
          </w:tcPr>
          <w:p w:rsidR="001C45B5"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SA1</w:t>
            </w:r>
          </w:p>
        </w:tc>
        <w:tc>
          <w:tcPr>
            <w:tcW w:w="6760" w:type="dxa"/>
            <w:tcBorders>
              <w:top w:val="nil"/>
              <w:left w:val="nil"/>
              <w:bottom w:val="nil"/>
              <w:right w:val="nil"/>
            </w:tcBorders>
            <w:shd w:val="clear" w:color="auto" w:fill="auto"/>
          </w:tcPr>
          <w:p w:rsidR="001C45B5"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Statistical Area 1</w:t>
            </w:r>
          </w:p>
        </w:tc>
      </w:tr>
      <w:tr w:rsidR="001C45B5" w:rsidRPr="00B67A98" w:rsidTr="00C5731C">
        <w:trPr>
          <w:trHeight w:val="315"/>
        </w:trPr>
        <w:tc>
          <w:tcPr>
            <w:tcW w:w="2180" w:type="dxa"/>
            <w:tcBorders>
              <w:top w:val="nil"/>
              <w:left w:val="nil"/>
              <w:bottom w:val="nil"/>
              <w:right w:val="nil"/>
            </w:tcBorders>
            <w:shd w:val="clear" w:color="auto" w:fill="auto"/>
            <w:noWrap/>
          </w:tcPr>
          <w:p w:rsidR="001C45B5"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SET</w:t>
            </w:r>
          </w:p>
        </w:tc>
        <w:tc>
          <w:tcPr>
            <w:tcW w:w="6760" w:type="dxa"/>
            <w:tcBorders>
              <w:top w:val="nil"/>
              <w:left w:val="nil"/>
              <w:bottom w:val="nil"/>
              <w:right w:val="nil"/>
            </w:tcBorders>
            <w:shd w:val="clear" w:color="auto" w:fill="auto"/>
          </w:tcPr>
          <w:p w:rsidR="001C45B5"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Survey of Education and Training</w:t>
            </w:r>
          </w:p>
        </w:tc>
      </w:tr>
      <w:tr w:rsidR="001C45B5" w:rsidRPr="00B67A98" w:rsidTr="00C5731C">
        <w:trPr>
          <w:trHeight w:val="315"/>
        </w:trPr>
        <w:tc>
          <w:tcPr>
            <w:tcW w:w="2180" w:type="dxa"/>
            <w:tcBorders>
              <w:top w:val="nil"/>
              <w:left w:val="nil"/>
              <w:bottom w:val="nil"/>
              <w:right w:val="nil"/>
            </w:tcBorders>
            <w:shd w:val="clear" w:color="auto" w:fill="auto"/>
            <w:noWrap/>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SDC</w:t>
            </w:r>
          </w:p>
        </w:tc>
        <w:tc>
          <w:tcPr>
            <w:tcW w:w="676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Socio-demographic composition</w:t>
            </w:r>
          </w:p>
        </w:tc>
      </w:tr>
      <w:tr w:rsidR="001C45B5" w:rsidRPr="00B67A98" w:rsidTr="00C5731C">
        <w:trPr>
          <w:trHeight w:val="315"/>
        </w:trPr>
        <w:tc>
          <w:tcPr>
            <w:tcW w:w="2180" w:type="dxa"/>
            <w:tcBorders>
              <w:top w:val="nil"/>
              <w:left w:val="nil"/>
              <w:bottom w:val="nil"/>
              <w:right w:val="nil"/>
            </w:tcBorders>
            <w:shd w:val="clear" w:color="auto" w:fill="auto"/>
            <w:noWrap/>
          </w:tcPr>
          <w:p w:rsidR="001C45B5"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SDS</w:t>
            </w:r>
          </w:p>
        </w:tc>
        <w:tc>
          <w:tcPr>
            <w:tcW w:w="6760" w:type="dxa"/>
            <w:tcBorders>
              <w:top w:val="nil"/>
              <w:left w:val="nil"/>
              <w:bottom w:val="nil"/>
              <w:right w:val="nil"/>
            </w:tcBorders>
            <w:shd w:val="clear" w:color="auto" w:fill="auto"/>
          </w:tcPr>
          <w:p w:rsidR="001C45B5"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Service delivery scale</w:t>
            </w:r>
          </w:p>
        </w:tc>
      </w:tr>
      <w:tr w:rsidR="001C45B5" w:rsidRPr="00B67A98" w:rsidTr="00C5731C">
        <w:trPr>
          <w:trHeight w:val="315"/>
        </w:trPr>
        <w:tc>
          <w:tcPr>
            <w:tcW w:w="2180" w:type="dxa"/>
            <w:tcBorders>
              <w:top w:val="nil"/>
              <w:left w:val="nil"/>
              <w:bottom w:val="nil"/>
              <w:right w:val="nil"/>
            </w:tcBorders>
            <w:shd w:val="clear" w:color="auto" w:fill="auto"/>
            <w:noWrap/>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SEIFA</w:t>
            </w:r>
          </w:p>
        </w:tc>
        <w:tc>
          <w:tcPr>
            <w:tcW w:w="676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Socio-Economic Index for Areas</w:t>
            </w:r>
          </w:p>
        </w:tc>
      </w:tr>
      <w:tr w:rsidR="001C45B5" w:rsidRPr="00B67A98" w:rsidTr="00C5731C">
        <w:trPr>
          <w:trHeight w:val="315"/>
        </w:trPr>
        <w:tc>
          <w:tcPr>
            <w:tcW w:w="218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SES</w:t>
            </w:r>
          </w:p>
        </w:tc>
        <w:tc>
          <w:tcPr>
            <w:tcW w:w="676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Socio-economic status</w:t>
            </w:r>
          </w:p>
        </w:tc>
      </w:tr>
      <w:tr w:rsidR="001C45B5" w:rsidRPr="00B67A98" w:rsidTr="00C5731C">
        <w:trPr>
          <w:trHeight w:val="315"/>
        </w:trPr>
        <w:tc>
          <w:tcPr>
            <w:tcW w:w="218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SPP</w:t>
            </w:r>
          </w:p>
        </w:tc>
        <w:tc>
          <w:tcPr>
            <w:tcW w:w="6760" w:type="dxa"/>
            <w:tcBorders>
              <w:top w:val="nil"/>
              <w:left w:val="nil"/>
              <w:bottom w:val="nil"/>
              <w:right w:val="nil"/>
            </w:tcBorders>
            <w:shd w:val="clear" w:color="auto" w:fill="auto"/>
            <w:hideMark/>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sidRPr="00B67A98">
              <w:rPr>
                <w:rFonts w:cstheme="minorHAnsi"/>
                <w:color w:val="000000" w:themeColor="text1"/>
                <w:sz w:val="20"/>
                <w:szCs w:val="20"/>
                <w:lang w:eastAsia="en-AU"/>
              </w:rPr>
              <w:t>Specific purpose payment</w:t>
            </w:r>
          </w:p>
        </w:tc>
      </w:tr>
      <w:tr w:rsidR="001C45B5" w:rsidRPr="00B67A98" w:rsidTr="00C5731C">
        <w:trPr>
          <w:trHeight w:val="315"/>
        </w:trPr>
        <w:tc>
          <w:tcPr>
            <w:tcW w:w="2180" w:type="dxa"/>
            <w:tcBorders>
              <w:top w:val="nil"/>
              <w:left w:val="nil"/>
              <w:bottom w:val="nil"/>
              <w:right w:val="nil"/>
            </w:tcBorders>
            <w:shd w:val="clear" w:color="auto" w:fill="auto"/>
          </w:tcPr>
          <w:p w:rsidR="001C45B5"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SRS</w:t>
            </w:r>
          </w:p>
        </w:tc>
        <w:tc>
          <w:tcPr>
            <w:tcW w:w="6760" w:type="dxa"/>
            <w:tcBorders>
              <w:top w:val="nil"/>
              <w:left w:val="nil"/>
              <w:bottom w:val="nil"/>
              <w:right w:val="nil"/>
            </w:tcBorders>
            <w:shd w:val="clear" w:color="auto" w:fill="auto"/>
          </w:tcPr>
          <w:p w:rsidR="001C45B5"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Student Resource Standard</w:t>
            </w:r>
          </w:p>
        </w:tc>
      </w:tr>
      <w:tr w:rsidR="001C45B5" w:rsidRPr="00B67A98" w:rsidTr="00C5731C">
        <w:trPr>
          <w:trHeight w:val="315"/>
        </w:trPr>
        <w:tc>
          <w:tcPr>
            <w:tcW w:w="218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TAFE</w:t>
            </w:r>
          </w:p>
        </w:tc>
        <w:tc>
          <w:tcPr>
            <w:tcW w:w="6760" w:type="dxa"/>
            <w:tcBorders>
              <w:top w:val="nil"/>
              <w:left w:val="nil"/>
              <w:bottom w:val="nil"/>
              <w:right w:val="nil"/>
            </w:tcBorders>
            <w:shd w:val="clear" w:color="auto" w:fill="auto"/>
          </w:tcPr>
          <w:p w:rsidR="001C45B5" w:rsidRPr="00B67A98"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Technical and further education</w:t>
            </w:r>
          </w:p>
        </w:tc>
      </w:tr>
      <w:tr w:rsidR="001C45B5" w:rsidRPr="00B67A98" w:rsidTr="00C5731C">
        <w:trPr>
          <w:trHeight w:val="315"/>
        </w:trPr>
        <w:tc>
          <w:tcPr>
            <w:tcW w:w="2180" w:type="dxa"/>
            <w:tcBorders>
              <w:top w:val="nil"/>
              <w:left w:val="nil"/>
              <w:bottom w:val="nil"/>
              <w:right w:val="nil"/>
            </w:tcBorders>
            <w:shd w:val="clear" w:color="auto" w:fill="auto"/>
          </w:tcPr>
          <w:p w:rsidR="001C45B5"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ToR</w:t>
            </w:r>
          </w:p>
        </w:tc>
        <w:tc>
          <w:tcPr>
            <w:tcW w:w="6760" w:type="dxa"/>
            <w:tcBorders>
              <w:top w:val="nil"/>
              <w:left w:val="nil"/>
              <w:bottom w:val="nil"/>
              <w:right w:val="nil"/>
            </w:tcBorders>
            <w:shd w:val="clear" w:color="auto" w:fill="auto"/>
          </w:tcPr>
          <w:p w:rsidR="001C45B5"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Terms of Reference</w:t>
            </w:r>
          </w:p>
        </w:tc>
      </w:tr>
      <w:tr w:rsidR="001C45B5" w:rsidRPr="00B67A98" w:rsidTr="00C5731C">
        <w:trPr>
          <w:trHeight w:val="315"/>
        </w:trPr>
        <w:tc>
          <w:tcPr>
            <w:tcW w:w="2180" w:type="dxa"/>
            <w:tcBorders>
              <w:top w:val="nil"/>
              <w:left w:val="nil"/>
              <w:bottom w:val="nil"/>
              <w:right w:val="nil"/>
            </w:tcBorders>
            <w:shd w:val="clear" w:color="auto" w:fill="auto"/>
          </w:tcPr>
          <w:p w:rsidR="001C45B5"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UCL</w:t>
            </w:r>
          </w:p>
        </w:tc>
        <w:tc>
          <w:tcPr>
            <w:tcW w:w="6760" w:type="dxa"/>
            <w:tcBorders>
              <w:top w:val="nil"/>
              <w:left w:val="nil"/>
              <w:bottom w:val="nil"/>
              <w:right w:val="nil"/>
            </w:tcBorders>
            <w:shd w:val="clear" w:color="auto" w:fill="auto"/>
          </w:tcPr>
          <w:p w:rsidR="001C45B5" w:rsidRDefault="001C45B5" w:rsidP="00C5731C">
            <w:pPr>
              <w:tabs>
                <w:tab w:val="clear" w:pos="567"/>
              </w:tabs>
              <w:spacing w:after="0" w:line="240" w:lineRule="auto"/>
              <w:rPr>
                <w:rFonts w:cstheme="minorHAnsi"/>
                <w:color w:val="000000" w:themeColor="text1"/>
                <w:sz w:val="20"/>
                <w:szCs w:val="20"/>
                <w:lang w:eastAsia="en-AU"/>
              </w:rPr>
            </w:pPr>
            <w:r>
              <w:rPr>
                <w:rFonts w:cstheme="minorHAnsi"/>
                <w:color w:val="000000" w:themeColor="text1"/>
                <w:sz w:val="20"/>
                <w:szCs w:val="20"/>
                <w:lang w:eastAsia="en-AU"/>
              </w:rPr>
              <w:t>Urban Centres and Localities</w:t>
            </w:r>
          </w:p>
        </w:tc>
      </w:tr>
    </w:tbl>
    <w:p w:rsidR="000F6176" w:rsidRPr="00597461" w:rsidRDefault="000F6176" w:rsidP="001C45B5"/>
    <w:sectPr w:rsidR="000F6176" w:rsidRPr="00597461" w:rsidSect="00D22403">
      <w:headerReference w:type="default" r:id="rId48"/>
      <w:footerReference w:type="default" r:id="rId49"/>
      <w:headerReference w:type="first" r:id="rId50"/>
      <w:footerReference w:type="first" r:id="rId51"/>
      <w:footnotePr>
        <w:numRestart w:val="eachSect"/>
      </w:footnotePr>
      <w:pgSz w:w="11906" w:h="16838" w:code="9"/>
      <w:pgMar w:top="1701" w:right="1474" w:bottom="1701"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035" w:rsidRDefault="00001035" w:rsidP="00410163">
      <w:pPr>
        <w:spacing w:after="0" w:line="240" w:lineRule="auto"/>
      </w:pPr>
      <w:r>
        <w:separator/>
      </w:r>
    </w:p>
  </w:endnote>
  <w:endnote w:type="continuationSeparator" w:id="0">
    <w:p w:rsidR="00001035" w:rsidRDefault="00001035" w:rsidP="0041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Pr="00597461" w:rsidRDefault="00001035" w:rsidP="00597461">
    <w:pPr>
      <w:pStyle w:val="Footer"/>
      <w:tabs>
        <w:tab w:val="left" w:pos="405"/>
        <w:tab w:val="right" w:pos="8931"/>
      </w:tabs>
      <w:rPr>
        <w:i/>
      </w:rPr>
    </w:pPr>
    <w:r>
      <w:rPr>
        <w:i/>
      </w:rPr>
      <w:t>Attachment 1 Population data supporting the assessments</w:t>
    </w:r>
    <w:r>
      <w:tab/>
    </w:r>
    <w:r>
      <w:tab/>
    </w:r>
    <w:r>
      <w:fldChar w:fldCharType="begin"/>
    </w:r>
    <w:r>
      <w:instrText xml:space="preserve"> PAGE  \* Arabic  \* MERGEFORMAT </w:instrText>
    </w:r>
    <w:r>
      <w:fldChar w:fldCharType="separate"/>
    </w:r>
    <w:r w:rsidR="00826FC2">
      <w:rPr>
        <w:noProof/>
      </w:rPr>
      <w:t>564</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Default="00001035" w:rsidP="00410163">
    <w:pPr>
      <w:pStyle w:val="Footer"/>
      <w:tabs>
        <w:tab w:val="clear" w:pos="4513"/>
      </w:tabs>
    </w:pPr>
    <w:r>
      <w:tab/>
    </w:r>
    <w:r>
      <w:fldChar w:fldCharType="begin"/>
    </w:r>
    <w:r>
      <w:instrText xml:space="preserve"> PAGE \* MERGEFORMAT </w:instrText>
    </w:r>
    <w:r>
      <w:fldChar w:fldCharType="separate"/>
    </w:r>
    <w:r w:rsidR="00826FC2">
      <w:rPr>
        <w:noProof/>
      </w:rPr>
      <w:t>638</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Pr="00597461" w:rsidRDefault="00001035" w:rsidP="00597461">
    <w:pPr>
      <w:pStyle w:val="Footer"/>
      <w:tabs>
        <w:tab w:val="left" w:pos="405"/>
        <w:tab w:val="right" w:pos="8931"/>
      </w:tabs>
      <w:rPr>
        <w:i/>
      </w:rPr>
    </w:pPr>
    <w:r>
      <w:rPr>
        <w:i/>
      </w:rPr>
      <w:t>Attachment 5 Main reasons for difference in GST distribution – State analysis</w:t>
    </w:r>
    <w:r>
      <w:tab/>
    </w:r>
    <w:r>
      <w:tab/>
    </w:r>
    <w:r>
      <w:fldChar w:fldCharType="begin"/>
    </w:r>
    <w:r>
      <w:instrText xml:space="preserve"> PAGE  \* Arabic  \* MERGEFORMAT </w:instrText>
    </w:r>
    <w:r>
      <w:fldChar w:fldCharType="separate"/>
    </w:r>
    <w:r w:rsidR="00826FC2">
      <w:rPr>
        <w:noProof/>
      </w:rPr>
      <w:t>646</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Default="00001035" w:rsidP="00410163">
    <w:pPr>
      <w:pStyle w:val="Footer"/>
      <w:tabs>
        <w:tab w:val="clear" w:pos="4513"/>
      </w:tabs>
    </w:pPr>
    <w:r>
      <w:tab/>
    </w:r>
    <w:r>
      <w:fldChar w:fldCharType="begin"/>
    </w:r>
    <w:r>
      <w:instrText xml:space="preserve"> PAGE \* MERGEFORMAT </w:instrText>
    </w:r>
    <w:r>
      <w:fldChar w:fldCharType="separate"/>
    </w:r>
    <w:r w:rsidR="00826FC2">
      <w:rPr>
        <w:noProof/>
      </w:rPr>
      <w:t>642</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Pr="00597461" w:rsidRDefault="00001035" w:rsidP="00597461">
    <w:pPr>
      <w:pStyle w:val="Footer"/>
      <w:tabs>
        <w:tab w:val="left" w:pos="405"/>
        <w:tab w:val="right" w:pos="8931"/>
      </w:tabs>
      <w:rPr>
        <w:i/>
      </w:rPr>
    </w:pPr>
    <w:r>
      <w:rPr>
        <w:i/>
      </w:rPr>
      <w:t>Attachment 6 Calculation of GST relativities</w:t>
    </w:r>
    <w:r>
      <w:tab/>
    </w:r>
    <w:r>
      <w:tab/>
    </w:r>
    <w:r>
      <w:fldChar w:fldCharType="begin"/>
    </w:r>
    <w:r>
      <w:instrText xml:space="preserve"> PAGE  \* Arabic  \* MERGEFORMAT </w:instrText>
    </w:r>
    <w:r>
      <w:fldChar w:fldCharType="separate"/>
    </w:r>
    <w:r w:rsidR="00826FC2">
      <w:rPr>
        <w:noProof/>
      </w:rPr>
      <w:t>652</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Default="00001035" w:rsidP="00410163">
    <w:pPr>
      <w:pStyle w:val="Footer"/>
      <w:tabs>
        <w:tab w:val="clear" w:pos="4513"/>
      </w:tabs>
    </w:pPr>
    <w:r>
      <w:tab/>
    </w:r>
    <w:r>
      <w:fldChar w:fldCharType="begin"/>
    </w:r>
    <w:r>
      <w:instrText xml:space="preserve"> PAGE \* MERGEFORMAT </w:instrText>
    </w:r>
    <w:r>
      <w:fldChar w:fldCharType="separate"/>
    </w:r>
    <w:r w:rsidR="00826FC2">
      <w:rPr>
        <w:noProof/>
      </w:rPr>
      <w:t>647</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Pr="00597461" w:rsidRDefault="00001035" w:rsidP="00597461">
    <w:pPr>
      <w:pStyle w:val="Footer"/>
      <w:tabs>
        <w:tab w:val="left" w:pos="405"/>
        <w:tab w:val="right" w:pos="8931"/>
      </w:tabs>
      <w:rPr>
        <w:i/>
      </w:rPr>
    </w:pPr>
    <w:r>
      <w:rPr>
        <w:i/>
      </w:rPr>
      <w:t>Attachment 7 Consultations</w:t>
    </w:r>
    <w:r>
      <w:tab/>
    </w:r>
    <w:r>
      <w:tab/>
    </w:r>
    <w:r>
      <w:fldChar w:fldCharType="begin"/>
    </w:r>
    <w:r>
      <w:instrText xml:space="preserve"> PAGE  \* Arabic  \* MERGEFORMAT </w:instrText>
    </w:r>
    <w:r>
      <w:fldChar w:fldCharType="separate"/>
    </w:r>
    <w:r w:rsidR="00826FC2">
      <w:rPr>
        <w:noProof/>
      </w:rPr>
      <w:t>659</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Default="00001035" w:rsidP="00410163">
    <w:pPr>
      <w:pStyle w:val="Footer"/>
      <w:tabs>
        <w:tab w:val="clear" w:pos="4513"/>
      </w:tabs>
    </w:pPr>
    <w:r>
      <w:tab/>
    </w:r>
    <w:r>
      <w:fldChar w:fldCharType="begin"/>
    </w:r>
    <w:r>
      <w:instrText xml:space="preserve"> PAGE \* MERGEFORMAT </w:instrText>
    </w:r>
    <w:r>
      <w:fldChar w:fldCharType="separate"/>
    </w:r>
    <w:r w:rsidR="00826FC2">
      <w:rPr>
        <w:noProof/>
      </w:rPr>
      <w:t>653</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Pr="00597461" w:rsidRDefault="00001035" w:rsidP="00597461">
    <w:pPr>
      <w:pStyle w:val="Footer"/>
      <w:tabs>
        <w:tab w:val="left" w:pos="405"/>
        <w:tab w:val="right" w:pos="8931"/>
      </w:tabs>
      <w:rPr>
        <w:i/>
      </w:rPr>
    </w:pPr>
    <w:r>
      <w:rPr>
        <w:i/>
      </w:rPr>
      <w:t>Attachment 8 Commission terminology</w:t>
    </w:r>
    <w:r>
      <w:tab/>
    </w:r>
    <w:r>
      <w:tab/>
    </w:r>
    <w:r>
      <w:fldChar w:fldCharType="begin"/>
    </w:r>
    <w:r>
      <w:instrText xml:space="preserve"> PAGE  \* Arabic  \* MERGEFORMAT </w:instrText>
    </w:r>
    <w:r>
      <w:fldChar w:fldCharType="separate"/>
    </w:r>
    <w:r w:rsidR="00826FC2">
      <w:rPr>
        <w:noProof/>
      </w:rPr>
      <w:t>669</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Default="00001035" w:rsidP="00410163">
    <w:pPr>
      <w:pStyle w:val="Footer"/>
      <w:tabs>
        <w:tab w:val="clear" w:pos="4513"/>
      </w:tabs>
    </w:pPr>
    <w:r>
      <w:tab/>
    </w:r>
    <w:r>
      <w:fldChar w:fldCharType="begin"/>
    </w:r>
    <w:r>
      <w:instrText xml:space="preserve"> PAGE \* MERGEFORMAT </w:instrText>
    </w:r>
    <w:r>
      <w:fldChar w:fldCharType="separate"/>
    </w:r>
    <w:r w:rsidR="00826FC2">
      <w:rPr>
        <w:noProof/>
      </w:rPr>
      <w:t>660</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Pr="00597461" w:rsidRDefault="00001035" w:rsidP="00597461">
    <w:pPr>
      <w:pStyle w:val="Footer"/>
      <w:tabs>
        <w:tab w:val="left" w:pos="405"/>
        <w:tab w:val="right" w:pos="8931"/>
      </w:tabs>
      <w:rPr>
        <w:i/>
      </w:rPr>
    </w:pPr>
    <w:r>
      <w:rPr>
        <w:i/>
      </w:rPr>
      <w:t>Attachment 9 Acronyms</w:t>
    </w:r>
    <w:r>
      <w:tab/>
    </w:r>
    <w:r>
      <w:tab/>
    </w:r>
    <w:r>
      <w:fldChar w:fldCharType="begin"/>
    </w:r>
    <w:r>
      <w:instrText xml:space="preserve"> PAGE  \* Arabic  \* MERGEFORMAT </w:instrText>
    </w:r>
    <w:r>
      <w:fldChar w:fldCharType="separate"/>
    </w:r>
    <w:r w:rsidR="00826FC2">
      <w:rPr>
        <w:noProof/>
      </w:rPr>
      <w:t>671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Default="00001035" w:rsidP="00410163">
    <w:pPr>
      <w:pStyle w:val="Footer"/>
      <w:tabs>
        <w:tab w:val="clear" w:pos="4513"/>
      </w:tabs>
    </w:pPr>
    <w:r>
      <w:tab/>
    </w:r>
    <w:r>
      <w:fldChar w:fldCharType="begin"/>
    </w:r>
    <w:r>
      <w:instrText xml:space="preserve"> PAGE \* MERGEFORMAT </w:instrText>
    </w:r>
    <w:r>
      <w:fldChar w:fldCharType="separate"/>
    </w:r>
    <w:r w:rsidR="00826FC2">
      <w:rPr>
        <w:noProof/>
      </w:rPr>
      <w:t>557</w:t>
    </w:r>
    <w: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Default="00001035" w:rsidP="00410163">
    <w:pPr>
      <w:pStyle w:val="Footer"/>
      <w:tabs>
        <w:tab w:val="clear" w:pos="4513"/>
      </w:tabs>
    </w:pPr>
    <w:r>
      <w:tab/>
    </w:r>
    <w:r>
      <w:fldChar w:fldCharType="begin"/>
    </w:r>
    <w:r>
      <w:instrText xml:space="preserve"> PAGE \* MERGEFORMAT </w:instrText>
    </w:r>
    <w:r>
      <w:fldChar w:fldCharType="separate"/>
    </w:r>
    <w:r w:rsidR="00826FC2">
      <w:rPr>
        <w:noProof/>
      </w:rPr>
      <w:t>670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Pr="00445CFD" w:rsidRDefault="00001035" w:rsidP="00445CFD">
    <w:pPr>
      <w:pStyle w:val="Footer"/>
      <w:tabs>
        <w:tab w:val="left" w:pos="405"/>
        <w:tab w:val="right" w:pos="8931"/>
      </w:tabs>
      <w:rPr>
        <w:i/>
      </w:rPr>
    </w:pPr>
    <w:r>
      <w:rPr>
        <w:i/>
      </w:rPr>
      <w:t>Attachment 2 Treatment of Commonwealth payments</w:t>
    </w:r>
    <w:r>
      <w:tab/>
    </w:r>
    <w:r>
      <w:tab/>
    </w:r>
    <w:r>
      <w:fldChar w:fldCharType="begin"/>
    </w:r>
    <w:r>
      <w:instrText xml:space="preserve"> PAGE  \* Arabic  \* MERGEFORMAT </w:instrText>
    </w:r>
    <w:r>
      <w:fldChar w:fldCharType="separate"/>
    </w:r>
    <w:r w:rsidR="00556F06">
      <w:rPr>
        <w:noProof/>
      </w:rPr>
      <w:t>568</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Pr="007E487F" w:rsidRDefault="00001035" w:rsidP="006A7524">
    <w:pPr>
      <w:pStyle w:val="Footer"/>
      <w:tabs>
        <w:tab w:val="right" w:pos="8931"/>
      </w:tabs>
      <w:rPr>
        <w:sz w:val="20"/>
        <w:szCs w:val="20"/>
      </w:rPr>
    </w:pPr>
    <w:r>
      <w:rPr>
        <w:sz w:val="20"/>
        <w:szCs w:val="20"/>
      </w:rPr>
      <w:tab/>
    </w:r>
    <w:r>
      <w:rPr>
        <w:sz w:val="20"/>
        <w:szCs w:val="20"/>
      </w:rPr>
      <w:tab/>
    </w:r>
    <w:r>
      <w:fldChar w:fldCharType="begin"/>
    </w:r>
    <w:r>
      <w:instrText xml:space="preserve"> PAGE   \* MERGEFORMAT </w:instrText>
    </w:r>
    <w:r>
      <w:fldChar w:fldCharType="separate"/>
    </w:r>
    <w:r w:rsidR="00826FC2">
      <w:rPr>
        <w:noProof/>
      </w:rPr>
      <w:t>567</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Pr="00445CFD" w:rsidRDefault="00001035" w:rsidP="00445CFD">
    <w:pPr>
      <w:pStyle w:val="Footer"/>
      <w:tabs>
        <w:tab w:val="left" w:pos="405"/>
        <w:tab w:val="right" w:pos="8931"/>
      </w:tabs>
      <w:rPr>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Pr="002E6179" w:rsidRDefault="00001035" w:rsidP="00183BDA">
    <w:pPr>
      <w:pStyle w:val="Footer"/>
      <w:tabs>
        <w:tab w:val="left" w:pos="405"/>
        <w:tab w:val="right" w:pos="8931"/>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Pr="00597461" w:rsidRDefault="00001035" w:rsidP="00597461">
    <w:pPr>
      <w:pStyle w:val="Footer"/>
      <w:tabs>
        <w:tab w:val="left" w:pos="405"/>
        <w:tab w:val="right" w:pos="8931"/>
      </w:tabs>
      <w:rPr>
        <w:i/>
      </w:rPr>
    </w:pPr>
    <w:r>
      <w:rPr>
        <w:i/>
      </w:rPr>
      <w:t>Attachment 3 The adjusted budget</w:t>
    </w:r>
    <w:r>
      <w:tab/>
    </w:r>
    <w:r>
      <w:tab/>
    </w:r>
    <w:r>
      <w:fldChar w:fldCharType="begin"/>
    </w:r>
    <w:r>
      <w:instrText xml:space="preserve"> PAGE  \* Arabic  \* MERGEFORMAT </w:instrText>
    </w:r>
    <w:r>
      <w:fldChar w:fldCharType="separate"/>
    </w:r>
    <w:r w:rsidR="00826FC2">
      <w:rPr>
        <w:noProof/>
      </w:rPr>
      <w:t>637</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Default="00001035" w:rsidP="00410163">
    <w:pPr>
      <w:pStyle w:val="Footer"/>
      <w:tabs>
        <w:tab w:val="clear" w:pos="4513"/>
      </w:tabs>
    </w:pPr>
    <w:r>
      <w:tab/>
    </w:r>
    <w:r>
      <w:fldChar w:fldCharType="begin"/>
    </w:r>
    <w:r>
      <w:instrText xml:space="preserve"> PAGE \* MERGEFORMAT </w:instrText>
    </w:r>
    <w:r>
      <w:fldChar w:fldCharType="separate"/>
    </w:r>
    <w:r w:rsidR="00826FC2">
      <w:rPr>
        <w:noProof/>
      </w:rPr>
      <w:t>621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Pr="00597461" w:rsidRDefault="00001035" w:rsidP="00597461">
    <w:pPr>
      <w:pStyle w:val="Footer"/>
      <w:tabs>
        <w:tab w:val="left" w:pos="405"/>
        <w:tab w:val="right" w:pos="8931"/>
      </w:tabs>
      <w:rPr>
        <w:i/>
      </w:rPr>
    </w:pPr>
    <w:r>
      <w:rPr>
        <w:i/>
      </w:rPr>
      <w:t>Attachment 4 The assessed budget</w:t>
    </w:r>
    <w:r>
      <w:tab/>
    </w:r>
    <w:r>
      <w:tab/>
    </w:r>
    <w:r>
      <w:fldChar w:fldCharType="begin"/>
    </w:r>
    <w:r>
      <w:instrText xml:space="preserve"> PAGE  \* Arabic  \* MERGEFORMAT </w:instrText>
    </w:r>
    <w:r>
      <w:fldChar w:fldCharType="separate"/>
    </w:r>
    <w:r w:rsidR="00826FC2">
      <w:rPr>
        <w:noProof/>
      </w:rPr>
      <w:t>641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035" w:rsidRDefault="00001035" w:rsidP="00410163">
      <w:pPr>
        <w:spacing w:after="0" w:line="240" w:lineRule="auto"/>
      </w:pPr>
      <w:r>
        <w:separator/>
      </w:r>
    </w:p>
  </w:footnote>
  <w:footnote w:type="continuationSeparator" w:id="0">
    <w:p w:rsidR="00001035" w:rsidRDefault="00001035" w:rsidP="00410163">
      <w:pPr>
        <w:spacing w:after="0" w:line="240" w:lineRule="auto"/>
      </w:pPr>
      <w:r>
        <w:continuationSeparator/>
      </w:r>
    </w:p>
  </w:footnote>
  <w:footnote w:id="1">
    <w:p w:rsidR="00001035" w:rsidRDefault="00001035" w:rsidP="00F23CAE">
      <w:pPr>
        <w:pStyle w:val="FootnoteText"/>
      </w:pPr>
      <w:r>
        <w:rPr>
          <w:rStyle w:val="FootnoteReference"/>
        </w:rPr>
        <w:footnoteRef/>
      </w:r>
      <w:r>
        <w:t xml:space="preserve"> </w:t>
      </w:r>
      <w:r>
        <w:tab/>
      </w:r>
      <w:proofErr w:type="gramStart"/>
      <w:r w:rsidRPr="00583604">
        <w:t>Australian Bureau of Statistics.</w:t>
      </w:r>
      <w:proofErr w:type="gramEnd"/>
      <w:r w:rsidRPr="00583604">
        <w:t xml:space="preserve"> 2033.0.55.001 - </w:t>
      </w:r>
      <w:r w:rsidRPr="001627D3">
        <w:rPr>
          <w:i/>
        </w:rPr>
        <w:t>Census of Population and Housing: Socio-Economic Indexes for Areas (SEIFA), Australia</w:t>
      </w:r>
      <w:r w:rsidRPr="00583604">
        <w:t>, 2011</w:t>
      </w:r>
      <w:r>
        <w:t>.</w:t>
      </w:r>
    </w:p>
  </w:footnote>
  <w:footnote w:id="2">
    <w:p w:rsidR="00001035" w:rsidRDefault="00001035" w:rsidP="00F23CAE">
      <w:pPr>
        <w:pStyle w:val="FootnoteText"/>
      </w:pPr>
      <w:r>
        <w:rPr>
          <w:rStyle w:val="FootnoteReference"/>
        </w:rPr>
        <w:footnoteRef/>
      </w:r>
      <w:r>
        <w:t xml:space="preserve"> </w:t>
      </w:r>
      <w:r>
        <w:tab/>
      </w:r>
      <w:r w:rsidRPr="00583604">
        <w:t>IRSEO was developed by the Centre for Aboriginal Economic and Policy Research (CAEPR), located at the ANU. The IRSEO data is available for download from</w:t>
      </w:r>
      <w:r>
        <w:t xml:space="preserve"> the </w:t>
      </w:r>
      <w:hyperlink r:id="rId1" w:history="1">
        <w:r w:rsidRPr="002A3AC6">
          <w:rPr>
            <w:rStyle w:val="Hyperlink"/>
          </w:rPr>
          <w:t>CAEPR website</w:t>
        </w:r>
      </w:hyperlink>
      <w:r w:rsidRPr="00583604">
        <w:t xml:space="preserve"> </w:t>
      </w:r>
      <w:r>
        <w:t>(</w:t>
      </w:r>
      <w:r w:rsidRPr="002A3AC6">
        <w:t>http://caepr.anu.edu.au/Publications/census-papers/2013CP13.php</w:t>
      </w:r>
      <w:r>
        <w:t>).</w:t>
      </w:r>
    </w:p>
  </w:footnote>
  <w:footnote w:id="3">
    <w:p w:rsidR="00826FC2" w:rsidRDefault="00826FC2" w:rsidP="00826FC2">
      <w:pPr>
        <w:pStyle w:val="FootnoteText"/>
      </w:pPr>
      <w:r>
        <w:rPr>
          <w:rStyle w:val="FootnoteReference"/>
        </w:rPr>
        <w:footnoteRef/>
      </w:r>
      <w:r>
        <w:t xml:space="preserve"> </w:t>
      </w:r>
      <w:r>
        <w:tab/>
        <w:t>The Commission would normally treat Commonwealth’s waiving of State debt as a capital grant to the relevant State, and if needs are assessed, the amount of debt foregone would impact the relativities.</w:t>
      </w:r>
    </w:p>
  </w:footnote>
  <w:footnote w:id="4">
    <w:p w:rsidR="00001035" w:rsidRDefault="00001035" w:rsidP="00D248AD">
      <w:pPr>
        <w:pStyle w:val="FootnoteText"/>
      </w:pPr>
      <w:r>
        <w:rPr>
          <w:rStyle w:val="FootnoteReference"/>
        </w:rPr>
        <w:footnoteRef/>
      </w:r>
      <w:r>
        <w:t xml:space="preserve"> </w:t>
      </w:r>
      <w:r>
        <w:tab/>
        <w:t>The terms of reference requires that the NHR funding and corresponding expenditure relating to the provision of cross-border services to the residents of other States should be allocated to States on the basis of residence.</w:t>
      </w:r>
    </w:p>
  </w:footnote>
  <w:footnote w:id="5">
    <w:p w:rsidR="00001035" w:rsidRDefault="00001035" w:rsidP="00597461">
      <w:pPr>
        <w:pStyle w:val="FootnoteText"/>
      </w:pPr>
      <w:r>
        <w:rPr>
          <w:rStyle w:val="FootnoteReference"/>
        </w:rPr>
        <w:footnoteRef/>
      </w:r>
      <w:r>
        <w:t xml:space="preserve"> </w:t>
      </w:r>
      <w:r>
        <w:tab/>
        <w:t xml:space="preserve">See the </w:t>
      </w:r>
      <w:hyperlink r:id="rId2" w:history="1">
        <w:r w:rsidRPr="002A3AC6">
          <w:rPr>
            <w:rStyle w:val="Hyperlink"/>
          </w:rPr>
          <w:t>Commission’s website</w:t>
        </w:r>
      </w:hyperlink>
      <w:r>
        <w:t xml:space="preserve"> (</w:t>
      </w:r>
      <w:r w:rsidRPr="002A3AC6">
        <w:t>https://cgc.gov.au/</w:t>
      </w:r>
      <w:r>
        <w:t xml:space="preserve">). </w:t>
      </w:r>
    </w:p>
  </w:footnote>
  <w:footnote w:id="6">
    <w:p w:rsidR="00001035" w:rsidRDefault="00001035" w:rsidP="00597461">
      <w:pPr>
        <w:pStyle w:val="FootnoteText"/>
      </w:pPr>
      <w:r>
        <w:rPr>
          <w:rStyle w:val="FootnoteReference"/>
        </w:rPr>
        <w:footnoteRef/>
      </w:r>
      <w:r>
        <w:t xml:space="preserve"> </w:t>
      </w:r>
      <w:r>
        <w:tab/>
        <w:t xml:space="preserve">See the </w:t>
      </w:r>
      <w:hyperlink r:id="rId3" w:history="1">
        <w:r w:rsidRPr="002A3AC6">
          <w:rPr>
            <w:rStyle w:val="Hyperlink"/>
          </w:rPr>
          <w:t>Commission’s website</w:t>
        </w:r>
      </w:hyperlink>
      <w:r>
        <w:t xml:space="preserve"> (</w:t>
      </w:r>
      <w:r w:rsidRPr="002A3AC6">
        <w:t>https://cgc.gov.au/</w:t>
      </w:r>
      <w:r>
        <w:t xml:space="preserve">). </w:t>
      </w:r>
    </w:p>
  </w:footnote>
  <w:footnote w:id="7">
    <w:p w:rsidR="00001035" w:rsidRDefault="00001035" w:rsidP="00597461">
      <w:pPr>
        <w:pStyle w:val="FootnoteText"/>
      </w:pPr>
      <w:r>
        <w:rPr>
          <w:rStyle w:val="FootnoteReference"/>
        </w:rPr>
        <w:footnoteRef/>
      </w:r>
      <w:r>
        <w:t xml:space="preserve"> </w:t>
      </w:r>
      <w:r>
        <w:tab/>
        <w:t xml:space="preserve">See the </w:t>
      </w:r>
      <w:hyperlink r:id="rId4" w:history="1">
        <w:r w:rsidRPr="002A3AC6">
          <w:rPr>
            <w:rStyle w:val="Hyperlink"/>
          </w:rPr>
          <w:t>Commission’s website</w:t>
        </w:r>
      </w:hyperlink>
      <w:r>
        <w:t xml:space="preserve"> (</w:t>
      </w:r>
      <w:r w:rsidRPr="002A3AC6">
        <w:t>https://cgc.gov.au/</w:t>
      </w:r>
      <w:r>
        <w:t xml:space="preserve">). Victoria and the Northern Territory provided comments on the </w:t>
      </w:r>
      <w:r w:rsidRPr="00A67B60">
        <w:t>2015 Review Update and supplementary issues</w:t>
      </w:r>
      <w:r>
        <w:t xml:space="preserve"> paper in their submissions on the draft report.</w:t>
      </w:r>
    </w:p>
  </w:footnote>
  <w:footnote w:id="8">
    <w:p w:rsidR="00001035" w:rsidRDefault="00001035" w:rsidP="00597461">
      <w:pPr>
        <w:pStyle w:val="FootnoteText"/>
      </w:pPr>
      <w:r>
        <w:rPr>
          <w:rStyle w:val="FootnoteReference"/>
        </w:rPr>
        <w:footnoteRef/>
      </w:r>
      <w:r>
        <w:t xml:space="preserve"> </w:t>
      </w:r>
      <w:r>
        <w:tab/>
        <w:t xml:space="preserve">See the </w:t>
      </w:r>
      <w:hyperlink r:id="rId5" w:history="1">
        <w:r w:rsidRPr="002A3AC6">
          <w:rPr>
            <w:rStyle w:val="Hyperlink"/>
          </w:rPr>
          <w:t>Commission’s website</w:t>
        </w:r>
      </w:hyperlink>
      <w:r>
        <w:t xml:space="preserve"> (</w:t>
      </w:r>
      <w:r w:rsidRPr="002A3AC6">
        <w:t>https://cgc.gov.au/</w:t>
      </w:r>
      <w:r>
        <w:t>).</w:t>
      </w:r>
    </w:p>
  </w:footnote>
  <w:footnote w:id="9">
    <w:p w:rsidR="00001035" w:rsidRDefault="00001035" w:rsidP="00597461">
      <w:pPr>
        <w:pStyle w:val="FootnoteText"/>
      </w:pPr>
      <w:r>
        <w:rPr>
          <w:rStyle w:val="FootnoteReference"/>
        </w:rPr>
        <w:footnoteRef/>
      </w:r>
      <w:r>
        <w:t xml:space="preserve"> </w:t>
      </w:r>
      <w:r>
        <w:tab/>
        <w:t xml:space="preserve">See the </w:t>
      </w:r>
      <w:hyperlink r:id="rId6" w:history="1">
        <w:r w:rsidRPr="002A3AC6">
          <w:rPr>
            <w:rStyle w:val="Hyperlink"/>
          </w:rPr>
          <w:t>Commission’s website</w:t>
        </w:r>
      </w:hyperlink>
      <w:r>
        <w:t xml:space="preserve"> (</w:t>
      </w:r>
      <w:r w:rsidRPr="002A3AC6">
        <w:t>https://cgc.gov.au/</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Default="0000103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Default="0000103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Default="0000103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Default="0000103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Default="0000103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Default="00001035">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Default="0000103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Default="000010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Default="00001035" w:rsidP="00A5067D">
    <w:pPr>
      <w:pStyle w:val="Header"/>
      <w:tabs>
        <w:tab w:val="clear" w:pos="4513"/>
        <w:tab w:val="clear" w:pos="9026"/>
        <w:tab w:val="left" w:pos="91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Default="00001035" w:rsidP="006A7524">
    <w:pPr>
      <w:pStyle w:val="Header"/>
    </w:pPr>
    <w:r>
      <w:rPr>
        <w:noProof/>
        <w:lang w:eastAsia="zh-TW"/>
      </w:rPr>
      <mc:AlternateContent>
        <mc:Choice Requires="wps">
          <w:drawing>
            <wp:anchor distT="0" distB="0" distL="114300" distR="114300" simplePos="0" relativeHeight="251675648" behindDoc="0" locked="0" layoutInCell="0" allowOverlap="1" wp14:anchorId="6C3A4DA4" wp14:editId="13C17F4C">
              <wp:simplePos x="0" y="0"/>
              <wp:positionH relativeFrom="leftMargin">
                <wp:posOffset>-3937</wp:posOffset>
              </wp:positionH>
              <wp:positionV relativeFrom="page">
                <wp:posOffset>1148080</wp:posOffset>
              </wp:positionV>
              <wp:extent cx="762000" cy="556895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001035" w:rsidRPr="00675B39" w:rsidRDefault="00001035" w:rsidP="006A7524">
                          <w:pPr>
                            <w:spacing w:after="0" w:line="240" w:lineRule="auto"/>
                          </w:pPr>
                          <w:r>
                            <w:rPr>
                              <w:i/>
                            </w:rPr>
                            <w:t>Attachment 2 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826FC2">
                            <w:rPr>
                              <w:noProof/>
                            </w:rPr>
                            <w:t>620</w:t>
                          </w:r>
                          <w:r w:rsidRPr="00675B39">
                            <w:fldChar w:fldCharType="end"/>
                          </w:r>
                        </w:p>
                        <w:p w:rsidR="00001035" w:rsidRPr="002D22D0" w:rsidRDefault="00001035" w:rsidP="006A7524">
                          <w:pPr>
                            <w:jc w:val="center"/>
                            <w:rPr>
                              <w:rFonts w:eastAsiaTheme="majorEastAsia" w:cstheme="minorHAnsi"/>
                              <w:szCs w:val="2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pt;margin-top:90.4pt;width:60pt;height:438.5pt;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" o:allowincell="f" stroked="f">
              <v:textbox style="layout-flow:vertical">
                <w:txbxContent>
                  <w:p w:rsidR="00001035" w:rsidRPr="00675B39" w:rsidRDefault="00001035" w:rsidP="006A7524">
                    <w:pPr>
                      <w:spacing w:after="0" w:line="240" w:lineRule="auto"/>
                    </w:pPr>
                    <w:r>
                      <w:rPr>
                        <w:i/>
                      </w:rPr>
                      <w:t>Attachment 2 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826FC2">
                      <w:rPr>
                        <w:noProof/>
                      </w:rPr>
                      <w:t>620</w:t>
                    </w:r>
                    <w:r w:rsidRPr="00675B39">
                      <w:fldChar w:fldCharType="end"/>
                    </w:r>
                  </w:p>
                  <w:p w:rsidR="00001035" w:rsidRPr="002D22D0" w:rsidRDefault="00001035" w:rsidP="006A7524">
                    <w:pPr>
                      <w:jc w:val="center"/>
                      <w:rPr>
                        <w:rFonts w:eastAsiaTheme="majorEastAsia" w:cstheme="minorHAnsi"/>
                        <w:szCs w:val="24"/>
                      </w:rPr>
                    </w:pPr>
                  </w:p>
                </w:txbxContent>
              </v:textbox>
              <w10:wrap anchorx="margin" anchory="page"/>
            </v:rect>
          </w:pict>
        </mc:Fallback>
      </mc:AlternateContent>
    </w:r>
  </w:p>
  <w:p w:rsidR="00001035" w:rsidRPr="00A5067D" w:rsidRDefault="00001035" w:rsidP="006A7524">
    <w:pPr>
      <w:pStyle w:val="Header"/>
    </w:pPr>
  </w:p>
  <w:p w:rsidR="00001035" w:rsidRDefault="0000103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Default="00001035" w:rsidP="00A5067D">
    <w:pPr>
      <w:pStyle w:val="Header"/>
    </w:pPr>
    <w:r>
      <w:rPr>
        <w:noProof/>
        <w:lang w:eastAsia="zh-TW"/>
      </w:rPr>
      <mc:AlternateContent>
        <mc:Choice Requires="wps">
          <w:drawing>
            <wp:anchor distT="0" distB="0" distL="114300" distR="114300" simplePos="0" relativeHeight="251673600" behindDoc="0" locked="0" layoutInCell="0" allowOverlap="1" wp14:anchorId="013D3DB0" wp14:editId="25742975">
              <wp:simplePos x="0" y="0"/>
              <wp:positionH relativeFrom="leftMargin">
                <wp:posOffset>-3937</wp:posOffset>
              </wp:positionH>
              <wp:positionV relativeFrom="page">
                <wp:posOffset>1148080</wp:posOffset>
              </wp:positionV>
              <wp:extent cx="762000" cy="55689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5689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001035" w:rsidRPr="00675B39" w:rsidRDefault="00001035" w:rsidP="00A5067D">
                          <w:pPr>
                            <w:spacing w:after="0" w:line="240" w:lineRule="auto"/>
                          </w:pPr>
                          <w:r>
                            <w:rPr>
                              <w:i/>
                            </w:rPr>
                            <w:t>Attachment 2 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826FC2">
                            <w:rPr>
                              <w:noProof/>
                            </w:rPr>
                            <w:t>572</w:t>
                          </w:r>
                          <w:r w:rsidRPr="00675B39">
                            <w:fldChar w:fldCharType="end"/>
                          </w:r>
                        </w:p>
                        <w:p w:rsidR="00001035" w:rsidRPr="002D22D0" w:rsidRDefault="00001035" w:rsidP="00A5067D">
                          <w:pPr>
                            <w:jc w:val="center"/>
                            <w:rPr>
                              <w:rFonts w:eastAsiaTheme="majorEastAsia" w:cstheme="minorHAnsi"/>
                              <w:szCs w:val="2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margin-left:-.3pt;margin-top:90.4pt;width:60pt;height:438.5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" o:allowincell="f" stroked="f">
              <v:textbox style="layout-flow:vertical">
                <w:txbxContent>
                  <w:p w:rsidR="00001035" w:rsidRPr="00675B39" w:rsidRDefault="00001035" w:rsidP="00A5067D">
                    <w:pPr>
                      <w:spacing w:after="0" w:line="240" w:lineRule="auto"/>
                    </w:pPr>
                    <w:r>
                      <w:rPr>
                        <w:i/>
                      </w:rPr>
                      <w:t>Attachment 2 Treatment of Commonwealth payments</w:t>
                    </w:r>
                    <w:r w:rsidRPr="00675B39">
                      <w:tab/>
                    </w:r>
                    <w:r>
                      <w:ptab w:relativeTo="margin" w:alignment="right" w:leader="none"/>
                    </w:r>
                    <w:r w:rsidRPr="00675B39">
                      <w:fldChar w:fldCharType="begin"/>
                    </w:r>
                    <w:r w:rsidRPr="00675B39">
                      <w:instrText xml:space="preserve"> PAGE   \* MERGEFORMAT </w:instrText>
                    </w:r>
                    <w:r w:rsidRPr="00675B39">
                      <w:fldChar w:fldCharType="separate"/>
                    </w:r>
                    <w:r w:rsidR="00826FC2">
                      <w:rPr>
                        <w:noProof/>
                      </w:rPr>
                      <w:t>572</w:t>
                    </w:r>
                    <w:r w:rsidRPr="00675B39">
                      <w:fldChar w:fldCharType="end"/>
                    </w:r>
                  </w:p>
                  <w:p w:rsidR="00001035" w:rsidRPr="002D22D0" w:rsidRDefault="00001035" w:rsidP="00A5067D">
                    <w:pPr>
                      <w:jc w:val="center"/>
                      <w:rPr>
                        <w:rFonts w:eastAsiaTheme="majorEastAsia" w:cstheme="minorHAnsi"/>
                        <w:szCs w:val="24"/>
                      </w:rPr>
                    </w:pPr>
                  </w:p>
                </w:txbxContent>
              </v:textbox>
              <w10:wrap anchorx="margin" anchory="page"/>
            </v:rect>
          </w:pict>
        </mc:Fallback>
      </mc:AlternateContent>
    </w:r>
  </w:p>
  <w:p w:rsidR="00001035" w:rsidRPr="00A5067D" w:rsidRDefault="00001035" w:rsidP="00A5067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Default="0000103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Default="00001035" w:rsidP="00A5067D">
    <w:pPr>
      <w:pStyle w:val="Header"/>
    </w:pPr>
  </w:p>
  <w:p w:rsidR="00001035" w:rsidRPr="00A5067D" w:rsidRDefault="00001035" w:rsidP="00A5067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Default="0000103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Default="0000103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035" w:rsidRDefault="000010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E03038"/>
    <w:lvl w:ilvl="0">
      <w:start w:val="1"/>
      <w:numFmt w:val="decimal"/>
      <w:lvlText w:val="%1."/>
      <w:lvlJc w:val="left"/>
      <w:pPr>
        <w:tabs>
          <w:tab w:val="num" w:pos="1492"/>
        </w:tabs>
        <w:ind w:left="1492" w:hanging="360"/>
      </w:pPr>
    </w:lvl>
  </w:abstractNum>
  <w:abstractNum w:abstractNumId="1">
    <w:nsid w:val="FFFFFF7D"/>
    <w:multiLevelType w:val="singleLevel"/>
    <w:tmpl w:val="B42A3D7C"/>
    <w:lvl w:ilvl="0">
      <w:start w:val="1"/>
      <w:numFmt w:val="decimal"/>
      <w:lvlText w:val="%1."/>
      <w:lvlJc w:val="left"/>
      <w:pPr>
        <w:tabs>
          <w:tab w:val="num" w:pos="1209"/>
        </w:tabs>
        <w:ind w:left="1209" w:hanging="360"/>
      </w:pPr>
    </w:lvl>
  </w:abstractNum>
  <w:abstractNum w:abstractNumId="2">
    <w:nsid w:val="FFFFFF7E"/>
    <w:multiLevelType w:val="singleLevel"/>
    <w:tmpl w:val="126E6FF2"/>
    <w:lvl w:ilvl="0">
      <w:start w:val="1"/>
      <w:numFmt w:val="decimal"/>
      <w:lvlText w:val="%1."/>
      <w:lvlJc w:val="left"/>
      <w:pPr>
        <w:tabs>
          <w:tab w:val="num" w:pos="926"/>
        </w:tabs>
        <w:ind w:left="926" w:hanging="360"/>
      </w:pPr>
    </w:lvl>
  </w:abstractNum>
  <w:abstractNum w:abstractNumId="3">
    <w:nsid w:val="FFFFFF7F"/>
    <w:multiLevelType w:val="singleLevel"/>
    <w:tmpl w:val="A392BDCA"/>
    <w:lvl w:ilvl="0">
      <w:start w:val="1"/>
      <w:numFmt w:val="decimal"/>
      <w:lvlText w:val="%1."/>
      <w:lvlJc w:val="left"/>
      <w:pPr>
        <w:tabs>
          <w:tab w:val="num" w:pos="643"/>
        </w:tabs>
        <w:ind w:left="643" w:hanging="360"/>
      </w:pPr>
    </w:lvl>
  </w:abstractNum>
  <w:abstractNum w:abstractNumId="4">
    <w:nsid w:val="FFFFFF80"/>
    <w:multiLevelType w:val="singleLevel"/>
    <w:tmpl w:val="4D120C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6018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22AB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6E3E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C128486"/>
    <w:lvl w:ilvl="0">
      <w:start w:val="1"/>
      <w:numFmt w:val="decimal"/>
      <w:lvlText w:val="%1."/>
      <w:lvlJc w:val="left"/>
      <w:pPr>
        <w:tabs>
          <w:tab w:val="num" w:pos="360"/>
        </w:tabs>
        <w:ind w:left="360" w:hanging="360"/>
      </w:pPr>
    </w:lvl>
  </w:abstractNum>
  <w:abstractNum w:abstractNumId="9">
    <w:nsid w:val="FFFFFF89"/>
    <w:multiLevelType w:val="singleLevel"/>
    <w:tmpl w:val="C4104514"/>
    <w:lvl w:ilvl="0">
      <w:start w:val="1"/>
      <w:numFmt w:val="bullet"/>
      <w:lvlText w:val=""/>
      <w:lvlJc w:val="left"/>
      <w:pPr>
        <w:tabs>
          <w:tab w:val="num" w:pos="360"/>
        </w:tabs>
        <w:ind w:left="360" w:hanging="360"/>
      </w:pPr>
      <w:rPr>
        <w:rFonts w:ascii="Symbol" w:hAnsi="Symbol" w:hint="default"/>
      </w:rPr>
    </w:lvl>
  </w:abstractNum>
  <w:abstractNum w:abstractNumId="1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82F1142"/>
    <w:multiLevelType w:val="hybridMultilevel"/>
    <w:tmpl w:val="62B8A60A"/>
    <w:lvl w:ilvl="0" w:tplc="381257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BAA2823"/>
    <w:multiLevelType w:val="hybridMultilevel"/>
    <w:tmpl w:val="231899A6"/>
    <w:lvl w:ilvl="0" w:tplc="381257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53D7BB4"/>
    <w:multiLevelType w:val="multilevel"/>
    <w:tmpl w:val="93B2B82E"/>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7ED14BC"/>
    <w:multiLevelType w:val="hybridMultilevel"/>
    <w:tmpl w:val="3B5A7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8">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E551B1A"/>
    <w:multiLevelType w:val="hybridMultilevel"/>
    <w:tmpl w:val="EC38AE18"/>
    <w:lvl w:ilvl="0" w:tplc="4506558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D517EA6"/>
    <w:multiLevelType w:val="multilevel"/>
    <w:tmpl w:val="B71C65A6"/>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9">
    <w:nsid w:val="747C7D0E"/>
    <w:multiLevelType w:val="hybridMultilevel"/>
    <w:tmpl w:val="9E106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7D62F87"/>
    <w:multiLevelType w:val="hybridMultilevel"/>
    <w:tmpl w:val="D25CA2F6"/>
    <w:lvl w:ilvl="0" w:tplc="5F501E4E">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3"/>
  </w:num>
  <w:num w:numId="13">
    <w:abstractNumId w:val="18"/>
  </w:num>
  <w:num w:numId="14">
    <w:abstractNumId w:val="30"/>
  </w:num>
  <w:num w:numId="15">
    <w:abstractNumId w:val="2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0"/>
  </w:num>
  <w:num w:numId="19">
    <w:abstractNumId w:val="28"/>
  </w:num>
  <w:num w:numId="20">
    <w:abstractNumId w:val="13"/>
  </w:num>
  <w:num w:numId="21">
    <w:abstractNumId w:val="18"/>
  </w:num>
  <w:num w:numId="22">
    <w:abstractNumId w:val="30"/>
  </w:num>
  <w:num w:numId="23">
    <w:abstractNumId w:val="2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0"/>
  </w:num>
  <w:num w:numId="29">
    <w:abstractNumId w:val="23"/>
  </w:num>
  <w:num w:numId="30">
    <w:abstractNumId w:val="14"/>
  </w:num>
  <w:num w:numId="31">
    <w:abstractNumId w:val="20"/>
  </w:num>
  <w:num w:numId="32">
    <w:abstractNumId w:val="27"/>
  </w:num>
  <w:num w:numId="33">
    <w:abstractNumId w:val="16"/>
  </w:num>
  <w:num w:numId="34">
    <w:abstractNumId w:val="25"/>
  </w:num>
  <w:num w:numId="35">
    <w:abstractNumId w:val="21"/>
  </w:num>
  <w:num w:numId="36">
    <w:abstractNumId w:val="26"/>
  </w:num>
  <w:num w:numId="37">
    <w:abstractNumId w:val="19"/>
  </w:num>
  <w:num w:numId="38">
    <w:abstractNumId w:val="18"/>
    <w:lvlOverride w:ilvl="0">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1"/>
  </w:num>
  <w:num w:numId="45">
    <w:abstractNumId w:val="15"/>
  </w:num>
  <w:num w:numId="46">
    <w:abstractNumId w:val="24"/>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10854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461"/>
    <w:rsid w:val="00001035"/>
    <w:rsid w:val="00001731"/>
    <w:rsid w:val="00004137"/>
    <w:rsid w:val="00017847"/>
    <w:rsid w:val="00026584"/>
    <w:rsid w:val="0004120A"/>
    <w:rsid w:val="000422F7"/>
    <w:rsid w:val="00081E00"/>
    <w:rsid w:val="00086D58"/>
    <w:rsid w:val="000918D0"/>
    <w:rsid w:val="000C7E8F"/>
    <w:rsid w:val="000F6176"/>
    <w:rsid w:val="00111245"/>
    <w:rsid w:val="00117391"/>
    <w:rsid w:val="00144676"/>
    <w:rsid w:val="001475A3"/>
    <w:rsid w:val="001627D3"/>
    <w:rsid w:val="001643C9"/>
    <w:rsid w:val="00183BDA"/>
    <w:rsid w:val="001C1829"/>
    <w:rsid w:val="001C45B5"/>
    <w:rsid w:val="001E7B72"/>
    <w:rsid w:val="001F0917"/>
    <w:rsid w:val="002073C9"/>
    <w:rsid w:val="00221B3F"/>
    <w:rsid w:val="00226C6B"/>
    <w:rsid w:val="002351F8"/>
    <w:rsid w:val="00266164"/>
    <w:rsid w:val="00267A1A"/>
    <w:rsid w:val="00275086"/>
    <w:rsid w:val="00286384"/>
    <w:rsid w:val="002A3AC6"/>
    <w:rsid w:val="002B3DDB"/>
    <w:rsid w:val="002E6179"/>
    <w:rsid w:val="003374A1"/>
    <w:rsid w:val="00360D2F"/>
    <w:rsid w:val="003803E4"/>
    <w:rsid w:val="003A7388"/>
    <w:rsid w:val="003A7DFC"/>
    <w:rsid w:val="003C00E3"/>
    <w:rsid w:val="003C35F5"/>
    <w:rsid w:val="003E0C86"/>
    <w:rsid w:val="003E0E31"/>
    <w:rsid w:val="003E22A6"/>
    <w:rsid w:val="003F1012"/>
    <w:rsid w:val="003F3FED"/>
    <w:rsid w:val="0040562E"/>
    <w:rsid w:val="00410163"/>
    <w:rsid w:val="00434000"/>
    <w:rsid w:val="00445CFD"/>
    <w:rsid w:val="004733A5"/>
    <w:rsid w:val="00476158"/>
    <w:rsid w:val="004803C9"/>
    <w:rsid w:val="00481EFD"/>
    <w:rsid w:val="00484585"/>
    <w:rsid w:val="00484FBC"/>
    <w:rsid w:val="00494AA0"/>
    <w:rsid w:val="004A16B8"/>
    <w:rsid w:val="004A7CD0"/>
    <w:rsid w:val="004B0F53"/>
    <w:rsid w:val="004C2DC0"/>
    <w:rsid w:val="004D5C8A"/>
    <w:rsid w:val="005066FA"/>
    <w:rsid w:val="00512424"/>
    <w:rsid w:val="00526FCD"/>
    <w:rsid w:val="00543508"/>
    <w:rsid w:val="00543BBE"/>
    <w:rsid w:val="00556F06"/>
    <w:rsid w:val="00563A39"/>
    <w:rsid w:val="0056781B"/>
    <w:rsid w:val="005864CF"/>
    <w:rsid w:val="00586726"/>
    <w:rsid w:val="00597461"/>
    <w:rsid w:val="005A580C"/>
    <w:rsid w:val="005B1188"/>
    <w:rsid w:val="005D2E6A"/>
    <w:rsid w:val="00605C69"/>
    <w:rsid w:val="0061508C"/>
    <w:rsid w:val="00631F3B"/>
    <w:rsid w:val="006354C3"/>
    <w:rsid w:val="00636CF4"/>
    <w:rsid w:val="006379E7"/>
    <w:rsid w:val="00665DEB"/>
    <w:rsid w:val="00671EE2"/>
    <w:rsid w:val="006730E9"/>
    <w:rsid w:val="00694590"/>
    <w:rsid w:val="00695230"/>
    <w:rsid w:val="006A50E5"/>
    <w:rsid w:val="006A7524"/>
    <w:rsid w:val="006C65C2"/>
    <w:rsid w:val="006D7DEA"/>
    <w:rsid w:val="0070160E"/>
    <w:rsid w:val="0070465B"/>
    <w:rsid w:val="00706332"/>
    <w:rsid w:val="00724A0A"/>
    <w:rsid w:val="00747970"/>
    <w:rsid w:val="00761BEA"/>
    <w:rsid w:val="007710CD"/>
    <w:rsid w:val="0077375D"/>
    <w:rsid w:val="00791362"/>
    <w:rsid w:val="007A39A9"/>
    <w:rsid w:val="007B6A4C"/>
    <w:rsid w:val="007E500F"/>
    <w:rsid w:val="008018A9"/>
    <w:rsid w:val="00810661"/>
    <w:rsid w:val="0081714D"/>
    <w:rsid w:val="00826FC2"/>
    <w:rsid w:val="008358E9"/>
    <w:rsid w:val="00872071"/>
    <w:rsid w:val="00872FF0"/>
    <w:rsid w:val="00886A8C"/>
    <w:rsid w:val="00893326"/>
    <w:rsid w:val="008A39A0"/>
    <w:rsid w:val="008C4F24"/>
    <w:rsid w:val="008E181B"/>
    <w:rsid w:val="008E1917"/>
    <w:rsid w:val="008F30EF"/>
    <w:rsid w:val="009623DA"/>
    <w:rsid w:val="00962852"/>
    <w:rsid w:val="00976D66"/>
    <w:rsid w:val="009844EA"/>
    <w:rsid w:val="0098785E"/>
    <w:rsid w:val="009963DC"/>
    <w:rsid w:val="009A62DA"/>
    <w:rsid w:val="00A225BC"/>
    <w:rsid w:val="00A22D28"/>
    <w:rsid w:val="00A25FA6"/>
    <w:rsid w:val="00A431B7"/>
    <w:rsid w:val="00A5067D"/>
    <w:rsid w:val="00A60600"/>
    <w:rsid w:val="00A638FF"/>
    <w:rsid w:val="00A649AB"/>
    <w:rsid w:val="00AC0364"/>
    <w:rsid w:val="00AC4006"/>
    <w:rsid w:val="00AD01BF"/>
    <w:rsid w:val="00AD1999"/>
    <w:rsid w:val="00AE2813"/>
    <w:rsid w:val="00AE2CE9"/>
    <w:rsid w:val="00AF6B89"/>
    <w:rsid w:val="00AF6D85"/>
    <w:rsid w:val="00B018D0"/>
    <w:rsid w:val="00B02001"/>
    <w:rsid w:val="00B04C31"/>
    <w:rsid w:val="00B40487"/>
    <w:rsid w:val="00B5214A"/>
    <w:rsid w:val="00B61C9C"/>
    <w:rsid w:val="00B64887"/>
    <w:rsid w:val="00B6572A"/>
    <w:rsid w:val="00B71A91"/>
    <w:rsid w:val="00BA282B"/>
    <w:rsid w:val="00BA7F4E"/>
    <w:rsid w:val="00BD1754"/>
    <w:rsid w:val="00BD1799"/>
    <w:rsid w:val="00BE39FE"/>
    <w:rsid w:val="00BF108F"/>
    <w:rsid w:val="00C076AC"/>
    <w:rsid w:val="00C32C64"/>
    <w:rsid w:val="00C57117"/>
    <w:rsid w:val="00C5731C"/>
    <w:rsid w:val="00C674BF"/>
    <w:rsid w:val="00C861A8"/>
    <w:rsid w:val="00CC0EAB"/>
    <w:rsid w:val="00CD7D84"/>
    <w:rsid w:val="00CD7EDE"/>
    <w:rsid w:val="00CE038D"/>
    <w:rsid w:val="00CE05AE"/>
    <w:rsid w:val="00CE57DC"/>
    <w:rsid w:val="00D168BA"/>
    <w:rsid w:val="00D20698"/>
    <w:rsid w:val="00D22403"/>
    <w:rsid w:val="00D248AD"/>
    <w:rsid w:val="00D24D46"/>
    <w:rsid w:val="00D74201"/>
    <w:rsid w:val="00D921E3"/>
    <w:rsid w:val="00D96826"/>
    <w:rsid w:val="00DB002F"/>
    <w:rsid w:val="00DF3E5E"/>
    <w:rsid w:val="00DF4D99"/>
    <w:rsid w:val="00E114AB"/>
    <w:rsid w:val="00E2538B"/>
    <w:rsid w:val="00E414CE"/>
    <w:rsid w:val="00E44CCF"/>
    <w:rsid w:val="00E92226"/>
    <w:rsid w:val="00E93F8E"/>
    <w:rsid w:val="00EB0E14"/>
    <w:rsid w:val="00EC179C"/>
    <w:rsid w:val="00ED65F4"/>
    <w:rsid w:val="00EE4E66"/>
    <w:rsid w:val="00EF0636"/>
    <w:rsid w:val="00F11236"/>
    <w:rsid w:val="00F21008"/>
    <w:rsid w:val="00F23CAE"/>
    <w:rsid w:val="00F3490E"/>
    <w:rsid w:val="00F633F8"/>
    <w:rsid w:val="00F821D7"/>
    <w:rsid w:val="00FA3ECB"/>
    <w:rsid w:val="00FC647D"/>
    <w:rsid w:val="00FC7CAF"/>
    <w:rsid w:val="00FF539A"/>
    <w:rsid w:val="00FF769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80"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lsdException w:name="heading 8" w:uiPriority="0" w:unhideWhenUsed="0"/>
    <w:lsdException w:name="heading 9" w:uiPriority="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Title" w:uiPriority="10" w:unhideWhenUsed="0" w:qFormat="1"/>
    <w:lsdException w:name="Default Paragraph Font" w:uiPriority="1"/>
    <w:lsdException w:name="Subtitle" w:uiPriority="11" w:unhideWhenUsed="0" w:qFormat="1"/>
    <w:lsdException w:name="Hyperlink" w:uiPriority="0"/>
    <w:lsdException w:name="Strong" w:uiPriority="22" w:unhideWhenUsed="0" w:qFormat="1"/>
    <w:lsdException w:name="Emphasis"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97461"/>
    <w:pPr>
      <w:tabs>
        <w:tab w:val="left" w:pos="567"/>
      </w:tabs>
    </w:pPr>
    <w:rPr>
      <w:sz w:val="24"/>
    </w:rPr>
  </w:style>
  <w:style w:type="paragraph" w:styleId="Heading1">
    <w:name w:val="heading 1"/>
    <w:basedOn w:val="Normal"/>
    <w:next w:val="Heading2"/>
    <w:link w:val="Heading1Char"/>
    <w:uiPriority w:val="9"/>
    <w:qFormat/>
    <w:rsid w:val="00526FCD"/>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526FCD"/>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526FCD"/>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526FCD"/>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526FCD"/>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526FCD"/>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526FC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link w:val="Heading8Char"/>
    <w:semiHidden/>
    <w:rsid w:val="00F23CAE"/>
    <w:pPr>
      <w:numPr>
        <w:ilvl w:val="7"/>
        <w:numId w:val="2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link w:val="Heading9Char"/>
    <w:semiHidden/>
    <w:rsid w:val="00F23CAE"/>
    <w:pPr>
      <w:numPr>
        <w:ilvl w:val="8"/>
        <w:numId w:val="2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526FCD"/>
    <w:rPr>
      <w:rFonts w:eastAsiaTheme="majorEastAsia" w:cstheme="majorBidi"/>
      <w:b/>
      <w:i/>
      <w:iCs/>
      <w:color w:val="2C8558"/>
      <w:sz w:val="28"/>
    </w:rPr>
  </w:style>
  <w:style w:type="character" w:customStyle="1" w:styleId="Heading1Char">
    <w:name w:val="Heading 1 Char"/>
    <w:basedOn w:val="DefaultParagraphFont"/>
    <w:link w:val="Heading1"/>
    <w:uiPriority w:val="9"/>
    <w:rsid w:val="00526FCD"/>
    <w:rPr>
      <w:rFonts w:eastAsiaTheme="majorEastAsia" w:cstheme="majorBidi"/>
      <w:b/>
      <w:bCs/>
      <w:caps/>
      <w:color w:val="2C8558"/>
      <w:sz w:val="40"/>
      <w:szCs w:val="28"/>
    </w:rPr>
  </w:style>
  <w:style w:type="character" w:customStyle="1" w:styleId="Heading7Char">
    <w:name w:val="Heading 7 Char"/>
    <w:basedOn w:val="DefaultParagraphFont"/>
    <w:link w:val="Heading7"/>
    <w:uiPriority w:val="9"/>
    <w:semiHidden/>
    <w:rsid w:val="00526FCD"/>
    <w:rPr>
      <w:rFonts w:asciiTheme="majorHAnsi" w:eastAsiaTheme="majorEastAsia" w:hAnsiTheme="majorHAnsi" w:cstheme="majorBidi"/>
      <w:i/>
      <w:iCs/>
      <w:color w:val="404040" w:themeColor="text1" w:themeTint="BF"/>
      <w:sz w:val="24"/>
    </w:rPr>
  </w:style>
  <w:style w:type="character" w:customStyle="1" w:styleId="Heading2Char">
    <w:name w:val="Heading 2 Char"/>
    <w:basedOn w:val="DefaultParagraphFont"/>
    <w:link w:val="Heading2"/>
    <w:uiPriority w:val="9"/>
    <w:rsid w:val="00526FCD"/>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526FCD"/>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526FCD"/>
    <w:rPr>
      <w:rFonts w:eastAsiaTheme="majorEastAsia" w:cstheme="majorBidi"/>
      <w:b/>
      <w:bCs/>
      <w:iCs/>
      <w:color w:val="2C8558"/>
      <w:sz w:val="32"/>
    </w:rPr>
  </w:style>
  <w:style w:type="character" w:customStyle="1" w:styleId="Heading5Char">
    <w:name w:val="Heading 5 Char"/>
    <w:basedOn w:val="DefaultParagraphFont"/>
    <w:link w:val="Heading5"/>
    <w:uiPriority w:val="9"/>
    <w:rsid w:val="00526FCD"/>
    <w:rPr>
      <w:rFonts w:eastAsiaTheme="majorEastAsia" w:cstheme="majorBidi"/>
      <w:b/>
      <w:i/>
      <w:color w:val="2C8558"/>
      <w:sz w:val="28"/>
    </w:rPr>
  </w:style>
  <w:style w:type="paragraph" w:customStyle="1" w:styleId="CGCBulletlist">
    <w:name w:val="CGC Bullet list"/>
    <w:aliases w:val="CGC List 1"/>
    <w:basedOn w:val="Normal"/>
    <w:link w:val="CGCBulletlistChar"/>
    <w:qFormat/>
    <w:rsid w:val="001E7B72"/>
    <w:pPr>
      <w:numPr>
        <w:numId w:val="19"/>
      </w:numPr>
      <w:tabs>
        <w:tab w:val="clear" w:pos="567"/>
        <w:tab w:val="clear" w:pos="927"/>
      </w:tabs>
      <w:spacing w:before="80" w:line="300" w:lineRule="atLeast"/>
      <w:ind w:left="1134" w:hanging="567"/>
    </w:pPr>
    <w:rPr>
      <w:szCs w:val="20"/>
    </w:rPr>
  </w:style>
  <w:style w:type="paragraph" w:customStyle="1" w:styleId="CGCNumberedPara">
    <w:name w:val="CGC Numbered Para"/>
    <w:aliases w:val="CGC Para No"/>
    <w:basedOn w:val="Normal"/>
    <w:link w:val="CGCParaNoChar"/>
    <w:qFormat/>
    <w:rsid w:val="00526FCD"/>
    <w:pPr>
      <w:numPr>
        <w:ilvl w:val="1"/>
        <w:numId w:val="12"/>
      </w:numPr>
      <w:spacing w:before="120"/>
    </w:pPr>
    <w:rPr>
      <w:szCs w:val="24"/>
    </w:rPr>
  </w:style>
  <w:style w:type="paragraph" w:customStyle="1" w:styleId="CGCTableFootnote">
    <w:name w:val="CGC Table Footnote"/>
    <w:basedOn w:val="CGCNumberedPara"/>
    <w:next w:val="NoSpacing"/>
    <w:link w:val="CGCTableFootnoteChar"/>
    <w:qFormat/>
    <w:rsid w:val="00526FCD"/>
    <w:pPr>
      <w:numPr>
        <w:ilvl w:val="0"/>
        <w:numId w:val="0"/>
      </w:numPr>
      <w:tabs>
        <w:tab w:val="left" w:pos="851"/>
      </w:tabs>
      <w:spacing w:before="0" w:after="0" w:line="240" w:lineRule="auto"/>
      <w:ind w:left="851" w:hanging="851"/>
    </w:pPr>
    <w:rPr>
      <w:sz w:val="20"/>
    </w:rPr>
  </w:style>
  <w:style w:type="paragraph" w:styleId="NoSpacing">
    <w:name w:val="No Spacing"/>
    <w:link w:val="NoSpacingChar"/>
    <w:uiPriority w:val="1"/>
    <w:qFormat/>
    <w:rsid w:val="00526FCD"/>
    <w:pPr>
      <w:tabs>
        <w:tab w:val="left" w:pos="567"/>
      </w:tabs>
      <w:spacing w:after="0" w:line="240" w:lineRule="auto"/>
    </w:pPr>
    <w:rPr>
      <w:sz w:val="24"/>
    </w:rPr>
  </w:style>
  <w:style w:type="paragraph" w:customStyle="1" w:styleId="CGCDataCaption">
    <w:name w:val="CGC Data Caption"/>
    <w:basedOn w:val="CGCTableFootnote"/>
    <w:next w:val="NoSpacing"/>
    <w:link w:val="DataCaptionChar"/>
    <w:qFormat/>
    <w:rsid w:val="00526FCD"/>
  </w:style>
  <w:style w:type="character" w:customStyle="1" w:styleId="DataCaptionChar">
    <w:name w:val="Data Caption Char"/>
    <w:basedOn w:val="DefaultParagraphFont"/>
    <w:link w:val="CGCDataCaption"/>
    <w:rsid w:val="00526FCD"/>
    <w:rPr>
      <w:sz w:val="20"/>
      <w:szCs w:val="24"/>
    </w:rPr>
  </w:style>
  <w:style w:type="paragraph" w:customStyle="1" w:styleId="CGCNumeralList">
    <w:name w:val="CGC Numeral List"/>
    <w:aliases w:val="CGC List 3"/>
    <w:basedOn w:val="Normal"/>
    <w:qFormat/>
    <w:rsid w:val="00526FCD"/>
    <w:pPr>
      <w:numPr>
        <w:numId w:val="21"/>
      </w:numPr>
      <w:tabs>
        <w:tab w:val="clear" w:pos="567"/>
      </w:tabs>
      <w:spacing w:line="300" w:lineRule="atLeast"/>
    </w:pPr>
    <w:rPr>
      <w:szCs w:val="20"/>
    </w:rPr>
  </w:style>
  <w:style w:type="paragraph" w:customStyle="1" w:styleId="CGCQuotation">
    <w:name w:val="CGC Quotation"/>
    <w:basedOn w:val="Normal"/>
    <w:next w:val="CGCNumberedPara"/>
    <w:rsid w:val="00526FCD"/>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1E7B72"/>
    <w:pPr>
      <w:numPr>
        <w:numId w:val="22"/>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526FCD"/>
    <w:pPr>
      <w:numPr>
        <w:numId w:val="23"/>
      </w:numPr>
      <w:ind w:right="1134"/>
    </w:pPr>
    <w:rPr>
      <w:sz w:val="22"/>
    </w:rPr>
  </w:style>
  <w:style w:type="paragraph" w:customStyle="1" w:styleId="CGCTableHeading">
    <w:name w:val="CGC Table Heading"/>
    <w:basedOn w:val="Normal"/>
    <w:next w:val="Normal"/>
    <w:qFormat/>
    <w:rsid w:val="00526FCD"/>
    <w:pPr>
      <w:keepNext/>
      <w:keepLines/>
      <w:tabs>
        <w:tab w:val="clear" w:pos="567"/>
        <w:tab w:val="left" w:pos="1420"/>
      </w:tabs>
      <w:spacing w:before="240" w:after="120" w:line="240" w:lineRule="auto"/>
      <w:ind w:left="1418" w:hanging="1418"/>
    </w:pPr>
    <w:rPr>
      <w:b/>
      <w:szCs w:val="20"/>
    </w:rPr>
  </w:style>
  <w:style w:type="paragraph" w:customStyle="1" w:styleId="CGCTableStub">
    <w:name w:val="CGC Table Stub"/>
    <w:basedOn w:val="Normal"/>
    <w:rsid w:val="00526FCD"/>
    <w:pPr>
      <w:keepNext/>
      <w:keepLines/>
      <w:tabs>
        <w:tab w:val="left" w:pos="284"/>
      </w:tabs>
      <w:spacing w:before="60" w:after="60" w:line="200" w:lineRule="atLeast"/>
    </w:pPr>
    <w:rPr>
      <w:sz w:val="20"/>
      <w:szCs w:val="20"/>
    </w:rPr>
  </w:style>
  <w:style w:type="paragraph" w:styleId="Header">
    <w:name w:val="header"/>
    <w:basedOn w:val="Normal"/>
    <w:link w:val="HeaderChar"/>
    <w:uiPriority w:val="99"/>
    <w:unhideWhenUsed/>
    <w:rsid w:val="00526FCD"/>
    <w:pPr>
      <w:tabs>
        <w:tab w:val="clear" w:pos="567"/>
        <w:tab w:val="center" w:pos="4513"/>
        <w:tab w:val="right" w:pos="9026"/>
      </w:tabs>
      <w:spacing w:after="0" w:line="240" w:lineRule="auto"/>
    </w:pPr>
  </w:style>
  <w:style w:type="character" w:customStyle="1" w:styleId="HeaderChar">
    <w:name w:val="Header Char"/>
    <w:basedOn w:val="DefaultParagraphFont"/>
    <w:link w:val="Header"/>
    <w:uiPriority w:val="99"/>
    <w:rsid w:val="00526FCD"/>
    <w:rPr>
      <w:sz w:val="24"/>
    </w:rPr>
  </w:style>
  <w:style w:type="paragraph" w:styleId="Footer">
    <w:name w:val="footer"/>
    <w:basedOn w:val="Normal"/>
    <w:link w:val="FooterChar"/>
    <w:uiPriority w:val="99"/>
    <w:unhideWhenUsed/>
    <w:rsid w:val="00526FCD"/>
    <w:pPr>
      <w:tabs>
        <w:tab w:val="clear" w:pos="567"/>
        <w:tab w:val="center" w:pos="4513"/>
        <w:tab w:val="right" w:pos="9026"/>
      </w:tabs>
      <w:spacing w:after="0" w:line="240" w:lineRule="auto"/>
    </w:pPr>
  </w:style>
  <w:style w:type="character" w:customStyle="1" w:styleId="FooterChar">
    <w:name w:val="Footer Char"/>
    <w:basedOn w:val="DefaultParagraphFont"/>
    <w:link w:val="Footer"/>
    <w:uiPriority w:val="99"/>
    <w:rsid w:val="00526FCD"/>
    <w:rPr>
      <w:sz w:val="24"/>
    </w:rPr>
  </w:style>
  <w:style w:type="paragraph" w:styleId="BalloonText">
    <w:name w:val="Balloon Text"/>
    <w:basedOn w:val="Normal"/>
    <w:link w:val="BalloonTextChar"/>
    <w:uiPriority w:val="99"/>
    <w:unhideWhenUsed/>
    <w:rsid w:val="00526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26FCD"/>
    <w:rPr>
      <w:rFonts w:ascii="Tahoma" w:hAnsi="Tahoma" w:cs="Tahoma"/>
      <w:sz w:val="16"/>
      <w:szCs w:val="16"/>
    </w:rPr>
  </w:style>
  <w:style w:type="paragraph" w:styleId="ListParagraph">
    <w:name w:val="List Paragraph"/>
    <w:basedOn w:val="Normal"/>
    <w:uiPriority w:val="34"/>
    <w:qFormat/>
    <w:rsid w:val="00526FCD"/>
    <w:pPr>
      <w:tabs>
        <w:tab w:val="clear" w:pos="567"/>
      </w:tabs>
      <w:spacing w:line="300" w:lineRule="atLeast"/>
      <w:ind w:left="1134"/>
    </w:pPr>
    <w:rPr>
      <w:szCs w:val="24"/>
    </w:rPr>
  </w:style>
  <w:style w:type="character" w:styleId="Hyperlink">
    <w:name w:val="Hyperlink"/>
    <w:basedOn w:val="DefaultParagraphFont"/>
    <w:rsid w:val="007710CD"/>
    <w:rPr>
      <w:color w:val="0000FF"/>
      <w:u w:val="single"/>
    </w:rPr>
  </w:style>
  <w:style w:type="paragraph" w:styleId="Caption">
    <w:name w:val="caption"/>
    <w:basedOn w:val="Normal"/>
    <w:next w:val="Normal"/>
    <w:link w:val="CaptionChar"/>
    <w:rsid w:val="00526FCD"/>
    <w:pPr>
      <w:keepNext/>
      <w:keepLines/>
      <w:tabs>
        <w:tab w:val="clear" w:pos="567"/>
        <w:tab w:val="left" w:pos="1418"/>
      </w:tabs>
      <w:spacing w:before="240" w:after="120" w:line="240" w:lineRule="auto"/>
      <w:ind w:left="1418" w:hanging="1418"/>
    </w:pPr>
    <w:rPr>
      <w:b/>
      <w:bCs/>
      <w:szCs w:val="20"/>
    </w:rPr>
  </w:style>
  <w:style w:type="character" w:customStyle="1" w:styleId="CaptionChar">
    <w:name w:val="Caption Char"/>
    <w:basedOn w:val="DefaultParagraphFont"/>
    <w:link w:val="Caption"/>
    <w:rsid w:val="00526FCD"/>
    <w:rPr>
      <w:b/>
      <w:bCs/>
      <w:sz w:val="24"/>
      <w:szCs w:val="20"/>
    </w:rPr>
  </w:style>
  <w:style w:type="paragraph" w:styleId="FootnoteText">
    <w:name w:val="footnote text"/>
    <w:basedOn w:val="Normal"/>
    <w:link w:val="FootnoteTextChar"/>
    <w:rsid w:val="00526FCD"/>
    <w:pPr>
      <w:spacing w:after="0" w:line="240" w:lineRule="auto"/>
      <w:ind w:left="567" w:hanging="567"/>
    </w:pPr>
    <w:rPr>
      <w:sz w:val="20"/>
      <w:szCs w:val="20"/>
    </w:rPr>
  </w:style>
  <w:style w:type="character" w:customStyle="1" w:styleId="FootnoteTextChar">
    <w:name w:val="Footnote Text Char"/>
    <w:basedOn w:val="DefaultParagraphFont"/>
    <w:link w:val="FootnoteText"/>
    <w:rsid w:val="00526FCD"/>
    <w:rPr>
      <w:sz w:val="20"/>
      <w:szCs w:val="20"/>
    </w:rPr>
  </w:style>
  <w:style w:type="table" w:styleId="TableGrid">
    <w:name w:val="Table Grid"/>
    <w:basedOn w:val="TableNormal"/>
    <w:uiPriority w:val="59"/>
    <w:rsid w:val="0052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714D"/>
    <w:rPr>
      <w:color w:val="800080" w:themeColor="followedHyperlink"/>
      <w:u w:val="single"/>
    </w:rPr>
  </w:style>
  <w:style w:type="paragraph" w:styleId="TOC1">
    <w:name w:val="toc 1"/>
    <w:basedOn w:val="Normal"/>
    <w:next w:val="Normal"/>
    <w:autoRedefine/>
    <w:unhideWhenUsed/>
    <w:rsid w:val="00962852"/>
    <w:pPr>
      <w:tabs>
        <w:tab w:val="clear" w:pos="567"/>
      </w:tabs>
      <w:spacing w:after="100"/>
    </w:pPr>
  </w:style>
  <w:style w:type="paragraph" w:styleId="TOC2">
    <w:name w:val="toc 2"/>
    <w:basedOn w:val="Normal"/>
    <w:next w:val="Normal"/>
    <w:autoRedefine/>
    <w:unhideWhenUsed/>
    <w:rsid w:val="00962852"/>
    <w:pPr>
      <w:tabs>
        <w:tab w:val="clear" w:pos="567"/>
      </w:tabs>
      <w:spacing w:after="100"/>
      <w:ind w:left="240"/>
    </w:pPr>
  </w:style>
  <w:style w:type="paragraph" w:styleId="TOC3">
    <w:name w:val="toc 3"/>
    <w:basedOn w:val="Normal"/>
    <w:next w:val="Normal"/>
    <w:autoRedefine/>
    <w:unhideWhenUsed/>
    <w:rsid w:val="00962852"/>
    <w:pPr>
      <w:tabs>
        <w:tab w:val="clear" w:pos="567"/>
      </w:tabs>
      <w:spacing w:after="100"/>
      <w:ind w:left="480"/>
    </w:pPr>
  </w:style>
  <w:style w:type="character" w:styleId="FootnoteReference">
    <w:name w:val="footnote reference"/>
    <w:basedOn w:val="DefaultParagraphFont"/>
    <w:unhideWhenUsed/>
    <w:rsid w:val="00597461"/>
    <w:rPr>
      <w:vertAlign w:val="superscript"/>
    </w:rPr>
  </w:style>
  <w:style w:type="character" w:customStyle="1" w:styleId="CGCBulletlistChar">
    <w:name w:val="CGC Bullet list Char"/>
    <w:aliases w:val="CGC List 1 Char,CGC Bullet list Char1"/>
    <w:basedOn w:val="DefaultParagraphFont"/>
    <w:link w:val="CGCBulletlist"/>
    <w:locked/>
    <w:rsid w:val="00597461"/>
    <w:rPr>
      <w:sz w:val="24"/>
      <w:szCs w:val="20"/>
    </w:rPr>
  </w:style>
  <w:style w:type="character" w:customStyle="1" w:styleId="CGCTableFootnoteChar">
    <w:name w:val="CGC Table Footnote Char"/>
    <w:basedOn w:val="DefaultParagraphFont"/>
    <w:link w:val="CGCTableFootnote"/>
    <w:rsid w:val="00597461"/>
    <w:rPr>
      <w:sz w:val="20"/>
      <w:szCs w:val="24"/>
    </w:rPr>
  </w:style>
  <w:style w:type="paragraph" w:customStyle="1" w:styleId="TableRowNormal">
    <w:name w:val="TableRowNormal"/>
    <w:basedOn w:val="Normal"/>
    <w:rsid w:val="00B02001"/>
    <w:pPr>
      <w:keepNext/>
      <w:keepLines/>
      <w:tabs>
        <w:tab w:val="left" w:pos="475"/>
        <w:tab w:val="left" w:pos="1440"/>
        <w:tab w:val="left" w:pos="2160"/>
        <w:tab w:val="left" w:pos="2880"/>
      </w:tabs>
      <w:spacing w:before="60" w:after="60" w:line="200" w:lineRule="atLeast"/>
      <w:ind w:left="144" w:hanging="144"/>
      <w:jc w:val="right"/>
    </w:pPr>
    <w:rPr>
      <w:rFonts w:eastAsia="Times New Roman" w:cs="Times New Roman"/>
      <w:sz w:val="20"/>
      <w:szCs w:val="20"/>
    </w:rPr>
  </w:style>
  <w:style w:type="paragraph" w:customStyle="1" w:styleId="TableColHeadings">
    <w:name w:val="TableColHeadings"/>
    <w:basedOn w:val="CGCTableStub"/>
    <w:rsid w:val="00B02001"/>
    <w:pPr>
      <w:tabs>
        <w:tab w:val="left" w:pos="475"/>
        <w:tab w:val="left" w:pos="1440"/>
        <w:tab w:val="left" w:pos="2160"/>
        <w:tab w:val="left" w:pos="2880"/>
      </w:tabs>
      <w:spacing w:line="240" w:lineRule="auto"/>
      <w:jc w:val="right"/>
    </w:pPr>
    <w:rPr>
      <w:rFonts w:ascii="Calibri" w:eastAsia="Times New Roman" w:hAnsi="Calibri" w:cs="Times New Roman"/>
    </w:rPr>
  </w:style>
  <w:style w:type="paragraph" w:customStyle="1" w:styleId="CGCterminologylabel">
    <w:name w:val="CGC terminology label"/>
    <w:basedOn w:val="Normal"/>
    <w:link w:val="CGCterminologylabelChar"/>
    <w:qFormat/>
    <w:rsid w:val="00111245"/>
    <w:pPr>
      <w:keepNext/>
    </w:pPr>
    <w:rPr>
      <w:b/>
    </w:rPr>
  </w:style>
  <w:style w:type="character" w:customStyle="1" w:styleId="CGCterminologylabelChar">
    <w:name w:val="CGC terminology label Char"/>
    <w:basedOn w:val="DefaultParagraphFont"/>
    <w:link w:val="CGCterminologylabel"/>
    <w:rsid w:val="00111245"/>
    <w:rPr>
      <w:b/>
      <w:sz w:val="24"/>
    </w:rPr>
  </w:style>
  <w:style w:type="character" w:customStyle="1" w:styleId="Heading8Char">
    <w:name w:val="Heading 8 Char"/>
    <w:aliases w:val="(Do not use) Char,(Sub-section Nos) Char"/>
    <w:basedOn w:val="DefaultParagraphFont"/>
    <w:link w:val="Heading8"/>
    <w:semiHidden/>
    <w:rsid w:val="00F23CAE"/>
    <w:rPr>
      <w:rFonts w:ascii="Arial" w:hAnsi="Arial"/>
      <w:i/>
      <w:sz w:val="20"/>
      <w:szCs w:val="20"/>
    </w:rPr>
  </w:style>
  <w:style w:type="character" w:customStyle="1" w:styleId="Heading9Char">
    <w:name w:val="Heading 9 Char"/>
    <w:aliases w:val="Heading 9 (Do not use) Char,(Subsubsection Nos) Char"/>
    <w:basedOn w:val="DefaultParagraphFont"/>
    <w:link w:val="Heading9"/>
    <w:semiHidden/>
    <w:rsid w:val="00F23CAE"/>
    <w:rPr>
      <w:rFonts w:ascii="Arial" w:hAnsi="Arial"/>
      <w:b/>
      <w:i/>
      <w:sz w:val="18"/>
      <w:szCs w:val="20"/>
    </w:rPr>
  </w:style>
  <w:style w:type="character" w:styleId="CommentReference">
    <w:name w:val="annotation reference"/>
    <w:basedOn w:val="DefaultParagraphFont"/>
    <w:rsid w:val="00F23CAE"/>
    <w:rPr>
      <w:sz w:val="16"/>
      <w:szCs w:val="16"/>
    </w:rPr>
  </w:style>
  <w:style w:type="paragraph" w:styleId="CommentText">
    <w:name w:val="annotation text"/>
    <w:basedOn w:val="Normal"/>
    <w:link w:val="CommentTextChar"/>
    <w:rsid w:val="00F23CAE"/>
    <w:rPr>
      <w:sz w:val="20"/>
      <w:szCs w:val="20"/>
    </w:rPr>
  </w:style>
  <w:style w:type="character" w:customStyle="1" w:styleId="CommentTextChar">
    <w:name w:val="Comment Text Char"/>
    <w:basedOn w:val="DefaultParagraphFont"/>
    <w:link w:val="CommentText"/>
    <w:rsid w:val="00F23CAE"/>
    <w:rPr>
      <w:sz w:val="20"/>
      <w:szCs w:val="20"/>
    </w:rPr>
  </w:style>
  <w:style w:type="paragraph" w:styleId="CommentSubject">
    <w:name w:val="annotation subject"/>
    <w:basedOn w:val="CommentText"/>
    <w:next w:val="CommentText"/>
    <w:link w:val="CommentSubjectChar"/>
    <w:rsid w:val="00F23CAE"/>
    <w:rPr>
      <w:b/>
      <w:bCs/>
    </w:rPr>
  </w:style>
  <w:style w:type="character" w:customStyle="1" w:styleId="CommentSubjectChar">
    <w:name w:val="Comment Subject Char"/>
    <w:basedOn w:val="CommentTextChar"/>
    <w:link w:val="CommentSubject"/>
    <w:rsid w:val="00F23CAE"/>
    <w:rPr>
      <w:b/>
      <w:bCs/>
      <w:sz w:val="20"/>
      <w:szCs w:val="20"/>
    </w:rPr>
  </w:style>
  <w:style w:type="paragraph" w:styleId="DocumentMap">
    <w:name w:val="Document Map"/>
    <w:basedOn w:val="Normal"/>
    <w:link w:val="DocumentMapChar"/>
    <w:rsid w:val="00F23CA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23CAE"/>
    <w:rPr>
      <w:rFonts w:ascii="Tahoma" w:hAnsi="Tahoma" w:cs="Tahoma"/>
      <w:sz w:val="20"/>
      <w:szCs w:val="20"/>
      <w:shd w:val="clear" w:color="auto" w:fill="000080"/>
    </w:rPr>
  </w:style>
  <w:style w:type="character" w:styleId="EndnoteReference">
    <w:name w:val="endnote reference"/>
    <w:basedOn w:val="DefaultParagraphFont"/>
    <w:rsid w:val="00F23CAE"/>
    <w:rPr>
      <w:vertAlign w:val="superscript"/>
    </w:rPr>
  </w:style>
  <w:style w:type="paragraph" w:styleId="EndnoteText">
    <w:name w:val="endnote text"/>
    <w:basedOn w:val="Normal"/>
    <w:link w:val="EndnoteTextChar"/>
    <w:rsid w:val="00F23CAE"/>
    <w:rPr>
      <w:sz w:val="20"/>
      <w:szCs w:val="20"/>
    </w:rPr>
  </w:style>
  <w:style w:type="character" w:customStyle="1" w:styleId="EndnoteTextChar">
    <w:name w:val="Endnote Text Char"/>
    <w:basedOn w:val="DefaultParagraphFont"/>
    <w:link w:val="EndnoteText"/>
    <w:rsid w:val="00F23CAE"/>
    <w:rPr>
      <w:sz w:val="20"/>
      <w:szCs w:val="20"/>
    </w:rPr>
  </w:style>
  <w:style w:type="paragraph" w:styleId="Index1">
    <w:name w:val="index 1"/>
    <w:basedOn w:val="Normal"/>
    <w:rsid w:val="00F23CAE"/>
  </w:style>
  <w:style w:type="paragraph" w:styleId="Index2">
    <w:name w:val="index 2"/>
    <w:basedOn w:val="Normal"/>
    <w:next w:val="Index1"/>
    <w:rsid w:val="00F23CAE"/>
    <w:pPr>
      <w:ind w:left="284"/>
    </w:pPr>
  </w:style>
  <w:style w:type="paragraph" w:styleId="Index3">
    <w:name w:val="index 3"/>
    <w:basedOn w:val="Normal"/>
    <w:next w:val="Index1"/>
    <w:rsid w:val="00F23CAE"/>
    <w:pPr>
      <w:ind w:left="567"/>
    </w:pPr>
  </w:style>
  <w:style w:type="paragraph" w:styleId="Index4">
    <w:name w:val="index 4"/>
    <w:basedOn w:val="Normal"/>
    <w:next w:val="Normal"/>
    <w:rsid w:val="00F23CAE"/>
    <w:pPr>
      <w:ind w:left="880" w:hanging="220"/>
    </w:pPr>
  </w:style>
  <w:style w:type="paragraph" w:styleId="Index5">
    <w:name w:val="index 5"/>
    <w:basedOn w:val="Normal"/>
    <w:next w:val="Normal"/>
    <w:rsid w:val="00F23CAE"/>
    <w:pPr>
      <w:ind w:left="1100" w:hanging="220"/>
    </w:pPr>
  </w:style>
  <w:style w:type="paragraph" w:styleId="Index6">
    <w:name w:val="index 6"/>
    <w:basedOn w:val="Normal"/>
    <w:next w:val="Normal"/>
    <w:rsid w:val="00F23CAE"/>
    <w:pPr>
      <w:ind w:left="1320" w:hanging="220"/>
    </w:pPr>
  </w:style>
  <w:style w:type="paragraph" w:styleId="Index7">
    <w:name w:val="index 7"/>
    <w:basedOn w:val="Normal"/>
    <w:next w:val="Normal"/>
    <w:rsid w:val="00F23CAE"/>
    <w:pPr>
      <w:ind w:left="1540" w:hanging="220"/>
    </w:pPr>
  </w:style>
  <w:style w:type="paragraph" w:styleId="Index8">
    <w:name w:val="index 8"/>
    <w:basedOn w:val="Normal"/>
    <w:next w:val="Normal"/>
    <w:rsid w:val="00F23CAE"/>
    <w:pPr>
      <w:ind w:left="1760" w:hanging="220"/>
    </w:pPr>
  </w:style>
  <w:style w:type="paragraph" w:styleId="Index9">
    <w:name w:val="index 9"/>
    <w:basedOn w:val="Normal"/>
    <w:next w:val="Normal"/>
    <w:rsid w:val="00F23CAE"/>
    <w:pPr>
      <w:ind w:left="1980" w:hanging="220"/>
    </w:pPr>
  </w:style>
  <w:style w:type="paragraph" w:styleId="IndexHeading">
    <w:name w:val="index heading"/>
    <w:basedOn w:val="Normal"/>
    <w:next w:val="Index1"/>
    <w:rsid w:val="00F23CAE"/>
  </w:style>
  <w:style w:type="paragraph" w:styleId="List">
    <w:name w:val="List"/>
    <w:basedOn w:val="Normal"/>
    <w:rsid w:val="00F23CAE"/>
    <w:pPr>
      <w:spacing w:line="300" w:lineRule="atLeast"/>
    </w:pPr>
  </w:style>
  <w:style w:type="paragraph" w:styleId="MacroText">
    <w:name w:val="macro"/>
    <w:link w:val="MacroTextChar"/>
    <w:rsid w:val="00F23CA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F23CAE"/>
    <w:rPr>
      <w:rFonts w:ascii="Courier New" w:hAnsi="Courier New" w:cs="Courier New"/>
    </w:rPr>
  </w:style>
  <w:style w:type="character" w:styleId="PageNumber">
    <w:name w:val="page number"/>
    <w:basedOn w:val="DefaultParagraphFont"/>
    <w:rsid w:val="00F23CAE"/>
  </w:style>
  <w:style w:type="paragraph" w:customStyle="1" w:styleId="Single">
    <w:name w:val="Single"/>
    <w:basedOn w:val="Normal"/>
    <w:next w:val="CGCNumberedPara"/>
    <w:rsid w:val="00F23CAE"/>
    <w:pPr>
      <w:spacing w:after="0" w:line="240" w:lineRule="auto"/>
    </w:pPr>
  </w:style>
  <w:style w:type="paragraph" w:styleId="TableofAuthorities">
    <w:name w:val="table of authorities"/>
    <w:basedOn w:val="Normal"/>
    <w:next w:val="Normal"/>
    <w:rsid w:val="00F23CAE"/>
    <w:pPr>
      <w:tabs>
        <w:tab w:val="clear" w:pos="567"/>
      </w:tabs>
      <w:ind w:left="220" w:hanging="220"/>
    </w:pPr>
  </w:style>
  <w:style w:type="paragraph" w:styleId="TableofFigures">
    <w:name w:val="table of figures"/>
    <w:basedOn w:val="Normal"/>
    <w:next w:val="Normal"/>
    <w:rsid w:val="00F23CAE"/>
    <w:pPr>
      <w:tabs>
        <w:tab w:val="clear" w:pos="567"/>
      </w:tabs>
    </w:pPr>
  </w:style>
  <w:style w:type="paragraph" w:customStyle="1" w:styleId="TableRowUnits">
    <w:name w:val="TableRowUnits"/>
    <w:basedOn w:val="Normal"/>
    <w:rsid w:val="00F23CAE"/>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F23CAE"/>
    <w:pPr>
      <w:spacing w:before="120"/>
    </w:pPr>
    <w:rPr>
      <w:rFonts w:cs="Arial"/>
      <w:b/>
      <w:bCs/>
    </w:rPr>
  </w:style>
  <w:style w:type="paragraph" w:styleId="TOC4">
    <w:name w:val="toc 4"/>
    <w:basedOn w:val="Normal"/>
    <w:next w:val="Normal"/>
    <w:rsid w:val="00F23CAE"/>
    <w:pPr>
      <w:tabs>
        <w:tab w:val="clear" w:pos="567"/>
        <w:tab w:val="right" w:pos="8942"/>
      </w:tabs>
      <w:spacing w:after="0"/>
      <w:ind w:left="1134"/>
    </w:pPr>
  </w:style>
  <w:style w:type="paragraph" w:styleId="TOC5">
    <w:name w:val="toc 5"/>
    <w:basedOn w:val="Normal"/>
    <w:next w:val="Normal"/>
    <w:rsid w:val="00F23CAE"/>
    <w:pPr>
      <w:tabs>
        <w:tab w:val="clear" w:pos="567"/>
      </w:tabs>
      <w:spacing w:after="0"/>
      <w:ind w:left="1701"/>
    </w:pPr>
    <w:rPr>
      <w:sz w:val="18"/>
      <w:szCs w:val="18"/>
    </w:rPr>
  </w:style>
  <w:style w:type="paragraph" w:styleId="TOC6">
    <w:name w:val="toc 6"/>
    <w:basedOn w:val="Normal"/>
    <w:next w:val="Normal"/>
    <w:rsid w:val="00F23CAE"/>
    <w:pPr>
      <w:tabs>
        <w:tab w:val="clear" w:pos="567"/>
      </w:tabs>
      <w:spacing w:after="0"/>
      <w:ind w:left="1100"/>
    </w:pPr>
    <w:rPr>
      <w:sz w:val="18"/>
      <w:szCs w:val="18"/>
    </w:rPr>
  </w:style>
  <w:style w:type="paragraph" w:styleId="TOC7">
    <w:name w:val="toc 7"/>
    <w:basedOn w:val="Normal"/>
    <w:next w:val="Normal"/>
    <w:rsid w:val="00F23CAE"/>
    <w:pPr>
      <w:tabs>
        <w:tab w:val="clear" w:pos="567"/>
      </w:tabs>
      <w:spacing w:after="0"/>
      <w:ind w:left="1320"/>
    </w:pPr>
    <w:rPr>
      <w:sz w:val="18"/>
      <w:szCs w:val="18"/>
    </w:rPr>
  </w:style>
  <w:style w:type="paragraph" w:styleId="TOC8">
    <w:name w:val="toc 8"/>
    <w:basedOn w:val="Normal"/>
    <w:next w:val="Normal"/>
    <w:rsid w:val="00F23CAE"/>
    <w:pPr>
      <w:tabs>
        <w:tab w:val="clear" w:pos="567"/>
      </w:tabs>
      <w:spacing w:after="0"/>
      <w:ind w:left="1540"/>
    </w:pPr>
    <w:rPr>
      <w:sz w:val="18"/>
      <w:szCs w:val="18"/>
    </w:rPr>
  </w:style>
  <w:style w:type="paragraph" w:styleId="TOC9">
    <w:name w:val="toc 9"/>
    <w:basedOn w:val="Normal"/>
    <w:next w:val="Normal"/>
    <w:rsid w:val="00F23CAE"/>
    <w:pPr>
      <w:tabs>
        <w:tab w:val="clear" w:pos="567"/>
      </w:tabs>
      <w:spacing w:after="0"/>
      <w:ind w:left="1760"/>
    </w:pPr>
    <w:rPr>
      <w:sz w:val="18"/>
      <w:szCs w:val="18"/>
    </w:rPr>
  </w:style>
  <w:style w:type="character" w:customStyle="1" w:styleId="NoSpacingChar">
    <w:name w:val="No Spacing Char"/>
    <w:basedOn w:val="DefaultParagraphFont"/>
    <w:link w:val="NoSpacing"/>
    <w:uiPriority w:val="1"/>
    <w:rsid w:val="00F23CAE"/>
    <w:rPr>
      <w:sz w:val="24"/>
    </w:rPr>
  </w:style>
  <w:style w:type="paragraph" w:styleId="TOCHeading">
    <w:name w:val="TOC Heading"/>
    <w:basedOn w:val="Heading1"/>
    <w:next w:val="Normal"/>
    <w:uiPriority w:val="39"/>
    <w:semiHidden/>
    <w:unhideWhenUsed/>
    <w:qFormat/>
    <w:rsid w:val="00F23CAE"/>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numbering" w:customStyle="1" w:styleId="NoList1">
    <w:name w:val="No List1"/>
    <w:next w:val="NoList"/>
    <w:uiPriority w:val="99"/>
    <w:semiHidden/>
    <w:unhideWhenUsed/>
    <w:rsid w:val="008358E9"/>
  </w:style>
  <w:style w:type="table" w:customStyle="1" w:styleId="TableGrid1">
    <w:name w:val="Table Grid1"/>
    <w:basedOn w:val="TableNormal"/>
    <w:next w:val="TableGrid"/>
    <w:uiPriority w:val="59"/>
    <w:rsid w:val="00835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86A8C"/>
  </w:style>
  <w:style w:type="table" w:customStyle="1" w:styleId="TableGrid2">
    <w:name w:val="Table Grid2"/>
    <w:basedOn w:val="TableNormal"/>
    <w:next w:val="TableGrid"/>
    <w:uiPriority w:val="59"/>
    <w:rsid w:val="00886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CCWTableText">
    <w:name w:val="CGC CW Table Text"/>
    <w:basedOn w:val="Normal"/>
    <w:link w:val="CGCCWTableTextChar"/>
    <w:qFormat/>
    <w:rsid w:val="00434000"/>
    <w:pPr>
      <w:spacing w:line="240" w:lineRule="auto"/>
    </w:pPr>
    <w:rPr>
      <w:sz w:val="18"/>
      <w:szCs w:val="18"/>
    </w:rPr>
  </w:style>
  <w:style w:type="character" w:customStyle="1" w:styleId="CGCCWTableTextChar">
    <w:name w:val="CGC CW Table Text Char"/>
    <w:basedOn w:val="DefaultParagraphFont"/>
    <w:link w:val="CGCCWTableText"/>
    <w:rsid w:val="00434000"/>
    <w:rPr>
      <w:sz w:val="18"/>
      <w:szCs w:val="18"/>
    </w:rPr>
  </w:style>
  <w:style w:type="paragraph" w:customStyle="1" w:styleId="CGCCWTableTextlist">
    <w:name w:val="CGC CW Table Text list"/>
    <w:basedOn w:val="CGCCWTableText"/>
    <w:rsid w:val="00434000"/>
    <w:pPr>
      <w:spacing w:after="0"/>
    </w:pPr>
    <w:rPr>
      <w:rFonts w:eastAsia="Times New Roman" w:cs="Times New Roman"/>
      <w:szCs w:val="20"/>
    </w:rPr>
  </w:style>
  <w:style w:type="numbering" w:customStyle="1" w:styleId="NoList3">
    <w:name w:val="No List3"/>
    <w:next w:val="NoList"/>
    <w:uiPriority w:val="99"/>
    <w:semiHidden/>
    <w:unhideWhenUsed/>
    <w:rsid w:val="00445CFD"/>
  </w:style>
  <w:style w:type="table" w:customStyle="1" w:styleId="TableGrid3">
    <w:name w:val="Table Grid3"/>
    <w:basedOn w:val="TableNormal"/>
    <w:next w:val="TableGrid"/>
    <w:uiPriority w:val="59"/>
    <w:rsid w:val="00445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GCParaNoChar">
    <w:name w:val="CGC Para No Char"/>
    <w:aliases w:val="CGC Numbered Para Char"/>
    <w:basedOn w:val="DefaultParagraphFont"/>
    <w:link w:val="CGCNumberedPara"/>
    <w:rsid w:val="00D248A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80"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lsdException w:name="heading 8" w:uiPriority="0" w:unhideWhenUsed="0"/>
    <w:lsdException w:name="heading 9" w:uiPriority="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Title" w:uiPriority="10" w:unhideWhenUsed="0" w:qFormat="1"/>
    <w:lsdException w:name="Default Paragraph Font" w:uiPriority="1"/>
    <w:lsdException w:name="Subtitle" w:uiPriority="11" w:unhideWhenUsed="0" w:qFormat="1"/>
    <w:lsdException w:name="Hyperlink" w:uiPriority="0"/>
    <w:lsdException w:name="Strong" w:uiPriority="22" w:unhideWhenUsed="0" w:qFormat="1"/>
    <w:lsdException w:name="Emphasis"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97461"/>
    <w:pPr>
      <w:tabs>
        <w:tab w:val="left" w:pos="567"/>
      </w:tabs>
    </w:pPr>
    <w:rPr>
      <w:sz w:val="24"/>
    </w:rPr>
  </w:style>
  <w:style w:type="paragraph" w:styleId="Heading1">
    <w:name w:val="heading 1"/>
    <w:basedOn w:val="Normal"/>
    <w:next w:val="Heading2"/>
    <w:link w:val="Heading1Char"/>
    <w:uiPriority w:val="9"/>
    <w:qFormat/>
    <w:rsid w:val="00526FCD"/>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526FCD"/>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526FCD"/>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526FCD"/>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526FCD"/>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526FCD"/>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526FC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link w:val="Heading8Char"/>
    <w:semiHidden/>
    <w:rsid w:val="00F23CAE"/>
    <w:pPr>
      <w:numPr>
        <w:ilvl w:val="7"/>
        <w:numId w:val="2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link w:val="Heading9Char"/>
    <w:semiHidden/>
    <w:rsid w:val="00F23CAE"/>
    <w:pPr>
      <w:numPr>
        <w:ilvl w:val="8"/>
        <w:numId w:val="2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526FCD"/>
    <w:rPr>
      <w:rFonts w:eastAsiaTheme="majorEastAsia" w:cstheme="majorBidi"/>
      <w:b/>
      <w:i/>
      <w:iCs/>
      <w:color w:val="2C8558"/>
      <w:sz w:val="28"/>
    </w:rPr>
  </w:style>
  <w:style w:type="character" w:customStyle="1" w:styleId="Heading1Char">
    <w:name w:val="Heading 1 Char"/>
    <w:basedOn w:val="DefaultParagraphFont"/>
    <w:link w:val="Heading1"/>
    <w:uiPriority w:val="9"/>
    <w:rsid w:val="00526FCD"/>
    <w:rPr>
      <w:rFonts w:eastAsiaTheme="majorEastAsia" w:cstheme="majorBidi"/>
      <w:b/>
      <w:bCs/>
      <w:caps/>
      <w:color w:val="2C8558"/>
      <w:sz w:val="40"/>
      <w:szCs w:val="28"/>
    </w:rPr>
  </w:style>
  <w:style w:type="character" w:customStyle="1" w:styleId="Heading7Char">
    <w:name w:val="Heading 7 Char"/>
    <w:basedOn w:val="DefaultParagraphFont"/>
    <w:link w:val="Heading7"/>
    <w:uiPriority w:val="9"/>
    <w:semiHidden/>
    <w:rsid w:val="00526FCD"/>
    <w:rPr>
      <w:rFonts w:asciiTheme="majorHAnsi" w:eastAsiaTheme="majorEastAsia" w:hAnsiTheme="majorHAnsi" w:cstheme="majorBidi"/>
      <w:i/>
      <w:iCs/>
      <w:color w:val="404040" w:themeColor="text1" w:themeTint="BF"/>
      <w:sz w:val="24"/>
    </w:rPr>
  </w:style>
  <w:style w:type="character" w:customStyle="1" w:styleId="Heading2Char">
    <w:name w:val="Heading 2 Char"/>
    <w:basedOn w:val="DefaultParagraphFont"/>
    <w:link w:val="Heading2"/>
    <w:uiPriority w:val="9"/>
    <w:rsid w:val="00526FCD"/>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526FCD"/>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526FCD"/>
    <w:rPr>
      <w:rFonts w:eastAsiaTheme="majorEastAsia" w:cstheme="majorBidi"/>
      <w:b/>
      <w:bCs/>
      <w:iCs/>
      <w:color w:val="2C8558"/>
      <w:sz w:val="32"/>
    </w:rPr>
  </w:style>
  <w:style w:type="character" w:customStyle="1" w:styleId="Heading5Char">
    <w:name w:val="Heading 5 Char"/>
    <w:basedOn w:val="DefaultParagraphFont"/>
    <w:link w:val="Heading5"/>
    <w:uiPriority w:val="9"/>
    <w:rsid w:val="00526FCD"/>
    <w:rPr>
      <w:rFonts w:eastAsiaTheme="majorEastAsia" w:cstheme="majorBidi"/>
      <w:b/>
      <w:i/>
      <w:color w:val="2C8558"/>
      <w:sz w:val="28"/>
    </w:rPr>
  </w:style>
  <w:style w:type="paragraph" w:customStyle="1" w:styleId="CGCBulletlist">
    <w:name w:val="CGC Bullet list"/>
    <w:aliases w:val="CGC List 1"/>
    <w:basedOn w:val="Normal"/>
    <w:link w:val="CGCBulletlistChar"/>
    <w:qFormat/>
    <w:rsid w:val="001E7B72"/>
    <w:pPr>
      <w:numPr>
        <w:numId w:val="19"/>
      </w:numPr>
      <w:tabs>
        <w:tab w:val="clear" w:pos="567"/>
        <w:tab w:val="clear" w:pos="927"/>
      </w:tabs>
      <w:spacing w:before="80" w:line="300" w:lineRule="atLeast"/>
      <w:ind w:left="1134" w:hanging="567"/>
    </w:pPr>
    <w:rPr>
      <w:szCs w:val="20"/>
    </w:rPr>
  </w:style>
  <w:style w:type="paragraph" w:customStyle="1" w:styleId="CGCNumberedPara">
    <w:name w:val="CGC Numbered Para"/>
    <w:aliases w:val="CGC Para No"/>
    <w:basedOn w:val="Normal"/>
    <w:link w:val="CGCParaNoChar"/>
    <w:qFormat/>
    <w:rsid w:val="00526FCD"/>
    <w:pPr>
      <w:numPr>
        <w:ilvl w:val="1"/>
        <w:numId w:val="12"/>
      </w:numPr>
      <w:spacing w:before="120"/>
    </w:pPr>
    <w:rPr>
      <w:szCs w:val="24"/>
    </w:rPr>
  </w:style>
  <w:style w:type="paragraph" w:customStyle="1" w:styleId="CGCTableFootnote">
    <w:name w:val="CGC Table Footnote"/>
    <w:basedOn w:val="CGCNumberedPara"/>
    <w:next w:val="NoSpacing"/>
    <w:link w:val="CGCTableFootnoteChar"/>
    <w:qFormat/>
    <w:rsid w:val="00526FCD"/>
    <w:pPr>
      <w:numPr>
        <w:ilvl w:val="0"/>
        <w:numId w:val="0"/>
      </w:numPr>
      <w:tabs>
        <w:tab w:val="left" w:pos="851"/>
      </w:tabs>
      <w:spacing w:before="0" w:after="0" w:line="240" w:lineRule="auto"/>
      <w:ind w:left="851" w:hanging="851"/>
    </w:pPr>
    <w:rPr>
      <w:sz w:val="20"/>
    </w:rPr>
  </w:style>
  <w:style w:type="paragraph" w:styleId="NoSpacing">
    <w:name w:val="No Spacing"/>
    <w:link w:val="NoSpacingChar"/>
    <w:uiPriority w:val="1"/>
    <w:qFormat/>
    <w:rsid w:val="00526FCD"/>
    <w:pPr>
      <w:tabs>
        <w:tab w:val="left" w:pos="567"/>
      </w:tabs>
      <w:spacing w:after="0" w:line="240" w:lineRule="auto"/>
    </w:pPr>
    <w:rPr>
      <w:sz w:val="24"/>
    </w:rPr>
  </w:style>
  <w:style w:type="paragraph" w:customStyle="1" w:styleId="CGCDataCaption">
    <w:name w:val="CGC Data Caption"/>
    <w:basedOn w:val="CGCTableFootnote"/>
    <w:next w:val="NoSpacing"/>
    <w:link w:val="DataCaptionChar"/>
    <w:qFormat/>
    <w:rsid w:val="00526FCD"/>
  </w:style>
  <w:style w:type="character" w:customStyle="1" w:styleId="DataCaptionChar">
    <w:name w:val="Data Caption Char"/>
    <w:basedOn w:val="DefaultParagraphFont"/>
    <w:link w:val="CGCDataCaption"/>
    <w:rsid w:val="00526FCD"/>
    <w:rPr>
      <w:sz w:val="20"/>
      <w:szCs w:val="24"/>
    </w:rPr>
  </w:style>
  <w:style w:type="paragraph" w:customStyle="1" w:styleId="CGCNumeralList">
    <w:name w:val="CGC Numeral List"/>
    <w:aliases w:val="CGC List 3"/>
    <w:basedOn w:val="Normal"/>
    <w:qFormat/>
    <w:rsid w:val="00526FCD"/>
    <w:pPr>
      <w:numPr>
        <w:numId w:val="21"/>
      </w:numPr>
      <w:tabs>
        <w:tab w:val="clear" w:pos="567"/>
      </w:tabs>
      <w:spacing w:line="300" w:lineRule="atLeast"/>
    </w:pPr>
    <w:rPr>
      <w:szCs w:val="20"/>
    </w:rPr>
  </w:style>
  <w:style w:type="paragraph" w:customStyle="1" w:styleId="CGCQuotation">
    <w:name w:val="CGC Quotation"/>
    <w:basedOn w:val="Normal"/>
    <w:next w:val="CGCNumberedPara"/>
    <w:rsid w:val="00526FCD"/>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1E7B72"/>
    <w:pPr>
      <w:numPr>
        <w:numId w:val="22"/>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526FCD"/>
    <w:pPr>
      <w:numPr>
        <w:numId w:val="23"/>
      </w:numPr>
      <w:ind w:right="1134"/>
    </w:pPr>
    <w:rPr>
      <w:sz w:val="22"/>
    </w:rPr>
  </w:style>
  <w:style w:type="paragraph" w:customStyle="1" w:styleId="CGCTableHeading">
    <w:name w:val="CGC Table Heading"/>
    <w:basedOn w:val="Normal"/>
    <w:next w:val="Normal"/>
    <w:qFormat/>
    <w:rsid w:val="00526FCD"/>
    <w:pPr>
      <w:keepNext/>
      <w:keepLines/>
      <w:tabs>
        <w:tab w:val="clear" w:pos="567"/>
        <w:tab w:val="left" w:pos="1420"/>
      </w:tabs>
      <w:spacing w:before="240" w:after="120" w:line="240" w:lineRule="auto"/>
      <w:ind w:left="1418" w:hanging="1418"/>
    </w:pPr>
    <w:rPr>
      <w:b/>
      <w:szCs w:val="20"/>
    </w:rPr>
  </w:style>
  <w:style w:type="paragraph" w:customStyle="1" w:styleId="CGCTableStub">
    <w:name w:val="CGC Table Stub"/>
    <w:basedOn w:val="Normal"/>
    <w:rsid w:val="00526FCD"/>
    <w:pPr>
      <w:keepNext/>
      <w:keepLines/>
      <w:tabs>
        <w:tab w:val="left" w:pos="284"/>
      </w:tabs>
      <w:spacing w:before="60" w:after="60" w:line="200" w:lineRule="atLeast"/>
    </w:pPr>
    <w:rPr>
      <w:sz w:val="20"/>
      <w:szCs w:val="20"/>
    </w:rPr>
  </w:style>
  <w:style w:type="paragraph" w:styleId="Header">
    <w:name w:val="header"/>
    <w:basedOn w:val="Normal"/>
    <w:link w:val="HeaderChar"/>
    <w:uiPriority w:val="99"/>
    <w:unhideWhenUsed/>
    <w:rsid w:val="00526FCD"/>
    <w:pPr>
      <w:tabs>
        <w:tab w:val="clear" w:pos="567"/>
        <w:tab w:val="center" w:pos="4513"/>
        <w:tab w:val="right" w:pos="9026"/>
      </w:tabs>
      <w:spacing w:after="0" w:line="240" w:lineRule="auto"/>
    </w:pPr>
  </w:style>
  <w:style w:type="character" w:customStyle="1" w:styleId="HeaderChar">
    <w:name w:val="Header Char"/>
    <w:basedOn w:val="DefaultParagraphFont"/>
    <w:link w:val="Header"/>
    <w:uiPriority w:val="99"/>
    <w:rsid w:val="00526FCD"/>
    <w:rPr>
      <w:sz w:val="24"/>
    </w:rPr>
  </w:style>
  <w:style w:type="paragraph" w:styleId="Footer">
    <w:name w:val="footer"/>
    <w:basedOn w:val="Normal"/>
    <w:link w:val="FooterChar"/>
    <w:uiPriority w:val="99"/>
    <w:unhideWhenUsed/>
    <w:rsid w:val="00526FCD"/>
    <w:pPr>
      <w:tabs>
        <w:tab w:val="clear" w:pos="567"/>
        <w:tab w:val="center" w:pos="4513"/>
        <w:tab w:val="right" w:pos="9026"/>
      </w:tabs>
      <w:spacing w:after="0" w:line="240" w:lineRule="auto"/>
    </w:pPr>
  </w:style>
  <w:style w:type="character" w:customStyle="1" w:styleId="FooterChar">
    <w:name w:val="Footer Char"/>
    <w:basedOn w:val="DefaultParagraphFont"/>
    <w:link w:val="Footer"/>
    <w:uiPriority w:val="99"/>
    <w:rsid w:val="00526FCD"/>
    <w:rPr>
      <w:sz w:val="24"/>
    </w:rPr>
  </w:style>
  <w:style w:type="paragraph" w:styleId="BalloonText">
    <w:name w:val="Balloon Text"/>
    <w:basedOn w:val="Normal"/>
    <w:link w:val="BalloonTextChar"/>
    <w:uiPriority w:val="99"/>
    <w:unhideWhenUsed/>
    <w:rsid w:val="00526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26FCD"/>
    <w:rPr>
      <w:rFonts w:ascii="Tahoma" w:hAnsi="Tahoma" w:cs="Tahoma"/>
      <w:sz w:val="16"/>
      <w:szCs w:val="16"/>
    </w:rPr>
  </w:style>
  <w:style w:type="paragraph" w:styleId="ListParagraph">
    <w:name w:val="List Paragraph"/>
    <w:basedOn w:val="Normal"/>
    <w:uiPriority w:val="34"/>
    <w:qFormat/>
    <w:rsid w:val="00526FCD"/>
    <w:pPr>
      <w:tabs>
        <w:tab w:val="clear" w:pos="567"/>
      </w:tabs>
      <w:spacing w:line="300" w:lineRule="atLeast"/>
      <w:ind w:left="1134"/>
    </w:pPr>
    <w:rPr>
      <w:szCs w:val="24"/>
    </w:rPr>
  </w:style>
  <w:style w:type="character" w:styleId="Hyperlink">
    <w:name w:val="Hyperlink"/>
    <w:basedOn w:val="DefaultParagraphFont"/>
    <w:rsid w:val="007710CD"/>
    <w:rPr>
      <w:color w:val="0000FF"/>
      <w:u w:val="single"/>
    </w:rPr>
  </w:style>
  <w:style w:type="paragraph" w:styleId="Caption">
    <w:name w:val="caption"/>
    <w:basedOn w:val="Normal"/>
    <w:next w:val="Normal"/>
    <w:link w:val="CaptionChar"/>
    <w:rsid w:val="00526FCD"/>
    <w:pPr>
      <w:keepNext/>
      <w:keepLines/>
      <w:tabs>
        <w:tab w:val="clear" w:pos="567"/>
        <w:tab w:val="left" w:pos="1418"/>
      </w:tabs>
      <w:spacing w:before="240" w:after="120" w:line="240" w:lineRule="auto"/>
      <w:ind w:left="1418" w:hanging="1418"/>
    </w:pPr>
    <w:rPr>
      <w:b/>
      <w:bCs/>
      <w:szCs w:val="20"/>
    </w:rPr>
  </w:style>
  <w:style w:type="character" w:customStyle="1" w:styleId="CaptionChar">
    <w:name w:val="Caption Char"/>
    <w:basedOn w:val="DefaultParagraphFont"/>
    <w:link w:val="Caption"/>
    <w:rsid w:val="00526FCD"/>
    <w:rPr>
      <w:b/>
      <w:bCs/>
      <w:sz w:val="24"/>
      <w:szCs w:val="20"/>
    </w:rPr>
  </w:style>
  <w:style w:type="paragraph" w:styleId="FootnoteText">
    <w:name w:val="footnote text"/>
    <w:basedOn w:val="Normal"/>
    <w:link w:val="FootnoteTextChar"/>
    <w:rsid w:val="00526FCD"/>
    <w:pPr>
      <w:spacing w:after="0" w:line="240" w:lineRule="auto"/>
      <w:ind w:left="567" w:hanging="567"/>
    </w:pPr>
    <w:rPr>
      <w:sz w:val="20"/>
      <w:szCs w:val="20"/>
    </w:rPr>
  </w:style>
  <w:style w:type="character" w:customStyle="1" w:styleId="FootnoteTextChar">
    <w:name w:val="Footnote Text Char"/>
    <w:basedOn w:val="DefaultParagraphFont"/>
    <w:link w:val="FootnoteText"/>
    <w:rsid w:val="00526FCD"/>
    <w:rPr>
      <w:sz w:val="20"/>
      <w:szCs w:val="20"/>
    </w:rPr>
  </w:style>
  <w:style w:type="table" w:styleId="TableGrid">
    <w:name w:val="Table Grid"/>
    <w:basedOn w:val="TableNormal"/>
    <w:uiPriority w:val="59"/>
    <w:rsid w:val="0052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714D"/>
    <w:rPr>
      <w:color w:val="800080" w:themeColor="followedHyperlink"/>
      <w:u w:val="single"/>
    </w:rPr>
  </w:style>
  <w:style w:type="paragraph" w:styleId="TOC1">
    <w:name w:val="toc 1"/>
    <w:basedOn w:val="Normal"/>
    <w:next w:val="Normal"/>
    <w:autoRedefine/>
    <w:unhideWhenUsed/>
    <w:rsid w:val="00962852"/>
    <w:pPr>
      <w:tabs>
        <w:tab w:val="clear" w:pos="567"/>
      </w:tabs>
      <w:spacing w:after="100"/>
    </w:pPr>
  </w:style>
  <w:style w:type="paragraph" w:styleId="TOC2">
    <w:name w:val="toc 2"/>
    <w:basedOn w:val="Normal"/>
    <w:next w:val="Normal"/>
    <w:autoRedefine/>
    <w:unhideWhenUsed/>
    <w:rsid w:val="00962852"/>
    <w:pPr>
      <w:tabs>
        <w:tab w:val="clear" w:pos="567"/>
      </w:tabs>
      <w:spacing w:after="100"/>
      <w:ind w:left="240"/>
    </w:pPr>
  </w:style>
  <w:style w:type="paragraph" w:styleId="TOC3">
    <w:name w:val="toc 3"/>
    <w:basedOn w:val="Normal"/>
    <w:next w:val="Normal"/>
    <w:autoRedefine/>
    <w:unhideWhenUsed/>
    <w:rsid w:val="00962852"/>
    <w:pPr>
      <w:tabs>
        <w:tab w:val="clear" w:pos="567"/>
      </w:tabs>
      <w:spacing w:after="100"/>
      <w:ind w:left="480"/>
    </w:pPr>
  </w:style>
  <w:style w:type="character" w:styleId="FootnoteReference">
    <w:name w:val="footnote reference"/>
    <w:basedOn w:val="DefaultParagraphFont"/>
    <w:unhideWhenUsed/>
    <w:rsid w:val="00597461"/>
    <w:rPr>
      <w:vertAlign w:val="superscript"/>
    </w:rPr>
  </w:style>
  <w:style w:type="character" w:customStyle="1" w:styleId="CGCBulletlistChar">
    <w:name w:val="CGC Bullet list Char"/>
    <w:aliases w:val="CGC List 1 Char,CGC Bullet list Char1"/>
    <w:basedOn w:val="DefaultParagraphFont"/>
    <w:link w:val="CGCBulletlist"/>
    <w:locked/>
    <w:rsid w:val="00597461"/>
    <w:rPr>
      <w:sz w:val="24"/>
      <w:szCs w:val="20"/>
    </w:rPr>
  </w:style>
  <w:style w:type="character" w:customStyle="1" w:styleId="CGCTableFootnoteChar">
    <w:name w:val="CGC Table Footnote Char"/>
    <w:basedOn w:val="DefaultParagraphFont"/>
    <w:link w:val="CGCTableFootnote"/>
    <w:rsid w:val="00597461"/>
    <w:rPr>
      <w:sz w:val="20"/>
      <w:szCs w:val="24"/>
    </w:rPr>
  </w:style>
  <w:style w:type="paragraph" w:customStyle="1" w:styleId="TableRowNormal">
    <w:name w:val="TableRowNormal"/>
    <w:basedOn w:val="Normal"/>
    <w:rsid w:val="00B02001"/>
    <w:pPr>
      <w:keepNext/>
      <w:keepLines/>
      <w:tabs>
        <w:tab w:val="left" w:pos="475"/>
        <w:tab w:val="left" w:pos="1440"/>
        <w:tab w:val="left" w:pos="2160"/>
        <w:tab w:val="left" w:pos="2880"/>
      </w:tabs>
      <w:spacing w:before="60" w:after="60" w:line="200" w:lineRule="atLeast"/>
      <w:ind w:left="144" w:hanging="144"/>
      <w:jc w:val="right"/>
    </w:pPr>
    <w:rPr>
      <w:rFonts w:eastAsia="Times New Roman" w:cs="Times New Roman"/>
      <w:sz w:val="20"/>
      <w:szCs w:val="20"/>
    </w:rPr>
  </w:style>
  <w:style w:type="paragraph" w:customStyle="1" w:styleId="TableColHeadings">
    <w:name w:val="TableColHeadings"/>
    <w:basedOn w:val="CGCTableStub"/>
    <w:rsid w:val="00B02001"/>
    <w:pPr>
      <w:tabs>
        <w:tab w:val="left" w:pos="475"/>
        <w:tab w:val="left" w:pos="1440"/>
        <w:tab w:val="left" w:pos="2160"/>
        <w:tab w:val="left" w:pos="2880"/>
      </w:tabs>
      <w:spacing w:line="240" w:lineRule="auto"/>
      <w:jc w:val="right"/>
    </w:pPr>
    <w:rPr>
      <w:rFonts w:ascii="Calibri" w:eastAsia="Times New Roman" w:hAnsi="Calibri" w:cs="Times New Roman"/>
    </w:rPr>
  </w:style>
  <w:style w:type="paragraph" w:customStyle="1" w:styleId="CGCterminologylabel">
    <w:name w:val="CGC terminology label"/>
    <w:basedOn w:val="Normal"/>
    <w:link w:val="CGCterminologylabelChar"/>
    <w:qFormat/>
    <w:rsid w:val="00111245"/>
    <w:pPr>
      <w:keepNext/>
    </w:pPr>
    <w:rPr>
      <w:b/>
    </w:rPr>
  </w:style>
  <w:style w:type="character" w:customStyle="1" w:styleId="CGCterminologylabelChar">
    <w:name w:val="CGC terminology label Char"/>
    <w:basedOn w:val="DefaultParagraphFont"/>
    <w:link w:val="CGCterminologylabel"/>
    <w:rsid w:val="00111245"/>
    <w:rPr>
      <w:b/>
      <w:sz w:val="24"/>
    </w:rPr>
  </w:style>
  <w:style w:type="character" w:customStyle="1" w:styleId="Heading8Char">
    <w:name w:val="Heading 8 Char"/>
    <w:aliases w:val="(Do not use) Char,(Sub-section Nos) Char"/>
    <w:basedOn w:val="DefaultParagraphFont"/>
    <w:link w:val="Heading8"/>
    <w:semiHidden/>
    <w:rsid w:val="00F23CAE"/>
    <w:rPr>
      <w:rFonts w:ascii="Arial" w:hAnsi="Arial"/>
      <w:i/>
      <w:sz w:val="20"/>
      <w:szCs w:val="20"/>
    </w:rPr>
  </w:style>
  <w:style w:type="character" w:customStyle="1" w:styleId="Heading9Char">
    <w:name w:val="Heading 9 Char"/>
    <w:aliases w:val="Heading 9 (Do not use) Char,(Subsubsection Nos) Char"/>
    <w:basedOn w:val="DefaultParagraphFont"/>
    <w:link w:val="Heading9"/>
    <w:semiHidden/>
    <w:rsid w:val="00F23CAE"/>
    <w:rPr>
      <w:rFonts w:ascii="Arial" w:hAnsi="Arial"/>
      <w:b/>
      <w:i/>
      <w:sz w:val="18"/>
      <w:szCs w:val="20"/>
    </w:rPr>
  </w:style>
  <w:style w:type="character" w:styleId="CommentReference">
    <w:name w:val="annotation reference"/>
    <w:basedOn w:val="DefaultParagraphFont"/>
    <w:rsid w:val="00F23CAE"/>
    <w:rPr>
      <w:sz w:val="16"/>
      <w:szCs w:val="16"/>
    </w:rPr>
  </w:style>
  <w:style w:type="paragraph" w:styleId="CommentText">
    <w:name w:val="annotation text"/>
    <w:basedOn w:val="Normal"/>
    <w:link w:val="CommentTextChar"/>
    <w:rsid w:val="00F23CAE"/>
    <w:rPr>
      <w:sz w:val="20"/>
      <w:szCs w:val="20"/>
    </w:rPr>
  </w:style>
  <w:style w:type="character" w:customStyle="1" w:styleId="CommentTextChar">
    <w:name w:val="Comment Text Char"/>
    <w:basedOn w:val="DefaultParagraphFont"/>
    <w:link w:val="CommentText"/>
    <w:rsid w:val="00F23CAE"/>
    <w:rPr>
      <w:sz w:val="20"/>
      <w:szCs w:val="20"/>
    </w:rPr>
  </w:style>
  <w:style w:type="paragraph" w:styleId="CommentSubject">
    <w:name w:val="annotation subject"/>
    <w:basedOn w:val="CommentText"/>
    <w:next w:val="CommentText"/>
    <w:link w:val="CommentSubjectChar"/>
    <w:rsid w:val="00F23CAE"/>
    <w:rPr>
      <w:b/>
      <w:bCs/>
    </w:rPr>
  </w:style>
  <w:style w:type="character" w:customStyle="1" w:styleId="CommentSubjectChar">
    <w:name w:val="Comment Subject Char"/>
    <w:basedOn w:val="CommentTextChar"/>
    <w:link w:val="CommentSubject"/>
    <w:rsid w:val="00F23CAE"/>
    <w:rPr>
      <w:b/>
      <w:bCs/>
      <w:sz w:val="20"/>
      <w:szCs w:val="20"/>
    </w:rPr>
  </w:style>
  <w:style w:type="paragraph" w:styleId="DocumentMap">
    <w:name w:val="Document Map"/>
    <w:basedOn w:val="Normal"/>
    <w:link w:val="DocumentMapChar"/>
    <w:rsid w:val="00F23CA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23CAE"/>
    <w:rPr>
      <w:rFonts w:ascii="Tahoma" w:hAnsi="Tahoma" w:cs="Tahoma"/>
      <w:sz w:val="20"/>
      <w:szCs w:val="20"/>
      <w:shd w:val="clear" w:color="auto" w:fill="000080"/>
    </w:rPr>
  </w:style>
  <w:style w:type="character" w:styleId="EndnoteReference">
    <w:name w:val="endnote reference"/>
    <w:basedOn w:val="DefaultParagraphFont"/>
    <w:rsid w:val="00F23CAE"/>
    <w:rPr>
      <w:vertAlign w:val="superscript"/>
    </w:rPr>
  </w:style>
  <w:style w:type="paragraph" w:styleId="EndnoteText">
    <w:name w:val="endnote text"/>
    <w:basedOn w:val="Normal"/>
    <w:link w:val="EndnoteTextChar"/>
    <w:rsid w:val="00F23CAE"/>
    <w:rPr>
      <w:sz w:val="20"/>
      <w:szCs w:val="20"/>
    </w:rPr>
  </w:style>
  <w:style w:type="character" w:customStyle="1" w:styleId="EndnoteTextChar">
    <w:name w:val="Endnote Text Char"/>
    <w:basedOn w:val="DefaultParagraphFont"/>
    <w:link w:val="EndnoteText"/>
    <w:rsid w:val="00F23CAE"/>
    <w:rPr>
      <w:sz w:val="20"/>
      <w:szCs w:val="20"/>
    </w:rPr>
  </w:style>
  <w:style w:type="paragraph" w:styleId="Index1">
    <w:name w:val="index 1"/>
    <w:basedOn w:val="Normal"/>
    <w:rsid w:val="00F23CAE"/>
  </w:style>
  <w:style w:type="paragraph" w:styleId="Index2">
    <w:name w:val="index 2"/>
    <w:basedOn w:val="Normal"/>
    <w:next w:val="Index1"/>
    <w:rsid w:val="00F23CAE"/>
    <w:pPr>
      <w:ind w:left="284"/>
    </w:pPr>
  </w:style>
  <w:style w:type="paragraph" w:styleId="Index3">
    <w:name w:val="index 3"/>
    <w:basedOn w:val="Normal"/>
    <w:next w:val="Index1"/>
    <w:rsid w:val="00F23CAE"/>
    <w:pPr>
      <w:ind w:left="567"/>
    </w:pPr>
  </w:style>
  <w:style w:type="paragraph" w:styleId="Index4">
    <w:name w:val="index 4"/>
    <w:basedOn w:val="Normal"/>
    <w:next w:val="Normal"/>
    <w:rsid w:val="00F23CAE"/>
    <w:pPr>
      <w:ind w:left="880" w:hanging="220"/>
    </w:pPr>
  </w:style>
  <w:style w:type="paragraph" w:styleId="Index5">
    <w:name w:val="index 5"/>
    <w:basedOn w:val="Normal"/>
    <w:next w:val="Normal"/>
    <w:rsid w:val="00F23CAE"/>
    <w:pPr>
      <w:ind w:left="1100" w:hanging="220"/>
    </w:pPr>
  </w:style>
  <w:style w:type="paragraph" w:styleId="Index6">
    <w:name w:val="index 6"/>
    <w:basedOn w:val="Normal"/>
    <w:next w:val="Normal"/>
    <w:rsid w:val="00F23CAE"/>
    <w:pPr>
      <w:ind w:left="1320" w:hanging="220"/>
    </w:pPr>
  </w:style>
  <w:style w:type="paragraph" w:styleId="Index7">
    <w:name w:val="index 7"/>
    <w:basedOn w:val="Normal"/>
    <w:next w:val="Normal"/>
    <w:rsid w:val="00F23CAE"/>
    <w:pPr>
      <w:ind w:left="1540" w:hanging="220"/>
    </w:pPr>
  </w:style>
  <w:style w:type="paragraph" w:styleId="Index8">
    <w:name w:val="index 8"/>
    <w:basedOn w:val="Normal"/>
    <w:next w:val="Normal"/>
    <w:rsid w:val="00F23CAE"/>
    <w:pPr>
      <w:ind w:left="1760" w:hanging="220"/>
    </w:pPr>
  </w:style>
  <w:style w:type="paragraph" w:styleId="Index9">
    <w:name w:val="index 9"/>
    <w:basedOn w:val="Normal"/>
    <w:next w:val="Normal"/>
    <w:rsid w:val="00F23CAE"/>
    <w:pPr>
      <w:ind w:left="1980" w:hanging="220"/>
    </w:pPr>
  </w:style>
  <w:style w:type="paragraph" w:styleId="IndexHeading">
    <w:name w:val="index heading"/>
    <w:basedOn w:val="Normal"/>
    <w:next w:val="Index1"/>
    <w:rsid w:val="00F23CAE"/>
  </w:style>
  <w:style w:type="paragraph" w:styleId="List">
    <w:name w:val="List"/>
    <w:basedOn w:val="Normal"/>
    <w:rsid w:val="00F23CAE"/>
    <w:pPr>
      <w:spacing w:line="300" w:lineRule="atLeast"/>
    </w:pPr>
  </w:style>
  <w:style w:type="paragraph" w:styleId="MacroText">
    <w:name w:val="macro"/>
    <w:link w:val="MacroTextChar"/>
    <w:rsid w:val="00F23CA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F23CAE"/>
    <w:rPr>
      <w:rFonts w:ascii="Courier New" w:hAnsi="Courier New" w:cs="Courier New"/>
    </w:rPr>
  </w:style>
  <w:style w:type="character" w:styleId="PageNumber">
    <w:name w:val="page number"/>
    <w:basedOn w:val="DefaultParagraphFont"/>
    <w:rsid w:val="00F23CAE"/>
  </w:style>
  <w:style w:type="paragraph" w:customStyle="1" w:styleId="Single">
    <w:name w:val="Single"/>
    <w:basedOn w:val="Normal"/>
    <w:next w:val="CGCNumberedPara"/>
    <w:rsid w:val="00F23CAE"/>
    <w:pPr>
      <w:spacing w:after="0" w:line="240" w:lineRule="auto"/>
    </w:pPr>
  </w:style>
  <w:style w:type="paragraph" w:styleId="TableofAuthorities">
    <w:name w:val="table of authorities"/>
    <w:basedOn w:val="Normal"/>
    <w:next w:val="Normal"/>
    <w:rsid w:val="00F23CAE"/>
    <w:pPr>
      <w:tabs>
        <w:tab w:val="clear" w:pos="567"/>
      </w:tabs>
      <w:ind w:left="220" w:hanging="220"/>
    </w:pPr>
  </w:style>
  <w:style w:type="paragraph" w:styleId="TableofFigures">
    <w:name w:val="table of figures"/>
    <w:basedOn w:val="Normal"/>
    <w:next w:val="Normal"/>
    <w:rsid w:val="00F23CAE"/>
    <w:pPr>
      <w:tabs>
        <w:tab w:val="clear" w:pos="567"/>
      </w:tabs>
    </w:pPr>
  </w:style>
  <w:style w:type="paragraph" w:customStyle="1" w:styleId="TableRowUnits">
    <w:name w:val="TableRowUnits"/>
    <w:basedOn w:val="Normal"/>
    <w:rsid w:val="00F23CAE"/>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F23CAE"/>
    <w:pPr>
      <w:spacing w:before="120"/>
    </w:pPr>
    <w:rPr>
      <w:rFonts w:cs="Arial"/>
      <w:b/>
      <w:bCs/>
    </w:rPr>
  </w:style>
  <w:style w:type="paragraph" w:styleId="TOC4">
    <w:name w:val="toc 4"/>
    <w:basedOn w:val="Normal"/>
    <w:next w:val="Normal"/>
    <w:rsid w:val="00F23CAE"/>
    <w:pPr>
      <w:tabs>
        <w:tab w:val="clear" w:pos="567"/>
        <w:tab w:val="right" w:pos="8942"/>
      </w:tabs>
      <w:spacing w:after="0"/>
      <w:ind w:left="1134"/>
    </w:pPr>
  </w:style>
  <w:style w:type="paragraph" w:styleId="TOC5">
    <w:name w:val="toc 5"/>
    <w:basedOn w:val="Normal"/>
    <w:next w:val="Normal"/>
    <w:rsid w:val="00F23CAE"/>
    <w:pPr>
      <w:tabs>
        <w:tab w:val="clear" w:pos="567"/>
      </w:tabs>
      <w:spacing w:after="0"/>
      <w:ind w:left="1701"/>
    </w:pPr>
    <w:rPr>
      <w:sz w:val="18"/>
      <w:szCs w:val="18"/>
    </w:rPr>
  </w:style>
  <w:style w:type="paragraph" w:styleId="TOC6">
    <w:name w:val="toc 6"/>
    <w:basedOn w:val="Normal"/>
    <w:next w:val="Normal"/>
    <w:rsid w:val="00F23CAE"/>
    <w:pPr>
      <w:tabs>
        <w:tab w:val="clear" w:pos="567"/>
      </w:tabs>
      <w:spacing w:after="0"/>
      <w:ind w:left="1100"/>
    </w:pPr>
    <w:rPr>
      <w:sz w:val="18"/>
      <w:szCs w:val="18"/>
    </w:rPr>
  </w:style>
  <w:style w:type="paragraph" w:styleId="TOC7">
    <w:name w:val="toc 7"/>
    <w:basedOn w:val="Normal"/>
    <w:next w:val="Normal"/>
    <w:rsid w:val="00F23CAE"/>
    <w:pPr>
      <w:tabs>
        <w:tab w:val="clear" w:pos="567"/>
      </w:tabs>
      <w:spacing w:after="0"/>
      <w:ind w:left="1320"/>
    </w:pPr>
    <w:rPr>
      <w:sz w:val="18"/>
      <w:szCs w:val="18"/>
    </w:rPr>
  </w:style>
  <w:style w:type="paragraph" w:styleId="TOC8">
    <w:name w:val="toc 8"/>
    <w:basedOn w:val="Normal"/>
    <w:next w:val="Normal"/>
    <w:rsid w:val="00F23CAE"/>
    <w:pPr>
      <w:tabs>
        <w:tab w:val="clear" w:pos="567"/>
      </w:tabs>
      <w:spacing w:after="0"/>
      <w:ind w:left="1540"/>
    </w:pPr>
    <w:rPr>
      <w:sz w:val="18"/>
      <w:szCs w:val="18"/>
    </w:rPr>
  </w:style>
  <w:style w:type="paragraph" w:styleId="TOC9">
    <w:name w:val="toc 9"/>
    <w:basedOn w:val="Normal"/>
    <w:next w:val="Normal"/>
    <w:rsid w:val="00F23CAE"/>
    <w:pPr>
      <w:tabs>
        <w:tab w:val="clear" w:pos="567"/>
      </w:tabs>
      <w:spacing w:after="0"/>
      <w:ind w:left="1760"/>
    </w:pPr>
    <w:rPr>
      <w:sz w:val="18"/>
      <w:szCs w:val="18"/>
    </w:rPr>
  </w:style>
  <w:style w:type="character" w:customStyle="1" w:styleId="NoSpacingChar">
    <w:name w:val="No Spacing Char"/>
    <w:basedOn w:val="DefaultParagraphFont"/>
    <w:link w:val="NoSpacing"/>
    <w:uiPriority w:val="1"/>
    <w:rsid w:val="00F23CAE"/>
    <w:rPr>
      <w:sz w:val="24"/>
    </w:rPr>
  </w:style>
  <w:style w:type="paragraph" w:styleId="TOCHeading">
    <w:name w:val="TOC Heading"/>
    <w:basedOn w:val="Heading1"/>
    <w:next w:val="Normal"/>
    <w:uiPriority w:val="39"/>
    <w:semiHidden/>
    <w:unhideWhenUsed/>
    <w:qFormat/>
    <w:rsid w:val="00F23CAE"/>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numbering" w:customStyle="1" w:styleId="NoList1">
    <w:name w:val="No List1"/>
    <w:next w:val="NoList"/>
    <w:uiPriority w:val="99"/>
    <w:semiHidden/>
    <w:unhideWhenUsed/>
    <w:rsid w:val="008358E9"/>
  </w:style>
  <w:style w:type="table" w:customStyle="1" w:styleId="TableGrid1">
    <w:name w:val="Table Grid1"/>
    <w:basedOn w:val="TableNormal"/>
    <w:next w:val="TableGrid"/>
    <w:uiPriority w:val="59"/>
    <w:rsid w:val="00835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86A8C"/>
  </w:style>
  <w:style w:type="table" w:customStyle="1" w:styleId="TableGrid2">
    <w:name w:val="Table Grid2"/>
    <w:basedOn w:val="TableNormal"/>
    <w:next w:val="TableGrid"/>
    <w:uiPriority w:val="59"/>
    <w:rsid w:val="00886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CCWTableText">
    <w:name w:val="CGC CW Table Text"/>
    <w:basedOn w:val="Normal"/>
    <w:link w:val="CGCCWTableTextChar"/>
    <w:qFormat/>
    <w:rsid w:val="00434000"/>
    <w:pPr>
      <w:spacing w:line="240" w:lineRule="auto"/>
    </w:pPr>
    <w:rPr>
      <w:sz w:val="18"/>
      <w:szCs w:val="18"/>
    </w:rPr>
  </w:style>
  <w:style w:type="character" w:customStyle="1" w:styleId="CGCCWTableTextChar">
    <w:name w:val="CGC CW Table Text Char"/>
    <w:basedOn w:val="DefaultParagraphFont"/>
    <w:link w:val="CGCCWTableText"/>
    <w:rsid w:val="00434000"/>
    <w:rPr>
      <w:sz w:val="18"/>
      <w:szCs w:val="18"/>
    </w:rPr>
  </w:style>
  <w:style w:type="paragraph" w:customStyle="1" w:styleId="CGCCWTableTextlist">
    <w:name w:val="CGC CW Table Text list"/>
    <w:basedOn w:val="CGCCWTableText"/>
    <w:rsid w:val="00434000"/>
    <w:pPr>
      <w:spacing w:after="0"/>
    </w:pPr>
    <w:rPr>
      <w:rFonts w:eastAsia="Times New Roman" w:cs="Times New Roman"/>
      <w:szCs w:val="20"/>
    </w:rPr>
  </w:style>
  <w:style w:type="numbering" w:customStyle="1" w:styleId="NoList3">
    <w:name w:val="No List3"/>
    <w:next w:val="NoList"/>
    <w:uiPriority w:val="99"/>
    <w:semiHidden/>
    <w:unhideWhenUsed/>
    <w:rsid w:val="00445CFD"/>
  </w:style>
  <w:style w:type="table" w:customStyle="1" w:styleId="TableGrid3">
    <w:name w:val="Table Grid3"/>
    <w:basedOn w:val="TableNormal"/>
    <w:next w:val="TableGrid"/>
    <w:uiPriority w:val="59"/>
    <w:rsid w:val="00445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GCParaNoChar">
    <w:name w:val="CGC Para No Char"/>
    <w:aliases w:val="CGC Numbered Para Char"/>
    <w:basedOn w:val="DefaultParagraphFont"/>
    <w:link w:val="CGCNumberedPara"/>
    <w:rsid w:val="00D248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348">
      <w:bodyDiv w:val="1"/>
      <w:marLeft w:val="0"/>
      <w:marRight w:val="0"/>
      <w:marTop w:val="0"/>
      <w:marBottom w:val="0"/>
      <w:divBdr>
        <w:top w:val="none" w:sz="0" w:space="0" w:color="auto"/>
        <w:left w:val="none" w:sz="0" w:space="0" w:color="auto"/>
        <w:bottom w:val="none" w:sz="0" w:space="0" w:color="auto"/>
        <w:right w:val="none" w:sz="0" w:space="0" w:color="auto"/>
      </w:divBdr>
    </w:div>
    <w:div w:id="21589807">
      <w:bodyDiv w:val="1"/>
      <w:marLeft w:val="0"/>
      <w:marRight w:val="0"/>
      <w:marTop w:val="0"/>
      <w:marBottom w:val="0"/>
      <w:divBdr>
        <w:top w:val="none" w:sz="0" w:space="0" w:color="auto"/>
        <w:left w:val="none" w:sz="0" w:space="0" w:color="auto"/>
        <w:bottom w:val="none" w:sz="0" w:space="0" w:color="auto"/>
        <w:right w:val="none" w:sz="0" w:space="0" w:color="auto"/>
      </w:divBdr>
    </w:div>
    <w:div w:id="77949609">
      <w:bodyDiv w:val="1"/>
      <w:marLeft w:val="0"/>
      <w:marRight w:val="0"/>
      <w:marTop w:val="0"/>
      <w:marBottom w:val="0"/>
      <w:divBdr>
        <w:top w:val="none" w:sz="0" w:space="0" w:color="auto"/>
        <w:left w:val="none" w:sz="0" w:space="0" w:color="auto"/>
        <w:bottom w:val="none" w:sz="0" w:space="0" w:color="auto"/>
        <w:right w:val="none" w:sz="0" w:space="0" w:color="auto"/>
      </w:divBdr>
    </w:div>
    <w:div w:id="94443866">
      <w:bodyDiv w:val="1"/>
      <w:marLeft w:val="0"/>
      <w:marRight w:val="0"/>
      <w:marTop w:val="0"/>
      <w:marBottom w:val="0"/>
      <w:divBdr>
        <w:top w:val="none" w:sz="0" w:space="0" w:color="auto"/>
        <w:left w:val="none" w:sz="0" w:space="0" w:color="auto"/>
        <w:bottom w:val="none" w:sz="0" w:space="0" w:color="auto"/>
        <w:right w:val="none" w:sz="0" w:space="0" w:color="auto"/>
      </w:divBdr>
    </w:div>
    <w:div w:id="131100766">
      <w:bodyDiv w:val="1"/>
      <w:marLeft w:val="0"/>
      <w:marRight w:val="0"/>
      <w:marTop w:val="0"/>
      <w:marBottom w:val="0"/>
      <w:divBdr>
        <w:top w:val="none" w:sz="0" w:space="0" w:color="auto"/>
        <w:left w:val="none" w:sz="0" w:space="0" w:color="auto"/>
        <w:bottom w:val="none" w:sz="0" w:space="0" w:color="auto"/>
        <w:right w:val="none" w:sz="0" w:space="0" w:color="auto"/>
      </w:divBdr>
    </w:div>
    <w:div w:id="181208109">
      <w:bodyDiv w:val="1"/>
      <w:marLeft w:val="0"/>
      <w:marRight w:val="0"/>
      <w:marTop w:val="0"/>
      <w:marBottom w:val="0"/>
      <w:divBdr>
        <w:top w:val="none" w:sz="0" w:space="0" w:color="auto"/>
        <w:left w:val="none" w:sz="0" w:space="0" w:color="auto"/>
        <w:bottom w:val="none" w:sz="0" w:space="0" w:color="auto"/>
        <w:right w:val="none" w:sz="0" w:space="0" w:color="auto"/>
      </w:divBdr>
    </w:div>
    <w:div w:id="290594478">
      <w:bodyDiv w:val="1"/>
      <w:marLeft w:val="0"/>
      <w:marRight w:val="0"/>
      <w:marTop w:val="0"/>
      <w:marBottom w:val="0"/>
      <w:divBdr>
        <w:top w:val="none" w:sz="0" w:space="0" w:color="auto"/>
        <w:left w:val="none" w:sz="0" w:space="0" w:color="auto"/>
        <w:bottom w:val="none" w:sz="0" w:space="0" w:color="auto"/>
        <w:right w:val="none" w:sz="0" w:space="0" w:color="auto"/>
      </w:divBdr>
    </w:div>
    <w:div w:id="347948051">
      <w:bodyDiv w:val="1"/>
      <w:marLeft w:val="0"/>
      <w:marRight w:val="0"/>
      <w:marTop w:val="0"/>
      <w:marBottom w:val="0"/>
      <w:divBdr>
        <w:top w:val="none" w:sz="0" w:space="0" w:color="auto"/>
        <w:left w:val="none" w:sz="0" w:space="0" w:color="auto"/>
        <w:bottom w:val="none" w:sz="0" w:space="0" w:color="auto"/>
        <w:right w:val="none" w:sz="0" w:space="0" w:color="auto"/>
      </w:divBdr>
    </w:div>
    <w:div w:id="384645920">
      <w:bodyDiv w:val="1"/>
      <w:marLeft w:val="0"/>
      <w:marRight w:val="0"/>
      <w:marTop w:val="0"/>
      <w:marBottom w:val="0"/>
      <w:divBdr>
        <w:top w:val="none" w:sz="0" w:space="0" w:color="auto"/>
        <w:left w:val="none" w:sz="0" w:space="0" w:color="auto"/>
        <w:bottom w:val="none" w:sz="0" w:space="0" w:color="auto"/>
        <w:right w:val="none" w:sz="0" w:space="0" w:color="auto"/>
      </w:divBdr>
    </w:div>
    <w:div w:id="454107925">
      <w:bodyDiv w:val="1"/>
      <w:marLeft w:val="0"/>
      <w:marRight w:val="0"/>
      <w:marTop w:val="0"/>
      <w:marBottom w:val="0"/>
      <w:divBdr>
        <w:top w:val="none" w:sz="0" w:space="0" w:color="auto"/>
        <w:left w:val="none" w:sz="0" w:space="0" w:color="auto"/>
        <w:bottom w:val="none" w:sz="0" w:space="0" w:color="auto"/>
        <w:right w:val="none" w:sz="0" w:space="0" w:color="auto"/>
      </w:divBdr>
    </w:div>
    <w:div w:id="534732781">
      <w:bodyDiv w:val="1"/>
      <w:marLeft w:val="0"/>
      <w:marRight w:val="0"/>
      <w:marTop w:val="0"/>
      <w:marBottom w:val="0"/>
      <w:divBdr>
        <w:top w:val="none" w:sz="0" w:space="0" w:color="auto"/>
        <w:left w:val="none" w:sz="0" w:space="0" w:color="auto"/>
        <w:bottom w:val="none" w:sz="0" w:space="0" w:color="auto"/>
        <w:right w:val="none" w:sz="0" w:space="0" w:color="auto"/>
      </w:divBdr>
    </w:div>
    <w:div w:id="546721241">
      <w:bodyDiv w:val="1"/>
      <w:marLeft w:val="0"/>
      <w:marRight w:val="0"/>
      <w:marTop w:val="0"/>
      <w:marBottom w:val="0"/>
      <w:divBdr>
        <w:top w:val="none" w:sz="0" w:space="0" w:color="auto"/>
        <w:left w:val="none" w:sz="0" w:space="0" w:color="auto"/>
        <w:bottom w:val="none" w:sz="0" w:space="0" w:color="auto"/>
        <w:right w:val="none" w:sz="0" w:space="0" w:color="auto"/>
      </w:divBdr>
    </w:div>
    <w:div w:id="608900630">
      <w:bodyDiv w:val="1"/>
      <w:marLeft w:val="0"/>
      <w:marRight w:val="0"/>
      <w:marTop w:val="0"/>
      <w:marBottom w:val="0"/>
      <w:divBdr>
        <w:top w:val="none" w:sz="0" w:space="0" w:color="auto"/>
        <w:left w:val="none" w:sz="0" w:space="0" w:color="auto"/>
        <w:bottom w:val="none" w:sz="0" w:space="0" w:color="auto"/>
        <w:right w:val="none" w:sz="0" w:space="0" w:color="auto"/>
      </w:divBdr>
    </w:div>
    <w:div w:id="692995724">
      <w:bodyDiv w:val="1"/>
      <w:marLeft w:val="0"/>
      <w:marRight w:val="0"/>
      <w:marTop w:val="0"/>
      <w:marBottom w:val="0"/>
      <w:divBdr>
        <w:top w:val="none" w:sz="0" w:space="0" w:color="auto"/>
        <w:left w:val="none" w:sz="0" w:space="0" w:color="auto"/>
        <w:bottom w:val="none" w:sz="0" w:space="0" w:color="auto"/>
        <w:right w:val="none" w:sz="0" w:space="0" w:color="auto"/>
      </w:divBdr>
    </w:div>
    <w:div w:id="761070958">
      <w:bodyDiv w:val="1"/>
      <w:marLeft w:val="0"/>
      <w:marRight w:val="0"/>
      <w:marTop w:val="0"/>
      <w:marBottom w:val="0"/>
      <w:divBdr>
        <w:top w:val="none" w:sz="0" w:space="0" w:color="auto"/>
        <w:left w:val="none" w:sz="0" w:space="0" w:color="auto"/>
        <w:bottom w:val="none" w:sz="0" w:space="0" w:color="auto"/>
        <w:right w:val="none" w:sz="0" w:space="0" w:color="auto"/>
      </w:divBdr>
    </w:div>
    <w:div w:id="808209717">
      <w:bodyDiv w:val="1"/>
      <w:marLeft w:val="0"/>
      <w:marRight w:val="0"/>
      <w:marTop w:val="0"/>
      <w:marBottom w:val="0"/>
      <w:divBdr>
        <w:top w:val="none" w:sz="0" w:space="0" w:color="auto"/>
        <w:left w:val="none" w:sz="0" w:space="0" w:color="auto"/>
        <w:bottom w:val="none" w:sz="0" w:space="0" w:color="auto"/>
        <w:right w:val="none" w:sz="0" w:space="0" w:color="auto"/>
      </w:divBdr>
    </w:div>
    <w:div w:id="874542830">
      <w:bodyDiv w:val="1"/>
      <w:marLeft w:val="0"/>
      <w:marRight w:val="0"/>
      <w:marTop w:val="0"/>
      <w:marBottom w:val="0"/>
      <w:divBdr>
        <w:top w:val="none" w:sz="0" w:space="0" w:color="auto"/>
        <w:left w:val="none" w:sz="0" w:space="0" w:color="auto"/>
        <w:bottom w:val="none" w:sz="0" w:space="0" w:color="auto"/>
        <w:right w:val="none" w:sz="0" w:space="0" w:color="auto"/>
      </w:divBdr>
    </w:div>
    <w:div w:id="954676873">
      <w:bodyDiv w:val="1"/>
      <w:marLeft w:val="0"/>
      <w:marRight w:val="0"/>
      <w:marTop w:val="0"/>
      <w:marBottom w:val="0"/>
      <w:divBdr>
        <w:top w:val="none" w:sz="0" w:space="0" w:color="auto"/>
        <w:left w:val="none" w:sz="0" w:space="0" w:color="auto"/>
        <w:bottom w:val="none" w:sz="0" w:space="0" w:color="auto"/>
        <w:right w:val="none" w:sz="0" w:space="0" w:color="auto"/>
      </w:divBdr>
    </w:div>
    <w:div w:id="960693434">
      <w:bodyDiv w:val="1"/>
      <w:marLeft w:val="0"/>
      <w:marRight w:val="0"/>
      <w:marTop w:val="0"/>
      <w:marBottom w:val="0"/>
      <w:divBdr>
        <w:top w:val="none" w:sz="0" w:space="0" w:color="auto"/>
        <w:left w:val="none" w:sz="0" w:space="0" w:color="auto"/>
        <w:bottom w:val="none" w:sz="0" w:space="0" w:color="auto"/>
        <w:right w:val="none" w:sz="0" w:space="0" w:color="auto"/>
      </w:divBdr>
    </w:div>
    <w:div w:id="980186437">
      <w:bodyDiv w:val="1"/>
      <w:marLeft w:val="0"/>
      <w:marRight w:val="0"/>
      <w:marTop w:val="0"/>
      <w:marBottom w:val="0"/>
      <w:divBdr>
        <w:top w:val="none" w:sz="0" w:space="0" w:color="auto"/>
        <w:left w:val="none" w:sz="0" w:space="0" w:color="auto"/>
        <w:bottom w:val="none" w:sz="0" w:space="0" w:color="auto"/>
        <w:right w:val="none" w:sz="0" w:space="0" w:color="auto"/>
      </w:divBdr>
    </w:div>
    <w:div w:id="1033117857">
      <w:bodyDiv w:val="1"/>
      <w:marLeft w:val="0"/>
      <w:marRight w:val="0"/>
      <w:marTop w:val="0"/>
      <w:marBottom w:val="0"/>
      <w:divBdr>
        <w:top w:val="none" w:sz="0" w:space="0" w:color="auto"/>
        <w:left w:val="none" w:sz="0" w:space="0" w:color="auto"/>
        <w:bottom w:val="none" w:sz="0" w:space="0" w:color="auto"/>
        <w:right w:val="none" w:sz="0" w:space="0" w:color="auto"/>
      </w:divBdr>
    </w:div>
    <w:div w:id="1073357665">
      <w:bodyDiv w:val="1"/>
      <w:marLeft w:val="0"/>
      <w:marRight w:val="0"/>
      <w:marTop w:val="0"/>
      <w:marBottom w:val="0"/>
      <w:divBdr>
        <w:top w:val="none" w:sz="0" w:space="0" w:color="auto"/>
        <w:left w:val="none" w:sz="0" w:space="0" w:color="auto"/>
        <w:bottom w:val="none" w:sz="0" w:space="0" w:color="auto"/>
        <w:right w:val="none" w:sz="0" w:space="0" w:color="auto"/>
      </w:divBdr>
    </w:div>
    <w:div w:id="1142427736">
      <w:bodyDiv w:val="1"/>
      <w:marLeft w:val="0"/>
      <w:marRight w:val="0"/>
      <w:marTop w:val="0"/>
      <w:marBottom w:val="0"/>
      <w:divBdr>
        <w:top w:val="none" w:sz="0" w:space="0" w:color="auto"/>
        <w:left w:val="none" w:sz="0" w:space="0" w:color="auto"/>
        <w:bottom w:val="none" w:sz="0" w:space="0" w:color="auto"/>
        <w:right w:val="none" w:sz="0" w:space="0" w:color="auto"/>
      </w:divBdr>
    </w:div>
    <w:div w:id="1170025452">
      <w:bodyDiv w:val="1"/>
      <w:marLeft w:val="0"/>
      <w:marRight w:val="0"/>
      <w:marTop w:val="0"/>
      <w:marBottom w:val="0"/>
      <w:divBdr>
        <w:top w:val="none" w:sz="0" w:space="0" w:color="auto"/>
        <w:left w:val="none" w:sz="0" w:space="0" w:color="auto"/>
        <w:bottom w:val="none" w:sz="0" w:space="0" w:color="auto"/>
        <w:right w:val="none" w:sz="0" w:space="0" w:color="auto"/>
      </w:divBdr>
    </w:div>
    <w:div w:id="1188565531">
      <w:bodyDiv w:val="1"/>
      <w:marLeft w:val="0"/>
      <w:marRight w:val="0"/>
      <w:marTop w:val="0"/>
      <w:marBottom w:val="0"/>
      <w:divBdr>
        <w:top w:val="none" w:sz="0" w:space="0" w:color="auto"/>
        <w:left w:val="none" w:sz="0" w:space="0" w:color="auto"/>
        <w:bottom w:val="none" w:sz="0" w:space="0" w:color="auto"/>
        <w:right w:val="none" w:sz="0" w:space="0" w:color="auto"/>
      </w:divBdr>
    </w:div>
    <w:div w:id="1236433847">
      <w:bodyDiv w:val="1"/>
      <w:marLeft w:val="0"/>
      <w:marRight w:val="0"/>
      <w:marTop w:val="0"/>
      <w:marBottom w:val="0"/>
      <w:divBdr>
        <w:top w:val="none" w:sz="0" w:space="0" w:color="auto"/>
        <w:left w:val="none" w:sz="0" w:space="0" w:color="auto"/>
        <w:bottom w:val="none" w:sz="0" w:space="0" w:color="auto"/>
        <w:right w:val="none" w:sz="0" w:space="0" w:color="auto"/>
      </w:divBdr>
    </w:div>
    <w:div w:id="1321814837">
      <w:bodyDiv w:val="1"/>
      <w:marLeft w:val="0"/>
      <w:marRight w:val="0"/>
      <w:marTop w:val="0"/>
      <w:marBottom w:val="0"/>
      <w:divBdr>
        <w:top w:val="none" w:sz="0" w:space="0" w:color="auto"/>
        <w:left w:val="none" w:sz="0" w:space="0" w:color="auto"/>
        <w:bottom w:val="none" w:sz="0" w:space="0" w:color="auto"/>
        <w:right w:val="none" w:sz="0" w:space="0" w:color="auto"/>
      </w:divBdr>
    </w:div>
    <w:div w:id="1322780817">
      <w:bodyDiv w:val="1"/>
      <w:marLeft w:val="0"/>
      <w:marRight w:val="0"/>
      <w:marTop w:val="0"/>
      <w:marBottom w:val="0"/>
      <w:divBdr>
        <w:top w:val="none" w:sz="0" w:space="0" w:color="auto"/>
        <w:left w:val="none" w:sz="0" w:space="0" w:color="auto"/>
        <w:bottom w:val="none" w:sz="0" w:space="0" w:color="auto"/>
        <w:right w:val="none" w:sz="0" w:space="0" w:color="auto"/>
      </w:divBdr>
    </w:div>
    <w:div w:id="1328022193">
      <w:bodyDiv w:val="1"/>
      <w:marLeft w:val="0"/>
      <w:marRight w:val="0"/>
      <w:marTop w:val="0"/>
      <w:marBottom w:val="0"/>
      <w:divBdr>
        <w:top w:val="none" w:sz="0" w:space="0" w:color="auto"/>
        <w:left w:val="none" w:sz="0" w:space="0" w:color="auto"/>
        <w:bottom w:val="none" w:sz="0" w:space="0" w:color="auto"/>
        <w:right w:val="none" w:sz="0" w:space="0" w:color="auto"/>
      </w:divBdr>
    </w:div>
    <w:div w:id="1353797542">
      <w:bodyDiv w:val="1"/>
      <w:marLeft w:val="0"/>
      <w:marRight w:val="0"/>
      <w:marTop w:val="0"/>
      <w:marBottom w:val="0"/>
      <w:divBdr>
        <w:top w:val="none" w:sz="0" w:space="0" w:color="auto"/>
        <w:left w:val="none" w:sz="0" w:space="0" w:color="auto"/>
        <w:bottom w:val="none" w:sz="0" w:space="0" w:color="auto"/>
        <w:right w:val="none" w:sz="0" w:space="0" w:color="auto"/>
      </w:divBdr>
    </w:div>
    <w:div w:id="1367170156">
      <w:bodyDiv w:val="1"/>
      <w:marLeft w:val="0"/>
      <w:marRight w:val="0"/>
      <w:marTop w:val="0"/>
      <w:marBottom w:val="0"/>
      <w:divBdr>
        <w:top w:val="none" w:sz="0" w:space="0" w:color="auto"/>
        <w:left w:val="none" w:sz="0" w:space="0" w:color="auto"/>
        <w:bottom w:val="none" w:sz="0" w:space="0" w:color="auto"/>
        <w:right w:val="none" w:sz="0" w:space="0" w:color="auto"/>
      </w:divBdr>
    </w:div>
    <w:div w:id="1394962404">
      <w:bodyDiv w:val="1"/>
      <w:marLeft w:val="0"/>
      <w:marRight w:val="0"/>
      <w:marTop w:val="0"/>
      <w:marBottom w:val="0"/>
      <w:divBdr>
        <w:top w:val="none" w:sz="0" w:space="0" w:color="auto"/>
        <w:left w:val="none" w:sz="0" w:space="0" w:color="auto"/>
        <w:bottom w:val="none" w:sz="0" w:space="0" w:color="auto"/>
        <w:right w:val="none" w:sz="0" w:space="0" w:color="auto"/>
      </w:divBdr>
    </w:div>
    <w:div w:id="1460488826">
      <w:bodyDiv w:val="1"/>
      <w:marLeft w:val="0"/>
      <w:marRight w:val="0"/>
      <w:marTop w:val="0"/>
      <w:marBottom w:val="0"/>
      <w:divBdr>
        <w:top w:val="none" w:sz="0" w:space="0" w:color="auto"/>
        <w:left w:val="none" w:sz="0" w:space="0" w:color="auto"/>
        <w:bottom w:val="none" w:sz="0" w:space="0" w:color="auto"/>
        <w:right w:val="none" w:sz="0" w:space="0" w:color="auto"/>
      </w:divBdr>
    </w:div>
    <w:div w:id="1471940866">
      <w:bodyDiv w:val="1"/>
      <w:marLeft w:val="0"/>
      <w:marRight w:val="0"/>
      <w:marTop w:val="0"/>
      <w:marBottom w:val="0"/>
      <w:divBdr>
        <w:top w:val="none" w:sz="0" w:space="0" w:color="auto"/>
        <w:left w:val="none" w:sz="0" w:space="0" w:color="auto"/>
        <w:bottom w:val="none" w:sz="0" w:space="0" w:color="auto"/>
        <w:right w:val="none" w:sz="0" w:space="0" w:color="auto"/>
      </w:divBdr>
    </w:div>
    <w:div w:id="1495879109">
      <w:bodyDiv w:val="1"/>
      <w:marLeft w:val="0"/>
      <w:marRight w:val="0"/>
      <w:marTop w:val="0"/>
      <w:marBottom w:val="0"/>
      <w:divBdr>
        <w:top w:val="none" w:sz="0" w:space="0" w:color="auto"/>
        <w:left w:val="none" w:sz="0" w:space="0" w:color="auto"/>
        <w:bottom w:val="none" w:sz="0" w:space="0" w:color="auto"/>
        <w:right w:val="none" w:sz="0" w:space="0" w:color="auto"/>
      </w:divBdr>
    </w:div>
    <w:div w:id="1556743578">
      <w:bodyDiv w:val="1"/>
      <w:marLeft w:val="0"/>
      <w:marRight w:val="0"/>
      <w:marTop w:val="0"/>
      <w:marBottom w:val="0"/>
      <w:divBdr>
        <w:top w:val="none" w:sz="0" w:space="0" w:color="auto"/>
        <w:left w:val="none" w:sz="0" w:space="0" w:color="auto"/>
        <w:bottom w:val="none" w:sz="0" w:space="0" w:color="auto"/>
        <w:right w:val="none" w:sz="0" w:space="0" w:color="auto"/>
      </w:divBdr>
    </w:div>
    <w:div w:id="1616331396">
      <w:bodyDiv w:val="1"/>
      <w:marLeft w:val="0"/>
      <w:marRight w:val="0"/>
      <w:marTop w:val="0"/>
      <w:marBottom w:val="0"/>
      <w:divBdr>
        <w:top w:val="none" w:sz="0" w:space="0" w:color="auto"/>
        <w:left w:val="none" w:sz="0" w:space="0" w:color="auto"/>
        <w:bottom w:val="none" w:sz="0" w:space="0" w:color="auto"/>
        <w:right w:val="none" w:sz="0" w:space="0" w:color="auto"/>
      </w:divBdr>
    </w:div>
    <w:div w:id="1657680973">
      <w:bodyDiv w:val="1"/>
      <w:marLeft w:val="0"/>
      <w:marRight w:val="0"/>
      <w:marTop w:val="0"/>
      <w:marBottom w:val="0"/>
      <w:divBdr>
        <w:top w:val="none" w:sz="0" w:space="0" w:color="auto"/>
        <w:left w:val="none" w:sz="0" w:space="0" w:color="auto"/>
        <w:bottom w:val="none" w:sz="0" w:space="0" w:color="auto"/>
        <w:right w:val="none" w:sz="0" w:space="0" w:color="auto"/>
      </w:divBdr>
    </w:div>
    <w:div w:id="1705979943">
      <w:bodyDiv w:val="1"/>
      <w:marLeft w:val="0"/>
      <w:marRight w:val="0"/>
      <w:marTop w:val="0"/>
      <w:marBottom w:val="0"/>
      <w:divBdr>
        <w:top w:val="none" w:sz="0" w:space="0" w:color="auto"/>
        <w:left w:val="none" w:sz="0" w:space="0" w:color="auto"/>
        <w:bottom w:val="none" w:sz="0" w:space="0" w:color="auto"/>
        <w:right w:val="none" w:sz="0" w:space="0" w:color="auto"/>
      </w:divBdr>
    </w:div>
    <w:div w:id="1746220703">
      <w:bodyDiv w:val="1"/>
      <w:marLeft w:val="0"/>
      <w:marRight w:val="0"/>
      <w:marTop w:val="0"/>
      <w:marBottom w:val="0"/>
      <w:divBdr>
        <w:top w:val="none" w:sz="0" w:space="0" w:color="auto"/>
        <w:left w:val="none" w:sz="0" w:space="0" w:color="auto"/>
        <w:bottom w:val="none" w:sz="0" w:space="0" w:color="auto"/>
        <w:right w:val="none" w:sz="0" w:space="0" w:color="auto"/>
      </w:divBdr>
    </w:div>
    <w:div w:id="1820806937">
      <w:bodyDiv w:val="1"/>
      <w:marLeft w:val="0"/>
      <w:marRight w:val="0"/>
      <w:marTop w:val="0"/>
      <w:marBottom w:val="0"/>
      <w:divBdr>
        <w:top w:val="none" w:sz="0" w:space="0" w:color="auto"/>
        <w:left w:val="none" w:sz="0" w:space="0" w:color="auto"/>
        <w:bottom w:val="none" w:sz="0" w:space="0" w:color="auto"/>
        <w:right w:val="none" w:sz="0" w:space="0" w:color="auto"/>
      </w:divBdr>
    </w:div>
    <w:div w:id="1826389496">
      <w:bodyDiv w:val="1"/>
      <w:marLeft w:val="0"/>
      <w:marRight w:val="0"/>
      <w:marTop w:val="0"/>
      <w:marBottom w:val="0"/>
      <w:divBdr>
        <w:top w:val="none" w:sz="0" w:space="0" w:color="auto"/>
        <w:left w:val="none" w:sz="0" w:space="0" w:color="auto"/>
        <w:bottom w:val="none" w:sz="0" w:space="0" w:color="auto"/>
        <w:right w:val="none" w:sz="0" w:space="0" w:color="auto"/>
      </w:divBdr>
    </w:div>
    <w:div w:id="1859584691">
      <w:bodyDiv w:val="1"/>
      <w:marLeft w:val="0"/>
      <w:marRight w:val="0"/>
      <w:marTop w:val="0"/>
      <w:marBottom w:val="0"/>
      <w:divBdr>
        <w:top w:val="none" w:sz="0" w:space="0" w:color="auto"/>
        <w:left w:val="none" w:sz="0" w:space="0" w:color="auto"/>
        <w:bottom w:val="none" w:sz="0" w:space="0" w:color="auto"/>
        <w:right w:val="none" w:sz="0" w:space="0" w:color="auto"/>
      </w:divBdr>
    </w:div>
    <w:div w:id="1875925332">
      <w:bodyDiv w:val="1"/>
      <w:marLeft w:val="0"/>
      <w:marRight w:val="0"/>
      <w:marTop w:val="0"/>
      <w:marBottom w:val="0"/>
      <w:divBdr>
        <w:top w:val="none" w:sz="0" w:space="0" w:color="auto"/>
        <w:left w:val="none" w:sz="0" w:space="0" w:color="auto"/>
        <w:bottom w:val="none" w:sz="0" w:space="0" w:color="auto"/>
        <w:right w:val="none" w:sz="0" w:space="0" w:color="auto"/>
      </w:divBdr>
    </w:div>
    <w:div w:id="1917932475">
      <w:bodyDiv w:val="1"/>
      <w:marLeft w:val="0"/>
      <w:marRight w:val="0"/>
      <w:marTop w:val="0"/>
      <w:marBottom w:val="0"/>
      <w:divBdr>
        <w:top w:val="none" w:sz="0" w:space="0" w:color="auto"/>
        <w:left w:val="none" w:sz="0" w:space="0" w:color="auto"/>
        <w:bottom w:val="none" w:sz="0" w:space="0" w:color="auto"/>
        <w:right w:val="none" w:sz="0" w:space="0" w:color="auto"/>
      </w:divBdr>
    </w:div>
    <w:div w:id="1923636927">
      <w:bodyDiv w:val="1"/>
      <w:marLeft w:val="0"/>
      <w:marRight w:val="0"/>
      <w:marTop w:val="0"/>
      <w:marBottom w:val="0"/>
      <w:divBdr>
        <w:top w:val="none" w:sz="0" w:space="0" w:color="auto"/>
        <w:left w:val="none" w:sz="0" w:space="0" w:color="auto"/>
        <w:bottom w:val="none" w:sz="0" w:space="0" w:color="auto"/>
        <w:right w:val="none" w:sz="0" w:space="0" w:color="auto"/>
      </w:divBdr>
    </w:div>
    <w:div w:id="2024898264">
      <w:bodyDiv w:val="1"/>
      <w:marLeft w:val="0"/>
      <w:marRight w:val="0"/>
      <w:marTop w:val="0"/>
      <w:marBottom w:val="0"/>
      <w:divBdr>
        <w:top w:val="none" w:sz="0" w:space="0" w:color="auto"/>
        <w:left w:val="none" w:sz="0" w:space="0" w:color="auto"/>
        <w:bottom w:val="none" w:sz="0" w:space="0" w:color="auto"/>
        <w:right w:val="none" w:sz="0" w:space="0" w:color="auto"/>
      </w:divBdr>
    </w:div>
    <w:div w:id="2045402125">
      <w:bodyDiv w:val="1"/>
      <w:marLeft w:val="0"/>
      <w:marRight w:val="0"/>
      <w:marTop w:val="0"/>
      <w:marBottom w:val="0"/>
      <w:divBdr>
        <w:top w:val="none" w:sz="0" w:space="0" w:color="auto"/>
        <w:left w:val="none" w:sz="0" w:space="0" w:color="auto"/>
        <w:bottom w:val="none" w:sz="0" w:space="0" w:color="auto"/>
        <w:right w:val="none" w:sz="0" w:space="0" w:color="auto"/>
      </w:divBdr>
    </w:div>
    <w:div w:id="2089381693">
      <w:bodyDiv w:val="1"/>
      <w:marLeft w:val="0"/>
      <w:marRight w:val="0"/>
      <w:marTop w:val="0"/>
      <w:marBottom w:val="0"/>
      <w:divBdr>
        <w:top w:val="none" w:sz="0" w:space="0" w:color="auto"/>
        <w:left w:val="none" w:sz="0" w:space="0" w:color="auto"/>
        <w:bottom w:val="none" w:sz="0" w:space="0" w:color="auto"/>
        <w:right w:val="none" w:sz="0" w:space="0" w:color="auto"/>
      </w:divBdr>
    </w:div>
    <w:div w:id="210445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9.xml"/><Relationship Id="rId39" Type="http://schemas.openxmlformats.org/officeDocument/2006/relationships/hyperlink" Target="https://cgc.gov.au/" TargetMode="Externa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header" Target="header12.xml"/><Relationship Id="rId47" Type="http://schemas.openxmlformats.org/officeDocument/2006/relationships/footer" Target="footer18.xml"/><Relationship Id="rId50"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footer" Target="footer13.xml"/><Relationship Id="rId38" Type="http://schemas.openxmlformats.org/officeDocument/2006/relationships/hyperlink" Target="https://cgc.gov.au/" TargetMode="External"/><Relationship Id="rId46"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cgc.gov.au/" TargetMode="External"/><Relationship Id="rId32" Type="http://schemas.openxmlformats.org/officeDocument/2006/relationships/footer" Target="footer12.xml"/><Relationship Id="rId37" Type="http://schemas.openxmlformats.org/officeDocument/2006/relationships/hyperlink" Target="https://cgc.gov.au/" TargetMode="External"/><Relationship Id="rId40" Type="http://schemas.openxmlformats.org/officeDocument/2006/relationships/header" Target="header11.xml"/><Relationship Id="rId45" Type="http://schemas.openxmlformats.org/officeDocument/2006/relationships/footer" Target="footer17.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yperlink" Target="https://cgc.gov.au/" TargetMode="External"/><Relationship Id="rId49" Type="http://schemas.openxmlformats.org/officeDocument/2006/relationships/footer" Target="footer1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0.xml"/><Relationship Id="rId44" Type="http://schemas.openxmlformats.org/officeDocument/2006/relationships/header" Target="header13.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hyperlink" Target="https://cgc.gov.au/" TargetMode="External"/><Relationship Id="rId43" Type="http://schemas.openxmlformats.org/officeDocument/2006/relationships/footer" Target="footer16.xml"/><Relationship Id="rId48" Type="http://schemas.openxmlformats.org/officeDocument/2006/relationships/header" Target="header15.xml"/><Relationship Id="rId8" Type="http://schemas.openxmlformats.org/officeDocument/2006/relationships/endnotes" Target="endnotes.xml"/><Relationship Id="rId51" Type="http://schemas.openxmlformats.org/officeDocument/2006/relationships/footer" Target="footer20.xml"/></Relationships>
</file>

<file path=word/_rels/footnotes.xml.rels><?xml version="1.0" encoding="UTF-8" standalone="yes"?>
<Relationships xmlns="http://schemas.openxmlformats.org/package/2006/relationships"><Relationship Id="rId3" Type="http://schemas.openxmlformats.org/officeDocument/2006/relationships/hyperlink" Target="https://cgc.gov.au/" TargetMode="External"/><Relationship Id="rId2" Type="http://schemas.openxmlformats.org/officeDocument/2006/relationships/hyperlink" Target="https://cgc.gov.au/" TargetMode="External"/><Relationship Id="rId1" Type="http://schemas.openxmlformats.org/officeDocument/2006/relationships/hyperlink" Target="http://caepr.anu.edu.au/Publications/census-papers/2013CP13.php" TargetMode="External"/><Relationship Id="rId6" Type="http://schemas.openxmlformats.org/officeDocument/2006/relationships/hyperlink" Target="https://cgc.gov.au/" TargetMode="External"/><Relationship Id="rId5" Type="http://schemas.openxmlformats.org/officeDocument/2006/relationships/hyperlink" Target="https://cgc.gov.au/" TargetMode="External"/><Relationship Id="rId4" Type="http://schemas.openxmlformats.org/officeDocument/2006/relationships/hyperlink" Target="https://cg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cna01\ODrive\Word%20Templates\Official%20Template\Document%20Templates\Agenda%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8E2F-2547-4D7B-BC02-EE3E04A6C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Paper.dotx</Template>
  <TotalTime>56</TotalTime>
  <Pages>115</Pages>
  <Words>31860</Words>
  <Characters>181604</Characters>
  <Application>Microsoft Office Word</Application>
  <DocSecurity>0</DocSecurity>
  <Lines>1513</Lines>
  <Paragraphs>426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cp:lastPrinted>2015-02-27T00:35:00Z</cp:lastPrinted>
  <dcterms:created xsi:type="dcterms:W3CDTF">2015-02-26T21:14:00Z</dcterms:created>
  <dcterms:modified xsi:type="dcterms:W3CDTF">2015-04-30T00:42:00Z</dcterms:modified>
</cp:coreProperties>
</file>