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E44" w:rsidRPr="00970E6D" w:rsidRDefault="007B2E44" w:rsidP="007B2E44">
      <w:pPr>
        <w:tabs>
          <w:tab w:val="clear" w:pos="567"/>
        </w:tabs>
        <w:jc w:val="center"/>
        <w:rPr>
          <w:b/>
          <w:bCs/>
        </w:rPr>
      </w:pPr>
      <w:bookmarkStart w:id="0" w:name="_GoBack"/>
      <w:bookmarkEnd w:id="0"/>
      <w:r w:rsidRPr="00970E6D">
        <w:rPr>
          <w:noProof/>
          <w:lang w:eastAsia="en-AU"/>
        </w:rPr>
        <w:drawing>
          <wp:inline distT="0" distB="0" distL="0" distR="0" wp14:anchorId="43161CCF" wp14:editId="425C17A0">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9"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rsidR="007B2E44" w:rsidRPr="00970E6D" w:rsidRDefault="007B2E44" w:rsidP="007B2E44">
      <w:pPr>
        <w:tabs>
          <w:tab w:val="clear" w:pos="567"/>
        </w:tabs>
        <w:jc w:val="center"/>
        <w:rPr>
          <w:b/>
          <w:sz w:val="40"/>
          <w:szCs w:val="40"/>
        </w:rPr>
      </w:pPr>
    </w:p>
    <w:p w:rsidR="007B2E44" w:rsidRPr="00970E6D" w:rsidRDefault="007B2E44" w:rsidP="007B2E44">
      <w:pPr>
        <w:tabs>
          <w:tab w:val="clear" w:pos="567"/>
        </w:tabs>
        <w:jc w:val="center"/>
        <w:rPr>
          <w:b/>
          <w:sz w:val="40"/>
          <w:szCs w:val="40"/>
        </w:rPr>
      </w:pPr>
    </w:p>
    <w:p w:rsidR="007B2E44" w:rsidRPr="00970E6D" w:rsidRDefault="007B2E44" w:rsidP="007B2E44">
      <w:pPr>
        <w:tabs>
          <w:tab w:val="clear" w:pos="567"/>
        </w:tabs>
        <w:jc w:val="center"/>
        <w:rPr>
          <w:b/>
          <w:sz w:val="40"/>
          <w:szCs w:val="40"/>
        </w:rPr>
      </w:pPr>
      <w:r w:rsidRPr="00970E6D">
        <w:rPr>
          <w:b/>
          <w:sz w:val="40"/>
          <w:szCs w:val="40"/>
        </w:rPr>
        <w:t>20</w:t>
      </w:r>
      <w:r>
        <w:rPr>
          <w:b/>
          <w:sz w:val="40"/>
          <w:szCs w:val="40"/>
        </w:rPr>
        <w:t>20</w:t>
      </w:r>
      <w:r w:rsidRPr="00970E6D">
        <w:rPr>
          <w:b/>
          <w:sz w:val="40"/>
          <w:szCs w:val="40"/>
        </w:rPr>
        <w:t xml:space="preserve"> REVIEW</w:t>
      </w:r>
    </w:p>
    <w:p w:rsidR="007B2E44" w:rsidRPr="00970E6D" w:rsidRDefault="007B2E44" w:rsidP="007B2E44">
      <w:pPr>
        <w:tabs>
          <w:tab w:val="clear" w:pos="567"/>
        </w:tabs>
        <w:jc w:val="center"/>
        <w:rPr>
          <w:b/>
          <w:sz w:val="40"/>
          <w:szCs w:val="40"/>
        </w:rPr>
      </w:pPr>
    </w:p>
    <w:p w:rsidR="007B2E44" w:rsidRPr="00970E6D" w:rsidRDefault="007B2E44" w:rsidP="007B2E44">
      <w:pPr>
        <w:tabs>
          <w:tab w:val="clear" w:pos="567"/>
        </w:tabs>
        <w:jc w:val="center"/>
        <w:rPr>
          <w:b/>
          <w:sz w:val="40"/>
          <w:szCs w:val="40"/>
        </w:rPr>
      </w:pPr>
    </w:p>
    <w:p w:rsidR="007B2E44" w:rsidRPr="00970E6D" w:rsidRDefault="007B2E44" w:rsidP="007B2E44">
      <w:pPr>
        <w:tabs>
          <w:tab w:val="clear" w:pos="567"/>
        </w:tabs>
        <w:jc w:val="center"/>
        <w:rPr>
          <w:b/>
          <w:sz w:val="40"/>
          <w:szCs w:val="40"/>
        </w:rPr>
      </w:pPr>
    </w:p>
    <w:p w:rsidR="007B2E44" w:rsidRPr="00970E6D" w:rsidRDefault="007B2E44" w:rsidP="007B2E44">
      <w:pPr>
        <w:tabs>
          <w:tab w:val="clear" w:pos="567"/>
        </w:tabs>
        <w:jc w:val="center"/>
        <w:rPr>
          <w:b/>
          <w:sz w:val="40"/>
          <w:szCs w:val="40"/>
        </w:rPr>
      </w:pPr>
    </w:p>
    <w:p w:rsidR="007B2E44" w:rsidRPr="00970E6D" w:rsidRDefault="00A0093F" w:rsidP="007B2E44">
      <w:pPr>
        <w:tabs>
          <w:tab w:val="clear" w:pos="567"/>
        </w:tabs>
        <w:jc w:val="center"/>
        <w:rPr>
          <w:bCs/>
          <w:sz w:val="40"/>
          <w:szCs w:val="40"/>
        </w:rPr>
      </w:pPr>
      <w:r>
        <w:rPr>
          <w:b/>
          <w:sz w:val="40"/>
          <w:szCs w:val="40"/>
        </w:rPr>
        <w:t>PAYROLL TAX</w:t>
      </w:r>
    </w:p>
    <w:p w:rsidR="007B2E44" w:rsidRPr="00970E6D" w:rsidRDefault="007B2E44" w:rsidP="007B2E44">
      <w:pPr>
        <w:tabs>
          <w:tab w:val="clear" w:pos="567"/>
        </w:tabs>
        <w:jc w:val="center"/>
        <w:rPr>
          <w:b/>
          <w:sz w:val="40"/>
          <w:szCs w:val="40"/>
        </w:rPr>
      </w:pPr>
    </w:p>
    <w:p w:rsidR="007B2E44" w:rsidRPr="00970E6D" w:rsidRDefault="007B2E44" w:rsidP="007B2E44">
      <w:pPr>
        <w:tabs>
          <w:tab w:val="clear" w:pos="567"/>
        </w:tabs>
        <w:jc w:val="center"/>
        <w:rPr>
          <w:b/>
          <w:sz w:val="40"/>
          <w:szCs w:val="40"/>
        </w:rPr>
      </w:pPr>
    </w:p>
    <w:p w:rsidR="007B2E44" w:rsidRPr="00970E6D" w:rsidRDefault="007B2E44" w:rsidP="007B2E44">
      <w:pPr>
        <w:tabs>
          <w:tab w:val="clear" w:pos="567"/>
        </w:tabs>
        <w:jc w:val="center"/>
        <w:rPr>
          <w:b/>
          <w:sz w:val="40"/>
          <w:szCs w:val="40"/>
        </w:rPr>
      </w:pPr>
    </w:p>
    <w:p w:rsidR="007B2E44" w:rsidRPr="00970E6D" w:rsidRDefault="007B2E44" w:rsidP="007B2E44">
      <w:pPr>
        <w:tabs>
          <w:tab w:val="clear" w:pos="567"/>
        </w:tabs>
        <w:jc w:val="center"/>
        <w:rPr>
          <w:b/>
          <w:sz w:val="40"/>
          <w:szCs w:val="40"/>
        </w:rPr>
      </w:pPr>
    </w:p>
    <w:p w:rsidR="007B2E44" w:rsidRPr="00970E6D" w:rsidRDefault="00747B6A" w:rsidP="007B2E44">
      <w:pPr>
        <w:tabs>
          <w:tab w:val="clear" w:pos="567"/>
        </w:tabs>
        <w:jc w:val="center"/>
        <w:rPr>
          <w:b/>
          <w:sz w:val="40"/>
          <w:szCs w:val="40"/>
        </w:rPr>
      </w:pPr>
      <w:r>
        <w:rPr>
          <w:b/>
          <w:sz w:val="40"/>
          <w:szCs w:val="40"/>
        </w:rPr>
        <w:t xml:space="preserve">STAFF </w:t>
      </w:r>
      <w:r w:rsidR="007B2E44">
        <w:rPr>
          <w:b/>
          <w:sz w:val="40"/>
          <w:szCs w:val="40"/>
        </w:rPr>
        <w:t>DRAFT ASSESSMENT PAPER</w:t>
      </w:r>
      <w:r w:rsidR="007B2E44">
        <w:rPr>
          <w:b/>
          <w:sz w:val="40"/>
          <w:szCs w:val="40"/>
        </w:rPr>
        <w:br/>
      </w:r>
      <w:proofErr w:type="spellStart"/>
      <w:r w:rsidR="007B2E44">
        <w:rPr>
          <w:b/>
          <w:sz w:val="40"/>
          <w:szCs w:val="40"/>
        </w:rPr>
        <w:t>CGC</w:t>
      </w:r>
      <w:proofErr w:type="spellEnd"/>
      <w:r w:rsidR="007B2E44">
        <w:rPr>
          <w:b/>
          <w:sz w:val="40"/>
          <w:szCs w:val="40"/>
        </w:rPr>
        <w:t xml:space="preserve"> 20</w:t>
      </w:r>
      <w:r w:rsidR="007B2E44" w:rsidRPr="00970E6D">
        <w:rPr>
          <w:b/>
          <w:sz w:val="40"/>
          <w:szCs w:val="40"/>
        </w:rPr>
        <w:t>1</w:t>
      </w:r>
      <w:r w:rsidR="007B2E44">
        <w:rPr>
          <w:b/>
          <w:sz w:val="40"/>
          <w:szCs w:val="40"/>
        </w:rPr>
        <w:t>8</w:t>
      </w:r>
      <w:r w:rsidR="007B2E44" w:rsidRPr="00970E6D">
        <w:rPr>
          <w:b/>
          <w:sz w:val="40"/>
          <w:szCs w:val="40"/>
        </w:rPr>
        <w:t>-</w:t>
      </w:r>
      <w:r w:rsidR="007B2E44">
        <w:rPr>
          <w:b/>
          <w:sz w:val="40"/>
          <w:szCs w:val="40"/>
        </w:rPr>
        <w:t>01/</w:t>
      </w:r>
      <w:r w:rsidR="00F43C99">
        <w:rPr>
          <w:b/>
          <w:sz w:val="40"/>
          <w:szCs w:val="40"/>
        </w:rPr>
        <w:t>02-S</w:t>
      </w:r>
    </w:p>
    <w:p w:rsidR="007B2E44" w:rsidRPr="00970E6D" w:rsidRDefault="007B2E44" w:rsidP="007B2E44">
      <w:pPr>
        <w:tabs>
          <w:tab w:val="clear" w:pos="567"/>
        </w:tabs>
        <w:jc w:val="center"/>
        <w:rPr>
          <w:b/>
          <w:sz w:val="40"/>
          <w:szCs w:val="40"/>
        </w:rPr>
      </w:pPr>
    </w:p>
    <w:p w:rsidR="007B2E44" w:rsidRPr="00970E6D" w:rsidRDefault="007B2E44" w:rsidP="007B2E44">
      <w:pPr>
        <w:tabs>
          <w:tab w:val="clear" w:pos="567"/>
        </w:tabs>
        <w:jc w:val="center"/>
        <w:rPr>
          <w:b/>
          <w:sz w:val="40"/>
          <w:szCs w:val="40"/>
        </w:rPr>
      </w:pPr>
    </w:p>
    <w:p w:rsidR="007B2E44" w:rsidRPr="00970E6D" w:rsidRDefault="007B2E44" w:rsidP="007B2E44">
      <w:pPr>
        <w:tabs>
          <w:tab w:val="clear" w:pos="567"/>
        </w:tabs>
        <w:jc w:val="center"/>
        <w:rPr>
          <w:b/>
          <w:sz w:val="40"/>
          <w:szCs w:val="40"/>
        </w:rPr>
      </w:pPr>
    </w:p>
    <w:p w:rsidR="007B2E44" w:rsidRPr="00970E6D" w:rsidRDefault="007B2E44" w:rsidP="007B2E44">
      <w:pPr>
        <w:tabs>
          <w:tab w:val="clear" w:pos="567"/>
        </w:tabs>
        <w:jc w:val="center"/>
        <w:rPr>
          <w:sz w:val="40"/>
          <w:szCs w:val="40"/>
        </w:rPr>
      </w:pPr>
    </w:p>
    <w:p w:rsidR="007B2E44" w:rsidRPr="00970E6D" w:rsidRDefault="007B2E44" w:rsidP="007B2E44">
      <w:pPr>
        <w:tabs>
          <w:tab w:val="clear" w:pos="567"/>
        </w:tabs>
        <w:jc w:val="right"/>
        <w:rPr>
          <w:b/>
          <w:sz w:val="28"/>
          <w:szCs w:val="28"/>
        </w:rPr>
      </w:pPr>
      <w:r>
        <w:rPr>
          <w:b/>
          <w:sz w:val="28"/>
          <w:szCs w:val="28"/>
        </w:rPr>
        <w:t>APRIL 2018</w:t>
      </w:r>
    </w:p>
    <w:p w:rsidR="007B2E44" w:rsidRPr="00970E6D" w:rsidRDefault="007B2E44" w:rsidP="007B2E44">
      <w:pPr>
        <w:tabs>
          <w:tab w:val="clear" w:pos="567"/>
        </w:tabs>
      </w:pPr>
    </w:p>
    <w:p w:rsidR="007B2E44" w:rsidRPr="00970E6D" w:rsidRDefault="007B2E44" w:rsidP="007B2E44">
      <w:pPr>
        <w:tabs>
          <w:tab w:val="clear" w:pos="567"/>
        </w:tabs>
        <w:sectPr w:rsidR="007B2E44" w:rsidRPr="00970E6D" w:rsidSect="00BE7A02">
          <w:footerReference w:type="default" r:id="rId10"/>
          <w:footerReference w:type="first" r:id="rId11"/>
          <w:pgSz w:w="11899" w:h="16838" w:code="9"/>
          <w:pgMar w:top="1701" w:right="1474" w:bottom="1701" w:left="1474" w:header="709" w:footer="709" w:gutter="0"/>
          <w:cols w:space="708"/>
          <w:titlePg/>
          <w:docGrid w:linePitch="299"/>
        </w:sectPr>
      </w:pPr>
    </w:p>
    <w:p w:rsidR="007B2E44" w:rsidRDefault="007B2E44" w:rsidP="007B2E44"/>
    <w:p w:rsidR="007B2E44" w:rsidRDefault="007B2E44" w:rsidP="007B2E44"/>
    <w:p w:rsidR="007B2E44" w:rsidRDefault="007B2E44" w:rsidP="007B2E44"/>
    <w:p w:rsidR="007B2E44" w:rsidRDefault="007B2E44" w:rsidP="007B2E44"/>
    <w:p w:rsidR="007B2E44" w:rsidRDefault="007B2E44" w:rsidP="007B2E44"/>
    <w:p w:rsidR="007B2E44" w:rsidRDefault="007B2E44" w:rsidP="007B2E44"/>
    <w:p w:rsidR="007B2E44" w:rsidRDefault="007B2E44" w:rsidP="007B2E44"/>
    <w:p w:rsidR="007B2E44" w:rsidRDefault="007B2E44" w:rsidP="007B2E44"/>
    <w:p w:rsidR="007B2E44" w:rsidRDefault="007B2E44" w:rsidP="007B2E44"/>
    <w:p w:rsidR="007B2E44" w:rsidRDefault="007B2E44" w:rsidP="007B2E44"/>
    <w:p w:rsidR="007B2E44" w:rsidRDefault="007B2E44" w:rsidP="007B2E44"/>
    <w:p w:rsidR="007B2E44" w:rsidRDefault="007B2E44" w:rsidP="007B2E44"/>
    <w:p w:rsidR="007B2E44" w:rsidRDefault="007B2E44" w:rsidP="007B2E44"/>
    <w:p w:rsidR="007B2E44" w:rsidRDefault="007B2E44" w:rsidP="007B2E44"/>
    <w:p w:rsidR="007B2E44" w:rsidRDefault="007B2E44" w:rsidP="007B2E44"/>
    <w:tbl>
      <w:tblPr>
        <w:tblStyle w:val="TableGrid"/>
        <w:tblW w:w="5000" w:type="pct"/>
        <w:tblLook w:val="04A0" w:firstRow="1" w:lastRow="0" w:firstColumn="1" w:lastColumn="0" w:noHBand="0" w:noVBand="1"/>
      </w:tblPr>
      <w:tblGrid>
        <w:gridCol w:w="2943"/>
        <w:gridCol w:w="6224"/>
      </w:tblGrid>
      <w:tr w:rsidR="007B2E44" w:rsidRPr="00970E6D" w:rsidTr="00B04027">
        <w:tc>
          <w:tcPr>
            <w:tcW w:w="1605" w:type="pct"/>
          </w:tcPr>
          <w:p w:rsidR="007B2E44" w:rsidRPr="00970E6D" w:rsidRDefault="007B2E44" w:rsidP="00B04027">
            <w:pPr>
              <w:tabs>
                <w:tab w:val="clear" w:pos="567"/>
              </w:tabs>
            </w:pPr>
            <w:r w:rsidRPr="00970E6D">
              <w:t>Paper issued</w:t>
            </w:r>
          </w:p>
        </w:tc>
        <w:tc>
          <w:tcPr>
            <w:tcW w:w="3395" w:type="pct"/>
          </w:tcPr>
          <w:p w:rsidR="007B2E44" w:rsidRPr="00970E6D" w:rsidRDefault="00747B6A" w:rsidP="00B04027">
            <w:pPr>
              <w:tabs>
                <w:tab w:val="clear" w:pos="567"/>
              </w:tabs>
            </w:pPr>
            <w:r>
              <w:t>20</w:t>
            </w:r>
            <w:r w:rsidR="007B2E44" w:rsidRPr="00970E6D">
              <w:t xml:space="preserve"> </w:t>
            </w:r>
            <w:r w:rsidR="007B2E44">
              <w:t>April</w:t>
            </w:r>
            <w:r w:rsidR="007B2E44" w:rsidRPr="00970E6D">
              <w:t xml:space="preserve"> 20</w:t>
            </w:r>
            <w:r w:rsidR="007B2E44">
              <w:t>18</w:t>
            </w:r>
          </w:p>
        </w:tc>
      </w:tr>
      <w:tr w:rsidR="007B2E44" w:rsidRPr="00970E6D" w:rsidTr="00B04027">
        <w:tc>
          <w:tcPr>
            <w:tcW w:w="1605" w:type="pct"/>
          </w:tcPr>
          <w:p w:rsidR="007B2E44" w:rsidRPr="00970E6D" w:rsidRDefault="007B2E44" w:rsidP="00B04027">
            <w:pPr>
              <w:tabs>
                <w:tab w:val="clear" w:pos="567"/>
              </w:tabs>
            </w:pPr>
            <w:r w:rsidRPr="00970E6D">
              <w:t>Commission contact officer</w:t>
            </w:r>
          </w:p>
        </w:tc>
        <w:tc>
          <w:tcPr>
            <w:tcW w:w="3395" w:type="pct"/>
          </w:tcPr>
          <w:p w:rsidR="007B2E44" w:rsidRPr="00970E6D" w:rsidRDefault="007B2E44" w:rsidP="007B2E44">
            <w:pPr>
              <w:tabs>
                <w:tab w:val="clear" w:pos="567"/>
              </w:tabs>
            </w:pPr>
            <w:r>
              <w:t xml:space="preserve">Morgan Moa, 6229 8826, </w:t>
            </w:r>
            <w:hyperlink r:id="rId12" w:history="1">
              <w:r w:rsidRPr="005C34B1">
                <w:rPr>
                  <w:rStyle w:val="Hyperlink"/>
                </w:rPr>
                <w:t>morgan.moa@cgc.gov.au</w:t>
              </w:r>
            </w:hyperlink>
            <w:r>
              <w:t xml:space="preserve"> </w:t>
            </w:r>
          </w:p>
        </w:tc>
      </w:tr>
      <w:tr w:rsidR="007B2E44" w:rsidRPr="00970E6D" w:rsidTr="00B04027">
        <w:tc>
          <w:tcPr>
            <w:tcW w:w="1605" w:type="pct"/>
          </w:tcPr>
          <w:p w:rsidR="007B2E44" w:rsidRPr="00970E6D" w:rsidRDefault="007B2E44" w:rsidP="00B04027">
            <w:pPr>
              <w:tabs>
                <w:tab w:val="clear" w:pos="567"/>
              </w:tabs>
            </w:pPr>
            <w:r w:rsidRPr="00970E6D">
              <w:t>Submissions sought by</w:t>
            </w:r>
          </w:p>
        </w:tc>
        <w:tc>
          <w:tcPr>
            <w:tcW w:w="3395" w:type="pct"/>
          </w:tcPr>
          <w:p w:rsidR="00747B6A" w:rsidRDefault="00747B6A" w:rsidP="00B04027">
            <w:pPr>
              <w:tabs>
                <w:tab w:val="clear" w:pos="567"/>
              </w:tabs>
            </w:pPr>
            <w:r>
              <w:t xml:space="preserve">31 August 2018 </w:t>
            </w:r>
          </w:p>
          <w:p w:rsidR="007B2E44" w:rsidRPr="00970E6D" w:rsidRDefault="007B2E44" w:rsidP="00B04027">
            <w:pPr>
              <w:tabs>
                <w:tab w:val="clear" w:pos="567"/>
              </w:tabs>
            </w:pPr>
            <w:r w:rsidRPr="00970E6D">
              <w:t xml:space="preserve">Submissions should be emailed in Word format to </w:t>
            </w:r>
            <w:hyperlink r:id="rId13" w:history="1">
              <w:r w:rsidRPr="00970E6D">
                <w:rPr>
                  <w:rStyle w:val="Hyperlink"/>
                </w:rPr>
                <w:t>secretary@cgc.gov.au</w:t>
              </w:r>
            </w:hyperlink>
            <w:r w:rsidRPr="00970E6D">
              <w:t xml:space="preserve"> .</w:t>
            </w:r>
          </w:p>
          <w:p w:rsidR="007B2E44" w:rsidRPr="00970E6D" w:rsidRDefault="007B2E44" w:rsidP="00B04027">
            <w:pPr>
              <w:tabs>
                <w:tab w:val="clear" w:pos="567"/>
              </w:tabs>
            </w:pPr>
            <w:r w:rsidRPr="00970E6D">
              <w:t xml:space="preserve">Submissions of more than </w:t>
            </w:r>
            <w:r>
              <w:t>10</w:t>
            </w:r>
            <w:r w:rsidRPr="00970E6D">
              <w:t xml:space="preserve"> pages in length should include a summary section.</w:t>
            </w:r>
          </w:p>
        </w:tc>
      </w:tr>
      <w:tr w:rsidR="007B2E44" w:rsidRPr="00970E6D" w:rsidTr="00B04027">
        <w:tblPrEx>
          <w:tblLook w:val="01E0" w:firstRow="1" w:lastRow="1" w:firstColumn="1" w:lastColumn="1" w:noHBand="0" w:noVBand="0"/>
        </w:tblPrEx>
        <w:tc>
          <w:tcPr>
            <w:tcW w:w="1605" w:type="pct"/>
            <w:tcBorders>
              <w:top w:val="single" w:sz="4" w:space="0" w:color="auto"/>
              <w:left w:val="single" w:sz="4" w:space="0" w:color="auto"/>
              <w:bottom w:val="single" w:sz="4" w:space="0" w:color="auto"/>
              <w:right w:val="single" w:sz="4" w:space="0" w:color="auto"/>
            </w:tcBorders>
          </w:tcPr>
          <w:p w:rsidR="007B2E44" w:rsidRPr="00970E6D" w:rsidRDefault="007B2E44" w:rsidP="00B04027">
            <w:pPr>
              <w:tabs>
                <w:tab w:val="clear" w:pos="567"/>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rsidR="007B2E44" w:rsidRPr="00CF1294" w:rsidRDefault="007B2E44" w:rsidP="00B04027">
            <w:pPr>
              <w:tabs>
                <w:tab w:val="clear" w:pos="567"/>
              </w:tabs>
            </w:pPr>
            <w:r w:rsidRPr="00CF1294">
              <w:t xml:space="preserve">It is the </w:t>
            </w:r>
            <w:r w:rsidR="00F3575D">
              <w:t>C</w:t>
            </w:r>
            <w:r w:rsidRPr="00CF1294">
              <w:t xml:space="preserve">ommission’s normal practice to make State submissions available on its website under the CC BY licence, allowing free use of content by third parties. </w:t>
            </w:r>
          </w:p>
          <w:p w:rsidR="007B2E44" w:rsidRPr="00CF1294" w:rsidRDefault="007B2E44" w:rsidP="00B04027">
            <w:pPr>
              <w:tabs>
                <w:tab w:val="clear" w:pos="567"/>
              </w:tabs>
            </w:pPr>
            <w:r w:rsidRPr="00CF1294">
              <w:rPr>
                <w:noProof/>
                <w:lang w:eastAsia="en-AU"/>
              </w:rPr>
              <w:drawing>
                <wp:inline distT="0" distB="0" distL="0" distR="0" wp14:anchorId="6474274D" wp14:editId="5714AAE9">
                  <wp:extent cx="828675" cy="295275"/>
                  <wp:effectExtent l="19050" t="0" r="9525" b="0"/>
                  <wp:docPr id="3"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4"/>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rsidR="007B2E44" w:rsidRPr="00CF1294" w:rsidRDefault="007B2E44" w:rsidP="00B04027">
            <w:pPr>
              <w:tabs>
                <w:tab w:val="clear" w:pos="567"/>
              </w:tabs>
            </w:pPr>
            <w:r w:rsidRPr="00CF1294">
              <w:t xml:space="preserve">Further information on the CC BY licence can be found </w:t>
            </w:r>
            <w:r w:rsidRPr="00EC79CF">
              <w:t xml:space="preserve">on the </w:t>
            </w:r>
            <w:hyperlink r:id="rId15" w:history="1">
              <w:r w:rsidRPr="00841145">
                <w:rPr>
                  <w:rStyle w:val="Hyperlink"/>
                </w:rPr>
                <w:t>Creative Commons website</w:t>
              </w:r>
            </w:hyperlink>
            <w:r w:rsidRPr="00EC79CF">
              <w:t xml:space="preserve"> </w:t>
            </w:r>
            <w:r>
              <w:t>(</w:t>
            </w:r>
            <w:r w:rsidRPr="00841145">
              <w:t>http://creativecommons.org</w:t>
            </w:r>
            <w:r>
              <w:t>).</w:t>
            </w:r>
            <w:r w:rsidRPr="00CF1294">
              <w:t xml:space="preserve"> </w:t>
            </w:r>
          </w:p>
          <w:p w:rsidR="007B2E44" w:rsidRPr="00970E6D" w:rsidRDefault="007B2E44" w:rsidP="00B40ECB">
            <w:pPr>
              <w:tabs>
                <w:tab w:val="clear" w:pos="567"/>
              </w:tabs>
            </w:pPr>
            <w:r w:rsidRPr="00CF1294">
              <w:t xml:space="preserve">Confidential material contained in submissions must be clearly identified or included in separate attachment/s, and details provided in the covering email. Identified confidential material will not be published on the </w:t>
            </w:r>
            <w:r w:rsidR="00B40ECB">
              <w:t>C</w:t>
            </w:r>
            <w:r w:rsidRPr="00CF1294">
              <w:t>ommission’s website.</w:t>
            </w:r>
          </w:p>
        </w:tc>
      </w:tr>
    </w:tbl>
    <w:p w:rsidR="00882C88" w:rsidRDefault="00882C88" w:rsidP="00EE6084">
      <w:pPr>
        <w:tabs>
          <w:tab w:val="clear" w:pos="567"/>
        </w:tabs>
      </w:pPr>
    </w:p>
    <w:p w:rsidR="009B678B" w:rsidRDefault="009B678B" w:rsidP="00EE6084">
      <w:pPr>
        <w:tabs>
          <w:tab w:val="clear" w:pos="567"/>
        </w:tabs>
        <w:rPr>
          <w:bCs/>
        </w:rPr>
      </w:pPr>
    </w:p>
    <w:p w:rsidR="00882C88" w:rsidRPr="00970E6D" w:rsidRDefault="00882C88" w:rsidP="00882C88">
      <w:pPr>
        <w:tabs>
          <w:tab w:val="clear" w:pos="567"/>
        </w:tabs>
        <w:sectPr w:rsidR="00882C88" w:rsidRPr="00970E6D" w:rsidSect="00BE7A02">
          <w:footerReference w:type="default" r:id="rId16"/>
          <w:footerReference w:type="first" r:id="rId17"/>
          <w:pgSz w:w="11899" w:h="16838" w:code="9"/>
          <w:pgMar w:top="1701" w:right="1474" w:bottom="1701" w:left="1474" w:header="709" w:footer="709" w:gutter="0"/>
          <w:cols w:space="708"/>
          <w:titlePg/>
          <w:docGrid w:linePitch="299"/>
        </w:sectPr>
      </w:pPr>
    </w:p>
    <w:p w:rsidR="007B2E44" w:rsidRDefault="007B2E44" w:rsidP="007B2E44">
      <w:pPr>
        <w:pStyle w:val="Heading1"/>
      </w:pPr>
      <w:r>
        <w:lastRenderedPageBreak/>
        <w:t>Contents</w:t>
      </w:r>
    </w:p>
    <w:p w:rsidR="007B2E44" w:rsidRDefault="007B2E44" w:rsidP="007B2E44"/>
    <w:p w:rsidR="00747B6A" w:rsidRDefault="007B2E44">
      <w:pPr>
        <w:pStyle w:val="TOC1"/>
        <w:rPr>
          <w:rFonts w:eastAsiaTheme="minorEastAsia"/>
          <w:b w:val="0"/>
          <w:bCs w:val="0"/>
          <w:caps w:val="0"/>
          <w:noProof/>
          <w:sz w:val="22"/>
          <w:szCs w:val="22"/>
          <w:lang w:eastAsia="en-AU"/>
        </w:rPr>
      </w:pPr>
      <w:r>
        <w:fldChar w:fldCharType="begin"/>
      </w:r>
      <w:r>
        <w:instrText xml:space="preserve"> TOC \f \h \z \u \t "Heading 2,1,Heading 3,1,Heading 4,3" </w:instrText>
      </w:r>
      <w:r>
        <w:fldChar w:fldCharType="separate"/>
      </w:r>
      <w:hyperlink w:anchor="_Toc511636219" w:history="1">
        <w:r w:rsidR="00747B6A" w:rsidRPr="00AC767E">
          <w:rPr>
            <w:rStyle w:val="Hyperlink"/>
            <w:noProof/>
          </w:rPr>
          <w:t>2015 Review approach</w:t>
        </w:r>
        <w:r w:rsidR="00747B6A">
          <w:rPr>
            <w:noProof/>
            <w:webHidden/>
          </w:rPr>
          <w:tab/>
        </w:r>
        <w:r w:rsidR="00747B6A">
          <w:rPr>
            <w:noProof/>
            <w:webHidden/>
          </w:rPr>
          <w:fldChar w:fldCharType="begin"/>
        </w:r>
        <w:r w:rsidR="00747B6A">
          <w:rPr>
            <w:noProof/>
            <w:webHidden/>
          </w:rPr>
          <w:instrText xml:space="preserve"> PAGEREF _Toc511636219 \h </w:instrText>
        </w:r>
        <w:r w:rsidR="00747B6A">
          <w:rPr>
            <w:noProof/>
            <w:webHidden/>
          </w:rPr>
        </w:r>
        <w:r w:rsidR="00747B6A">
          <w:rPr>
            <w:noProof/>
            <w:webHidden/>
          </w:rPr>
          <w:fldChar w:fldCharType="separate"/>
        </w:r>
        <w:r w:rsidR="00747B6A">
          <w:rPr>
            <w:noProof/>
            <w:webHidden/>
          </w:rPr>
          <w:t>1</w:t>
        </w:r>
        <w:r w:rsidR="00747B6A">
          <w:rPr>
            <w:noProof/>
            <w:webHidden/>
          </w:rPr>
          <w:fldChar w:fldCharType="end"/>
        </w:r>
      </w:hyperlink>
    </w:p>
    <w:p w:rsidR="00747B6A" w:rsidRDefault="0021123F">
      <w:pPr>
        <w:pStyle w:val="TOC3"/>
        <w:rPr>
          <w:rFonts w:eastAsiaTheme="minorEastAsia"/>
          <w:iCs w:val="0"/>
          <w:caps w:val="0"/>
          <w:noProof/>
          <w:sz w:val="22"/>
          <w:lang w:eastAsia="en-AU"/>
        </w:rPr>
      </w:pPr>
      <w:hyperlink w:anchor="_Toc511636220" w:history="1">
        <w:r w:rsidR="00747B6A" w:rsidRPr="00AC767E">
          <w:rPr>
            <w:rStyle w:val="Hyperlink"/>
            <w:caps w:val="0"/>
            <w:noProof/>
          </w:rPr>
          <w:t>How was revenue capacity assessed?</w:t>
        </w:r>
        <w:r w:rsidR="00747B6A">
          <w:rPr>
            <w:noProof/>
            <w:webHidden/>
          </w:rPr>
          <w:tab/>
        </w:r>
        <w:r w:rsidR="00747B6A">
          <w:rPr>
            <w:noProof/>
            <w:webHidden/>
          </w:rPr>
          <w:fldChar w:fldCharType="begin"/>
        </w:r>
        <w:r w:rsidR="00747B6A">
          <w:rPr>
            <w:noProof/>
            <w:webHidden/>
          </w:rPr>
          <w:instrText xml:space="preserve"> PAGEREF _Toc511636220 \h </w:instrText>
        </w:r>
        <w:r w:rsidR="00747B6A">
          <w:rPr>
            <w:noProof/>
            <w:webHidden/>
          </w:rPr>
        </w:r>
        <w:r w:rsidR="00747B6A">
          <w:rPr>
            <w:noProof/>
            <w:webHidden/>
          </w:rPr>
          <w:fldChar w:fldCharType="separate"/>
        </w:r>
        <w:r w:rsidR="00747B6A">
          <w:rPr>
            <w:noProof/>
            <w:webHidden/>
          </w:rPr>
          <w:t>1</w:t>
        </w:r>
        <w:r w:rsidR="00747B6A">
          <w:rPr>
            <w:noProof/>
            <w:webHidden/>
          </w:rPr>
          <w:fldChar w:fldCharType="end"/>
        </w:r>
      </w:hyperlink>
    </w:p>
    <w:p w:rsidR="00747B6A" w:rsidRDefault="0021123F">
      <w:pPr>
        <w:pStyle w:val="TOC3"/>
        <w:rPr>
          <w:rFonts w:eastAsiaTheme="minorEastAsia"/>
          <w:iCs w:val="0"/>
          <w:caps w:val="0"/>
          <w:noProof/>
          <w:sz w:val="22"/>
          <w:lang w:eastAsia="en-AU"/>
        </w:rPr>
      </w:pPr>
      <w:hyperlink w:anchor="_Toc511636221" w:history="1">
        <w:r w:rsidR="00747B6A" w:rsidRPr="00AC767E">
          <w:rPr>
            <w:rStyle w:val="Hyperlink"/>
            <w:caps w:val="0"/>
            <w:noProof/>
          </w:rPr>
          <w:t>G</w:t>
        </w:r>
        <w:r w:rsidR="00747B6A">
          <w:rPr>
            <w:rStyle w:val="Hyperlink"/>
            <w:caps w:val="0"/>
            <w:noProof/>
          </w:rPr>
          <w:t>ST</w:t>
        </w:r>
        <w:r w:rsidR="00747B6A" w:rsidRPr="00AC767E">
          <w:rPr>
            <w:rStyle w:val="Hyperlink"/>
            <w:caps w:val="0"/>
            <w:noProof/>
          </w:rPr>
          <w:t xml:space="preserve"> redistribution</w:t>
        </w:r>
        <w:r w:rsidR="00747B6A">
          <w:rPr>
            <w:noProof/>
            <w:webHidden/>
          </w:rPr>
          <w:tab/>
        </w:r>
        <w:r w:rsidR="00747B6A">
          <w:rPr>
            <w:noProof/>
            <w:webHidden/>
          </w:rPr>
          <w:fldChar w:fldCharType="begin"/>
        </w:r>
        <w:r w:rsidR="00747B6A">
          <w:rPr>
            <w:noProof/>
            <w:webHidden/>
          </w:rPr>
          <w:instrText xml:space="preserve"> PAGEREF _Toc511636221 \h </w:instrText>
        </w:r>
        <w:r w:rsidR="00747B6A">
          <w:rPr>
            <w:noProof/>
            <w:webHidden/>
          </w:rPr>
        </w:r>
        <w:r w:rsidR="00747B6A">
          <w:rPr>
            <w:noProof/>
            <w:webHidden/>
          </w:rPr>
          <w:fldChar w:fldCharType="separate"/>
        </w:r>
        <w:r w:rsidR="00747B6A">
          <w:rPr>
            <w:noProof/>
            <w:webHidden/>
          </w:rPr>
          <w:t>3</w:t>
        </w:r>
        <w:r w:rsidR="00747B6A">
          <w:rPr>
            <w:noProof/>
            <w:webHidden/>
          </w:rPr>
          <w:fldChar w:fldCharType="end"/>
        </w:r>
      </w:hyperlink>
    </w:p>
    <w:p w:rsidR="00747B6A" w:rsidRDefault="0021123F">
      <w:pPr>
        <w:pStyle w:val="TOC1"/>
        <w:rPr>
          <w:rFonts w:eastAsiaTheme="minorEastAsia"/>
          <w:b w:val="0"/>
          <w:bCs w:val="0"/>
          <w:caps w:val="0"/>
          <w:noProof/>
          <w:sz w:val="22"/>
          <w:szCs w:val="22"/>
          <w:lang w:eastAsia="en-AU"/>
        </w:rPr>
      </w:pPr>
      <w:hyperlink w:anchor="_Toc511636222" w:history="1">
        <w:r w:rsidR="00747B6A" w:rsidRPr="00AC767E">
          <w:rPr>
            <w:rStyle w:val="Hyperlink"/>
            <w:noProof/>
          </w:rPr>
          <w:t>Issues and analysis</w:t>
        </w:r>
        <w:r w:rsidR="00747B6A">
          <w:rPr>
            <w:noProof/>
            <w:webHidden/>
          </w:rPr>
          <w:tab/>
        </w:r>
        <w:r w:rsidR="00747B6A">
          <w:rPr>
            <w:noProof/>
            <w:webHidden/>
          </w:rPr>
          <w:fldChar w:fldCharType="begin"/>
        </w:r>
        <w:r w:rsidR="00747B6A">
          <w:rPr>
            <w:noProof/>
            <w:webHidden/>
          </w:rPr>
          <w:instrText xml:space="preserve"> PAGEREF _Toc511636222 \h </w:instrText>
        </w:r>
        <w:r w:rsidR="00747B6A">
          <w:rPr>
            <w:noProof/>
            <w:webHidden/>
          </w:rPr>
        </w:r>
        <w:r w:rsidR="00747B6A">
          <w:rPr>
            <w:noProof/>
            <w:webHidden/>
          </w:rPr>
          <w:fldChar w:fldCharType="separate"/>
        </w:r>
        <w:r w:rsidR="00747B6A">
          <w:rPr>
            <w:noProof/>
            <w:webHidden/>
          </w:rPr>
          <w:t>4</w:t>
        </w:r>
        <w:r w:rsidR="00747B6A">
          <w:rPr>
            <w:noProof/>
            <w:webHidden/>
          </w:rPr>
          <w:fldChar w:fldCharType="end"/>
        </w:r>
      </w:hyperlink>
    </w:p>
    <w:p w:rsidR="00747B6A" w:rsidRDefault="0021123F">
      <w:pPr>
        <w:pStyle w:val="TOC3"/>
        <w:rPr>
          <w:rFonts w:eastAsiaTheme="minorEastAsia"/>
          <w:iCs w:val="0"/>
          <w:caps w:val="0"/>
          <w:noProof/>
          <w:sz w:val="22"/>
          <w:lang w:eastAsia="en-AU"/>
        </w:rPr>
      </w:pPr>
      <w:hyperlink w:anchor="_Toc511636223" w:history="1">
        <w:r w:rsidR="00747B6A" w:rsidRPr="00AC767E">
          <w:rPr>
            <w:rStyle w:val="Hyperlink"/>
            <w:caps w:val="0"/>
            <w:noProof/>
          </w:rPr>
          <w:t>Recommendations</w:t>
        </w:r>
        <w:r w:rsidR="00747B6A">
          <w:rPr>
            <w:noProof/>
            <w:webHidden/>
          </w:rPr>
          <w:tab/>
        </w:r>
        <w:r w:rsidR="00747B6A">
          <w:rPr>
            <w:noProof/>
            <w:webHidden/>
          </w:rPr>
          <w:fldChar w:fldCharType="begin"/>
        </w:r>
        <w:r w:rsidR="00747B6A">
          <w:rPr>
            <w:noProof/>
            <w:webHidden/>
          </w:rPr>
          <w:instrText xml:space="preserve"> PAGEREF _Toc511636223 \h </w:instrText>
        </w:r>
        <w:r w:rsidR="00747B6A">
          <w:rPr>
            <w:noProof/>
            <w:webHidden/>
          </w:rPr>
        </w:r>
        <w:r w:rsidR="00747B6A">
          <w:rPr>
            <w:noProof/>
            <w:webHidden/>
          </w:rPr>
          <w:fldChar w:fldCharType="separate"/>
        </w:r>
        <w:r w:rsidR="00747B6A">
          <w:rPr>
            <w:noProof/>
            <w:webHidden/>
          </w:rPr>
          <w:t>4</w:t>
        </w:r>
        <w:r w:rsidR="00747B6A">
          <w:rPr>
            <w:noProof/>
            <w:webHidden/>
          </w:rPr>
          <w:fldChar w:fldCharType="end"/>
        </w:r>
      </w:hyperlink>
    </w:p>
    <w:p w:rsidR="00747B6A" w:rsidRDefault="0021123F">
      <w:pPr>
        <w:pStyle w:val="TOC3"/>
        <w:rPr>
          <w:rFonts w:eastAsiaTheme="minorEastAsia"/>
          <w:iCs w:val="0"/>
          <w:caps w:val="0"/>
          <w:noProof/>
          <w:sz w:val="22"/>
          <w:lang w:eastAsia="en-AU"/>
        </w:rPr>
      </w:pPr>
      <w:hyperlink w:anchor="_Toc511636224" w:history="1">
        <w:r w:rsidR="00747B6A" w:rsidRPr="00AC767E">
          <w:rPr>
            <w:rStyle w:val="Hyperlink"/>
            <w:caps w:val="0"/>
            <w:noProof/>
          </w:rPr>
          <w:t>Other issues considered</w:t>
        </w:r>
        <w:r w:rsidR="00747B6A">
          <w:rPr>
            <w:noProof/>
            <w:webHidden/>
          </w:rPr>
          <w:tab/>
        </w:r>
        <w:r w:rsidR="00747B6A">
          <w:rPr>
            <w:noProof/>
            <w:webHidden/>
          </w:rPr>
          <w:fldChar w:fldCharType="begin"/>
        </w:r>
        <w:r w:rsidR="00747B6A">
          <w:rPr>
            <w:noProof/>
            <w:webHidden/>
          </w:rPr>
          <w:instrText xml:space="preserve"> PAGEREF _Toc511636224 \h </w:instrText>
        </w:r>
        <w:r w:rsidR="00747B6A">
          <w:rPr>
            <w:noProof/>
            <w:webHidden/>
          </w:rPr>
        </w:r>
        <w:r w:rsidR="00747B6A">
          <w:rPr>
            <w:noProof/>
            <w:webHidden/>
          </w:rPr>
          <w:fldChar w:fldCharType="separate"/>
        </w:r>
        <w:r w:rsidR="00747B6A">
          <w:rPr>
            <w:noProof/>
            <w:webHidden/>
          </w:rPr>
          <w:t>4</w:t>
        </w:r>
        <w:r w:rsidR="00747B6A">
          <w:rPr>
            <w:noProof/>
            <w:webHidden/>
          </w:rPr>
          <w:fldChar w:fldCharType="end"/>
        </w:r>
      </w:hyperlink>
    </w:p>
    <w:p w:rsidR="00747B6A" w:rsidRDefault="0021123F">
      <w:pPr>
        <w:pStyle w:val="TOC1"/>
        <w:rPr>
          <w:rFonts w:eastAsiaTheme="minorEastAsia"/>
          <w:b w:val="0"/>
          <w:bCs w:val="0"/>
          <w:caps w:val="0"/>
          <w:noProof/>
          <w:sz w:val="22"/>
          <w:szCs w:val="22"/>
          <w:lang w:eastAsia="en-AU"/>
        </w:rPr>
      </w:pPr>
      <w:hyperlink w:anchor="_Toc511636225" w:history="1">
        <w:r w:rsidR="00747B6A" w:rsidRPr="00AC767E">
          <w:rPr>
            <w:rStyle w:val="Hyperlink"/>
            <w:noProof/>
          </w:rPr>
          <w:t>Conclusion and way forward</w:t>
        </w:r>
        <w:r w:rsidR="00747B6A">
          <w:rPr>
            <w:noProof/>
            <w:webHidden/>
          </w:rPr>
          <w:tab/>
        </w:r>
        <w:r w:rsidR="00747B6A">
          <w:rPr>
            <w:noProof/>
            <w:webHidden/>
          </w:rPr>
          <w:fldChar w:fldCharType="begin"/>
        </w:r>
        <w:r w:rsidR="00747B6A">
          <w:rPr>
            <w:noProof/>
            <w:webHidden/>
          </w:rPr>
          <w:instrText xml:space="preserve"> PAGEREF _Toc511636225 \h </w:instrText>
        </w:r>
        <w:r w:rsidR="00747B6A">
          <w:rPr>
            <w:noProof/>
            <w:webHidden/>
          </w:rPr>
        </w:r>
        <w:r w:rsidR="00747B6A">
          <w:rPr>
            <w:noProof/>
            <w:webHidden/>
          </w:rPr>
          <w:fldChar w:fldCharType="separate"/>
        </w:r>
        <w:r w:rsidR="00747B6A">
          <w:rPr>
            <w:noProof/>
            <w:webHidden/>
          </w:rPr>
          <w:t>5</w:t>
        </w:r>
        <w:r w:rsidR="00747B6A">
          <w:rPr>
            <w:noProof/>
            <w:webHidden/>
          </w:rPr>
          <w:fldChar w:fldCharType="end"/>
        </w:r>
      </w:hyperlink>
    </w:p>
    <w:p w:rsidR="00747B6A" w:rsidRDefault="0021123F">
      <w:pPr>
        <w:pStyle w:val="TOC3"/>
        <w:rPr>
          <w:rFonts w:eastAsiaTheme="minorEastAsia"/>
          <w:iCs w:val="0"/>
          <w:caps w:val="0"/>
          <w:noProof/>
          <w:sz w:val="22"/>
          <w:lang w:eastAsia="en-AU"/>
        </w:rPr>
      </w:pPr>
      <w:hyperlink w:anchor="_Toc511636226" w:history="1">
        <w:r w:rsidR="00747B6A" w:rsidRPr="00AC767E">
          <w:rPr>
            <w:rStyle w:val="Hyperlink"/>
            <w:caps w:val="0"/>
            <w:noProof/>
          </w:rPr>
          <w:t>Proposed assessment structure</w:t>
        </w:r>
        <w:r w:rsidR="00747B6A">
          <w:rPr>
            <w:noProof/>
            <w:webHidden/>
          </w:rPr>
          <w:tab/>
        </w:r>
        <w:r w:rsidR="00747B6A">
          <w:rPr>
            <w:noProof/>
            <w:webHidden/>
          </w:rPr>
          <w:fldChar w:fldCharType="begin"/>
        </w:r>
        <w:r w:rsidR="00747B6A">
          <w:rPr>
            <w:noProof/>
            <w:webHidden/>
          </w:rPr>
          <w:instrText xml:space="preserve"> PAGEREF _Toc511636226 \h </w:instrText>
        </w:r>
        <w:r w:rsidR="00747B6A">
          <w:rPr>
            <w:noProof/>
            <w:webHidden/>
          </w:rPr>
        </w:r>
        <w:r w:rsidR="00747B6A">
          <w:rPr>
            <w:noProof/>
            <w:webHidden/>
          </w:rPr>
          <w:fldChar w:fldCharType="separate"/>
        </w:r>
        <w:r w:rsidR="00747B6A">
          <w:rPr>
            <w:noProof/>
            <w:webHidden/>
          </w:rPr>
          <w:t>5</w:t>
        </w:r>
        <w:r w:rsidR="00747B6A">
          <w:rPr>
            <w:noProof/>
            <w:webHidden/>
          </w:rPr>
          <w:fldChar w:fldCharType="end"/>
        </w:r>
      </w:hyperlink>
    </w:p>
    <w:p w:rsidR="007B2E44" w:rsidRDefault="007B2E44" w:rsidP="007B2E44">
      <w:r>
        <w:fldChar w:fldCharType="end"/>
      </w:r>
    </w:p>
    <w:p w:rsidR="007B2E44" w:rsidRDefault="007B2E44" w:rsidP="007B2E44"/>
    <w:p w:rsidR="007B2E44" w:rsidRDefault="007B2E44" w:rsidP="007B2E44"/>
    <w:p w:rsidR="007B2E44" w:rsidRDefault="007B2E44" w:rsidP="007B2E44">
      <w:pPr>
        <w:sectPr w:rsidR="007B2E44" w:rsidSect="0004123E">
          <w:footerReference w:type="default" r:id="rId18"/>
          <w:footerReference w:type="first" r:id="rId19"/>
          <w:pgSz w:w="11899" w:h="16838" w:code="9"/>
          <w:pgMar w:top="1701" w:right="1474" w:bottom="1701" w:left="1474" w:header="709" w:footer="709" w:gutter="0"/>
          <w:cols w:space="708"/>
          <w:titlePg/>
          <w:docGrid w:linePitch="299"/>
        </w:sectPr>
      </w:pPr>
    </w:p>
    <w:p w:rsidR="00DC0F02" w:rsidRDefault="00DB351F" w:rsidP="001850FF">
      <w:pPr>
        <w:pStyle w:val="Heading2"/>
      </w:pPr>
      <w:bookmarkStart w:id="1" w:name="_Toc511636218"/>
      <w:r>
        <w:lastRenderedPageBreak/>
        <w:t>P</w:t>
      </w:r>
      <w:r w:rsidR="00B944CC">
        <w:t>A</w:t>
      </w:r>
      <w:r>
        <w:t>YROLL</w:t>
      </w:r>
      <w:r w:rsidR="00E430CD">
        <w:t xml:space="preserve"> Tax</w:t>
      </w:r>
      <w:bookmarkEnd w:id="1"/>
    </w:p>
    <w:p w:rsidR="00F43C99" w:rsidRDefault="00F43C99" w:rsidP="00F43C99">
      <w:pPr>
        <w:pStyle w:val="CGCNumberedPara"/>
      </w:pPr>
      <w:r>
        <w:t>The paper provides the Commission staff proposals for the assessment of Payroll tax revenue for the 2020 Review.</w:t>
      </w:r>
    </w:p>
    <w:p w:rsidR="00FF0FE2" w:rsidRDefault="00FF0FE2" w:rsidP="00FF0FE2">
      <w:pPr>
        <w:pStyle w:val="Heading3"/>
      </w:pPr>
      <w:bookmarkStart w:id="2" w:name="_Toc511636219"/>
      <w:r>
        <w:t>2015 Review approach</w:t>
      </w:r>
      <w:bookmarkEnd w:id="2"/>
    </w:p>
    <w:p w:rsidR="0000763D" w:rsidRDefault="004201EE" w:rsidP="001866CF">
      <w:pPr>
        <w:pStyle w:val="CGCNumberedPara"/>
        <w:numPr>
          <w:ilvl w:val="1"/>
          <w:numId w:val="37"/>
        </w:numPr>
      </w:pPr>
      <w:r>
        <w:t xml:space="preserve">Payroll tax is imposed on the wages and related benefits (remuneration) paid by </w:t>
      </w:r>
      <w:r w:rsidRPr="0038782F">
        <w:t xml:space="preserve">firms operating in </w:t>
      </w:r>
      <w:r>
        <w:t xml:space="preserve">each </w:t>
      </w:r>
      <w:r w:rsidRPr="0038782F">
        <w:t>State</w:t>
      </w:r>
      <w:r>
        <w:t>. Employers are liable for payroll tax if their total Australian remuneration exceeds a general deduction threshold. The scope of the tax and the range of exemptions and concessions have largely been harmonised, but States retain control over their tax rates and thresholds.</w:t>
      </w:r>
      <w:r w:rsidR="0019334F">
        <w:t xml:space="preserve"> </w:t>
      </w:r>
    </w:p>
    <w:p w:rsidR="00B944CC" w:rsidRDefault="0019334F" w:rsidP="001866CF">
      <w:pPr>
        <w:pStyle w:val="CGCNumberedPara"/>
        <w:numPr>
          <w:ilvl w:val="1"/>
          <w:numId w:val="37"/>
        </w:numPr>
      </w:pPr>
      <w:r>
        <w:fldChar w:fldCharType="begin"/>
      </w:r>
      <w:r>
        <w:instrText xml:space="preserve"> REF _Ref499989970 \h </w:instrText>
      </w:r>
      <w:r>
        <w:fldChar w:fldCharType="separate"/>
      </w:r>
      <w:r w:rsidR="0044574B">
        <w:t xml:space="preserve">Table </w:t>
      </w:r>
      <w:proofErr w:type="gramStart"/>
      <w:r w:rsidR="0044574B">
        <w:rPr>
          <w:noProof/>
        </w:rPr>
        <w:t>1</w:t>
      </w:r>
      <w:r>
        <w:fldChar w:fldCharType="end"/>
      </w:r>
      <w:r>
        <w:t xml:space="preserve"> shows</w:t>
      </w:r>
      <w:proofErr w:type="gramEnd"/>
      <w:r w:rsidR="0000763D">
        <w:t xml:space="preserve"> that States raised $</w:t>
      </w:r>
      <w:r w:rsidR="003916C4">
        <w:t>23</w:t>
      </w:r>
      <w:r w:rsidR="0000763D">
        <w:t xml:space="preserve"> billion from payroll tax in </w:t>
      </w:r>
      <w:r w:rsidR="00A83FED">
        <w:t>2016-17</w:t>
      </w:r>
      <w:r w:rsidR="0000763D">
        <w:t>.</w:t>
      </w:r>
    </w:p>
    <w:p w:rsidR="00660570" w:rsidRDefault="00660570" w:rsidP="00660570">
      <w:pPr>
        <w:pStyle w:val="Caption"/>
      </w:pPr>
      <w:bookmarkStart w:id="3" w:name="_Ref499989970"/>
      <w:r>
        <w:t xml:space="preserve">Table </w:t>
      </w:r>
      <w:fldSimple w:instr=" SEQ Table \* ARABIC ">
        <w:r w:rsidR="0044574B">
          <w:rPr>
            <w:noProof/>
          </w:rPr>
          <w:t>1</w:t>
        </w:r>
      </w:fldSimple>
      <w:bookmarkEnd w:id="3"/>
      <w:proofErr w:type="gramStart"/>
      <w:r>
        <w:t xml:space="preserve"> </w:t>
      </w:r>
      <w:r>
        <w:tab/>
      </w:r>
      <w:r w:rsidR="0000763D">
        <w:t xml:space="preserve">Payroll tax </w:t>
      </w:r>
      <w:r>
        <w:t>revenue</w:t>
      </w:r>
      <w:proofErr w:type="gramEnd"/>
      <w:r>
        <w:t xml:space="preserve">, </w:t>
      </w:r>
      <w:r w:rsidR="00A83FED">
        <w:t>2016-17</w:t>
      </w:r>
    </w:p>
    <w:tbl>
      <w:tblPr>
        <w:tblW w:w="5000" w:type="pct"/>
        <w:tblLayout w:type="fixed"/>
        <w:tblCellMar>
          <w:left w:w="0" w:type="dxa"/>
          <w:right w:w="0" w:type="dxa"/>
        </w:tblCellMar>
        <w:tblLook w:val="0000" w:firstRow="0" w:lastRow="0" w:firstColumn="0" w:lastColumn="0" w:noHBand="0" w:noVBand="0"/>
      </w:tblPr>
      <w:tblGrid>
        <w:gridCol w:w="2426"/>
        <w:gridCol w:w="727"/>
        <w:gridCol w:w="725"/>
        <w:gridCol w:w="725"/>
        <w:gridCol w:w="725"/>
        <w:gridCol w:w="725"/>
        <w:gridCol w:w="725"/>
        <w:gridCol w:w="725"/>
        <w:gridCol w:w="725"/>
        <w:gridCol w:w="723"/>
      </w:tblGrid>
      <w:tr w:rsidR="00660570" w:rsidRPr="00FE3F73" w:rsidTr="004201EE">
        <w:tc>
          <w:tcPr>
            <w:tcW w:w="1355" w:type="pct"/>
            <w:tcBorders>
              <w:top w:val="single" w:sz="6" w:space="0" w:color="auto"/>
              <w:bottom w:val="single" w:sz="6" w:space="0" w:color="auto"/>
            </w:tcBorders>
            <w:vAlign w:val="center"/>
          </w:tcPr>
          <w:p w:rsidR="00660570" w:rsidRPr="00FE3F73" w:rsidRDefault="00660570" w:rsidP="00660570">
            <w:pPr>
              <w:pStyle w:val="CGCTableStub"/>
              <w:spacing w:line="240" w:lineRule="auto"/>
              <w:ind w:left="193" w:hanging="142"/>
              <w:rPr>
                <w:rFonts w:cstheme="minorHAnsi"/>
              </w:rPr>
            </w:pPr>
          </w:p>
        </w:tc>
        <w:tc>
          <w:tcPr>
            <w:tcW w:w="406" w:type="pct"/>
            <w:tcBorders>
              <w:top w:val="single" w:sz="4" w:space="0" w:color="auto"/>
              <w:bottom w:val="single" w:sz="4" w:space="0" w:color="auto"/>
            </w:tcBorders>
            <w:vAlign w:val="center"/>
          </w:tcPr>
          <w:p w:rsidR="00660570" w:rsidRPr="00FE3F73" w:rsidRDefault="00660570" w:rsidP="003916C4">
            <w:pPr>
              <w:pStyle w:val="TableColHeadings"/>
              <w:ind w:left="-158" w:right="34"/>
              <w:rPr>
                <w:rFonts w:cstheme="minorHAnsi"/>
              </w:rPr>
            </w:pPr>
            <w:r w:rsidRPr="00FE3F73">
              <w:rPr>
                <w:rFonts w:cstheme="minorHAnsi"/>
              </w:rPr>
              <w:t>NSW</w:t>
            </w:r>
          </w:p>
        </w:tc>
        <w:tc>
          <w:tcPr>
            <w:tcW w:w="405" w:type="pct"/>
            <w:tcBorders>
              <w:top w:val="single" w:sz="4" w:space="0" w:color="auto"/>
              <w:bottom w:val="single" w:sz="4" w:space="0" w:color="auto"/>
            </w:tcBorders>
            <w:vAlign w:val="center"/>
          </w:tcPr>
          <w:p w:rsidR="00660570" w:rsidRPr="00FE3F73" w:rsidRDefault="00660570" w:rsidP="00660570">
            <w:pPr>
              <w:pStyle w:val="TableColHeadings"/>
              <w:rPr>
                <w:rFonts w:cstheme="minorHAnsi"/>
              </w:rPr>
            </w:pPr>
            <w:r w:rsidRPr="00FE3F73">
              <w:rPr>
                <w:rFonts w:cstheme="minorHAnsi"/>
              </w:rPr>
              <w:t>Vic</w:t>
            </w:r>
          </w:p>
        </w:tc>
        <w:tc>
          <w:tcPr>
            <w:tcW w:w="405" w:type="pct"/>
            <w:tcBorders>
              <w:top w:val="single" w:sz="4" w:space="0" w:color="auto"/>
              <w:bottom w:val="single" w:sz="4" w:space="0" w:color="auto"/>
            </w:tcBorders>
            <w:vAlign w:val="center"/>
          </w:tcPr>
          <w:p w:rsidR="00660570" w:rsidRPr="00FE3F73" w:rsidRDefault="00660570" w:rsidP="00660570">
            <w:pPr>
              <w:pStyle w:val="TableColHeadings"/>
              <w:rPr>
                <w:rFonts w:cstheme="minorHAnsi"/>
              </w:rPr>
            </w:pPr>
            <w:r w:rsidRPr="00FE3F73">
              <w:rPr>
                <w:rFonts w:cstheme="minorHAnsi"/>
              </w:rPr>
              <w:t>Qld</w:t>
            </w:r>
          </w:p>
        </w:tc>
        <w:tc>
          <w:tcPr>
            <w:tcW w:w="405" w:type="pct"/>
            <w:tcBorders>
              <w:top w:val="single" w:sz="4" w:space="0" w:color="auto"/>
              <w:bottom w:val="single" w:sz="4" w:space="0" w:color="auto"/>
            </w:tcBorders>
            <w:vAlign w:val="center"/>
          </w:tcPr>
          <w:p w:rsidR="00660570" w:rsidRPr="00FE3F73" w:rsidRDefault="00660570" w:rsidP="00660570">
            <w:pPr>
              <w:pStyle w:val="TableColHeadings"/>
              <w:rPr>
                <w:rFonts w:cstheme="minorHAnsi"/>
              </w:rPr>
            </w:pPr>
            <w:r w:rsidRPr="00FE3F73">
              <w:rPr>
                <w:rFonts w:cstheme="minorHAnsi"/>
              </w:rPr>
              <w:t>WA</w:t>
            </w:r>
          </w:p>
        </w:tc>
        <w:tc>
          <w:tcPr>
            <w:tcW w:w="405" w:type="pct"/>
            <w:tcBorders>
              <w:top w:val="single" w:sz="4" w:space="0" w:color="auto"/>
              <w:bottom w:val="single" w:sz="4" w:space="0" w:color="auto"/>
            </w:tcBorders>
            <w:vAlign w:val="center"/>
          </w:tcPr>
          <w:p w:rsidR="00660570" w:rsidRPr="00FE3F73" w:rsidRDefault="00660570" w:rsidP="00660570">
            <w:pPr>
              <w:pStyle w:val="TableColHeadings"/>
              <w:rPr>
                <w:rFonts w:cstheme="minorHAnsi"/>
              </w:rPr>
            </w:pPr>
            <w:r w:rsidRPr="00FE3F73">
              <w:rPr>
                <w:rFonts w:cstheme="minorHAnsi"/>
              </w:rPr>
              <w:t>SA</w:t>
            </w:r>
          </w:p>
        </w:tc>
        <w:tc>
          <w:tcPr>
            <w:tcW w:w="405" w:type="pct"/>
            <w:tcBorders>
              <w:top w:val="single" w:sz="4" w:space="0" w:color="auto"/>
              <w:bottom w:val="single" w:sz="4" w:space="0" w:color="auto"/>
            </w:tcBorders>
            <w:vAlign w:val="center"/>
          </w:tcPr>
          <w:p w:rsidR="00660570" w:rsidRPr="00FE3F73" w:rsidRDefault="00660570" w:rsidP="00660570">
            <w:pPr>
              <w:pStyle w:val="TableColHeadings"/>
              <w:rPr>
                <w:rFonts w:cstheme="minorHAnsi"/>
              </w:rPr>
            </w:pPr>
            <w:proofErr w:type="spellStart"/>
            <w:r w:rsidRPr="00FE3F73">
              <w:rPr>
                <w:rFonts w:cstheme="minorHAnsi"/>
              </w:rPr>
              <w:t>Tas</w:t>
            </w:r>
            <w:proofErr w:type="spellEnd"/>
          </w:p>
        </w:tc>
        <w:tc>
          <w:tcPr>
            <w:tcW w:w="405" w:type="pct"/>
            <w:tcBorders>
              <w:top w:val="single" w:sz="4" w:space="0" w:color="auto"/>
              <w:bottom w:val="single" w:sz="4" w:space="0" w:color="auto"/>
            </w:tcBorders>
            <w:vAlign w:val="center"/>
          </w:tcPr>
          <w:p w:rsidR="00660570" w:rsidRPr="00FE3F73" w:rsidRDefault="00660570" w:rsidP="00660570">
            <w:pPr>
              <w:pStyle w:val="TableColHeadings"/>
              <w:rPr>
                <w:rFonts w:cstheme="minorHAnsi"/>
              </w:rPr>
            </w:pPr>
            <w:r w:rsidRPr="00FE3F73">
              <w:rPr>
                <w:rFonts w:cstheme="minorHAnsi"/>
              </w:rPr>
              <w:t>ACT</w:t>
            </w:r>
          </w:p>
        </w:tc>
        <w:tc>
          <w:tcPr>
            <w:tcW w:w="405" w:type="pct"/>
            <w:tcBorders>
              <w:top w:val="single" w:sz="4" w:space="0" w:color="auto"/>
              <w:bottom w:val="single" w:sz="4" w:space="0" w:color="auto"/>
            </w:tcBorders>
            <w:vAlign w:val="center"/>
          </w:tcPr>
          <w:p w:rsidR="00660570" w:rsidRPr="00FE3F73" w:rsidRDefault="00660570" w:rsidP="00660570">
            <w:pPr>
              <w:pStyle w:val="TableColHeadings"/>
              <w:rPr>
                <w:rFonts w:cstheme="minorHAnsi"/>
              </w:rPr>
            </w:pPr>
            <w:r w:rsidRPr="00FE3F73">
              <w:rPr>
                <w:rFonts w:cstheme="minorHAnsi"/>
              </w:rPr>
              <w:t>NT</w:t>
            </w:r>
          </w:p>
        </w:tc>
        <w:tc>
          <w:tcPr>
            <w:tcW w:w="404" w:type="pct"/>
            <w:tcBorders>
              <w:top w:val="single" w:sz="4" w:space="0" w:color="auto"/>
              <w:bottom w:val="single" w:sz="4" w:space="0" w:color="auto"/>
            </w:tcBorders>
            <w:vAlign w:val="center"/>
          </w:tcPr>
          <w:p w:rsidR="00660570" w:rsidRPr="00FE3F73" w:rsidRDefault="00660570" w:rsidP="00660570">
            <w:pPr>
              <w:pStyle w:val="TableColHeadings"/>
              <w:rPr>
                <w:rFonts w:cstheme="minorHAnsi"/>
              </w:rPr>
            </w:pPr>
            <w:r>
              <w:rPr>
                <w:rFonts w:cstheme="minorHAnsi"/>
              </w:rPr>
              <w:t>Total</w:t>
            </w:r>
          </w:p>
        </w:tc>
      </w:tr>
      <w:tr w:rsidR="00660570" w:rsidRPr="00FE3F73" w:rsidTr="004201EE">
        <w:tc>
          <w:tcPr>
            <w:tcW w:w="1355" w:type="pct"/>
            <w:tcMar>
              <w:top w:w="0" w:type="dxa"/>
              <w:bottom w:w="0" w:type="dxa"/>
            </w:tcMar>
            <w:vAlign w:val="bottom"/>
          </w:tcPr>
          <w:p w:rsidR="00660570" w:rsidRPr="00FE3F73" w:rsidRDefault="00660570" w:rsidP="00660570">
            <w:pPr>
              <w:pStyle w:val="CGCTableStub"/>
              <w:spacing w:before="0" w:after="0" w:line="240" w:lineRule="auto"/>
              <w:ind w:left="193" w:hanging="142"/>
              <w:jc w:val="right"/>
              <w:rPr>
                <w:rFonts w:cstheme="minorHAnsi"/>
              </w:rPr>
            </w:pPr>
          </w:p>
        </w:tc>
        <w:tc>
          <w:tcPr>
            <w:tcW w:w="406" w:type="pct"/>
            <w:tcBorders>
              <w:top w:val="single" w:sz="4" w:space="0" w:color="auto"/>
            </w:tcBorders>
            <w:tcMar>
              <w:top w:w="0" w:type="dxa"/>
              <w:bottom w:w="0" w:type="dxa"/>
            </w:tcMar>
            <w:vAlign w:val="bottom"/>
          </w:tcPr>
          <w:p w:rsidR="00660570" w:rsidRPr="00FE3F73" w:rsidRDefault="00660570" w:rsidP="003916C4">
            <w:pPr>
              <w:pStyle w:val="TableRowNormal"/>
              <w:spacing w:before="0" w:after="0" w:line="240" w:lineRule="auto"/>
              <w:ind w:left="-158" w:right="34" w:firstLine="0"/>
              <w:rPr>
                <w:rFonts w:cstheme="minorHAnsi"/>
              </w:rPr>
            </w:pPr>
            <w:r>
              <w:rPr>
                <w:rFonts w:cstheme="minorHAnsi"/>
              </w:rPr>
              <w:t>$m</w:t>
            </w:r>
          </w:p>
        </w:tc>
        <w:tc>
          <w:tcPr>
            <w:tcW w:w="405" w:type="pct"/>
            <w:tcBorders>
              <w:top w:val="single" w:sz="4" w:space="0" w:color="auto"/>
            </w:tcBorders>
            <w:tcMar>
              <w:top w:w="0" w:type="dxa"/>
              <w:bottom w:w="0" w:type="dxa"/>
            </w:tcMar>
            <w:vAlign w:val="bottom"/>
          </w:tcPr>
          <w:p w:rsidR="00660570" w:rsidRPr="00FE3F73" w:rsidRDefault="00660570" w:rsidP="00660570">
            <w:pPr>
              <w:pStyle w:val="TableRowNormal"/>
              <w:spacing w:before="0" w:after="0" w:line="240" w:lineRule="auto"/>
              <w:ind w:left="0" w:firstLine="0"/>
              <w:rPr>
                <w:rFonts w:cstheme="minorHAnsi"/>
              </w:rPr>
            </w:pPr>
            <w:r>
              <w:rPr>
                <w:rFonts w:cstheme="minorHAnsi"/>
              </w:rPr>
              <w:t>$m</w:t>
            </w:r>
          </w:p>
        </w:tc>
        <w:tc>
          <w:tcPr>
            <w:tcW w:w="405" w:type="pct"/>
            <w:tcBorders>
              <w:top w:val="single" w:sz="4" w:space="0" w:color="auto"/>
            </w:tcBorders>
            <w:tcMar>
              <w:top w:w="0" w:type="dxa"/>
              <w:bottom w:w="0" w:type="dxa"/>
            </w:tcMar>
            <w:vAlign w:val="bottom"/>
          </w:tcPr>
          <w:p w:rsidR="00660570" w:rsidRPr="00FE3F73" w:rsidRDefault="00660570" w:rsidP="00660570">
            <w:pPr>
              <w:pStyle w:val="TableRowNormal"/>
              <w:spacing w:before="0" w:after="0" w:line="240" w:lineRule="auto"/>
              <w:ind w:left="0" w:firstLine="0"/>
              <w:rPr>
                <w:rFonts w:cstheme="minorHAnsi"/>
              </w:rPr>
            </w:pPr>
            <w:r>
              <w:rPr>
                <w:rFonts w:cstheme="minorHAnsi"/>
              </w:rPr>
              <w:t>$m</w:t>
            </w:r>
          </w:p>
        </w:tc>
        <w:tc>
          <w:tcPr>
            <w:tcW w:w="405" w:type="pct"/>
            <w:tcBorders>
              <w:top w:val="single" w:sz="4" w:space="0" w:color="auto"/>
            </w:tcBorders>
            <w:tcMar>
              <w:top w:w="0" w:type="dxa"/>
              <w:bottom w:w="0" w:type="dxa"/>
            </w:tcMar>
            <w:vAlign w:val="bottom"/>
          </w:tcPr>
          <w:p w:rsidR="00660570" w:rsidRPr="00FE3F73" w:rsidRDefault="00660570" w:rsidP="00660570">
            <w:pPr>
              <w:pStyle w:val="TableRowNormal"/>
              <w:spacing w:before="0" w:after="0" w:line="240" w:lineRule="auto"/>
              <w:ind w:left="0" w:firstLine="0"/>
              <w:rPr>
                <w:rFonts w:cstheme="minorHAnsi"/>
              </w:rPr>
            </w:pPr>
            <w:r>
              <w:rPr>
                <w:rFonts w:cstheme="minorHAnsi"/>
              </w:rPr>
              <w:t>$m</w:t>
            </w:r>
          </w:p>
        </w:tc>
        <w:tc>
          <w:tcPr>
            <w:tcW w:w="405" w:type="pct"/>
            <w:tcBorders>
              <w:top w:val="single" w:sz="4" w:space="0" w:color="auto"/>
            </w:tcBorders>
            <w:tcMar>
              <w:top w:w="0" w:type="dxa"/>
              <w:bottom w:w="0" w:type="dxa"/>
            </w:tcMar>
            <w:vAlign w:val="bottom"/>
          </w:tcPr>
          <w:p w:rsidR="00660570" w:rsidRPr="00FE3F73" w:rsidRDefault="00660570" w:rsidP="00660570">
            <w:pPr>
              <w:pStyle w:val="TableRowNormal"/>
              <w:spacing w:before="0" w:after="0" w:line="240" w:lineRule="auto"/>
              <w:ind w:left="0" w:firstLine="0"/>
              <w:rPr>
                <w:rFonts w:cstheme="minorHAnsi"/>
              </w:rPr>
            </w:pPr>
            <w:r>
              <w:rPr>
                <w:rFonts w:cstheme="minorHAnsi"/>
              </w:rPr>
              <w:t>$m</w:t>
            </w:r>
          </w:p>
        </w:tc>
        <w:tc>
          <w:tcPr>
            <w:tcW w:w="405" w:type="pct"/>
            <w:tcBorders>
              <w:top w:val="single" w:sz="4" w:space="0" w:color="auto"/>
            </w:tcBorders>
            <w:tcMar>
              <w:top w:w="0" w:type="dxa"/>
              <w:bottom w:w="0" w:type="dxa"/>
            </w:tcMar>
            <w:vAlign w:val="bottom"/>
          </w:tcPr>
          <w:p w:rsidR="00660570" w:rsidRPr="00FE3F73" w:rsidRDefault="00660570" w:rsidP="00660570">
            <w:pPr>
              <w:pStyle w:val="TableRowNormal"/>
              <w:spacing w:before="0" w:after="0" w:line="240" w:lineRule="auto"/>
              <w:ind w:left="0" w:firstLine="0"/>
              <w:rPr>
                <w:rFonts w:cstheme="minorHAnsi"/>
              </w:rPr>
            </w:pPr>
            <w:r>
              <w:rPr>
                <w:rFonts w:cstheme="minorHAnsi"/>
              </w:rPr>
              <w:t>$m</w:t>
            </w:r>
          </w:p>
        </w:tc>
        <w:tc>
          <w:tcPr>
            <w:tcW w:w="405" w:type="pct"/>
            <w:tcBorders>
              <w:top w:val="single" w:sz="4" w:space="0" w:color="auto"/>
            </w:tcBorders>
            <w:tcMar>
              <w:top w:w="0" w:type="dxa"/>
              <w:bottom w:w="0" w:type="dxa"/>
            </w:tcMar>
            <w:vAlign w:val="bottom"/>
          </w:tcPr>
          <w:p w:rsidR="00660570" w:rsidRPr="00FE3F73" w:rsidRDefault="00660570" w:rsidP="00660570">
            <w:pPr>
              <w:pStyle w:val="TableRowNormal"/>
              <w:spacing w:before="0" w:after="0" w:line="240" w:lineRule="auto"/>
              <w:ind w:left="0" w:firstLine="0"/>
              <w:rPr>
                <w:rFonts w:cstheme="minorHAnsi"/>
              </w:rPr>
            </w:pPr>
            <w:r>
              <w:rPr>
                <w:rFonts w:cstheme="minorHAnsi"/>
              </w:rPr>
              <w:t>$m</w:t>
            </w:r>
          </w:p>
        </w:tc>
        <w:tc>
          <w:tcPr>
            <w:tcW w:w="405" w:type="pct"/>
            <w:tcBorders>
              <w:top w:val="single" w:sz="4" w:space="0" w:color="auto"/>
            </w:tcBorders>
            <w:tcMar>
              <w:top w:w="0" w:type="dxa"/>
              <w:bottom w:w="0" w:type="dxa"/>
            </w:tcMar>
            <w:vAlign w:val="bottom"/>
          </w:tcPr>
          <w:p w:rsidR="00660570" w:rsidRPr="00FE3F73" w:rsidRDefault="00660570" w:rsidP="00660570">
            <w:pPr>
              <w:pStyle w:val="TableRowNormal"/>
              <w:spacing w:before="0" w:after="0" w:line="240" w:lineRule="auto"/>
              <w:ind w:left="0" w:firstLine="0"/>
              <w:rPr>
                <w:rFonts w:cstheme="minorHAnsi"/>
              </w:rPr>
            </w:pPr>
            <w:r>
              <w:rPr>
                <w:rFonts w:cstheme="minorHAnsi"/>
              </w:rPr>
              <w:t>$m</w:t>
            </w:r>
          </w:p>
        </w:tc>
        <w:tc>
          <w:tcPr>
            <w:tcW w:w="404" w:type="pct"/>
            <w:tcBorders>
              <w:top w:val="single" w:sz="4" w:space="0" w:color="auto"/>
            </w:tcBorders>
            <w:tcMar>
              <w:top w:w="0" w:type="dxa"/>
              <w:bottom w:w="0" w:type="dxa"/>
            </w:tcMar>
            <w:vAlign w:val="bottom"/>
          </w:tcPr>
          <w:p w:rsidR="00660570" w:rsidRPr="00FE3F73" w:rsidRDefault="00660570" w:rsidP="00660570">
            <w:pPr>
              <w:pStyle w:val="TableRowNormal"/>
              <w:spacing w:before="0" w:after="0" w:line="240" w:lineRule="auto"/>
              <w:ind w:left="0" w:firstLine="0"/>
              <w:rPr>
                <w:rFonts w:cstheme="minorHAnsi"/>
              </w:rPr>
            </w:pPr>
            <w:r>
              <w:rPr>
                <w:rFonts w:cstheme="minorHAnsi"/>
              </w:rPr>
              <w:t>$m</w:t>
            </w:r>
          </w:p>
        </w:tc>
      </w:tr>
      <w:tr w:rsidR="003916C4" w:rsidRPr="00AD5D65" w:rsidTr="00C00B55">
        <w:tc>
          <w:tcPr>
            <w:tcW w:w="1355" w:type="pct"/>
            <w:tcBorders>
              <w:bottom w:val="single" w:sz="4" w:space="0" w:color="auto"/>
            </w:tcBorders>
            <w:vAlign w:val="bottom"/>
          </w:tcPr>
          <w:p w:rsidR="003916C4" w:rsidRDefault="003916C4" w:rsidP="00660570">
            <w:pPr>
              <w:pStyle w:val="CGCTableStub"/>
              <w:tabs>
                <w:tab w:val="left" w:pos="142"/>
                <w:tab w:val="left" w:pos="425"/>
                <w:tab w:val="left" w:pos="709"/>
                <w:tab w:val="left" w:pos="851"/>
              </w:tabs>
              <w:ind w:left="193" w:hanging="142"/>
              <w:rPr>
                <w:rFonts w:cstheme="minorHAnsi"/>
              </w:rPr>
            </w:pPr>
            <w:r>
              <w:rPr>
                <w:rFonts w:cstheme="minorHAnsi"/>
              </w:rPr>
              <w:t>Payroll tax</w:t>
            </w:r>
          </w:p>
        </w:tc>
        <w:tc>
          <w:tcPr>
            <w:tcW w:w="406" w:type="pct"/>
            <w:tcBorders>
              <w:bottom w:val="single" w:sz="4" w:space="0" w:color="auto"/>
            </w:tcBorders>
            <w:vAlign w:val="bottom"/>
          </w:tcPr>
          <w:p w:rsidR="003916C4" w:rsidRPr="004201EE" w:rsidRDefault="003916C4" w:rsidP="003916C4">
            <w:pPr>
              <w:pStyle w:val="CGCTableStub"/>
              <w:tabs>
                <w:tab w:val="clear" w:pos="284"/>
                <w:tab w:val="left" w:pos="-16"/>
                <w:tab w:val="left" w:pos="126"/>
                <w:tab w:val="left" w:pos="268"/>
                <w:tab w:val="left" w:pos="409"/>
                <w:tab w:val="left" w:pos="693"/>
              </w:tabs>
              <w:ind w:left="-158" w:right="34" w:hanging="142"/>
              <w:jc w:val="right"/>
              <w:rPr>
                <w:rFonts w:cstheme="minorHAnsi"/>
              </w:rPr>
            </w:pPr>
            <w:r>
              <w:rPr>
                <w:rFonts w:cstheme="minorHAnsi"/>
              </w:rPr>
              <w:t>8 206</w:t>
            </w:r>
          </w:p>
        </w:tc>
        <w:tc>
          <w:tcPr>
            <w:tcW w:w="405" w:type="pct"/>
            <w:tcBorders>
              <w:bottom w:val="single" w:sz="4" w:space="0" w:color="auto"/>
            </w:tcBorders>
            <w:vAlign w:val="bottom"/>
          </w:tcPr>
          <w:p w:rsidR="003916C4" w:rsidRPr="004201EE" w:rsidRDefault="003916C4" w:rsidP="003916C4">
            <w:pPr>
              <w:pStyle w:val="CGCTableStub"/>
              <w:tabs>
                <w:tab w:val="left" w:pos="142"/>
                <w:tab w:val="left" w:pos="425"/>
                <w:tab w:val="left" w:pos="709"/>
                <w:tab w:val="left" w:pos="851"/>
              </w:tabs>
              <w:ind w:left="193" w:hanging="369"/>
              <w:jc w:val="right"/>
              <w:rPr>
                <w:rFonts w:cstheme="minorHAnsi"/>
              </w:rPr>
            </w:pPr>
            <w:r>
              <w:rPr>
                <w:rFonts w:cstheme="minorHAnsi"/>
              </w:rPr>
              <w:t>5 681</w:t>
            </w:r>
          </w:p>
        </w:tc>
        <w:tc>
          <w:tcPr>
            <w:tcW w:w="405" w:type="pct"/>
            <w:tcBorders>
              <w:bottom w:val="single" w:sz="4" w:space="0" w:color="auto"/>
            </w:tcBorders>
            <w:vAlign w:val="center"/>
          </w:tcPr>
          <w:p w:rsidR="003916C4" w:rsidRPr="003916C4" w:rsidRDefault="003916C4" w:rsidP="003916C4">
            <w:pPr>
              <w:pStyle w:val="CGCTableStub"/>
              <w:tabs>
                <w:tab w:val="left" w:pos="142"/>
                <w:tab w:val="left" w:pos="425"/>
                <w:tab w:val="left" w:pos="709"/>
                <w:tab w:val="left" w:pos="851"/>
              </w:tabs>
              <w:ind w:left="193" w:hanging="369"/>
              <w:jc w:val="right"/>
              <w:rPr>
                <w:rFonts w:cstheme="minorHAnsi"/>
              </w:rPr>
            </w:pPr>
            <w:r w:rsidRPr="003916C4">
              <w:rPr>
                <w:rFonts w:cstheme="minorHAnsi"/>
              </w:rPr>
              <w:t>3 672</w:t>
            </w:r>
          </w:p>
        </w:tc>
        <w:tc>
          <w:tcPr>
            <w:tcW w:w="405" w:type="pct"/>
            <w:tcBorders>
              <w:bottom w:val="single" w:sz="4" w:space="0" w:color="auto"/>
            </w:tcBorders>
            <w:vAlign w:val="center"/>
          </w:tcPr>
          <w:p w:rsidR="003916C4" w:rsidRPr="003916C4" w:rsidRDefault="003916C4" w:rsidP="003916C4">
            <w:pPr>
              <w:pStyle w:val="CGCTableStub"/>
              <w:tabs>
                <w:tab w:val="left" w:pos="142"/>
                <w:tab w:val="left" w:pos="425"/>
                <w:tab w:val="left" w:pos="709"/>
                <w:tab w:val="left" w:pos="851"/>
              </w:tabs>
              <w:ind w:left="193" w:hanging="369"/>
              <w:jc w:val="right"/>
              <w:rPr>
                <w:rFonts w:cstheme="minorHAnsi"/>
              </w:rPr>
            </w:pPr>
            <w:r w:rsidRPr="003916C4">
              <w:rPr>
                <w:rFonts w:cstheme="minorHAnsi"/>
              </w:rPr>
              <w:t>3 233</w:t>
            </w:r>
          </w:p>
        </w:tc>
        <w:tc>
          <w:tcPr>
            <w:tcW w:w="405" w:type="pct"/>
            <w:tcBorders>
              <w:bottom w:val="single" w:sz="4" w:space="0" w:color="auto"/>
            </w:tcBorders>
            <w:vAlign w:val="center"/>
          </w:tcPr>
          <w:p w:rsidR="003916C4" w:rsidRPr="003916C4" w:rsidRDefault="003916C4" w:rsidP="003916C4">
            <w:pPr>
              <w:pStyle w:val="CGCTableStub"/>
              <w:tabs>
                <w:tab w:val="left" w:pos="142"/>
                <w:tab w:val="left" w:pos="425"/>
                <w:tab w:val="left" w:pos="709"/>
                <w:tab w:val="left" w:pos="851"/>
              </w:tabs>
              <w:ind w:left="193" w:hanging="369"/>
              <w:jc w:val="right"/>
              <w:rPr>
                <w:rFonts w:cstheme="minorHAnsi"/>
              </w:rPr>
            </w:pPr>
            <w:r w:rsidRPr="003916C4">
              <w:rPr>
                <w:rFonts w:cstheme="minorHAnsi"/>
              </w:rPr>
              <w:t>1 134</w:t>
            </w:r>
          </w:p>
        </w:tc>
        <w:tc>
          <w:tcPr>
            <w:tcW w:w="405" w:type="pct"/>
            <w:tcBorders>
              <w:bottom w:val="single" w:sz="4" w:space="0" w:color="auto"/>
            </w:tcBorders>
            <w:vAlign w:val="center"/>
          </w:tcPr>
          <w:p w:rsidR="003916C4" w:rsidRPr="003916C4" w:rsidRDefault="003916C4" w:rsidP="003916C4">
            <w:pPr>
              <w:pStyle w:val="CGCTableStub"/>
              <w:tabs>
                <w:tab w:val="left" w:pos="142"/>
                <w:tab w:val="left" w:pos="425"/>
                <w:tab w:val="left" w:pos="709"/>
                <w:tab w:val="left" w:pos="851"/>
              </w:tabs>
              <w:ind w:left="193" w:hanging="369"/>
              <w:jc w:val="right"/>
              <w:rPr>
                <w:rFonts w:cstheme="minorHAnsi"/>
              </w:rPr>
            </w:pPr>
            <w:r w:rsidRPr="003916C4">
              <w:rPr>
                <w:rFonts w:cstheme="minorHAnsi"/>
              </w:rPr>
              <w:t xml:space="preserve"> 331</w:t>
            </w:r>
          </w:p>
        </w:tc>
        <w:tc>
          <w:tcPr>
            <w:tcW w:w="405" w:type="pct"/>
            <w:tcBorders>
              <w:bottom w:val="single" w:sz="4" w:space="0" w:color="auto"/>
            </w:tcBorders>
            <w:vAlign w:val="center"/>
          </w:tcPr>
          <w:p w:rsidR="003916C4" w:rsidRPr="003916C4" w:rsidRDefault="003916C4" w:rsidP="003916C4">
            <w:pPr>
              <w:pStyle w:val="CGCTableStub"/>
              <w:tabs>
                <w:tab w:val="left" w:pos="142"/>
                <w:tab w:val="left" w:pos="425"/>
                <w:tab w:val="left" w:pos="709"/>
                <w:tab w:val="left" w:pos="851"/>
              </w:tabs>
              <w:ind w:left="193" w:hanging="369"/>
              <w:jc w:val="right"/>
              <w:rPr>
                <w:rFonts w:cstheme="minorHAnsi"/>
              </w:rPr>
            </w:pPr>
            <w:r w:rsidRPr="003916C4">
              <w:rPr>
                <w:rFonts w:cstheme="minorHAnsi"/>
              </w:rPr>
              <w:t xml:space="preserve"> 444</w:t>
            </w:r>
          </w:p>
        </w:tc>
        <w:tc>
          <w:tcPr>
            <w:tcW w:w="405" w:type="pct"/>
            <w:tcBorders>
              <w:bottom w:val="single" w:sz="4" w:space="0" w:color="auto"/>
            </w:tcBorders>
            <w:vAlign w:val="center"/>
          </w:tcPr>
          <w:p w:rsidR="003916C4" w:rsidRPr="003916C4" w:rsidRDefault="003916C4" w:rsidP="003916C4">
            <w:pPr>
              <w:pStyle w:val="CGCTableStub"/>
              <w:tabs>
                <w:tab w:val="left" w:pos="142"/>
                <w:tab w:val="left" w:pos="425"/>
                <w:tab w:val="left" w:pos="709"/>
                <w:tab w:val="left" w:pos="851"/>
              </w:tabs>
              <w:ind w:left="193" w:hanging="369"/>
              <w:jc w:val="right"/>
              <w:rPr>
                <w:rFonts w:cstheme="minorHAnsi"/>
              </w:rPr>
            </w:pPr>
            <w:r w:rsidRPr="003916C4">
              <w:rPr>
                <w:rFonts w:cstheme="minorHAnsi"/>
              </w:rPr>
              <w:t xml:space="preserve"> 323</w:t>
            </w:r>
          </w:p>
        </w:tc>
        <w:tc>
          <w:tcPr>
            <w:tcW w:w="404" w:type="pct"/>
            <w:tcBorders>
              <w:bottom w:val="single" w:sz="4" w:space="0" w:color="auto"/>
            </w:tcBorders>
            <w:vAlign w:val="center"/>
          </w:tcPr>
          <w:p w:rsidR="003916C4" w:rsidRPr="003916C4" w:rsidRDefault="003916C4" w:rsidP="003916C4">
            <w:pPr>
              <w:pStyle w:val="CGCTableStub"/>
              <w:tabs>
                <w:tab w:val="left" w:pos="142"/>
                <w:tab w:val="left" w:pos="425"/>
                <w:tab w:val="left" w:pos="709"/>
                <w:tab w:val="left" w:pos="851"/>
              </w:tabs>
              <w:ind w:left="193" w:hanging="369"/>
              <w:jc w:val="right"/>
              <w:rPr>
                <w:rFonts w:cstheme="minorHAnsi"/>
              </w:rPr>
            </w:pPr>
            <w:r w:rsidRPr="003916C4">
              <w:rPr>
                <w:rFonts w:cstheme="minorHAnsi"/>
              </w:rPr>
              <w:t>23 023</w:t>
            </w:r>
          </w:p>
        </w:tc>
      </w:tr>
    </w:tbl>
    <w:p w:rsidR="006A0FD7" w:rsidRDefault="006A0FD7" w:rsidP="006A0FD7">
      <w:pPr>
        <w:pStyle w:val="CGCTableFootnote"/>
      </w:pPr>
      <w:bookmarkStart w:id="4" w:name="_Toc489370909"/>
      <w:r>
        <w:t xml:space="preserve">Source: </w:t>
      </w:r>
      <w:r>
        <w:tab/>
        <w:t xml:space="preserve">State </w:t>
      </w:r>
      <w:r w:rsidR="0000763D">
        <w:t xml:space="preserve">provided </w:t>
      </w:r>
      <w:r>
        <w:t>data.</w:t>
      </w:r>
    </w:p>
    <w:p w:rsidR="00C87AA5" w:rsidRDefault="0019334F" w:rsidP="0019334F">
      <w:pPr>
        <w:pStyle w:val="Heading4"/>
      </w:pPr>
      <w:bookmarkStart w:id="5" w:name="_Toc511636220"/>
      <w:bookmarkEnd w:id="4"/>
      <w:r>
        <w:t>How was revenue capacity assessed?</w:t>
      </w:r>
      <w:bookmarkEnd w:id="5"/>
    </w:p>
    <w:p w:rsidR="003A23BA" w:rsidRDefault="005024C6" w:rsidP="003A23BA">
      <w:pPr>
        <w:pStyle w:val="CGCNumberedPara"/>
      </w:pPr>
      <w:r>
        <w:t>The assessment recognised</w:t>
      </w:r>
      <w:r w:rsidR="003A23BA">
        <w:t xml:space="preserve"> that a State’s payroll tax capacity </w:t>
      </w:r>
      <w:r>
        <w:t>wa</w:t>
      </w:r>
      <w:r w:rsidR="003A23BA">
        <w:t>s related to the total value of remuneration above a</w:t>
      </w:r>
      <w:r>
        <w:t>n</w:t>
      </w:r>
      <w:r w:rsidR="003A23BA">
        <w:t xml:space="preserve"> </w:t>
      </w:r>
      <w:r>
        <w:t xml:space="preserve">average tax free </w:t>
      </w:r>
      <w:r w:rsidR="003A23BA">
        <w:t>threshold in the private sector and the public sector</w:t>
      </w:r>
      <w:r>
        <w:t xml:space="preserve"> outside of general government</w:t>
      </w:r>
      <w:r w:rsidR="003A23BA">
        <w:t>.</w:t>
      </w:r>
    </w:p>
    <w:p w:rsidR="003A23BA" w:rsidRDefault="00A0583B" w:rsidP="003A23BA">
      <w:pPr>
        <w:pStyle w:val="CGCNumberedPara"/>
      </w:pPr>
      <w:r>
        <w:t>The Commission used</w:t>
      </w:r>
      <w:r w:rsidR="003A23BA">
        <w:t xml:space="preserve"> </w:t>
      </w:r>
      <w:r>
        <w:t xml:space="preserve">ABS </w:t>
      </w:r>
      <w:r w:rsidR="006D0289">
        <w:t xml:space="preserve">national accounts </w:t>
      </w:r>
      <w:r>
        <w:t xml:space="preserve">data on </w:t>
      </w:r>
      <w:r w:rsidR="003A23BA">
        <w:t>Compensation of Employees (</w:t>
      </w:r>
      <w:proofErr w:type="spellStart"/>
      <w:r w:rsidR="003A23BA">
        <w:t>CoE</w:t>
      </w:r>
      <w:proofErr w:type="spellEnd"/>
      <w:r w:rsidR="003A23BA">
        <w:t>) as its measure of the total remuneration paid in each State.</w:t>
      </w:r>
      <w:r>
        <w:rPr>
          <w:rStyle w:val="FootnoteReference"/>
        </w:rPr>
        <w:footnoteReference w:id="1"/>
      </w:r>
      <w:r w:rsidR="003A23BA">
        <w:t xml:space="preserve"> </w:t>
      </w:r>
      <w:proofErr w:type="spellStart"/>
      <w:r w:rsidR="003A23BA">
        <w:t>CoE</w:t>
      </w:r>
      <w:proofErr w:type="spellEnd"/>
      <w:r w:rsidR="003A23BA">
        <w:t xml:space="preserve"> is a broad measure of remuneration, covering wages, salaries, </w:t>
      </w:r>
      <w:proofErr w:type="gramStart"/>
      <w:r w:rsidR="003A23BA">
        <w:t>other</w:t>
      </w:r>
      <w:proofErr w:type="gramEnd"/>
      <w:r w:rsidR="003A23BA">
        <w:t xml:space="preserve"> cash benefits on behalf of employees (such as superannuation) and non-cash benefits. </w:t>
      </w:r>
    </w:p>
    <w:p w:rsidR="003A23BA" w:rsidRDefault="00A65AFD" w:rsidP="003A23BA">
      <w:pPr>
        <w:pStyle w:val="CGCNumberedPara"/>
      </w:pPr>
      <w:proofErr w:type="spellStart"/>
      <w:r>
        <w:t>CoE</w:t>
      </w:r>
      <w:proofErr w:type="spellEnd"/>
      <w:r>
        <w:t xml:space="preserve"> data could not be dissected by size of employers’ payrolls and were, therefore, supplemented with ABS data on wages and salaries to exclude remuneration below an average threshold. ABS wages and salaries data were also used to remove remuneration paid by the general government sector in each State. These adjustments are detailed below.</w:t>
      </w:r>
    </w:p>
    <w:p w:rsidR="001866CF" w:rsidRDefault="00A65AFD" w:rsidP="001866CF">
      <w:pPr>
        <w:pStyle w:val="CGCNumberedPara"/>
      </w:pPr>
      <w:r w:rsidRPr="00A65AFD">
        <w:rPr>
          <w:rStyle w:val="Heading6Char"/>
        </w:rPr>
        <w:t>Private sector</w:t>
      </w:r>
      <w:r>
        <w:rPr>
          <w:rStyle w:val="Heading6Char"/>
        </w:rPr>
        <w:t xml:space="preserve"> remuneration</w:t>
      </w:r>
      <w:r w:rsidRPr="00A65AFD">
        <w:rPr>
          <w:rStyle w:val="Heading6Char"/>
        </w:rPr>
        <w:t>.</w:t>
      </w:r>
      <w:r>
        <w:t xml:space="preserve"> Taxable remuneration in the private sector was calculated by adjusting private sector </w:t>
      </w:r>
      <w:proofErr w:type="spellStart"/>
      <w:r>
        <w:t>CoE</w:t>
      </w:r>
      <w:proofErr w:type="spellEnd"/>
      <w:r>
        <w:t xml:space="preserve"> to recognise the policy of all States to </w:t>
      </w:r>
      <w:r>
        <w:lastRenderedPageBreak/>
        <w:t>exempt remuneration below a general deduction threshold. To ensure the assessment was policy neutral, an average threshold was calculated by weighting each State’s threshold by its share of total remuneration paid.</w:t>
      </w:r>
      <w:r>
        <w:rPr>
          <w:rStyle w:val="FootnoteReference"/>
        </w:rPr>
        <w:footnoteReference w:id="2"/>
      </w:r>
    </w:p>
    <w:p w:rsidR="001866CF" w:rsidRDefault="00F017C5" w:rsidP="001866CF">
      <w:pPr>
        <w:pStyle w:val="CGCNumberedPara"/>
      </w:pPr>
      <w:r>
        <w:t>ABS data on aggregate private sector wages and salaries in each State above the average threshold were used to calculate the taxable proportion of total private sector remuneration in each State.</w:t>
      </w:r>
      <w:r>
        <w:rPr>
          <w:rStyle w:val="FootnoteReference"/>
        </w:rPr>
        <w:footnoteReference w:id="3"/>
      </w:r>
      <w:r>
        <w:t xml:space="preserve"> The taxable proportion was applied to private sector </w:t>
      </w:r>
      <w:proofErr w:type="spellStart"/>
      <w:r>
        <w:t>CoE</w:t>
      </w:r>
      <w:proofErr w:type="spellEnd"/>
      <w:r>
        <w:t xml:space="preserve"> to calculate the private sector part of the revenue base for each State.</w:t>
      </w:r>
    </w:p>
    <w:p w:rsidR="009B22CB" w:rsidRDefault="005547F0" w:rsidP="009B22CB">
      <w:pPr>
        <w:pStyle w:val="CGCNumberedPara"/>
      </w:pPr>
      <w:r w:rsidRPr="005547F0">
        <w:rPr>
          <w:rStyle w:val="Heading6Char"/>
        </w:rPr>
        <w:t>Public sector remuneration.</w:t>
      </w:r>
      <w:r>
        <w:t xml:space="preserve"> </w:t>
      </w:r>
      <w:r w:rsidR="009B22CB">
        <w:t>Taxable public sector remuneration in each State was calculated using ABS wages and salaries data</w:t>
      </w:r>
      <w:r w:rsidR="009B22CB">
        <w:rPr>
          <w:rStyle w:val="FootnoteReference"/>
        </w:rPr>
        <w:footnoteReference w:id="4"/>
      </w:r>
      <w:r w:rsidR="009B22CB">
        <w:t xml:space="preserve"> to make adjustments to public sector </w:t>
      </w:r>
      <w:proofErr w:type="spellStart"/>
      <w:r w:rsidR="009B22CB">
        <w:t>CoE</w:t>
      </w:r>
      <w:proofErr w:type="spellEnd"/>
      <w:r w:rsidR="009B22CB">
        <w:t xml:space="preserve"> to exclude: </w:t>
      </w:r>
    </w:p>
    <w:p w:rsidR="009B22CB" w:rsidRDefault="009B22CB" w:rsidP="009B22CB">
      <w:pPr>
        <w:pStyle w:val="CGCBulletlist"/>
        <w:numPr>
          <w:ilvl w:val="0"/>
          <w:numId w:val="1"/>
        </w:numPr>
        <w:tabs>
          <w:tab w:val="clear" w:pos="927"/>
        </w:tabs>
        <w:ind w:left="1134" w:hanging="567"/>
      </w:pPr>
      <w:r>
        <w:t>remuneration of general government employees</w:t>
      </w:r>
    </w:p>
    <w:p w:rsidR="009B22CB" w:rsidRDefault="009B22CB" w:rsidP="009B22CB">
      <w:pPr>
        <w:pStyle w:val="CGCBulletlist"/>
        <w:numPr>
          <w:ilvl w:val="0"/>
          <w:numId w:val="1"/>
        </w:numPr>
        <w:tabs>
          <w:tab w:val="clear" w:pos="927"/>
        </w:tabs>
        <w:ind w:left="1134" w:hanging="567"/>
      </w:pPr>
      <w:proofErr w:type="gramStart"/>
      <w:r>
        <w:t>remuneration</w:t>
      </w:r>
      <w:proofErr w:type="gramEnd"/>
      <w:r>
        <w:t xml:space="preserve"> below an average threshold.</w:t>
      </w:r>
      <w:r>
        <w:rPr>
          <w:rStyle w:val="FootnoteReference"/>
        </w:rPr>
        <w:footnoteReference w:id="5"/>
      </w:r>
      <w:r>
        <w:t xml:space="preserve"> </w:t>
      </w:r>
    </w:p>
    <w:p w:rsidR="009B22CB" w:rsidRDefault="009B22CB" w:rsidP="009B22CB">
      <w:pPr>
        <w:pStyle w:val="CGCNumberedPara"/>
      </w:pPr>
      <w:r>
        <w:t>The remuneration of general government sector employees at all levels of government was excluded from the revenue base, to reflect that:</w:t>
      </w:r>
    </w:p>
    <w:p w:rsidR="009B22CB" w:rsidRDefault="009B22CB" w:rsidP="009B22CB">
      <w:pPr>
        <w:pStyle w:val="CGCBulletlist"/>
        <w:numPr>
          <w:ilvl w:val="0"/>
          <w:numId w:val="1"/>
        </w:numPr>
      </w:pPr>
      <w:r>
        <w:t xml:space="preserve">States were unable to tax Commonwealth general government sector agencies </w:t>
      </w:r>
    </w:p>
    <w:p w:rsidR="009B22CB" w:rsidRDefault="009B22CB" w:rsidP="009B22CB">
      <w:pPr>
        <w:pStyle w:val="CGCBulletlist"/>
        <w:numPr>
          <w:ilvl w:val="0"/>
          <w:numId w:val="1"/>
        </w:numPr>
      </w:pPr>
      <w:r>
        <w:t>States raised only minor revenue from the general government sector at local government level</w:t>
      </w:r>
      <w:r>
        <w:rPr>
          <w:rStyle w:val="FootnoteReference"/>
        </w:rPr>
        <w:footnoteReference w:id="6"/>
      </w:r>
      <w:r>
        <w:t xml:space="preserve"> </w:t>
      </w:r>
    </w:p>
    <w:p w:rsidR="009B22CB" w:rsidRDefault="009B22CB" w:rsidP="009B22CB">
      <w:pPr>
        <w:pStyle w:val="CGCBulletlist"/>
        <w:numPr>
          <w:ilvl w:val="0"/>
          <w:numId w:val="1"/>
        </w:numPr>
      </w:pPr>
      <w:proofErr w:type="gramStart"/>
      <w:r>
        <w:t>payroll</w:t>
      </w:r>
      <w:proofErr w:type="gramEnd"/>
      <w:r>
        <w:t xml:space="preserve"> tax revenue collected by some States from their general government agencies was excluded since it represented an internal budget transfer, so the corresponding remuneration should be removed from the revenue base.</w:t>
      </w:r>
    </w:p>
    <w:p w:rsidR="009B22CB" w:rsidRDefault="009B22CB" w:rsidP="009B22CB">
      <w:pPr>
        <w:pStyle w:val="CGCNumberedPara"/>
      </w:pPr>
      <w:r>
        <w:t>The taxable public sector, therefore, included public sector financial and non-financial corporations (</w:t>
      </w:r>
      <w:proofErr w:type="spellStart"/>
      <w:r>
        <w:t>PFCs</w:t>
      </w:r>
      <w:proofErr w:type="spellEnd"/>
      <w:r>
        <w:t xml:space="preserve"> and </w:t>
      </w:r>
      <w:proofErr w:type="spellStart"/>
      <w:r>
        <w:t>PNFCs</w:t>
      </w:r>
      <w:proofErr w:type="spellEnd"/>
      <w:r>
        <w:t>) and higher education institutions (</w:t>
      </w:r>
      <w:proofErr w:type="spellStart"/>
      <w:r>
        <w:t>HEIs</w:t>
      </w:r>
      <w:proofErr w:type="spellEnd"/>
      <w:r>
        <w:t xml:space="preserve">). </w:t>
      </w:r>
      <w:proofErr w:type="spellStart"/>
      <w:r>
        <w:t>PFCs</w:t>
      </w:r>
      <w:proofErr w:type="spellEnd"/>
      <w:r>
        <w:t xml:space="preserve"> and </w:t>
      </w:r>
      <w:proofErr w:type="spellStart"/>
      <w:r>
        <w:t>PNFCs</w:t>
      </w:r>
      <w:proofErr w:type="spellEnd"/>
      <w:r>
        <w:t xml:space="preserve"> at all levels of government were liable for payroll tax under the 1995 Competition Principles Agreement between States and the Commonwealth. </w:t>
      </w:r>
      <w:proofErr w:type="spellStart"/>
      <w:r>
        <w:t>HEIs</w:t>
      </w:r>
      <w:proofErr w:type="spellEnd"/>
      <w:r>
        <w:t xml:space="preserve"> are liable for tax in all States.</w:t>
      </w:r>
      <w:r>
        <w:rPr>
          <w:rStyle w:val="FootnoteReference"/>
        </w:rPr>
        <w:footnoteReference w:id="7"/>
      </w:r>
    </w:p>
    <w:p w:rsidR="00043405" w:rsidRDefault="009B22CB" w:rsidP="00043405">
      <w:pPr>
        <w:pStyle w:val="CGCNumberedPara"/>
      </w:pPr>
      <w:r>
        <w:t>The taxable proportion of public sector remuneration was calculated using ABS data on aggregate public sector wages and salaries above an average tax-free threshold in ‘commercial’ industries</w:t>
      </w:r>
      <w:r w:rsidR="00520630">
        <w:t xml:space="preserve">, plus aggregate wages and salaries above the average </w:t>
      </w:r>
      <w:r w:rsidR="00520630">
        <w:lastRenderedPageBreak/>
        <w:t xml:space="preserve">thresholds in </w:t>
      </w:r>
      <w:proofErr w:type="spellStart"/>
      <w:r w:rsidR="00520630">
        <w:t>HEIs</w:t>
      </w:r>
      <w:proofErr w:type="spellEnd"/>
      <w:r>
        <w:t>.</w:t>
      </w:r>
      <w:r>
        <w:rPr>
          <w:rStyle w:val="FootnoteReference"/>
        </w:rPr>
        <w:footnoteReference w:id="8"/>
      </w:r>
      <w:r>
        <w:t xml:space="preserve"> Using data for commercial industries, rather than for </w:t>
      </w:r>
      <w:proofErr w:type="spellStart"/>
      <w:r>
        <w:t>PNFCs</w:t>
      </w:r>
      <w:proofErr w:type="spellEnd"/>
      <w:r>
        <w:t xml:space="preserve"> and </w:t>
      </w:r>
      <w:proofErr w:type="spellStart"/>
      <w:r>
        <w:t>PFCs</w:t>
      </w:r>
      <w:proofErr w:type="spellEnd"/>
      <w:r>
        <w:t>, ensured that the assessment was not affected by an individual State’s classification of its agencies. T</w:t>
      </w:r>
      <w:r w:rsidRPr="00241F9A">
        <w:t xml:space="preserve">he taxable proportion </w:t>
      </w:r>
      <w:r>
        <w:t xml:space="preserve">was applied to public sector </w:t>
      </w:r>
      <w:proofErr w:type="spellStart"/>
      <w:r>
        <w:t>CoE</w:t>
      </w:r>
      <w:proofErr w:type="spellEnd"/>
      <w:r>
        <w:t xml:space="preserve"> to calculate the </w:t>
      </w:r>
      <w:r w:rsidR="00D500C1">
        <w:t xml:space="preserve">public </w:t>
      </w:r>
      <w:r>
        <w:t>sector part of the revenue base for each State</w:t>
      </w:r>
      <w:r w:rsidRPr="00241F9A">
        <w:t>.</w:t>
      </w:r>
    </w:p>
    <w:p w:rsidR="00355C48" w:rsidRDefault="00355C48" w:rsidP="00043405">
      <w:pPr>
        <w:pStyle w:val="CGCNumberedPara"/>
      </w:pPr>
      <w:r>
        <w:fldChar w:fldCharType="begin"/>
      </w:r>
      <w:r>
        <w:instrText xml:space="preserve"> REF _Ref456688269 \h </w:instrText>
      </w:r>
      <w:r>
        <w:fldChar w:fldCharType="separate"/>
      </w:r>
      <w:r>
        <w:t xml:space="preserve">Table </w:t>
      </w:r>
      <w:r>
        <w:rPr>
          <w:noProof/>
        </w:rPr>
        <w:t>2</w:t>
      </w:r>
      <w:r>
        <w:fldChar w:fldCharType="end"/>
      </w:r>
      <w:r>
        <w:t xml:space="preserve"> below outlines the calculation of the Payroll tax revenue base.</w:t>
      </w:r>
    </w:p>
    <w:p w:rsidR="001866CF" w:rsidRDefault="001866CF" w:rsidP="001866CF">
      <w:pPr>
        <w:pStyle w:val="Caption"/>
        <w:ind w:left="0" w:firstLine="0"/>
        <w:rPr>
          <w:highlight w:val="yellow"/>
        </w:rPr>
      </w:pPr>
      <w:bookmarkStart w:id="6" w:name="_Ref456688269"/>
      <w:r>
        <w:t xml:space="preserve">Table </w:t>
      </w:r>
      <w:fldSimple w:instr=" SEQ Table \* ARABIC ">
        <w:r w:rsidR="0044574B">
          <w:rPr>
            <w:noProof/>
          </w:rPr>
          <w:t>2</w:t>
        </w:r>
      </w:fldSimple>
      <w:bookmarkEnd w:id="6"/>
      <w:r>
        <w:tab/>
        <w:t xml:space="preserve">Calculating the payroll tax revenue base, </w:t>
      </w:r>
      <w:r w:rsidR="00A83FED">
        <w:t>2016-17</w:t>
      </w:r>
    </w:p>
    <w:tbl>
      <w:tblPr>
        <w:tblW w:w="9280" w:type="dxa"/>
        <w:tblLayout w:type="fixed"/>
        <w:tblCellMar>
          <w:left w:w="0" w:type="dxa"/>
          <w:right w:w="0" w:type="dxa"/>
        </w:tblCellMar>
        <w:tblLook w:val="04A0" w:firstRow="1" w:lastRow="0" w:firstColumn="1" w:lastColumn="0" w:noHBand="0" w:noVBand="1"/>
      </w:tblPr>
      <w:tblGrid>
        <w:gridCol w:w="2720"/>
        <w:gridCol w:w="720"/>
        <w:gridCol w:w="720"/>
        <w:gridCol w:w="720"/>
        <w:gridCol w:w="720"/>
        <w:gridCol w:w="720"/>
        <w:gridCol w:w="720"/>
        <w:gridCol w:w="720"/>
        <w:gridCol w:w="720"/>
        <w:gridCol w:w="800"/>
      </w:tblGrid>
      <w:tr w:rsidR="001866CF" w:rsidRPr="00886C14" w:rsidTr="00236CC9">
        <w:trPr>
          <w:trHeight w:val="375"/>
        </w:trPr>
        <w:tc>
          <w:tcPr>
            <w:tcW w:w="2720" w:type="dxa"/>
            <w:tcBorders>
              <w:top w:val="single" w:sz="4" w:space="0" w:color="auto"/>
              <w:left w:val="nil"/>
              <w:bottom w:val="single" w:sz="4" w:space="0" w:color="auto"/>
              <w:right w:val="nil"/>
            </w:tcBorders>
            <w:shd w:val="clear" w:color="auto" w:fill="auto"/>
            <w:noWrap/>
            <w:vAlign w:val="center"/>
            <w:hideMark/>
          </w:tcPr>
          <w:p w:rsidR="001866CF" w:rsidRPr="00886C14" w:rsidRDefault="001866CF" w:rsidP="00236CC9">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bookmarkStart w:id="7" w:name="RANGE!A4:J13"/>
            <w:r w:rsidRPr="00886C14">
              <w:rPr>
                <w:rFonts w:ascii="Calibri" w:eastAsia="Times New Roman" w:hAnsi="Calibri" w:cs="Times New Roman"/>
                <w:sz w:val="20"/>
                <w:szCs w:val="20"/>
                <w:lang w:eastAsia="en-AU"/>
              </w:rPr>
              <w:t> </w:t>
            </w:r>
            <w:bookmarkEnd w:id="7"/>
          </w:p>
        </w:tc>
        <w:tc>
          <w:tcPr>
            <w:tcW w:w="720" w:type="dxa"/>
            <w:tcBorders>
              <w:top w:val="single" w:sz="4" w:space="0" w:color="auto"/>
              <w:left w:val="nil"/>
              <w:bottom w:val="single" w:sz="4" w:space="0" w:color="auto"/>
              <w:right w:val="nil"/>
            </w:tcBorders>
            <w:shd w:val="clear" w:color="auto" w:fill="auto"/>
            <w:noWrap/>
            <w:vAlign w:val="center"/>
            <w:hideMark/>
          </w:tcPr>
          <w:p w:rsidR="001866CF" w:rsidRPr="00886C14" w:rsidRDefault="001866CF" w:rsidP="00236CC9">
            <w:pPr>
              <w:keepNext/>
              <w:keepLines/>
              <w:tabs>
                <w:tab w:val="clear" w:pos="567"/>
              </w:tabs>
              <w:spacing w:after="0" w:line="240" w:lineRule="auto"/>
              <w:jc w:val="right"/>
              <w:rPr>
                <w:rFonts w:ascii="Calibri" w:eastAsia="Times New Roman" w:hAnsi="Calibri" w:cs="Times New Roman"/>
                <w:sz w:val="20"/>
                <w:szCs w:val="20"/>
                <w:lang w:eastAsia="en-AU"/>
              </w:rPr>
            </w:pPr>
            <w:r w:rsidRPr="00886C14">
              <w:rPr>
                <w:rFonts w:ascii="Calibri" w:eastAsia="Times New Roman" w:hAnsi="Calibri" w:cs="Times New Roman"/>
                <w:sz w:val="20"/>
                <w:szCs w:val="20"/>
                <w:lang w:eastAsia="en-AU"/>
              </w:rPr>
              <w:t>NSW</w:t>
            </w:r>
          </w:p>
        </w:tc>
        <w:tc>
          <w:tcPr>
            <w:tcW w:w="720" w:type="dxa"/>
            <w:tcBorders>
              <w:top w:val="single" w:sz="4" w:space="0" w:color="auto"/>
              <w:left w:val="nil"/>
              <w:bottom w:val="single" w:sz="4" w:space="0" w:color="auto"/>
              <w:right w:val="nil"/>
            </w:tcBorders>
            <w:shd w:val="clear" w:color="auto" w:fill="auto"/>
            <w:noWrap/>
            <w:vAlign w:val="center"/>
            <w:hideMark/>
          </w:tcPr>
          <w:p w:rsidR="001866CF" w:rsidRPr="00886C14" w:rsidRDefault="001866CF" w:rsidP="00236CC9">
            <w:pPr>
              <w:keepNext/>
              <w:keepLines/>
              <w:tabs>
                <w:tab w:val="clear" w:pos="567"/>
              </w:tabs>
              <w:spacing w:after="0" w:line="240" w:lineRule="auto"/>
              <w:jc w:val="right"/>
              <w:rPr>
                <w:rFonts w:ascii="Calibri" w:eastAsia="Times New Roman" w:hAnsi="Calibri" w:cs="Times New Roman"/>
                <w:sz w:val="20"/>
                <w:szCs w:val="20"/>
                <w:lang w:eastAsia="en-AU"/>
              </w:rPr>
            </w:pPr>
            <w:r w:rsidRPr="00886C14">
              <w:rPr>
                <w:rFonts w:ascii="Calibri" w:eastAsia="Times New Roman" w:hAnsi="Calibri" w:cs="Times New Roman"/>
                <w:sz w:val="20"/>
                <w:szCs w:val="20"/>
                <w:lang w:eastAsia="en-AU"/>
              </w:rPr>
              <w:t>Vic</w:t>
            </w:r>
          </w:p>
        </w:tc>
        <w:tc>
          <w:tcPr>
            <w:tcW w:w="720" w:type="dxa"/>
            <w:tcBorders>
              <w:top w:val="single" w:sz="4" w:space="0" w:color="auto"/>
              <w:left w:val="nil"/>
              <w:bottom w:val="single" w:sz="4" w:space="0" w:color="auto"/>
              <w:right w:val="nil"/>
            </w:tcBorders>
            <w:shd w:val="clear" w:color="auto" w:fill="auto"/>
            <w:noWrap/>
            <w:vAlign w:val="center"/>
            <w:hideMark/>
          </w:tcPr>
          <w:p w:rsidR="001866CF" w:rsidRPr="00886C14" w:rsidRDefault="001866CF" w:rsidP="00236CC9">
            <w:pPr>
              <w:keepNext/>
              <w:keepLines/>
              <w:tabs>
                <w:tab w:val="clear" w:pos="567"/>
              </w:tabs>
              <w:spacing w:after="0" w:line="240" w:lineRule="auto"/>
              <w:jc w:val="right"/>
              <w:rPr>
                <w:rFonts w:ascii="Calibri" w:eastAsia="Times New Roman" w:hAnsi="Calibri" w:cs="Times New Roman"/>
                <w:sz w:val="20"/>
                <w:szCs w:val="20"/>
                <w:lang w:eastAsia="en-AU"/>
              </w:rPr>
            </w:pPr>
            <w:r w:rsidRPr="00886C14">
              <w:rPr>
                <w:rFonts w:ascii="Calibri" w:eastAsia="Times New Roman" w:hAnsi="Calibri" w:cs="Times New Roman"/>
                <w:sz w:val="20"/>
                <w:szCs w:val="20"/>
                <w:lang w:eastAsia="en-AU"/>
              </w:rPr>
              <w:t>Qld</w:t>
            </w:r>
          </w:p>
        </w:tc>
        <w:tc>
          <w:tcPr>
            <w:tcW w:w="720" w:type="dxa"/>
            <w:tcBorders>
              <w:top w:val="single" w:sz="4" w:space="0" w:color="auto"/>
              <w:left w:val="nil"/>
              <w:bottom w:val="single" w:sz="4" w:space="0" w:color="auto"/>
              <w:right w:val="nil"/>
            </w:tcBorders>
            <w:shd w:val="clear" w:color="auto" w:fill="auto"/>
            <w:noWrap/>
            <w:vAlign w:val="center"/>
            <w:hideMark/>
          </w:tcPr>
          <w:p w:rsidR="001866CF" w:rsidRPr="00886C14" w:rsidRDefault="001866CF" w:rsidP="00236CC9">
            <w:pPr>
              <w:keepNext/>
              <w:keepLines/>
              <w:tabs>
                <w:tab w:val="clear" w:pos="567"/>
              </w:tabs>
              <w:spacing w:after="0" w:line="240" w:lineRule="auto"/>
              <w:jc w:val="right"/>
              <w:rPr>
                <w:rFonts w:ascii="Calibri" w:eastAsia="Times New Roman" w:hAnsi="Calibri" w:cs="Times New Roman"/>
                <w:sz w:val="20"/>
                <w:szCs w:val="20"/>
                <w:lang w:eastAsia="en-AU"/>
              </w:rPr>
            </w:pPr>
            <w:r w:rsidRPr="00886C14">
              <w:rPr>
                <w:rFonts w:ascii="Calibri" w:eastAsia="Times New Roman" w:hAnsi="Calibri" w:cs="Times New Roman"/>
                <w:sz w:val="20"/>
                <w:szCs w:val="20"/>
                <w:lang w:eastAsia="en-AU"/>
              </w:rPr>
              <w:t>WA</w:t>
            </w:r>
          </w:p>
        </w:tc>
        <w:tc>
          <w:tcPr>
            <w:tcW w:w="720" w:type="dxa"/>
            <w:tcBorders>
              <w:top w:val="single" w:sz="4" w:space="0" w:color="auto"/>
              <w:left w:val="nil"/>
              <w:bottom w:val="single" w:sz="4" w:space="0" w:color="auto"/>
              <w:right w:val="nil"/>
            </w:tcBorders>
            <w:shd w:val="clear" w:color="auto" w:fill="auto"/>
            <w:noWrap/>
            <w:vAlign w:val="center"/>
            <w:hideMark/>
          </w:tcPr>
          <w:p w:rsidR="001866CF" w:rsidRPr="00886C14" w:rsidRDefault="001866CF" w:rsidP="00236CC9">
            <w:pPr>
              <w:keepNext/>
              <w:keepLines/>
              <w:tabs>
                <w:tab w:val="clear" w:pos="567"/>
              </w:tabs>
              <w:spacing w:after="0" w:line="240" w:lineRule="auto"/>
              <w:jc w:val="right"/>
              <w:rPr>
                <w:rFonts w:ascii="Calibri" w:eastAsia="Times New Roman" w:hAnsi="Calibri" w:cs="Times New Roman"/>
                <w:sz w:val="20"/>
                <w:szCs w:val="20"/>
                <w:lang w:eastAsia="en-AU"/>
              </w:rPr>
            </w:pPr>
            <w:r w:rsidRPr="00886C14">
              <w:rPr>
                <w:rFonts w:ascii="Calibri" w:eastAsia="Times New Roman" w:hAnsi="Calibri" w:cs="Times New Roman"/>
                <w:sz w:val="20"/>
                <w:szCs w:val="20"/>
                <w:lang w:eastAsia="en-AU"/>
              </w:rPr>
              <w:t>SA</w:t>
            </w:r>
          </w:p>
        </w:tc>
        <w:tc>
          <w:tcPr>
            <w:tcW w:w="720" w:type="dxa"/>
            <w:tcBorders>
              <w:top w:val="single" w:sz="4" w:space="0" w:color="auto"/>
              <w:left w:val="nil"/>
              <w:bottom w:val="single" w:sz="4" w:space="0" w:color="auto"/>
              <w:right w:val="nil"/>
            </w:tcBorders>
            <w:shd w:val="clear" w:color="auto" w:fill="auto"/>
            <w:noWrap/>
            <w:vAlign w:val="center"/>
            <w:hideMark/>
          </w:tcPr>
          <w:p w:rsidR="001866CF" w:rsidRPr="00886C14" w:rsidRDefault="001866CF" w:rsidP="00236CC9">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886C14">
              <w:rPr>
                <w:rFonts w:ascii="Calibri" w:eastAsia="Times New Roman" w:hAnsi="Calibri" w:cs="Times New Roman"/>
                <w:sz w:val="20"/>
                <w:szCs w:val="20"/>
                <w:lang w:eastAsia="en-AU"/>
              </w:rPr>
              <w:t>Tas</w:t>
            </w:r>
            <w:proofErr w:type="spellEnd"/>
          </w:p>
        </w:tc>
        <w:tc>
          <w:tcPr>
            <w:tcW w:w="720" w:type="dxa"/>
            <w:tcBorders>
              <w:top w:val="single" w:sz="4" w:space="0" w:color="auto"/>
              <w:left w:val="nil"/>
              <w:bottom w:val="single" w:sz="4" w:space="0" w:color="auto"/>
              <w:right w:val="nil"/>
            </w:tcBorders>
            <w:shd w:val="clear" w:color="auto" w:fill="auto"/>
            <w:noWrap/>
            <w:vAlign w:val="center"/>
            <w:hideMark/>
          </w:tcPr>
          <w:p w:rsidR="001866CF" w:rsidRPr="00886C14" w:rsidRDefault="001866CF" w:rsidP="00236CC9">
            <w:pPr>
              <w:keepNext/>
              <w:keepLines/>
              <w:tabs>
                <w:tab w:val="clear" w:pos="567"/>
              </w:tabs>
              <w:spacing w:after="0" w:line="240" w:lineRule="auto"/>
              <w:jc w:val="right"/>
              <w:rPr>
                <w:rFonts w:ascii="Calibri" w:eastAsia="Times New Roman" w:hAnsi="Calibri" w:cs="Times New Roman"/>
                <w:sz w:val="20"/>
                <w:szCs w:val="20"/>
                <w:lang w:eastAsia="en-AU"/>
              </w:rPr>
            </w:pPr>
            <w:r w:rsidRPr="00886C14">
              <w:rPr>
                <w:rFonts w:ascii="Calibri" w:eastAsia="Times New Roman" w:hAnsi="Calibri" w:cs="Times New Roman"/>
                <w:sz w:val="20"/>
                <w:szCs w:val="20"/>
                <w:lang w:eastAsia="en-AU"/>
              </w:rPr>
              <w:t>ACT</w:t>
            </w:r>
          </w:p>
        </w:tc>
        <w:tc>
          <w:tcPr>
            <w:tcW w:w="720" w:type="dxa"/>
            <w:tcBorders>
              <w:top w:val="single" w:sz="4" w:space="0" w:color="auto"/>
              <w:left w:val="nil"/>
              <w:bottom w:val="single" w:sz="4" w:space="0" w:color="auto"/>
              <w:right w:val="nil"/>
            </w:tcBorders>
            <w:shd w:val="clear" w:color="auto" w:fill="auto"/>
            <w:noWrap/>
            <w:vAlign w:val="center"/>
            <w:hideMark/>
          </w:tcPr>
          <w:p w:rsidR="001866CF" w:rsidRPr="00886C14" w:rsidRDefault="001866CF" w:rsidP="00236CC9">
            <w:pPr>
              <w:keepNext/>
              <w:keepLines/>
              <w:tabs>
                <w:tab w:val="clear" w:pos="567"/>
              </w:tabs>
              <w:spacing w:after="0" w:line="240" w:lineRule="auto"/>
              <w:jc w:val="right"/>
              <w:rPr>
                <w:rFonts w:ascii="Calibri" w:eastAsia="Times New Roman" w:hAnsi="Calibri" w:cs="Times New Roman"/>
                <w:sz w:val="20"/>
                <w:szCs w:val="20"/>
                <w:lang w:eastAsia="en-AU"/>
              </w:rPr>
            </w:pPr>
            <w:r w:rsidRPr="00886C14">
              <w:rPr>
                <w:rFonts w:ascii="Calibri" w:eastAsia="Times New Roman" w:hAnsi="Calibri" w:cs="Times New Roman"/>
                <w:sz w:val="20"/>
                <w:szCs w:val="20"/>
                <w:lang w:eastAsia="en-AU"/>
              </w:rPr>
              <w:t>NT</w:t>
            </w:r>
          </w:p>
        </w:tc>
        <w:tc>
          <w:tcPr>
            <w:tcW w:w="800" w:type="dxa"/>
            <w:tcBorders>
              <w:top w:val="single" w:sz="4" w:space="0" w:color="auto"/>
              <w:left w:val="nil"/>
              <w:bottom w:val="single" w:sz="4" w:space="0" w:color="auto"/>
              <w:right w:val="nil"/>
            </w:tcBorders>
            <w:shd w:val="clear" w:color="auto" w:fill="auto"/>
            <w:noWrap/>
            <w:vAlign w:val="center"/>
            <w:hideMark/>
          </w:tcPr>
          <w:p w:rsidR="001866CF" w:rsidRPr="00886C14" w:rsidRDefault="001866CF" w:rsidP="00236CC9">
            <w:pPr>
              <w:keepNext/>
              <w:keepLines/>
              <w:tabs>
                <w:tab w:val="clear" w:pos="567"/>
              </w:tabs>
              <w:spacing w:after="0" w:line="240" w:lineRule="auto"/>
              <w:jc w:val="right"/>
              <w:rPr>
                <w:rFonts w:ascii="Calibri" w:eastAsia="Times New Roman" w:hAnsi="Calibri" w:cs="Times New Roman"/>
                <w:sz w:val="20"/>
                <w:szCs w:val="20"/>
                <w:lang w:eastAsia="en-AU"/>
              </w:rPr>
            </w:pPr>
            <w:r w:rsidRPr="00886C14">
              <w:rPr>
                <w:rFonts w:ascii="Calibri" w:eastAsia="Times New Roman" w:hAnsi="Calibri" w:cs="Times New Roman"/>
                <w:sz w:val="20"/>
                <w:szCs w:val="20"/>
                <w:lang w:eastAsia="en-AU"/>
              </w:rPr>
              <w:t>Total</w:t>
            </w:r>
          </w:p>
        </w:tc>
      </w:tr>
      <w:tr w:rsidR="001866CF" w:rsidRPr="00886C14" w:rsidTr="00236CC9">
        <w:trPr>
          <w:trHeight w:val="315"/>
        </w:trPr>
        <w:tc>
          <w:tcPr>
            <w:tcW w:w="2720" w:type="dxa"/>
            <w:tcBorders>
              <w:top w:val="nil"/>
              <w:left w:val="nil"/>
              <w:bottom w:val="nil"/>
              <w:right w:val="nil"/>
            </w:tcBorders>
            <w:shd w:val="clear" w:color="auto" w:fill="auto"/>
            <w:noWrap/>
            <w:vAlign w:val="bottom"/>
            <w:hideMark/>
          </w:tcPr>
          <w:p w:rsidR="001866CF" w:rsidRPr="00886C14" w:rsidRDefault="001866CF" w:rsidP="00236CC9">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886C14">
              <w:rPr>
                <w:rFonts w:ascii="Calibri" w:eastAsia="Times New Roman" w:hAnsi="Calibri" w:cs="Times New Roman"/>
                <w:sz w:val="20"/>
                <w:szCs w:val="20"/>
                <w:lang w:eastAsia="en-AU"/>
              </w:rPr>
              <w:t>Public sector</w:t>
            </w:r>
          </w:p>
        </w:tc>
        <w:tc>
          <w:tcPr>
            <w:tcW w:w="720" w:type="dxa"/>
            <w:tcBorders>
              <w:top w:val="nil"/>
              <w:left w:val="nil"/>
              <w:bottom w:val="nil"/>
              <w:right w:val="nil"/>
            </w:tcBorders>
            <w:shd w:val="clear" w:color="auto" w:fill="auto"/>
            <w:noWrap/>
            <w:vAlign w:val="bottom"/>
            <w:hideMark/>
          </w:tcPr>
          <w:p w:rsidR="001866CF" w:rsidRPr="00886C14" w:rsidRDefault="001866CF" w:rsidP="00236CC9">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noWrap/>
            <w:vAlign w:val="bottom"/>
            <w:hideMark/>
          </w:tcPr>
          <w:p w:rsidR="001866CF" w:rsidRPr="00886C14" w:rsidRDefault="001866CF" w:rsidP="00236CC9">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noWrap/>
            <w:vAlign w:val="bottom"/>
            <w:hideMark/>
          </w:tcPr>
          <w:p w:rsidR="001866CF" w:rsidRPr="00886C14" w:rsidRDefault="001866CF" w:rsidP="00236CC9">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noWrap/>
            <w:vAlign w:val="bottom"/>
            <w:hideMark/>
          </w:tcPr>
          <w:p w:rsidR="001866CF" w:rsidRPr="00886C14" w:rsidRDefault="001866CF" w:rsidP="00236CC9">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noWrap/>
            <w:vAlign w:val="bottom"/>
            <w:hideMark/>
          </w:tcPr>
          <w:p w:rsidR="001866CF" w:rsidRPr="00886C14" w:rsidRDefault="001866CF" w:rsidP="00236CC9">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noWrap/>
            <w:vAlign w:val="bottom"/>
            <w:hideMark/>
          </w:tcPr>
          <w:p w:rsidR="001866CF" w:rsidRPr="00886C14" w:rsidRDefault="001866CF" w:rsidP="00236CC9">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noWrap/>
            <w:vAlign w:val="bottom"/>
            <w:hideMark/>
          </w:tcPr>
          <w:p w:rsidR="001866CF" w:rsidRPr="00886C14" w:rsidRDefault="001866CF" w:rsidP="00236CC9">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noWrap/>
            <w:vAlign w:val="bottom"/>
            <w:hideMark/>
          </w:tcPr>
          <w:p w:rsidR="001866CF" w:rsidRPr="00886C14" w:rsidRDefault="001866CF" w:rsidP="00236CC9">
            <w:pPr>
              <w:keepNext/>
              <w:keepLines/>
              <w:tabs>
                <w:tab w:val="clear" w:pos="567"/>
              </w:tabs>
              <w:spacing w:after="0" w:line="240" w:lineRule="auto"/>
              <w:jc w:val="right"/>
              <w:rPr>
                <w:rFonts w:ascii="Calibri" w:eastAsia="Times New Roman" w:hAnsi="Calibri" w:cs="Times New Roman"/>
                <w:sz w:val="20"/>
                <w:szCs w:val="20"/>
                <w:lang w:eastAsia="en-AU"/>
              </w:rPr>
            </w:pPr>
          </w:p>
        </w:tc>
        <w:tc>
          <w:tcPr>
            <w:tcW w:w="800" w:type="dxa"/>
            <w:tcBorders>
              <w:top w:val="nil"/>
              <w:left w:val="nil"/>
              <w:bottom w:val="nil"/>
              <w:right w:val="nil"/>
            </w:tcBorders>
            <w:shd w:val="clear" w:color="auto" w:fill="auto"/>
            <w:noWrap/>
            <w:vAlign w:val="bottom"/>
            <w:hideMark/>
          </w:tcPr>
          <w:p w:rsidR="001866CF" w:rsidRPr="00886C14" w:rsidRDefault="001866CF" w:rsidP="00236CC9">
            <w:pPr>
              <w:keepNext/>
              <w:keepLines/>
              <w:tabs>
                <w:tab w:val="clear" w:pos="567"/>
              </w:tabs>
              <w:spacing w:after="0" w:line="240" w:lineRule="auto"/>
              <w:jc w:val="right"/>
              <w:rPr>
                <w:rFonts w:ascii="Calibri" w:eastAsia="Times New Roman" w:hAnsi="Calibri" w:cs="Times New Roman"/>
                <w:sz w:val="20"/>
                <w:szCs w:val="20"/>
                <w:lang w:eastAsia="en-AU"/>
              </w:rPr>
            </w:pPr>
          </w:p>
        </w:tc>
      </w:tr>
      <w:tr w:rsidR="00A83FED" w:rsidRPr="00886C14" w:rsidTr="00236CC9">
        <w:trPr>
          <w:trHeight w:val="315"/>
        </w:trPr>
        <w:tc>
          <w:tcPr>
            <w:tcW w:w="2720" w:type="dxa"/>
            <w:tcBorders>
              <w:top w:val="nil"/>
              <w:left w:val="nil"/>
              <w:bottom w:val="nil"/>
              <w:right w:val="nil"/>
            </w:tcBorders>
            <w:shd w:val="clear" w:color="auto" w:fill="auto"/>
            <w:noWrap/>
            <w:vAlign w:val="bottom"/>
            <w:hideMark/>
          </w:tcPr>
          <w:p w:rsidR="00A83FED" w:rsidRPr="00886C14" w:rsidRDefault="00A83FED" w:rsidP="00236CC9">
            <w:pPr>
              <w:keepNext/>
              <w:keepLines/>
              <w:tabs>
                <w:tab w:val="clear" w:pos="567"/>
              </w:tabs>
              <w:spacing w:after="0" w:line="240" w:lineRule="auto"/>
              <w:ind w:left="193" w:firstLineChars="100" w:firstLine="200"/>
              <w:rPr>
                <w:rFonts w:ascii="Calibri" w:eastAsia="Times New Roman" w:hAnsi="Calibri" w:cs="Times New Roman"/>
                <w:sz w:val="20"/>
                <w:szCs w:val="20"/>
                <w:lang w:eastAsia="en-AU"/>
              </w:rPr>
            </w:pPr>
            <w:proofErr w:type="spellStart"/>
            <w:r w:rsidRPr="00886C14">
              <w:rPr>
                <w:rFonts w:ascii="Calibri" w:eastAsia="Times New Roman" w:hAnsi="Calibri" w:cs="Times New Roman"/>
                <w:sz w:val="20"/>
                <w:szCs w:val="20"/>
                <w:lang w:eastAsia="en-AU"/>
              </w:rPr>
              <w:t>CoE</w:t>
            </w:r>
            <w:proofErr w:type="spellEnd"/>
            <w:r w:rsidRPr="00886C14">
              <w:rPr>
                <w:rFonts w:ascii="Calibri" w:eastAsia="Times New Roman" w:hAnsi="Calibri" w:cs="Times New Roman"/>
                <w:sz w:val="20"/>
                <w:szCs w:val="20"/>
                <w:lang w:eastAsia="en-AU"/>
              </w:rPr>
              <w:t xml:space="preserve"> ($b) (a)</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53</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38</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35</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19</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14</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4</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14</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3</w:t>
            </w:r>
          </w:p>
        </w:tc>
        <w:tc>
          <w:tcPr>
            <w:tcW w:w="80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180</w:t>
            </w:r>
          </w:p>
        </w:tc>
      </w:tr>
      <w:tr w:rsidR="00A83FED" w:rsidRPr="00886C14" w:rsidTr="00236CC9">
        <w:trPr>
          <w:trHeight w:val="315"/>
        </w:trPr>
        <w:tc>
          <w:tcPr>
            <w:tcW w:w="2720" w:type="dxa"/>
            <w:tcBorders>
              <w:top w:val="nil"/>
              <w:left w:val="nil"/>
              <w:bottom w:val="nil"/>
              <w:right w:val="nil"/>
            </w:tcBorders>
            <w:shd w:val="clear" w:color="auto" w:fill="auto"/>
            <w:noWrap/>
            <w:vAlign w:val="bottom"/>
            <w:hideMark/>
          </w:tcPr>
          <w:p w:rsidR="00A83FED" w:rsidRPr="00886C14" w:rsidRDefault="00A83FED" w:rsidP="00236CC9">
            <w:pPr>
              <w:keepNext/>
              <w:keepLines/>
              <w:tabs>
                <w:tab w:val="clear" w:pos="567"/>
              </w:tabs>
              <w:spacing w:after="0" w:line="240" w:lineRule="auto"/>
              <w:ind w:left="193" w:firstLineChars="100" w:firstLine="200"/>
              <w:rPr>
                <w:rFonts w:ascii="Calibri" w:eastAsia="Times New Roman" w:hAnsi="Calibri" w:cs="Times New Roman"/>
                <w:sz w:val="20"/>
                <w:szCs w:val="20"/>
                <w:lang w:eastAsia="en-AU"/>
              </w:rPr>
            </w:pPr>
            <w:r w:rsidRPr="00886C14">
              <w:rPr>
                <w:rFonts w:ascii="Calibri" w:eastAsia="Times New Roman" w:hAnsi="Calibri" w:cs="Times New Roman"/>
                <w:sz w:val="20"/>
                <w:szCs w:val="20"/>
                <w:lang w:eastAsia="en-AU"/>
              </w:rPr>
              <w:t>Taxable proportion (%)</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20.1</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19.2</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17.9</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17.8</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14.2</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22.3</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11.5</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9.6</w:t>
            </w:r>
          </w:p>
        </w:tc>
        <w:tc>
          <w:tcPr>
            <w:tcW w:w="80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18.1</w:t>
            </w:r>
          </w:p>
        </w:tc>
      </w:tr>
      <w:tr w:rsidR="00A83FED" w:rsidRPr="00886C14" w:rsidTr="00236CC9">
        <w:trPr>
          <w:trHeight w:val="315"/>
        </w:trPr>
        <w:tc>
          <w:tcPr>
            <w:tcW w:w="2720" w:type="dxa"/>
            <w:tcBorders>
              <w:top w:val="nil"/>
              <w:left w:val="nil"/>
              <w:bottom w:val="nil"/>
              <w:right w:val="nil"/>
            </w:tcBorders>
            <w:shd w:val="clear" w:color="auto" w:fill="auto"/>
            <w:noWrap/>
            <w:vAlign w:val="bottom"/>
            <w:hideMark/>
          </w:tcPr>
          <w:p w:rsidR="00A83FED" w:rsidRPr="00886C14" w:rsidRDefault="00A83FED" w:rsidP="00236CC9">
            <w:pPr>
              <w:keepNext/>
              <w:keepLines/>
              <w:tabs>
                <w:tab w:val="clear" w:pos="567"/>
              </w:tabs>
              <w:spacing w:after="0" w:line="240" w:lineRule="auto"/>
              <w:ind w:left="193" w:firstLineChars="100" w:firstLine="200"/>
              <w:rPr>
                <w:rFonts w:ascii="Calibri" w:eastAsia="Times New Roman" w:hAnsi="Calibri" w:cs="Times New Roman"/>
                <w:sz w:val="20"/>
                <w:szCs w:val="20"/>
                <w:lang w:eastAsia="en-AU"/>
              </w:rPr>
            </w:pPr>
            <w:r w:rsidRPr="00886C14">
              <w:rPr>
                <w:rFonts w:ascii="Calibri" w:eastAsia="Times New Roman" w:hAnsi="Calibri" w:cs="Times New Roman"/>
                <w:sz w:val="20"/>
                <w:szCs w:val="20"/>
                <w:lang w:eastAsia="en-AU"/>
              </w:rPr>
              <w:t xml:space="preserve">Taxable </w:t>
            </w:r>
            <w:proofErr w:type="spellStart"/>
            <w:r w:rsidRPr="00886C14">
              <w:rPr>
                <w:rFonts w:ascii="Calibri" w:eastAsia="Times New Roman" w:hAnsi="Calibri" w:cs="Times New Roman"/>
                <w:sz w:val="20"/>
                <w:szCs w:val="20"/>
                <w:lang w:eastAsia="en-AU"/>
              </w:rPr>
              <w:t>CoE</w:t>
            </w:r>
            <w:proofErr w:type="spellEnd"/>
            <w:r w:rsidRPr="00886C14">
              <w:rPr>
                <w:rFonts w:ascii="Calibri" w:eastAsia="Times New Roman" w:hAnsi="Calibri" w:cs="Times New Roman"/>
                <w:sz w:val="20"/>
                <w:szCs w:val="20"/>
                <w:lang w:eastAsia="en-AU"/>
              </w:rPr>
              <w:t xml:space="preserve"> ($b)</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11</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7</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6</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3</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2</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1</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2</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0</w:t>
            </w:r>
          </w:p>
        </w:tc>
        <w:tc>
          <w:tcPr>
            <w:tcW w:w="80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32</w:t>
            </w:r>
          </w:p>
        </w:tc>
      </w:tr>
      <w:tr w:rsidR="00A83FED" w:rsidRPr="00886C14" w:rsidTr="00236CC9">
        <w:trPr>
          <w:trHeight w:val="315"/>
        </w:trPr>
        <w:tc>
          <w:tcPr>
            <w:tcW w:w="2720" w:type="dxa"/>
            <w:tcBorders>
              <w:top w:val="nil"/>
              <w:left w:val="nil"/>
              <w:bottom w:val="nil"/>
              <w:right w:val="nil"/>
            </w:tcBorders>
            <w:shd w:val="clear" w:color="auto" w:fill="auto"/>
            <w:noWrap/>
            <w:vAlign w:val="bottom"/>
            <w:hideMark/>
          </w:tcPr>
          <w:p w:rsidR="00A83FED" w:rsidRPr="00886C14" w:rsidRDefault="00A83FED" w:rsidP="00236CC9">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886C14">
              <w:rPr>
                <w:rFonts w:ascii="Calibri" w:eastAsia="Times New Roman" w:hAnsi="Calibri" w:cs="Times New Roman"/>
                <w:sz w:val="20"/>
                <w:szCs w:val="20"/>
                <w:lang w:eastAsia="en-AU"/>
              </w:rPr>
              <w:t>Private sector</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p>
        </w:tc>
        <w:tc>
          <w:tcPr>
            <w:tcW w:w="80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p>
        </w:tc>
      </w:tr>
      <w:tr w:rsidR="00A83FED" w:rsidRPr="00886C14" w:rsidTr="00236CC9">
        <w:trPr>
          <w:trHeight w:val="315"/>
        </w:trPr>
        <w:tc>
          <w:tcPr>
            <w:tcW w:w="2720" w:type="dxa"/>
            <w:tcBorders>
              <w:top w:val="nil"/>
              <w:left w:val="nil"/>
              <w:bottom w:val="nil"/>
              <w:right w:val="nil"/>
            </w:tcBorders>
            <w:shd w:val="clear" w:color="auto" w:fill="auto"/>
            <w:noWrap/>
            <w:vAlign w:val="bottom"/>
            <w:hideMark/>
          </w:tcPr>
          <w:p w:rsidR="00A83FED" w:rsidRPr="00886C14" w:rsidRDefault="00A83FED" w:rsidP="00236CC9">
            <w:pPr>
              <w:keepNext/>
              <w:keepLines/>
              <w:tabs>
                <w:tab w:val="clear" w:pos="567"/>
              </w:tabs>
              <w:spacing w:after="0" w:line="240" w:lineRule="auto"/>
              <w:ind w:left="193" w:firstLineChars="100" w:firstLine="200"/>
              <w:rPr>
                <w:rFonts w:ascii="Calibri" w:eastAsia="Times New Roman" w:hAnsi="Calibri" w:cs="Times New Roman"/>
                <w:sz w:val="20"/>
                <w:szCs w:val="20"/>
                <w:lang w:eastAsia="en-AU"/>
              </w:rPr>
            </w:pPr>
            <w:proofErr w:type="spellStart"/>
            <w:r w:rsidRPr="00886C14">
              <w:rPr>
                <w:rFonts w:ascii="Calibri" w:eastAsia="Times New Roman" w:hAnsi="Calibri" w:cs="Times New Roman"/>
                <w:sz w:val="20"/>
                <w:szCs w:val="20"/>
                <w:lang w:eastAsia="en-AU"/>
              </w:rPr>
              <w:t>CoE</w:t>
            </w:r>
            <w:proofErr w:type="spellEnd"/>
            <w:r w:rsidRPr="00886C14">
              <w:rPr>
                <w:rFonts w:ascii="Calibri" w:eastAsia="Times New Roman" w:hAnsi="Calibri" w:cs="Times New Roman"/>
                <w:sz w:val="20"/>
                <w:szCs w:val="20"/>
                <w:lang w:eastAsia="en-AU"/>
              </w:rPr>
              <w:t xml:space="preserve"> ($b)</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221</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157</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119</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83</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35</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9</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10</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7</w:t>
            </w:r>
          </w:p>
        </w:tc>
        <w:tc>
          <w:tcPr>
            <w:tcW w:w="80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642</w:t>
            </w:r>
          </w:p>
        </w:tc>
      </w:tr>
      <w:tr w:rsidR="00A83FED" w:rsidRPr="00886C14" w:rsidTr="00236CC9">
        <w:trPr>
          <w:trHeight w:val="315"/>
        </w:trPr>
        <w:tc>
          <w:tcPr>
            <w:tcW w:w="2720" w:type="dxa"/>
            <w:tcBorders>
              <w:top w:val="nil"/>
              <w:left w:val="nil"/>
              <w:bottom w:val="nil"/>
              <w:right w:val="nil"/>
            </w:tcBorders>
            <w:shd w:val="clear" w:color="auto" w:fill="auto"/>
            <w:noWrap/>
            <w:vAlign w:val="bottom"/>
            <w:hideMark/>
          </w:tcPr>
          <w:p w:rsidR="00A83FED" w:rsidRPr="00886C14" w:rsidRDefault="00A83FED" w:rsidP="00236CC9">
            <w:pPr>
              <w:keepNext/>
              <w:keepLines/>
              <w:tabs>
                <w:tab w:val="clear" w:pos="567"/>
              </w:tabs>
              <w:spacing w:after="0" w:line="240" w:lineRule="auto"/>
              <w:ind w:left="193" w:firstLineChars="100" w:firstLine="200"/>
              <w:rPr>
                <w:rFonts w:ascii="Calibri" w:eastAsia="Times New Roman" w:hAnsi="Calibri" w:cs="Times New Roman"/>
                <w:sz w:val="20"/>
                <w:szCs w:val="20"/>
                <w:lang w:eastAsia="en-AU"/>
              </w:rPr>
            </w:pPr>
            <w:r w:rsidRPr="00886C14">
              <w:rPr>
                <w:rFonts w:ascii="Calibri" w:eastAsia="Times New Roman" w:hAnsi="Calibri" w:cs="Times New Roman"/>
                <w:sz w:val="20"/>
                <w:szCs w:val="20"/>
                <w:lang w:eastAsia="en-AU"/>
              </w:rPr>
              <w:t>Taxable proportion (%)</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69.9</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68.8</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66.2</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74.0</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63.1</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59.4</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64.0</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74.3</w:t>
            </w:r>
          </w:p>
        </w:tc>
        <w:tc>
          <w:tcPr>
            <w:tcW w:w="80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69.0</w:t>
            </w:r>
          </w:p>
        </w:tc>
      </w:tr>
      <w:tr w:rsidR="00A83FED" w:rsidRPr="00886C14" w:rsidTr="00236CC9">
        <w:trPr>
          <w:trHeight w:val="315"/>
        </w:trPr>
        <w:tc>
          <w:tcPr>
            <w:tcW w:w="2720" w:type="dxa"/>
            <w:tcBorders>
              <w:top w:val="nil"/>
              <w:left w:val="nil"/>
              <w:bottom w:val="nil"/>
              <w:right w:val="nil"/>
            </w:tcBorders>
            <w:shd w:val="clear" w:color="auto" w:fill="auto"/>
            <w:noWrap/>
            <w:vAlign w:val="bottom"/>
            <w:hideMark/>
          </w:tcPr>
          <w:p w:rsidR="00A83FED" w:rsidRPr="00886C14" w:rsidRDefault="00A83FED" w:rsidP="00236CC9">
            <w:pPr>
              <w:keepNext/>
              <w:keepLines/>
              <w:tabs>
                <w:tab w:val="clear" w:pos="567"/>
              </w:tabs>
              <w:spacing w:after="0" w:line="240" w:lineRule="auto"/>
              <w:ind w:left="193" w:firstLineChars="100" w:firstLine="200"/>
              <w:rPr>
                <w:rFonts w:ascii="Calibri" w:eastAsia="Times New Roman" w:hAnsi="Calibri" w:cs="Times New Roman"/>
                <w:sz w:val="20"/>
                <w:szCs w:val="20"/>
                <w:lang w:eastAsia="en-AU"/>
              </w:rPr>
            </w:pPr>
            <w:r w:rsidRPr="00886C14">
              <w:rPr>
                <w:rFonts w:ascii="Calibri" w:eastAsia="Times New Roman" w:hAnsi="Calibri" w:cs="Times New Roman"/>
                <w:sz w:val="20"/>
                <w:szCs w:val="20"/>
                <w:lang w:eastAsia="en-AU"/>
              </w:rPr>
              <w:t xml:space="preserve">Taxable </w:t>
            </w:r>
            <w:proofErr w:type="spellStart"/>
            <w:r w:rsidRPr="00886C14">
              <w:rPr>
                <w:rFonts w:ascii="Calibri" w:eastAsia="Times New Roman" w:hAnsi="Calibri" w:cs="Times New Roman"/>
                <w:sz w:val="20"/>
                <w:szCs w:val="20"/>
                <w:lang w:eastAsia="en-AU"/>
              </w:rPr>
              <w:t>CoE</w:t>
            </w:r>
            <w:proofErr w:type="spellEnd"/>
            <w:r w:rsidRPr="00886C14">
              <w:rPr>
                <w:rFonts w:ascii="Calibri" w:eastAsia="Times New Roman" w:hAnsi="Calibri" w:cs="Times New Roman"/>
                <w:sz w:val="20"/>
                <w:szCs w:val="20"/>
                <w:lang w:eastAsia="en-AU"/>
              </w:rPr>
              <w:t xml:space="preserve"> ($b)</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155</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108</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79</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61</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22</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5</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7</w:t>
            </w:r>
          </w:p>
        </w:tc>
        <w:tc>
          <w:tcPr>
            <w:tcW w:w="72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5</w:t>
            </w:r>
          </w:p>
        </w:tc>
        <w:tc>
          <w:tcPr>
            <w:tcW w:w="800" w:type="dxa"/>
            <w:tcBorders>
              <w:top w:val="nil"/>
              <w:left w:val="nil"/>
              <w:bottom w:val="nil"/>
              <w:right w:val="nil"/>
            </w:tcBorders>
            <w:shd w:val="clear" w:color="auto" w:fill="auto"/>
            <w:noWrap/>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442</w:t>
            </w:r>
          </w:p>
        </w:tc>
      </w:tr>
      <w:tr w:rsidR="00A83FED" w:rsidRPr="00886C14" w:rsidTr="00236CC9">
        <w:trPr>
          <w:trHeight w:val="315"/>
        </w:trPr>
        <w:tc>
          <w:tcPr>
            <w:tcW w:w="2720" w:type="dxa"/>
            <w:tcBorders>
              <w:top w:val="nil"/>
              <w:left w:val="nil"/>
              <w:bottom w:val="single" w:sz="4" w:space="0" w:color="auto"/>
              <w:right w:val="nil"/>
            </w:tcBorders>
            <w:shd w:val="clear" w:color="auto" w:fill="auto"/>
            <w:vAlign w:val="bottom"/>
            <w:hideMark/>
          </w:tcPr>
          <w:p w:rsidR="00A83FED" w:rsidRPr="00886C14" w:rsidRDefault="00A83FED" w:rsidP="00236CC9">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886C14">
              <w:rPr>
                <w:rFonts w:ascii="Calibri" w:eastAsia="Times New Roman" w:hAnsi="Calibri" w:cs="Times New Roman"/>
                <w:sz w:val="20"/>
                <w:szCs w:val="20"/>
                <w:lang w:eastAsia="en-AU"/>
              </w:rPr>
              <w:t xml:space="preserve">Total taxable </w:t>
            </w:r>
            <w:r>
              <w:rPr>
                <w:rFonts w:ascii="Calibri" w:eastAsia="Times New Roman" w:hAnsi="Calibri" w:cs="Times New Roman"/>
                <w:sz w:val="20"/>
                <w:szCs w:val="20"/>
                <w:lang w:eastAsia="en-AU"/>
              </w:rPr>
              <w:t>remuneration</w:t>
            </w:r>
            <w:r w:rsidRPr="00886C14">
              <w:rPr>
                <w:rFonts w:ascii="Calibri" w:eastAsia="Times New Roman" w:hAnsi="Calibri" w:cs="Times New Roman"/>
                <w:sz w:val="20"/>
                <w:szCs w:val="20"/>
                <w:lang w:eastAsia="en-AU"/>
              </w:rPr>
              <w:t xml:space="preserve"> ($b)</w:t>
            </w:r>
          </w:p>
        </w:tc>
        <w:tc>
          <w:tcPr>
            <w:tcW w:w="720" w:type="dxa"/>
            <w:tcBorders>
              <w:top w:val="nil"/>
              <w:left w:val="nil"/>
              <w:bottom w:val="single" w:sz="4" w:space="0" w:color="auto"/>
              <w:right w:val="nil"/>
            </w:tcBorders>
            <w:shd w:val="clear" w:color="auto" w:fill="auto"/>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166</w:t>
            </w:r>
          </w:p>
        </w:tc>
        <w:tc>
          <w:tcPr>
            <w:tcW w:w="720" w:type="dxa"/>
            <w:tcBorders>
              <w:top w:val="nil"/>
              <w:left w:val="nil"/>
              <w:bottom w:val="single" w:sz="4" w:space="0" w:color="auto"/>
              <w:right w:val="nil"/>
            </w:tcBorders>
            <w:shd w:val="clear" w:color="auto" w:fill="auto"/>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115</w:t>
            </w:r>
          </w:p>
        </w:tc>
        <w:tc>
          <w:tcPr>
            <w:tcW w:w="720" w:type="dxa"/>
            <w:tcBorders>
              <w:top w:val="nil"/>
              <w:left w:val="nil"/>
              <w:bottom w:val="single" w:sz="4" w:space="0" w:color="auto"/>
              <w:right w:val="nil"/>
            </w:tcBorders>
            <w:shd w:val="clear" w:color="auto" w:fill="auto"/>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85</w:t>
            </w:r>
          </w:p>
        </w:tc>
        <w:tc>
          <w:tcPr>
            <w:tcW w:w="720" w:type="dxa"/>
            <w:tcBorders>
              <w:top w:val="nil"/>
              <w:left w:val="nil"/>
              <w:bottom w:val="single" w:sz="4" w:space="0" w:color="auto"/>
              <w:right w:val="nil"/>
            </w:tcBorders>
            <w:shd w:val="clear" w:color="auto" w:fill="auto"/>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65</w:t>
            </w:r>
          </w:p>
        </w:tc>
        <w:tc>
          <w:tcPr>
            <w:tcW w:w="720" w:type="dxa"/>
            <w:tcBorders>
              <w:top w:val="nil"/>
              <w:left w:val="nil"/>
              <w:bottom w:val="single" w:sz="4" w:space="0" w:color="auto"/>
              <w:right w:val="nil"/>
            </w:tcBorders>
            <w:shd w:val="clear" w:color="auto" w:fill="auto"/>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24</w:t>
            </w:r>
          </w:p>
        </w:tc>
        <w:tc>
          <w:tcPr>
            <w:tcW w:w="720" w:type="dxa"/>
            <w:tcBorders>
              <w:top w:val="nil"/>
              <w:left w:val="nil"/>
              <w:bottom w:val="single" w:sz="4" w:space="0" w:color="auto"/>
              <w:right w:val="nil"/>
            </w:tcBorders>
            <w:shd w:val="clear" w:color="auto" w:fill="auto"/>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6</w:t>
            </w:r>
          </w:p>
        </w:tc>
        <w:tc>
          <w:tcPr>
            <w:tcW w:w="720" w:type="dxa"/>
            <w:tcBorders>
              <w:top w:val="nil"/>
              <w:left w:val="nil"/>
              <w:bottom w:val="single" w:sz="4" w:space="0" w:color="auto"/>
              <w:right w:val="nil"/>
            </w:tcBorders>
            <w:shd w:val="clear" w:color="auto" w:fill="auto"/>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8</w:t>
            </w:r>
          </w:p>
        </w:tc>
        <w:tc>
          <w:tcPr>
            <w:tcW w:w="720" w:type="dxa"/>
            <w:tcBorders>
              <w:top w:val="nil"/>
              <w:left w:val="nil"/>
              <w:bottom w:val="single" w:sz="4" w:space="0" w:color="auto"/>
              <w:right w:val="nil"/>
            </w:tcBorders>
            <w:shd w:val="clear" w:color="auto" w:fill="auto"/>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6</w:t>
            </w:r>
          </w:p>
        </w:tc>
        <w:tc>
          <w:tcPr>
            <w:tcW w:w="800" w:type="dxa"/>
            <w:tcBorders>
              <w:top w:val="nil"/>
              <w:left w:val="nil"/>
              <w:bottom w:val="single" w:sz="4" w:space="0" w:color="auto"/>
              <w:right w:val="nil"/>
            </w:tcBorders>
            <w:shd w:val="clear" w:color="auto" w:fill="auto"/>
            <w:vAlign w:val="bottom"/>
            <w:hideMark/>
          </w:tcPr>
          <w:p w:rsidR="00A83FED" w:rsidRPr="00A83FED" w:rsidRDefault="00A83FED" w:rsidP="00A83FED">
            <w:pPr>
              <w:keepNext/>
              <w:keepLines/>
              <w:tabs>
                <w:tab w:val="clear" w:pos="567"/>
              </w:tabs>
              <w:spacing w:after="0" w:line="240" w:lineRule="auto"/>
              <w:jc w:val="right"/>
              <w:rPr>
                <w:rFonts w:ascii="Calibri" w:eastAsia="Times New Roman" w:hAnsi="Calibri" w:cs="Times New Roman"/>
                <w:sz w:val="20"/>
                <w:szCs w:val="20"/>
                <w:lang w:eastAsia="en-AU"/>
              </w:rPr>
            </w:pPr>
            <w:r w:rsidRPr="00A83FED">
              <w:rPr>
                <w:rFonts w:ascii="Calibri" w:eastAsia="Times New Roman" w:hAnsi="Calibri" w:cs="Times New Roman"/>
                <w:sz w:val="20"/>
                <w:szCs w:val="20"/>
                <w:lang w:eastAsia="en-AU"/>
              </w:rPr>
              <w:t>475</w:t>
            </w:r>
          </w:p>
        </w:tc>
      </w:tr>
    </w:tbl>
    <w:p w:rsidR="001866CF" w:rsidRDefault="001866CF" w:rsidP="006A0FD7">
      <w:pPr>
        <w:pStyle w:val="CGCTableFootnote"/>
        <w:ind w:left="0" w:firstLine="0"/>
      </w:pPr>
      <w:r>
        <w:t>(a)</w:t>
      </w:r>
      <w:r>
        <w:tab/>
        <w:t xml:space="preserve">Excludes </w:t>
      </w:r>
      <w:proofErr w:type="spellStart"/>
      <w:r>
        <w:t>CoE</w:t>
      </w:r>
      <w:proofErr w:type="spellEnd"/>
      <w:r>
        <w:t xml:space="preserve"> for staff of the defence force and Australian embassies overseas.</w:t>
      </w:r>
    </w:p>
    <w:p w:rsidR="00043405" w:rsidRPr="00043405" w:rsidRDefault="001866CF" w:rsidP="006A0FD7">
      <w:pPr>
        <w:pStyle w:val="CGCTableFootnote"/>
        <w:ind w:left="0" w:firstLine="0"/>
      </w:pPr>
      <w:r w:rsidRPr="00725C3F">
        <w:t>Source:</w:t>
      </w:r>
      <w:r>
        <w:tab/>
      </w:r>
      <w:r w:rsidR="00355C48">
        <w:t>ABS national accounts and wages and salaries data</w:t>
      </w:r>
      <w:r>
        <w:t>.</w:t>
      </w:r>
    </w:p>
    <w:p w:rsidR="00882C88" w:rsidRDefault="00882C88" w:rsidP="00882C88">
      <w:pPr>
        <w:pStyle w:val="Heading4"/>
      </w:pPr>
      <w:bookmarkStart w:id="8" w:name="_Toc511636221"/>
      <w:r>
        <w:t xml:space="preserve">GST </w:t>
      </w:r>
      <w:r w:rsidR="00F43C99">
        <w:t>re</w:t>
      </w:r>
      <w:r>
        <w:t>distribution</w:t>
      </w:r>
      <w:bookmarkEnd w:id="8"/>
    </w:p>
    <w:p w:rsidR="008A5324" w:rsidRDefault="00AD2EA6" w:rsidP="00C26DEA">
      <w:pPr>
        <w:pStyle w:val="CGCNumberedPara"/>
      </w:pPr>
      <w:r>
        <w:rPr>
          <w:szCs w:val="22"/>
        </w:rPr>
        <w:fldChar w:fldCharType="begin"/>
      </w:r>
      <w:r>
        <w:rPr>
          <w:szCs w:val="22"/>
        </w:rPr>
        <w:instrText xml:space="preserve"> REF _Ref500253978 \h </w:instrText>
      </w:r>
      <w:r>
        <w:rPr>
          <w:szCs w:val="22"/>
        </w:rPr>
      </w:r>
      <w:r>
        <w:rPr>
          <w:szCs w:val="22"/>
        </w:rPr>
        <w:fldChar w:fldCharType="separate"/>
      </w:r>
      <w:r w:rsidR="0044574B">
        <w:t xml:space="preserve">Table </w:t>
      </w:r>
      <w:r w:rsidR="0044574B">
        <w:rPr>
          <w:noProof/>
        </w:rPr>
        <w:t>3</w:t>
      </w:r>
      <w:r>
        <w:rPr>
          <w:szCs w:val="22"/>
        </w:rPr>
        <w:fldChar w:fldCharType="end"/>
      </w:r>
      <w:r>
        <w:rPr>
          <w:szCs w:val="22"/>
        </w:rPr>
        <w:t xml:space="preserve"> </w:t>
      </w:r>
      <w:r w:rsidR="00882C88" w:rsidRPr="00A126C3">
        <w:rPr>
          <w:szCs w:val="22"/>
        </w:rPr>
        <w:t>shows the exte</w:t>
      </w:r>
      <w:r w:rsidR="00A46EB1" w:rsidRPr="00A126C3">
        <w:rPr>
          <w:szCs w:val="22"/>
        </w:rPr>
        <w:t>nt to which the assessment moved</w:t>
      </w:r>
      <w:r w:rsidR="00882C88" w:rsidRPr="00A126C3">
        <w:rPr>
          <w:szCs w:val="22"/>
        </w:rPr>
        <w:t xml:space="preserve"> the GST distribution away from an EPC distribution in </w:t>
      </w:r>
      <w:r w:rsidR="00C26DEA" w:rsidRPr="00A126C3">
        <w:rPr>
          <w:szCs w:val="22"/>
        </w:rPr>
        <w:t>the 201</w:t>
      </w:r>
      <w:r w:rsidR="00F25FE8">
        <w:rPr>
          <w:szCs w:val="22"/>
        </w:rPr>
        <w:t>8</w:t>
      </w:r>
      <w:r w:rsidR="00C26DEA" w:rsidRPr="00A126C3">
        <w:rPr>
          <w:szCs w:val="22"/>
        </w:rPr>
        <w:t xml:space="preserve"> Update</w:t>
      </w:r>
      <w:r w:rsidR="00882C88" w:rsidRPr="00A126C3">
        <w:rPr>
          <w:szCs w:val="22"/>
        </w:rPr>
        <w:t xml:space="preserve">. It shows GST revenue </w:t>
      </w:r>
      <w:r w:rsidR="00A46EB1" w:rsidRPr="00A126C3">
        <w:rPr>
          <w:szCs w:val="22"/>
        </w:rPr>
        <w:t>wa</w:t>
      </w:r>
      <w:r w:rsidR="00882C88" w:rsidRPr="00A126C3">
        <w:rPr>
          <w:szCs w:val="22"/>
        </w:rPr>
        <w:t xml:space="preserve">s redistributed from States with an </w:t>
      </w:r>
      <w:r w:rsidR="00D91998" w:rsidRPr="00A126C3">
        <w:rPr>
          <w:szCs w:val="22"/>
        </w:rPr>
        <w:t xml:space="preserve">above </w:t>
      </w:r>
      <w:r w:rsidR="00882C88" w:rsidRPr="00A126C3">
        <w:rPr>
          <w:szCs w:val="22"/>
        </w:rPr>
        <w:t>average revenue raising capacity (</w:t>
      </w:r>
      <w:r w:rsidR="00C26DEA" w:rsidRPr="00A126C3">
        <w:rPr>
          <w:szCs w:val="22"/>
        </w:rPr>
        <w:t>New South Wales, Western Australia and the Northern Territory</w:t>
      </w:r>
      <w:r w:rsidR="00882C88" w:rsidRPr="00A126C3">
        <w:rPr>
          <w:szCs w:val="22"/>
        </w:rPr>
        <w:t>) to States with a below average revenue capacity</w:t>
      </w:r>
      <w:r w:rsidR="00C26DEA" w:rsidRPr="00A126C3">
        <w:rPr>
          <w:szCs w:val="22"/>
        </w:rPr>
        <w:t xml:space="preserve"> (Victoria, Queensland, South Australia, Tasmania and the </w:t>
      </w:r>
      <w:r w:rsidR="00355C48">
        <w:rPr>
          <w:szCs w:val="22"/>
        </w:rPr>
        <w:t>ACT</w:t>
      </w:r>
      <w:r w:rsidR="00C26DEA" w:rsidRPr="00A126C3">
        <w:rPr>
          <w:szCs w:val="22"/>
        </w:rPr>
        <w:t>)</w:t>
      </w:r>
      <w:r w:rsidR="00882C88">
        <w:t>.</w:t>
      </w:r>
      <w:bookmarkStart w:id="9" w:name="_Ref499713909"/>
    </w:p>
    <w:p w:rsidR="00882C88" w:rsidRDefault="00AD2EA6" w:rsidP="00AD2EA6">
      <w:pPr>
        <w:pStyle w:val="Caption"/>
      </w:pPr>
      <w:bookmarkStart w:id="10" w:name="_Ref500253978"/>
      <w:bookmarkEnd w:id="9"/>
      <w:r>
        <w:t xml:space="preserve">Table </w:t>
      </w:r>
      <w:r w:rsidR="0021123F">
        <w:fldChar w:fldCharType="begin"/>
      </w:r>
      <w:r w:rsidR="0021123F">
        <w:instrText xml:space="preserve"> SEQ Table \* ARABIC </w:instrText>
      </w:r>
      <w:r w:rsidR="0021123F">
        <w:fldChar w:fldCharType="separate"/>
      </w:r>
      <w:r w:rsidR="0044574B">
        <w:rPr>
          <w:noProof/>
        </w:rPr>
        <w:t>3</w:t>
      </w:r>
      <w:r w:rsidR="0021123F">
        <w:rPr>
          <w:noProof/>
        </w:rPr>
        <w:fldChar w:fldCharType="end"/>
      </w:r>
      <w:bookmarkEnd w:id="10"/>
      <w:r w:rsidR="00882C88">
        <w:tab/>
        <w:t xml:space="preserve">GST </w:t>
      </w:r>
      <w:r w:rsidR="00EF0771">
        <w:t>re</w:t>
      </w:r>
      <w:r w:rsidR="00882C88">
        <w:t>distribution, Payroll tax, 201</w:t>
      </w:r>
      <w:r w:rsidR="009E11C5">
        <w:t>8</w:t>
      </w:r>
      <w:r w:rsidR="00882C88">
        <w:t> Update</w:t>
      </w:r>
    </w:p>
    <w:tbl>
      <w:tblPr>
        <w:tblW w:w="8920" w:type="dxa"/>
        <w:tblInd w:w="93" w:type="dxa"/>
        <w:tblLook w:val="04A0" w:firstRow="1" w:lastRow="0" w:firstColumn="1" w:lastColumn="0" w:noHBand="0" w:noVBand="1"/>
      </w:tblPr>
      <w:tblGrid>
        <w:gridCol w:w="1960"/>
        <w:gridCol w:w="760"/>
        <w:gridCol w:w="760"/>
        <w:gridCol w:w="760"/>
        <w:gridCol w:w="760"/>
        <w:gridCol w:w="760"/>
        <w:gridCol w:w="760"/>
        <w:gridCol w:w="760"/>
        <w:gridCol w:w="760"/>
        <w:gridCol w:w="880"/>
      </w:tblGrid>
      <w:tr w:rsidR="00C26DEA" w:rsidRPr="00C26DEA" w:rsidTr="00C26DEA">
        <w:trPr>
          <w:trHeight w:val="379"/>
        </w:trPr>
        <w:tc>
          <w:tcPr>
            <w:tcW w:w="1960" w:type="dxa"/>
            <w:tcBorders>
              <w:top w:val="single" w:sz="4" w:space="0" w:color="auto"/>
              <w:left w:val="nil"/>
              <w:bottom w:val="single" w:sz="4" w:space="0" w:color="auto"/>
              <w:right w:val="nil"/>
            </w:tcBorders>
            <w:shd w:val="clear" w:color="auto" w:fill="auto"/>
            <w:noWrap/>
            <w:vAlign w:val="center"/>
            <w:hideMark/>
          </w:tcPr>
          <w:p w:rsidR="00C26DEA" w:rsidRPr="00C26DEA" w:rsidRDefault="00C26DEA" w:rsidP="00C26DEA">
            <w:pPr>
              <w:keepNext/>
              <w:keepLines/>
              <w:tabs>
                <w:tab w:val="clear" w:pos="567"/>
              </w:tabs>
              <w:spacing w:after="0" w:line="240" w:lineRule="auto"/>
              <w:jc w:val="right"/>
              <w:rPr>
                <w:rFonts w:ascii="Calibri" w:eastAsia="Times New Roman" w:hAnsi="Calibri" w:cs="Times New Roman"/>
                <w:sz w:val="20"/>
                <w:szCs w:val="20"/>
                <w:lang w:eastAsia="en-AU"/>
              </w:rPr>
            </w:pPr>
            <w:bookmarkStart w:id="11" w:name="RANGE!A4:J6"/>
            <w:r w:rsidRPr="00C26DEA">
              <w:rPr>
                <w:rFonts w:ascii="Calibri" w:eastAsia="Times New Roman" w:hAnsi="Calibri" w:cs="Times New Roman"/>
                <w:sz w:val="20"/>
                <w:szCs w:val="20"/>
                <w:lang w:eastAsia="en-AU"/>
              </w:rPr>
              <w:t> </w:t>
            </w:r>
            <w:bookmarkEnd w:id="11"/>
          </w:p>
        </w:tc>
        <w:tc>
          <w:tcPr>
            <w:tcW w:w="760" w:type="dxa"/>
            <w:tcBorders>
              <w:top w:val="single" w:sz="4" w:space="0" w:color="auto"/>
              <w:left w:val="nil"/>
              <w:bottom w:val="single" w:sz="4" w:space="0" w:color="auto"/>
              <w:right w:val="nil"/>
            </w:tcBorders>
            <w:shd w:val="clear" w:color="auto" w:fill="auto"/>
            <w:noWrap/>
            <w:vAlign w:val="center"/>
            <w:hideMark/>
          </w:tcPr>
          <w:p w:rsidR="00C26DEA" w:rsidRPr="00C26DEA" w:rsidRDefault="00C26DEA" w:rsidP="00C26DEA">
            <w:pPr>
              <w:keepNext/>
              <w:keepLines/>
              <w:tabs>
                <w:tab w:val="clear" w:pos="567"/>
              </w:tabs>
              <w:spacing w:after="0" w:line="240" w:lineRule="auto"/>
              <w:jc w:val="right"/>
              <w:rPr>
                <w:rFonts w:ascii="Calibri" w:eastAsia="Times New Roman" w:hAnsi="Calibri" w:cs="Times New Roman"/>
                <w:sz w:val="20"/>
                <w:szCs w:val="20"/>
                <w:lang w:eastAsia="en-AU"/>
              </w:rPr>
            </w:pPr>
            <w:r w:rsidRPr="00C26DEA">
              <w:rPr>
                <w:rFonts w:ascii="Calibri" w:eastAsia="Times New Roman" w:hAnsi="Calibri" w:cs="Times New Roman"/>
                <w:sz w:val="20"/>
                <w:szCs w:val="20"/>
                <w:lang w:eastAsia="en-AU"/>
              </w:rPr>
              <w:t>NSW</w:t>
            </w:r>
          </w:p>
        </w:tc>
        <w:tc>
          <w:tcPr>
            <w:tcW w:w="760" w:type="dxa"/>
            <w:tcBorders>
              <w:top w:val="single" w:sz="4" w:space="0" w:color="auto"/>
              <w:left w:val="nil"/>
              <w:bottom w:val="single" w:sz="4" w:space="0" w:color="auto"/>
              <w:right w:val="nil"/>
            </w:tcBorders>
            <w:shd w:val="clear" w:color="auto" w:fill="auto"/>
            <w:noWrap/>
            <w:vAlign w:val="center"/>
            <w:hideMark/>
          </w:tcPr>
          <w:p w:rsidR="00C26DEA" w:rsidRPr="00C26DEA" w:rsidRDefault="00C26DEA" w:rsidP="00C26DEA">
            <w:pPr>
              <w:keepNext/>
              <w:keepLines/>
              <w:tabs>
                <w:tab w:val="clear" w:pos="567"/>
              </w:tabs>
              <w:spacing w:after="0" w:line="240" w:lineRule="auto"/>
              <w:jc w:val="right"/>
              <w:rPr>
                <w:rFonts w:ascii="Calibri" w:eastAsia="Times New Roman" w:hAnsi="Calibri" w:cs="Times New Roman"/>
                <w:sz w:val="20"/>
                <w:szCs w:val="20"/>
                <w:lang w:eastAsia="en-AU"/>
              </w:rPr>
            </w:pPr>
            <w:r w:rsidRPr="00C26DEA">
              <w:rPr>
                <w:rFonts w:ascii="Calibri" w:eastAsia="Times New Roman" w:hAnsi="Calibri" w:cs="Times New Roman"/>
                <w:sz w:val="20"/>
                <w:szCs w:val="20"/>
                <w:lang w:eastAsia="en-AU"/>
              </w:rPr>
              <w:t>Vic</w:t>
            </w:r>
          </w:p>
        </w:tc>
        <w:tc>
          <w:tcPr>
            <w:tcW w:w="760" w:type="dxa"/>
            <w:tcBorders>
              <w:top w:val="single" w:sz="4" w:space="0" w:color="auto"/>
              <w:left w:val="nil"/>
              <w:bottom w:val="single" w:sz="4" w:space="0" w:color="auto"/>
              <w:right w:val="nil"/>
            </w:tcBorders>
            <w:shd w:val="clear" w:color="auto" w:fill="auto"/>
            <w:noWrap/>
            <w:vAlign w:val="center"/>
            <w:hideMark/>
          </w:tcPr>
          <w:p w:rsidR="00C26DEA" w:rsidRPr="00C26DEA" w:rsidRDefault="00C26DEA" w:rsidP="00C26DEA">
            <w:pPr>
              <w:keepNext/>
              <w:keepLines/>
              <w:tabs>
                <w:tab w:val="clear" w:pos="567"/>
              </w:tabs>
              <w:spacing w:after="0" w:line="240" w:lineRule="auto"/>
              <w:jc w:val="right"/>
              <w:rPr>
                <w:rFonts w:ascii="Calibri" w:eastAsia="Times New Roman" w:hAnsi="Calibri" w:cs="Times New Roman"/>
                <w:sz w:val="20"/>
                <w:szCs w:val="20"/>
                <w:lang w:eastAsia="en-AU"/>
              </w:rPr>
            </w:pPr>
            <w:r w:rsidRPr="00C26DEA">
              <w:rPr>
                <w:rFonts w:ascii="Calibri" w:eastAsia="Times New Roman" w:hAnsi="Calibri" w:cs="Times New Roman"/>
                <w:sz w:val="20"/>
                <w:szCs w:val="20"/>
                <w:lang w:eastAsia="en-AU"/>
              </w:rPr>
              <w:t>Qld</w:t>
            </w:r>
          </w:p>
        </w:tc>
        <w:tc>
          <w:tcPr>
            <w:tcW w:w="760" w:type="dxa"/>
            <w:tcBorders>
              <w:top w:val="single" w:sz="4" w:space="0" w:color="auto"/>
              <w:left w:val="nil"/>
              <w:bottom w:val="single" w:sz="4" w:space="0" w:color="auto"/>
              <w:right w:val="nil"/>
            </w:tcBorders>
            <w:shd w:val="clear" w:color="auto" w:fill="auto"/>
            <w:noWrap/>
            <w:vAlign w:val="center"/>
            <w:hideMark/>
          </w:tcPr>
          <w:p w:rsidR="00C26DEA" w:rsidRPr="00C26DEA" w:rsidRDefault="00C26DEA" w:rsidP="00C26DEA">
            <w:pPr>
              <w:keepNext/>
              <w:keepLines/>
              <w:tabs>
                <w:tab w:val="clear" w:pos="567"/>
              </w:tabs>
              <w:spacing w:after="0" w:line="240" w:lineRule="auto"/>
              <w:jc w:val="right"/>
              <w:rPr>
                <w:rFonts w:ascii="Calibri" w:eastAsia="Times New Roman" w:hAnsi="Calibri" w:cs="Times New Roman"/>
                <w:sz w:val="20"/>
                <w:szCs w:val="20"/>
                <w:lang w:eastAsia="en-AU"/>
              </w:rPr>
            </w:pPr>
            <w:r w:rsidRPr="00C26DEA">
              <w:rPr>
                <w:rFonts w:ascii="Calibri" w:eastAsia="Times New Roman" w:hAnsi="Calibri" w:cs="Times New Roman"/>
                <w:sz w:val="20"/>
                <w:szCs w:val="20"/>
                <w:lang w:eastAsia="en-AU"/>
              </w:rPr>
              <w:t>WA</w:t>
            </w:r>
          </w:p>
        </w:tc>
        <w:tc>
          <w:tcPr>
            <w:tcW w:w="760" w:type="dxa"/>
            <w:tcBorders>
              <w:top w:val="single" w:sz="4" w:space="0" w:color="auto"/>
              <w:left w:val="nil"/>
              <w:bottom w:val="single" w:sz="4" w:space="0" w:color="auto"/>
              <w:right w:val="nil"/>
            </w:tcBorders>
            <w:shd w:val="clear" w:color="auto" w:fill="auto"/>
            <w:noWrap/>
            <w:vAlign w:val="center"/>
            <w:hideMark/>
          </w:tcPr>
          <w:p w:rsidR="00C26DEA" w:rsidRPr="00C26DEA" w:rsidRDefault="00C26DEA" w:rsidP="00C26DEA">
            <w:pPr>
              <w:keepNext/>
              <w:keepLines/>
              <w:tabs>
                <w:tab w:val="clear" w:pos="567"/>
              </w:tabs>
              <w:spacing w:after="0" w:line="240" w:lineRule="auto"/>
              <w:jc w:val="right"/>
              <w:rPr>
                <w:rFonts w:ascii="Calibri" w:eastAsia="Times New Roman" w:hAnsi="Calibri" w:cs="Times New Roman"/>
                <w:sz w:val="20"/>
                <w:szCs w:val="20"/>
                <w:lang w:eastAsia="en-AU"/>
              </w:rPr>
            </w:pPr>
            <w:r w:rsidRPr="00C26DEA">
              <w:rPr>
                <w:rFonts w:ascii="Calibri" w:eastAsia="Times New Roman" w:hAnsi="Calibri" w:cs="Times New Roman"/>
                <w:sz w:val="20"/>
                <w:szCs w:val="20"/>
                <w:lang w:eastAsia="en-AU"/>
              </w:rPr>
              <w:t>SA</w:t>
            </w:r>
          </w:p>
        </w:tc>
        <w:tc>
          <w:tcPr>
            <w:tcW w:w="760" w:type="dxa"/>
            <w:tcBorders>
              <w:top w:val="single" w:sz="4" w:space="0" w:color="auto"/>
              <w:left w:val="nil"/>
              <w:bottom w:val="single" w:sz="4" w:space="0" w:color="auto"/>
              <w:right w:val="nil"/>
            </w:tcBorders>
            <w:shd w:val="clear" w:color="auto" w:fill="auto"/>
            <w:noWrap/>
            <w:vAlign w:val="center"/>
            <w:hideMark/>
          </w:tcPr>
          <w:p w:rsidR="00C26DEA" w:rsidRPr="00C26DEA" w:rsidRDefault="00C26DEA" w:rsidP="00C26DEA">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C26DEA">
              <w:rPr>
                <w:rFonts w:ascii="Calibri" w:eastAsia="Times New Roman" w:hAnsi="Calibri" w:cs="Times New Roman"/>
                <w:sz w:val="20"/>
                <w:szCs w:val="20"/>
                <w:lang w:eastAsia="en-AU"/>
              </w:rPr>
              <w:t>Tas</w:t>
            </w:r>
            <w:proofErr w:type="spellEnd"/>
          </w:p>
        </w:tc>
        <w:tc>
          <w:tcPr>
            <w:tcW w:w="760" w:type="dxa"/>
            <w:tcBorders>
              <w:top w:val="single" w:sz="4" w:space="0" w:color="auto"/>
              <w:left w:val="nil"/>
              <w:bottom w:val="single" w:sz="4" w:space="0" w:color="auto"/>
              <w:right w:val="nil"/>
            </w:tcBorders>
            <w:shd w:val="clear" w:color="auto" w:fill="auto"/>
            <w:noWrap/>
            <w:vAlign w:val="center"/>
            <w:hideMark/>
          </w:tcPr>
          <w:p w:rsidR="00C26DEA" w:rsidRPr="00C26DEA" w:rsidRDefault="00C26DEA" w:rsidP="00C26DEA">
            <w:pPr>
              <w:keepNext/>
              <w:keepLines/>
              <w:tabs>
                <w:tab w:val="clear" w:pos="567"/>
              </w:tabs>
              <w:spacing w:after="0" w:line="240" w:lineRule="auto"/>
              <w:jc w:val="right"/>
              <w:rPr>
                <w:rFonts w:ascii="Calibri" w:eastAsia="Times New Roman" w:hAnsi="Calibri" w:cs="Times New Roman"/>
                <w:sz w:val="20"/>
                <w:szCs w:val="20"/>
                <w:lang w:eastAsia="en-AU"/>
              </w:rPr>
            </w:pPr>
            <w:r w:rsidRPr="00C26DEA">
              <w:rPr>
                <w:rFonts w:ascii="Calibri" w:eastAsia="Times New Roman" w:hAnsi="Calibri" w:cs="Times New Roman"/>
                <w:sz w:val="20"/>
                <w:szCs w:val="20"/>
                <w:lang w:eastAsia="en-AU"/>
              </w:rPr>
              <w:t>ACT</w:t>
            </w:r>
          </w:p>
        </w:tc>
        <w:tc>
          <w:tcPr>
            <w:tcW w:w="760" w:type="dxa"/>
            <w:tcBorders>
              <w:top w:val="single" w:sz="4" w:space="0" w:color="auto"/>
              <w:left w:val="nil"/>
              <w:bottom w:val="single" w:sz="4" w:space="0" w:color="auto"/>
              <w:right w:val="nil"/>
            </w:tcBorders>
            <w:shd w:val="clear" w:color="auto" w:fill="auto"/>
            <w:noWrap/>
            <w:vAlign w:val="center"/>
            <w:hideMark/>
          </w:tcPr>
          <w:p w:rsidR="00C26DEA" w:rsidRPr="00C26DEA" w:rsidRDefault="00C26DEA" w:rsidP="00C26DEA">
            <w:pPr>
              <w:keepNext/>
              <w:keepLines/>
              <w:tabs>
                <w:tab w:val="clear" w:pos="567"/>
              </w:tabs>
              <w:spacing w:after="0" w:line="240" w:lineRule="auto"/>
              <w:jc w:val="right"/>
              <w:rPr>
                <w:rFonts w:ascii="Calibri" w:eastAsia="Times New Roman" w:hAnsi="Calibri" w:cs="Times New Roman"/>
                <w:sz w:val="20"/>
                <w:szCs w:val="20"/>
                <w:lang w:eastAsia="en-AU"/>
              </w:rPr>
            </w:pPr>
            <w:r w:rsidRPr="00C26DEA">
              <w:rPr>
                <w:rFonts w:ascii="Calibri" w:eastAsia="Times New Roman" w:hAnsi="Calibri" w:cs="Times New Roman"/>
                <w:sz w:val="20"/>
                <w:szCs w:val="20"/>
                <w:lang w:eastAsia="en-AU"/>
              </w:rPr>
              <w:t>NT</w:t>
            </w:r>
          </w:p>
        </w:tc>
        <w:tc>
          <w:tcPr>
            <w:tcW w:w="880" w:type="dxa"/>
            <w:tcBorders>
              <w:top w:val="single" w:sz="4" w:space="0" w:color="auto"/>
              <w:left w:val="nil"/>
              <w:bottom w:val="single" w:sz="4" w:space="0" w:color="auto"/>
              <w:right w:val="nil"/>
            </w:tcBorders>
            <w:shd w:val="clear" w:color="auto" w:fill="auto"/>
            <w:noWrap/>
            <w:vAlign w:val="center"/>
            <w:hideMark/>
          </w:tcPr>
          <w:p w:rsidR="00C26DEA" w:rsidRPr="00C26DEA" w:rsidRDefault="00C26DEA" w:rsidP="00C26DEA">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C26DEA">
              <w:rPr>
                <w:rFonts w:ascii="Calibri" w:eastAsia="Times New Roman" w:hAnsi="Calibri" w:cs="Times New Roman"/>
                <w:sz w:val="20"/>
                <w:szCs w:val="20"/>
                <w:lang w:eastAsia="en-AU"/>
              </w:rPr>
              <w:t>Redist</w:t>
            </w:r>
            <w:proofErr w:type="spellEnd"/>
          </w:p>
        </w:tc>
      </w:tr>
      <w:tr w:rsidR="009E11C5" w:rsidRPr="00C26DEA" w:rsidTr="00C26DEA">
        <w:trPr>
          <w:trHeight w:val="315"/>
        </w:trPr>
        <w:tc>
          <w:tcPr>
            <w:tcW w:w="1960" w:type="dxa"/>
            <w:tcBorders>
              <w:top w:val="nil"/>
              <w:left w:val="nil"/>
              <w:bottom w:val="nil"/>
              <w:right w:val="nil"/>
            </w:tcBorders>
            <w:shd w:val="clear" w:color="auto" w:fill="auto"/>
            <w:noWrap/>
            <w:vAlign w:val="bottom"/>
            <w:hideMark/>
          </w:tcPr>
          <w:p w:rsidR="009E11C5" w:rsidRPr="00C26DEA" w:rsidRDefault="009E11C5" w:rsidP="00C26DEA">
            <w:pPr>
              <w:keepNext/>
              <w:keepLines/>
              <w:tabs>
                <w:tab w:val="clear" w:pos="567"/>
              </w:tabs>
              <w:spacing w:after="0" w:line="240" w:lineRule="auto"/>
              <w:rPr>
                <w:rFonts w:ascii="Calibri" w:eastAsia="Times New Roman" w:hAnsi="Calibri" w:cs="Times New Roman"/>
                <w:sz w:val="20"/>
                <w:szCs w:val="20"/>
                <w:lang w:eastAsia="en-AU"/>
              </w:rPr>
            </w:pPr>
            <w:r w:rsidRPr="00C26DEA">
              <w:rPr>
                <w:rFonts w:ascii="Calibri" w:eastAsia="Times New Roman" w:hAnsi="Calibri" w:cs="Times New Roman"/>
                <w:sz w:val="20"/>
                <w:szCs w:val="20"/>
                <w:lang w:eastAsia="en-AU"/>
              </w:rPr>
              <w:t>Dollars million</w:t>
            </w:r>
          </w:p>
        </w:tc>
        <w:tc>
          <w:tcPr>
            <w:tcW w:w="760" w:type="dxa"/>
            <w:tcBorders>
              <w:top w:val="nil"/>
              <w:left w:val="nil"/>
              <w:bottom w:val="nil"/>
              <w:right w:val="nil"/>
            </w:tcBorders>
            <w:shd w:val="clear" w:color="auto" w:fill="auto"/>
            <w:noWrap/>
            <w:vAlign w:val="bottom"/>
            <w:hideMark/>
          </w:tcPr>
          <w:p w:rsidR="009E11C5" w:rsidRPr="009E11C5" w:rsidRDefault="009E11C5" w:rsidP="009E11C5">
            <w:pPr>
              <w:keepNext/>
              <w:keepLines/>
              <w:tabs>
                <w:tab w:val="clear" w:pos="567"/>
              </w:tabs>
              <w:spacing w:after="0" w:line="240" w:lineRule="auto"/>
              <w:jc w:val="right"/>
              <w:rPr>
                <w:rFonts w:ascii="Calibri" w:eastAsia="Times New Roman" w:hAnsi="Calibri" w:cs="Times New Roman"/>
                <w:sz w:val="20"/>
                <w:szCs w:val="20"/>
                <w:lang w:eastAsia="en-AU"/>
              </w:rPr>
            </w:pPr>
            <w:r w:rsidRPr="009E11C5">
              <w:rPr>
                <w:rFonts w:ascii="Calibri" w:eastAsia="Times New Roman" w:hAnsi="Calibri" w:cs="Times New Roman"/>
                <w:sz w:val="20"/>
                <w:szCs w:val="20"/>
                <w:lang w:eastAsia="en-AU"/>
              </w:rPr>
              <w:t>-536</w:t>
            </w:r>
          </w:p>
        </w:tc>
        <w:tc>
          <w:tcPr>
            <w:tcW w:w="760" w:type="dxa"/>
            <w:tcBorders>
              <w:top w:val="nil"/>
              <w:left w:val="nil"/>
              <w:bottom w:val="nil"/>
              <w:right w:val="nil"/>
            </w:tcBorders>
            <w:shd w:val="clear" w:color="auto" w:fill="auto"/>
            <w:noWrap/>
            <w:vAlign w:val="bottom"/>
            <w:hideMark/>
          </w:tcPr>
          <w:p w:rsidR="009E11C5" w:rsidRPr="009E11C5" w:rsidRDefault="009E11C5" w:rsidP="009E11C5">
            <w:pPr>
              <w:keepNext/>
              <w:keepLines/>
              <w:tabs>
                <w:tab w:val="clear" w:pos="567"/>
              </w:tabs>
              <w:spacing w:after="0" w:line="240" w:lineRule="auto"/>
              <w:jc w:val="right"/>
              <w:rPr>
                <w:rFonts w:ascii="Calibri" w:eastAsia="Times New Roman" w:hAnsi="Calibri" w:cs="Times New Roman"/>
                <w:sz w:val="20"/>
                <w:szCs w:val="20"/>
                <w:lang w:eastAsia="en-AU"/>
              </w:rPr>
            </w:pPr>
            <w:r w:rsidRPr="009E11C5">
              <w:rPr>
                <w:rFonts w:ascii="Calibri" w:eastAsia="Times New Roman" w:hAnsi="Calibri" w:cs="Times New Roman"/>
                <w:sz w:val="20"/>
                <w:szCs w:val="20"/>
                <w:lang w:eastAsia="en-AU"/>
              </w:rPr>
              <w:t xml:space="preserve"> 423</w:t>
            </w:r>
          </w:p>
        </w:tc>
        <w:tc>
          <w:tcPr>
            <w:tcW w:w="760" w:type="dxa"/>
            <w:tcBorders>
              <w:top w:val="nil"/>
              <w:left w:val="nil"/>
              <w:bottom w:val="nil"/>
              <w:right w:val="nil"/>
            </w:tcBorders>
            <w:shd w:val="clear" w:color="auto" w:fill="auto"/>
            <w:noWrap/>
            <w:vAlign w:val="bottom"/>
            <w:hideMark/>
          </w:tcPr>
          <w:p w:rsidR="009E11C5" w:rsidRPr="009E11C5" w:rsidRDefault="009E11C5" w:rsidP="009E11C5">
            <w:pPr>
              <w:keepNext/>
              <w:keepLines/>
              <w:tabs>
                <w:tab w:val="clear" w:pos="567"/>
              </w:tabs>
              <w:spacing w:after="0" w:line="240" w:lineRule="auto"/>
              <w:jc w:val="right"/>
              <w:rPr>
                <w:rFonts w:ascii="Calibri" w:eastAsia="Times New Roman" w:hAnsi="Calibri" w:cs="Times New Roman"/>
                <w:sz w:val="20"/>
                <w:szCs w:val="20"/>
                <w:lang w:eastAsia="en-AU"/>
              </w:rPr>
            </w:pPr>
            <w:r w:rsidRPr="009E11C5">
              <w:rPr>
                <w:rFonts w:ascii="Calibri" w:eastAsia="Times New Roman" w:hAnsi="Calibri" w:cs="Times New Roman"/>
                <w:sz w:val="20"/>
                <w:szCs w:val="20"/>
                <w:lang w:eastAsia="en-AU"/>
              </w:rPr>
              <w:t xml:space="preserve"> 478</w:t>
            </w:r>
          </w:p>
        </w:tc>
        <w:tc>
          <w:tcPr>
            <w:tcW w:w="760" w:type="dxa"/>
            <w:tcBorders>
              <w:top w:val="nil"/>
              <w:left w:val="nil"/>
              <w:bottom w:val="nil"/>
              <w:right w:val="nil"/>
            </w:tcBorders>
            <w:shd w:val="clear" w:color="auto" w:fill="auto"/>
            <w:noWrap/>
            <w:vAlign w:val="bottom"/>
            <w:hideMark/>
          </w:tcPr>
          <w:p w:rsidR="009E11C5" w:rsidRPr="009E11C5" w:rsidRDefault="009E11C5" w:rsidP="009E11C5">
            <w:pPr>
              <w:keepNext/>
              <w:keepLines/>
              <w:tabs>
                <w:tab w:val="clear" w:pos="567"/>
              </w:tabs>
              <w:spacing w:after="0" w:line="240" w:lineRule="auto"/>
              <w:jc w:val="right"/>
              <w:rPr>
                <w:rFonts w:ascii="Calibri" w:eastAsia="Times New Roman" w:hAnsi="Calibri" w:cs="Times New Roman"/>
                <w:sz w:val="20"/>
                <w:szCs w:val="20"/>
                <w:lang w:eastAsia="en-AU"/>
              </w:rPr>
            </w:pPr>
            <w:r w:rsidRPr="009E11C5">
              <w:rPr>
                <w:rFonts w:ascii="Calibri" w:eastAsia="Times New Roman" w:hAnsi="Calibri" w:cs="Times New Roman"/>
                <w:sz w:val="20"/>
                <w:szCs w:val="20"/>
                <w:lang w:eastAsia="en-AU"/>
              </w:rPr>
              <w:t>- 993</w:t>
            </w:r>
          </w:p>
        </w:tc>
        <w:tc>
          <w:tcPr>
            <w:tcW w:w="760" w:type="dxa"/>
            <w:tcBorders>
              <w:top w:val="nil"/>
              <w:left w:val="nil"/>
              <w:bottom w:val="nil"/>
              <w:right w:val="nil"/>
            </w:tcBorders>
            <w:shd w:val="clear" w:color="auto" w:fill="auto"/>
            <w:noWrap/>
            <w:vAlign w:val="bottom"/>
            <w:hideMark/>
          </w:tcPr>
          <w:p w:rsidR="009E11C5" w:rsidRPr="009E11C5" w:rsidRDefault="009E11C5" w:rsidP="009E11C5">
            <w:pPr>
              <w:keepNext/>
              <w:keepLines/>
              <w:tabs>
                <w:tab w:val="clear" w:pos="567"/>
              </w:tabs>
              <w:spacing w:after="0" w:line="240" w:lineRule="auto"/>
              <w:jc w:val="right"/>
              <w:rPr>
                <w:rFonts w:ascii="Calibri" w:eastAsia="Times New Roman" w:hAnsi="Calibri" w:cs="Times New Roman"/>
                <w:sz w:val="20"/>
                <w:szCs w:val="20"/>
                <w:lang w:eastAsia="en-AU"/>
              </w:rPr>
            </w:pPr>
            <w:r w:rsidRPr="009E11C5">
              <w:rPr>
                <w:rFonts w:ascii="Calibri" w:eastAsia="Times New Roman" w:hAnsi="Calibri" w:cs="Times New Roman"/>
                <w:sz w:val="20"/>
                <w:szCs w:val="20"/>
                <w:lang w:eastAsia="en-AU"/>
              </w:rPr>
              <w:t xml:space="preserve"> 466</w:t>
            </w:r>
          </w:p>
        </w:tc>
        <w:tc>
          <w:tcPr>
            <w:tcW w:w="760" w:type="dxa"/>
            <w:tcBorders>
              <w:top w:val="nil"/>
              <w:left w:val="nil"/>
              <w:bottom w:val="nil"/>
              <w:right w:val="nil"/>
            </w:tcBorders>
            <w:shd w:val="clear" w:color="auto" w:fill="auto"/>
            <w:noWrap/>
            <w:vAlign w:val="bottom"/>
            <w:hideMark/>
          </w:tcPr>
          <w:p w:rsidR="009E11C5" w:rsidRPr="009E11C5" w:rsidRDefault="009E11C5" w:rsidP="009E11C5">
            <w:pPr>
              <w:keepNext/>
              <w:keepLines/>
              <w:tabs>
                <w:tab w:val="clear" w:pos="567"/>
              </w:tabs>
              <w:spacing w:after="0" w:line="240" w:lineRule="auto"/>
              <w:jc w:val="right"/>
              <w:rPr>
                <w:rFonts w:ascii="Calibri" w:eastAsia="Times New Roman" w:hAnsi="Calibri" w:cs="Times New Roman"/>
                <w:sz w:val="20"/>
                <w:szCs w:val="20"/>
                <w:lang w:eastAsia="en-AU"/>
              </w:rPr>
            </w:pPr>
            <w:r w:rsidRPr="009E11C5">
              <w:rPr>
                <w:rFonts w:ascii="Calibri" w:eastAsia="Times New Roman" w:hAnsi="Calibri" w:cs="Times New Roman"/>
                <w:sz w:val="20"/>
                <w:szCs w:val="20"/>
                <w:lang w:eastAsia="en-AU"/>
              </w:rPr>
              <w:t xml:space="preserve"> 200</w:t>
            </w:r>
          </w:p>
        </w:tc>
        <w:tc>
          <w:tcPr>
            <w:tcW w:w="760" w:type="dxa"/>
            <w:tcBorders>
              <w:top w:val="nil"/>
              <w:left w:val="nil"/>
              <w:bottom w:val="nil"/>
              <w:right w:val="nil"/>
            </w:tcBorders>
            <w:shd w:val="clear" w:color="auto" w:fill="auto"/>
            <w:noWrap/>
            <w:vAlign w:val="bottom"/>
            <w:hideMark/>
          </w:tcPr>
          <w:p w:rsidR="009E11C5" w:rsidRPr="009E11C5" w:rsidRDefault="009E11C5" w:rsidP="009E11C5">
            <w:pPr>
              <w:keepNext/>
              <w:keepLines/>
              <w:tabs>
                <w:tab w:val="clear" w:pos="567"/>
              </w:tabs>
              <w:spacing w:after="0" w:line="240" w:lineRule="auto"/>
              <w:jc w:val="right"/>
              <w:rPr>
                <w:rFonts w:ascii="Calibri" w:eastAsia="Times New Roman" w:hAnsi="Calibri" w:cs="Times New Roman"/>
                <w:sz w:val="20"/>
                <w:szCs w:val="20"/>
                <w:lang w:eastAsia="en-AU"/>
              </w:rPr>
            </w:pPr>
            <w:r w:rsidRPr="009E11C5">
              <w:rPr>
                <w:rFonts w:ascii="Calibri" w:eastAsia="Times New Roman" w:hAnsi="Calibri" w:cs="Times New Roman"/>
                <w:sz w:val="20"/>
                <w:szCs w:val="20"/>
                <w:lang w:eastAsia="en-AU"/>
              </w:rPr>
              <w:t>7</w:t>
            </w:r>
          </w:p>
        </w:tc>
        <w:tc>
          <w:tcPr>
            <w:tcW w:w="760" w:type="dxa"/>
            <w:tcBorders>
              <w:top w:val="nil"/>
              <w:left w:val="nil"/>
              <w:bottom w:val="nil"/>
              <w:right w:val="nil"/>
            </w:tcBorders>
            <w:shd w:val="clear" w:color="auto" w:fill="auto"/>
            <w:noWrap/>
            <w:vAlign w:val="bottom"/>
            <w:hideMark/>
          </w:tcPr>
          <w:p w:rsidR="009E11C5" w:rsidRPr="009E11C5" w:rsidRDefault="009E11C5" w:rsidP="009E11C5">
            <w:pPr>
              <w:keepNext/>
              <w:keepLines/>
              <w:tabs>
                <w:tab w:val="clear" w:pos="567"/>
              </w:tabs>
              <w:spacing w:after="0" w:line="240" w:lineRule="auto"/>
              <w:jc w:val="right"/>
              <w:rPr>
                <w:rFonts w:ascii="Calibri" w:eastAsia="Times New Roman" w:hAnsi="Calibri" w:cs="Times New Roman"/>
                <w:sz w:val="20"/>
                <w:szCs w:val="20"/>
                <w:lang w:eastAsia="en-AU"/>
              </w:rPr>
            </w:pPr>
            <w:r w:rsidRPr="009E11C5">
              <w:rPr>
                <w:rFonts w:ascii="Calibri" w:eastAsia="Times New Roman" w:hAnsi="Calibri" w:cs="Times New Roman"/>
                <w:sz w:val="20"/>
                <w:szCs w:val="20"/>
                <w:lang w:eastAsia="en-AU"/>
              </w:rPr>
              <w:t>- 46</w:t>
            </w:r>
          </w:p>
        </w:tc>
        <w:tc>
          <w:tcPr>
            <w:tcW w:w="880" w:type="dxa"/>
            <w:tcBorders>
              <w:top w:val="nil"/>
              <w:left w:val="nil"/>
              <w:bottom w:val="nil"/>
              <w:right w:val="nil"/>
            </w:tcBorders>
            <w:shd w:val="clear" w:color="auto" w:fill="auto"/>
            <w:noWrap/>
            <w:vAlign w:val="bottom"/>
            <w:hideMark/>
          </w:tcPr>
          <w:p w:rsidR="009E11C5" w:rsidRPr="009E11C5" w:rsidRDefault="009E11C5" w:rsidP="009E11C5">
            <w:pPr>
              <w:keepNext/>
              <w:keepLines/>
              <w:tabs>
                <w:tab w:val="clear" w:pos="567"/>
              </w:tabs>
              <w:spacing w:after="0" w:line="240" w:lineRule="auto"/>
              <w:jc w:val="right"/>
              <w:rPr>
                <w:rFonts w:ascii="Calibri" w:eastAsia="Times New Roman" w:hAnsi="Calibri" w:cs="Times New Roman"/>
                <w:sz w:val="20"/>
                <w:szCs w:val="20"/>
                <w:lang w:eastAsia="en-AU"/>
              </w:rPr>
            </w:pPr>
            <w:r w:rsidRPr="009E11C5">
              <w:rPr>
                <w:rFonts w:ascii="Calibri" w:eastAsia="Times New Roman" w:hAnsi="Calibri" w:cs="Times New Roman"/>
                <w:sz w:val="20"/>
                <w:szCs w:val="20"/>
                <w:lang w:eastAsia="en-AU"/>
              </w:rPr>
              <w:t>1 575</w:t>
            </w:r>
          </w:p>
        </w:tc>
      </w:tr>
      <w:tr w:rsidR="009E11C5" w:rsidRPr="00C26DEA" w:rsidTr="00C26DEA">
        <w:trPr>
          <w:trHeight w:val="315"/>
        </w:trPr>
        <w:tc>
          <w:tcPr>
            <w:tcW w:w="1960" w:type="dxa"/>
            <w:tcBorders>
              <w:top w:val="nil"/>
              <w:left w:val="nil"/>
              <w:bottom w:val="single" w:sz="4" w:space="0" w:color="auto"/>
              <w:right w:val="nil"/>
            </w:tcBorders>
            <w:shd w:val="clear" w:color="auto" w:fill="auto"/>
            <w:noWrap/>
            <w:vAlign w:val="bottom"/>
            <w:hideMark/>
          </w:tcPr>
          <w:p w:rsidR="009E11C5" w:rsidRPr="00C26DEA" w:rsidRDefault="009E11C5" w:rsidP="00C26DEA">
            <w:pPr>
              <w:keepNext/>
              <w:keepLines/>
              <w:tabs>
                <w:tab w:val="clear" w:pos="567"/>
              </w:tabs>
              <w:spacing w:after="0" w:line="240" w:lineRule="auto"/>
              <w:rPr>
                <w:rFonts w:ascii="Calibri" w:eastAsia="Times New Roman" w:hAnsi="Calibri" w:cs="Times New Roman"/>
                <w:sz w:val="20"/>
                <w:szCs w:val="20"/>
                <w:lang w:eastAsia="en-AU"/>
              </w:rPr>
            </w:pPr>
            <w:r w:rsidRPr="00C26DEA">
              <w:rPr>
                <w:rFonts w:ascii="Calibri" w:eastAsia="Times New Roman" w:hAnsi="Calibri" w:cs="Times New Roman"/>
                <w:sz w:val="20"/>
                <w:szCs w:val="20"/>
                <w:lang w:eastAsia="en-AU"/>
              </w:rPr>
              <w:t>Dollars per capita</w:t>
            </w:r>
          </w:p>
        </w:tc>
        <w:tc>
          <w:tcPr>
            <w:tcW w:w="760" w:type="dxa"/>
            <w:tcBorders>
              <w:top w:val="nil"/>
              <w:left w:val="nil"/>
              <w:bottom w:val="single" w:sz="4" w:space="0" w:color="auto"/>
              <w:right w:val="nil"/>
            </w:tcBorders>
            <w:shd w:val="clear" w:color="auto" w:fill="auto"/>
            <w:noWrap/>
            <w:vAlign w:val="bottom"/>
            <w:hideMark/>
          </w:tcPr>
          <w:p w:rsidR="009E11C5" w:rsidRPr="009E11C5" w:rsidRDefault="009E11C5" w:rsidP="009E11C5">
            <w:pPr>
              <w:keepNext/>
              <w:keepLines/>
              <w:tabs>
                <w:tab w:val="clear" w:pos="567"/>
              </w:tabs>
              <w:spacing w:after="0" w:line="240" w:lineRule="auto"/>
              <w:jc w:val="right"/>
              <w:rPr>
                <w:rFonts w:ascii="Calibri" w:eastAsia="Times New Roman" w:hAnsi="Calibri" w:cs="Times New Roman"/>
                <w:sz w:val="20"/>
                <w:szCs w:val="20"/>
                <w:lang w:eastAsia="en-AU"/>
              </w:rPr>
            </w:pPr>
            <w:r w:rsidRPr="009E11C5">
              <w:rPr>
                <w:rFonts w:ascii="Calibri" w:eastAsia="Times New Roman" w:hAnsi="Calibri" w:cs="Times New Roman"/>
                <w:sz w:val="20"/>
                <w:szCs w:val="20"/>
                <w:lang w:eastAsia="en-AU"/>
              </w:rPr>
              <w:t>-67</w:t>
            </w:r>
          </w:p>
        </w:tc>
        <w:tc>
          <w:tcPr>
            <w:tcW w:w="760" w:type="dxa"/>
            <w:tcBorders>
              <w:top w:val="nil"/>
              <w:left w:val="nil"/>
              <w:bottom w:val="single" w:sz="4" w:space="0" w:color="auto"/>
              <w:right w:val="nil"/>
            </w:tcBorders>
            <w:shd w:val="clear" w:color="auto" w:fill="auto"/>
            <w:noWrap/>
            <w:vAlign w:val="bottom"/>
            <w:hideMark/>
          </w:tcPr>
          <w:p w:rsidR="009E11C5" w:rsidRPr="009E11C5" w:rsidRDefault="009E11C5" w:rsidP="009E11C5">
            <w:pPr>
              <w:keepNext/>
              <w:keepLines/>
              <w:tabs>
                <w:tab w:val="clear" w:pos="567"/>
              </w:tabs>
              <w:spacing w:after="0" w:line="240" w:lineRule="auto"/>
              <w:jc w:val="right"/>
              <w:rPr>
                <w:rFonts w:ascii="Calibri" w:eastAsia="Times New Roman" w:hAnsi="Calibri" w:cs="Times New Roman"/>
                <w:sz w:val="20"/>
                <w:szCs w:val="20"/>
                <w:lang w:eastAsia="en-AU"/>
              </w:rPr>
            </w:pPr>
            <w:r w:rsidRPr="009E11C5">
              <w:rPr>
                <w:rFonts w:ascii="Calibri" w:eastAsia="Times New Roman" w:hAnsi="Calibri" w:cs="Times New Roman"/>
                <w:sz w:val="20"/>
                <w:szCs w:val="20"/>
                <w:lang w:eastAsia="en-AU"/>
              </w:rPr>
              <w:t>65</w:t>
            </w:r>
          </w:p>
        </w:tc>
        <w:tc>
          <w:tcPr>
            <w:tcW w:w="760" w:type="dxa"/>
            <w:tcBorders>
              <w:top w:val="nil"/>
              <w:left w:val="nil"/>
              <w:bottom w:val="single" w:sz="4" w:space="0" w:color="auto"/>
              <w:right w:val="nil"/>
            </w:tcBorders>
            <w:shd w:val="clear" w:color="auto" w:fill="auto"/>
            <w:noWrap/>
            <w:vAlign w:val="bottom"/>
            <w:hideMark/>
          </w:tcPr>
          <w:p w:rsidR="009E11C5" w:rsidRPr="009E11C5" w:rsidRDefault="009E11C5" w:rsidP="009E11C5">
            <w:pPr>
              <w:keepNext/>
              <w:keepLines/>
              <w:tabs>
                <w:tab w:val="clear" w:pos="567"/>
              </w:tabs>
              <w:spacing w:after="0" w:line="240" w:lineRule="auto"/>
              <w:jc w:val="right"/>
              <w:rPr>
                <w:rFonts w:ascii="Calibri" w:eastAsia="Times New Roman" w:hAnsi="Calibri" w:cs="Times New Roman"/>
                <w:sz w:val="20"/>
                <w:szCs w:val="20"/>
                <w:lang w:eastAsia="en-AU"/>
              </w:rPr>
            </w:pPr>
            <w:r w:rsidRPr="009E11C5">
              <w:rPr>
                <w:rFonts w:ascii="Calibri" w:eastAsia="Times New Roman" w:hAnsi="Calibri" w:cs="Times New Roman"/>
                <w:sz w:val="20"/>
                <w:szCs w:val="20"/>
                <w:lang w:eastAsia="en-AU"/>
              </w:rPr>
              <w:t>95</w:t>
            </w:r>
          </w:p>
        </w:tc>
        <w:tc>
          <w:tcPr>
            <w:tcW w:w="760" w:type="dxa"/>
            <w:tcBorders>
              <w:top w:val="nil"/>
              <w:left w:val="nil"/>
              <w:bottom w:val="single" w:sz="4" w:space="0" w:color="auto"/>
              <w:right w:val="nil"/>
            </w:tcBorders>
            <w:shd w:val="clear" w:color="auto" w:fill="auto"/>
            <w:noWrap/>
            <w:vAlign w:val="bottom"/>
            <w:hideMark/>
          </w:tcPr>
          <w:p w:rsidR="009E11C5" w:rsidRPr="009E11C5" w:rsidRDefault="009E11C5" w:rsidP="009E11C5">
            <w:pPr>
              <w:keepNext/>
              <w:keepLines/>
              <w:tabs>
                <w:tab w:val="clear" w:pos="567"/>
              </w:tabs>
              <w:spacing w:after="0" w:line="240" w:lineRule="auto"/>
              <w:jc w:val="right"/>
              <w:rPr>
                <w:rFonts w:ascii="Calibri" w:eastAsia="Times New Roman" w:hAnsi="Calibri" w:cs="Times New Roman"/>
                <w:sz w:val="20"/>
                <w:szCs w:val="20"/>
                <w:lang w:eastAsia="en-AU"/>
              </w:rPr>
            </w:pPr>
            <w:r w:rsidRPr="009E11C5">
              <w:rPr>
                <w:rFonts w:ascii="Calibri" w:eastAsia="Times New Roman" w:hAnsi="Calibri" w:cs="Times New Roman"/>
                <w:sz w:val="20"/>
                <w:szCs w:val="20"/>
                <w:lang w:eastAsia="en-AU"/>
              </w:rPr>
              <w:t>-379</w:t>
            </w:r>
          </w:p>
        </w:tc>
        <w:tc>
          <w:tcPr>
            <w:tcW w:w="760" w:type="dxa"/>
            <w:tcBorders>
              <w:top w:val="nil"/>
              <w:left w:val="nil"/>
              <w:bottom w:val="single" w:sz="4" w:space="0" w:color="auto"/>
              <w:right w:val="nil"/>
            </w:tcBorders>
            <w:shd w:val="clear" w:color="auto" w:fill="auto"/>
            <w:noWrap/>
            <w:vAlign w:val="bottom"/>
            <w:hideMark/>
          </w:tcPr>
          <w:p w:rsidR="009E11C5" w:rsidRPr="009E11C5" w:rsidRDefault="009E11C5" w:rsidP="009E11C5">
            <w:pPr>
              <w:keepNext/>
              <w:keepLines/>
              <w:tabs>
                <w:tab w:val="clear" w:pos="567"/>
              </w:tabs>
              <w:spacing w:after="0" w:line="240" w:lineRule="auto"/>
              <w:jc w:val="right"/>
              <w:rPr>
                <w:rFonts w:ascii="Calibri" w:eastAsia="Times New Roman" w:hAnsi="Calibri" w:cs="Times New Roman"/>
                <w:sz w:val="20"/>
                <w:szCs w:val="20"/>
                <w:lang w:eastAsia="en-AU"/>
              </w:rPr>
            </w:pPr>
            <w:r w:rsidRPr="009E11C5">
              <w:rPr>
                <w:rFonts w:ascii="Calibri" w:eastAsia="Times New Roman" w:hAnsi="Calibri" w:cs="Times New Roman"/>
                <w:sz w:val="20"/>
                <w:szCs w:val="20"/>
                <w:lang w:eastAsia="en-AU"/>
              </w:rPr>
              <w:t>268</w:t>
            </w:r>
          </w:p>
        </w:tc>
        <w:tc>
          <w:tcPr>
            <w:tcW w:w="760" w:type="dxa"/>
            <w:tcBorders>
              <w:top w:val="nil"/>
              <w:left w:val="nil"/>
              <w:bottom w:val="single" w:sz="4" w:space="0" w:color="auto"/>
              <w:right w:val="nil"/>
            </w:tcBorders>
            <w:shd w:val="clear" w:color="auto" w:fill="auto"/>
            <w:noWrap/>
            <w:vAlign w:val="bottom"/>
            <w:hideMark/>
          </w:tcPr>
          <w:p w:rsidR="009E11C5" w:rsidRPr="009E11C5" w:rsidRDefault="009E11C5" w:rsidP="009E11C5">
            <w:pPr>
              <w:keepNext/>
              <w:keepLines/>
              <w:tabs>
                <w:tab w:val="clear" w:pos="567"/>
              </w:tabs>
              <w:spacing w:after="0" w:line="240" w:lineRule="auto"/>
              <w:jc w:val="right"/>
              <w:rPr>
                <w:rFonts w:ascii="Calibri" w:eastAsia="Times New Roman" w:hAnsi="Calibri" w:cs="Times New Roman"/>
                <w:sz w:val="20"/>
                <w:szCs w:val="20"/>
                <w:lang w:eastAsia="en-AU"/>
              </w:rPr>
            </w:pPr>
            <w:r w:rsidRPr="009E11C5">
              <w:rPr>
                <w:rFonts w:ascii="Calibri" w:eastAsia="Times New Roman" w:hAnsi="Calibri" w:cs="Times New Roman"/>
                <w:sz w:val="20"/>
                <w:szCs w:val="20"/>
                <w:lang w:eastAsia="en-AU"/>
              </w:rPr>
              <w:t>382</w:t>
            </w:r>
          </w:p>
        </w:tc>
        <w:tc>
          <w:tcPr>
            <w:tcW w:w="760" w:type="dxa"/>
            <w:tcBorders>
              <w:top w:val="nil"/>
              <w:left w:val="nil"/>
              <w:bottom w:val="single" w:sz="4" w:space="0" w:color="auto"/>
              <w:right w:val="nil"/>
            </w:tcBorders>
            <w:shd w:val="clear" w:color="auto" w:fill="auto"/>
            <w:noWrap/>
            <w:vAlign w:val="bottom"/>
            <w:hideMark/>
          </w:tcPr>
          <w:p w:rsidR="009E11C5" w:rsidRPr="009E11C5" w:rsidRDefault="009E11C5" w:rsidP="009E11C5">
            <w:pPr>
              <w:keepNext/>
              <w:keepLines/>
              <w:tabs>
                <w:tab w:val="clear" w:pos="567"/>
              </w:tabs>
              <w:spacing w:after="0" w:line="240" w:lineRule="auto"/>
              <w:jc w:val="right"/>
              <w:rPr>
                <w:rFonts w:ascii="Calibri" w:eastAsia="Times New Roman" w:hAnsi="Calibri" w:cs="Times New Roman"/>
                <w:sz w:val="20"/>
                <w:szCs w:val="20"/>
                <w:lang w:eastAsia="en-AU"/>
              </w:rPr>
            </w:pPr>
            <w:r w:rsidRPr="009E11C5">
              <w:rPr>
                <w:rFonts w:ascii="Calibri" w:eastAsia="Times New Roman" w:hAnsi="Calibri" w:cs="Times New Roman"/>
                <w:sz w:val="20"/>
                <w:szCs w:val="20"/>
                <w:lang w:eastAsia="en-AU"/>
              </w:rPr>
              <w:t>17</w:t>
            </w:r>
          </w:p>
        </w:tc>
        <w:tc>
          <w:tcPr>
            <w:tcW w:w="760" w:type="dxa"/>
            <w:tcBorders>
              <w:top w:val="nil"/>
              <w:left w:val="nil"/>
              <w:bottom w:val="single" w:sz="4" w:space="0" w:color="auto"/>
              <w:right w:val="nil"/>
            </w:tcBorders>
            <w:shd w:val="clear" w:color="auto" w:fill="auto"/>
            <w:noWrap/>
            <w:vAlign w:val="bottom"/>
            <w:hideMark/>
          </w:tcPr>
          <w:p w:rsidR="009E11C5" w:rsidRPr="009E11C5" w:rsidRDefault="009E11C5" w:rsidP="009E11C5">
            <w:pPr>
              <w:keepNext/>
              <w:keepLines/>
              <w:tabs>
                <w:tab w:val="clear" w:pos="567"/>
              </w:tabs>
              <w:spacing w:after="0" w:line="240" w:lineRule="auto"/>
              <w:jc w:val="right"/>
              <w:rPr>
                <w:rFonts w:ascii="Calibri" w:eastAsia="Times New Roman" w:hAnsi="Calibri" w:cs="Times New Roman"/>
                <w:sz w:val="20"/>
                <w:szCs w:val="20"/>
                <w:lang w:eastAsia="en-AU"/>
              </w:rPr>
            </w:pPr>
            <w:r w:rsidRPr="009E11C5">
              <w:rPr>
                <w:rFonts w:ascii="Calibri" w:eastAsia="Times New Roman" w:hAnsi="Calibri" w:cs="Times New Roman"/>
                <w:sz w:val="20"/>
                <w:szCs w:val="20"/>
                <w:lang w:eastAsia="en-AU"/>
              </w:rPr>
              <w:t>-188</w:t>
            </w:r>
          </w:p>
        </w:tc>
        <w:tc>
          <w:tcPr>
            <w:tcW w:w="880" w:type="dxa"/>
            <w:tcBorders>
              <w:top w:val="nil"/>
              <w:left w:val="nil"/>
              <w:bottom w:val="single" w:sz="4" w:space="0" w:color="auto"/>
              <w:right w:val="nil"/>
            </w:tcBorders>
            <w:shd w:val="clear" w:color="auto" w:fill="auto"/>
            <w:noWrap/>
            <w:vAlign w:val="bottom"/>
            <w:hideMark/>
          </w:tcPr>
          <w:p w:rsidR="009E11C5" w:rsidRPr="009E11C5" w:rsidRDefault="009E11C5" w:rsidP="009E11C5">
            <w:pPr>
              <w:keepNext/>
              <w:keepLines/>
              <w:tabs>
                <w:tab w:val="clear" w:pos="567"/>
              </w:tabs>
              <w:spacing w:after="0" w:line="240" w:lineRule="auto"/>
              <w:jc w:val="right"/>
              <w:rPr>
                <w:rFonts w:ascii="Calibri" w:eastAsia="Times New Roman" w:hAnsi="Calibri" w:cs="Times New Roman"/>
                <w:sz w:val="20"/>
                <w:szCs w:val="20"/>
                <w:lang w:eastAsia="en-AU"/>
              </w:rPr>
            </w:pPr>
            <w:r w:rsidRPr="009E11C5">
              <w:rPr>
                <w:rFonts w:ascii="Calibri" w:eastAsia="Times New Roman" w:hAnsi="Calibri" w:cs="Times New Roman"/>
                <w:sz w:val="20"/>
                <w:szCs w:val="20"/>
                <w:lang w:eastAsia="en-AU"/>
              </w:rPr>
              <w:t>63</w:t>
            </w:r>
          </w:p>
        </w:tc>
      </w:tr>
    </w:tbl>
    <w:p w:rsidR="00882C88" w:rsidRDefault="00882C88" w:rsidP="00C26DEA">
      <w:pPr>
        <w:pStyle w:val="CGCTableFootnote"/>
        <w:keepNext/>
        <w:keepLines/>
      </w:pPr>
      <w:r>
        <w:t>Source:</w:t>
      </w:r>
      <w:r>
        <w:tab/>
        <w:t>201</w:t>
      </w:r>
      <w:r w:rsidR="00F25FE8">
        <w:t>8</w:t>
      </w:r>
      <w:r>
        <w:t> Update.</w:t>
      </w:r>
    </w:p>
    <w:p w:rsidR="008A5324" w:rsidRPr="008A5324" w:rsidRDefault="008A5324" w:rsidP="008A5324">
      <w:pPr>
        <w:pStyle w:val="NoSpacing"/>
      </w:pPr>
    </w:p>
    <w:p w:rsidR="00882C88" w:rsidRPr="00FF0FE2" w:rsidRDefault="00882C88" w:rsidP="00882C88">
      <w:pPr>
        <w:pStyle w:val="Heading3"/>
        <w:rPr>
          <w:szCs w:val="24"/>
        </w:rPr>
      </w:pPr>
      <w:bookmarkStart w:id="12" w:name="_Toc511636222"/>
      <w:r>
        <w:lastRenderedPageBreak/>
        <w:t>Issues and analysis</w:t>
      </w:r>
      <w:bookmarkEnd w:id="12"/>
    </w:p>
    <w:p w:rsidR="00D52FE9" w:rsidRDefault="005D3C2F" w:rsidP="00D850B3">
      <w:pPr>
        <w:pStyle w:val="CGCNumberedPara"/>
      </w:pPr>
      <w:r w:rsidRPr="00D850B3">
        <w:t xml:space="preserve">There are </w:t>
      </w:r>
      <w:r w:rsidR="00D52FE9">
        <w:t xml:space="preserve">no issues in the payroll </w:t>
      </w:r>
      <w:r w:rsidR="00810E5A">
        <w:t xml:space="preserve">tax </w:t>
      </w:r>
      <w:r w:rsidR="00D52FE9">
        <w:t>assessment for the 2020 Review.</w:t>
      </w:r>
      <w:r w:rsidR="008A5324">
        <w:t xml:space="preserve"> The assessment reflects what States do and is simple. It is based on reliable data and produces a material result.</w:t>
      </w:r>
    </w:p>
    <w:p w:rsidR="006F0244" w:rsidRPr="00E674AF" w:rsidRDefault="006F0244" w:rsidP="006F0244">
      <w:pPr>
        <w:pStyle w:val="Heading4"/>
      </w:pPr>
      <w:bookmarkStart w:id="13" w:name="_Toc511636223"/>
      <w:r w:rsidRPr="00E674AF">
        <w:t>Recommendations</w:t>
      </w:r>
      <w:bookmarkEnd w:id="13"/>
      <w:r w:rsidR="00B6411F">
        <w:t xml:space="preserve"> </w:t>
      </w:r>
    </w:p>
    <w:tbl>
      <w:tblPr>
        <w:tblW w:w="0" w:type="auto"/>
        <w:tblInd w:w="108" w:type="dxa"/>
        <w:shd w:val="clear" w:color="auto" w:fill="D9F3E6"/>
        <w:tblLook w:val="0000" w:firstRow="0" w:lastRow="0" w:firstColumn="0" w:lastColumn="0" w:noHBand="0" w:noVBand="0"/>
      </w:tblPr>
      <w:tblGrid>
        <w:gridCol w:w="8931"/>
      </w:tblGrid>
      <w:tr w:rsidR="006F0244" w:rsidRPr="00E674AF" w:rsidTr="00B15C94">
        <w:tc>
          <w:tcPr>
            <w:tcW w:w="8931" w:type="dxa"/>
            <w:shd w:val="clear" w:color="auto" w:fill="D9F3E6"/>
          </w:tcPr>
          <w:p w:rsidR="006F0244" w:rsidRPr="00E674AF" w:rsidRDefault="006F0244" w:rsidP="00B15C94">
            <w:pPr>
              <w:tabs>
                <w:tab w:val="clear" w:pos="567"/>
              </w:tabs>
              <w:rPr>
                <w:bCs/>
              </w:rPr>
            </w:pPr>
            <w:r w:rsidRPr="00E674AF">
              <w:rPr>
                <w:bCs/>
              </w:rPr>
              <w:t xml:space="preserve">Staff </w:t>
            </w:r>
            <w:r>
              <w:rPr>
                <w:bCs/>
              </w:rPr>
              <w:t xml:space="preserve">propose to </w:t>
            </w:r>
            <w:r w:rsidRPr="00E674AF">
              <w:rPr>
                <w:bCs/>
              </w:rPr>
              <w:t xml:space="preserve">recommend the </w:t>
            </w:r>
            <w:r>
              <w:rPr>
                <w:bCs/>
              </w:rPr>
              <w:t>Commission</w:t>
            </w:r>
            <w:r w:rsidR="00BD4AF1">
              <w:rPr>
                <w:bCs/>
              </w:rPr>
              <w:t>:</w:t>
            </w:r>
          </w:p>
          <w:p w:rsidR="006F0244" w:rsidRPr="00E674AF" w:rsidRDefault="00D52FE9" w:rsidP="009A5D4E">
            <w:pPr>
              <w:pStyle w:val="CGCBulletlist"/>
              <w:numPr>
                <w:ilvl w:val="0"/>
                <w:numId w:val="1"/>
              </w:numPr>
              <w:tabs>
                <w:tab w:val="clear" w:pos="927"/>
                <w:tab w:val="clear" w:pos="1134"/>
              </w:tabs>
              <w:ind w:left="1134" w:hanging="567"/>
            </w:pPr>
            <w:proofErr w:type="gramStart"/>
            <w:r>
              <w:t>retain</w:t>
            </w:r>
            <w:proofErr w:type="gramEnd"/>
            <w:r>
              <w:t xml:space="preserve"> the 2015 Review payroll tax assessment</w:t>
            </w:r>
            <w:r w:rsidR="009A5D4E" w:rsidRPr="007E693A">
              <w:t>.</w:t>
            </w:r>
          </w:p>
        </w:tc>
      </w:tr>
    </w:tbl>
    <w:p w:rsidR="00112953" w:rsidRDefault="00112953" w:rsidP="00FF0FE2">
      <w:pPr>
        <w:pStyle w:val="Heading4"/>
      </w:pPr>
      <w:bookmarkStart w:id="14" w:name="_Toc511636224"/>
      <w:r>
        <w:t>Other issues considered</w:t>
      </w:r>
      <w:bookmarkEnd w:id="14"/>
    </w:p>
    <w:p w:rsidR="009679CC" w:rsidRDefault="00810E5A" w:rsidP="00D52FE9">
      <w:pPr>
        <w:pStyle w:val="CGCNumberedPara"/>
      </w:pPr>
      <w:r w:rsidRPr="00810E5A">
        <w:rPr>
          <w:rStyle w:val="Heading6Char"/>
        </w:rPr>
        <w:t>Treatment of diminishing thresholds.</w:t>
      </w:r>
      <w:r>
        <w:t xml:space="preserve"> </w:t>
      </w:r>
      <w:r w:rsidR="00D52FE9">
        <w:t xml:space="preserve">Five States currently impose a single marginal rate </w:t>
      </w:r>
      <w:r w:rsidR="007B59AA">
        <w:t xml:space="preserve">of tax on payrolls </w:t>
      </w:r>
      <w:r w:rsidR="00D52FE9">
        <w:t>above a threshold</w:t>
      </w:r>
      <w:r w:rsidR="007B59AA">
        <w:t xml:space="preserve">. </w:t>
      </w:r>
      <w:r w:rsidR="00112F9A">
        <w:t xml:space="preserve">The other </w:t>
      </w:r>
      <w:r w:rsidR="00112F9A" w:rsidRPr="008C2855">
        <w:t xml:space="preserve">three States have diminishing deduction thresholds, meaning the effective rate increases </w:t>
      </w:r>
      <w:r w:rsidR="00112F9A">
        <w:t>up to a certain payroll size, above which it is flat.</w:t>
      </w:r>
      <w:r w:rsidR="00112F9A">
        <w:rPr>
          <w:rStyle w:val="FootnoteReference"/>
        </w:rPr>
        <w:footnoteReference w:id="9"/>
      </w:r>
      <w:r w:rsidR="00112F9A">
        <w:t xml:space="preserve"> </w:t>
      </w:r>
      <w:r w:rsidR="00D52FE9">
        <w:t xml:space="preserve"> </w:t>
      </w:r>
    </w:p>
    <w:p w:rsidR="009679CC" w:rsidRDefault="007B59AA" w:rsidP="00D52FE9">
      <w:pPr>
        <w:pStyle w:val="CGCNumberedPara"/>
      </w:pPr>
      <w:r>
        <w:t>The 2015 Review assessment</w:t>
      </w:r>
      <w:r w:rsidR="009679CC">
        <w:t xml:space="preserve"> measures payroll tax capacities by estimating the proportion of remuneration above </w:t>
      </w:r>
      <w:r w:rsidR="008A5324">
        <w:t xml:space="preserve">a </w:t>
      </w:r>
      <w:r w:rsidR="009679CC">
        <w:t xml:space="preserve">single average threshold. </w:t>
      </w:r>
      <w:r>
        <w:t xml:space="preserve">Some States have argued </w:t>
      </w:r>
      <w:r w:rsidR="00F9562B">
        <w:t xml:space="preserve">in the past </w:t>
      </w:r>
      <w:r>
        <w:t xml:space="preserve">that the Commission should take account of </w:t>
      </w:r>
      <w:r w:rsidR="008A5324">
        <w:t xml:space="preserve">the </w:t>
      </w:r>
      <w:r>
        <w:t>deduction system</w:t>
      </w:r>
      <w:r w:rsidR="00164846">
        <w:t xml:space="preserve"> in three States</w:t>
      </w:r>
      <w:r>
        <w:t xml:space="preserve">. </w:t>
      </w:r>
    </w:p>
    <w:p w:rsidR="00164846" w:rsidRDefault="00F9562B" w:rsidP="00164846">
      <w:pPr>
        <w:pStyle w:val="CGCNumberedPara"/>
      </w:pPr>
      <w:r>
        <w:t>The Commission intends to continue its 2015 Review approach to average policy in the 2020 Review. Under th</w:t>
      </w:r>
      <w:r w:rsidR="00CD4861">
        <w:t>at</w:t>
      </w:r>
      <w:r>
        <w:t xml:space="preserve"> approach, </w:t>
      </w:r>
      <w:r w:rsidR="00CD4861">
        <w:t xml:space="preserve">the Commission would take account of diminishing </w:t>
      </w:r>
      <w:r w:rsidR="005B6858">
        <w:t xml:space="preserve">thresholds, </w:t>
      </w:r>
      <w:r w:rsidR="00486854">
        <w:t xml:space="preserve">if </w:t>
      </w:r>
      <w:r w:rsidR="00CD4861">
        <w:t>it were material</w:t>
      </w:r>
      <w:r w:rsidR="00676D4B">
        <w:t xml:space="preserve"> to do so</w:t>
      </w:r>
      <w:r w:rsidR="00CD4861">
        <w:t xml:space="preserve">. </w:t>
      </w:r>
      <w:r w:rsidR="005B6858">
        <w:t>I</w:t>
      </w:r>
      <w:r>
        <w:t xml:space="preserve">t would need wages and salaries data </w:t>
      </w:r>
      <w:r w:rsidR="009763EC">
        <w:t>separated</w:t>
      </w:r>
      <w:r w:rsidR="005B6858">
        <w:t xml:space="preserve"> </w:t>
      </w:r>
      <w:r>
        <w:t xml:space="preserve">into </w:t>
      </w:r>
      <w:r w:rsidR="009763EC">
        <w:t xml:space="preserve">several ranges based on </w:t>
      </w:r>
      <w:r w:rsidR="005B6858">
        <w:t>size of payroll</w:t>
      </w:r>
      <w:r w:rsidR="00164846">
        <w:t xml:space="preserve">. </w:t>
      </w:r>
      <w:r w:rsidR="005B6858">
        <w:t xml:space="preserve">The ABS has previously indicated that it cannot provide </w:t>
      </w:r>
      <w:r w:rsidR="00CA2E76">
        <w:t xml:space="preserve">those </w:t>
      </w:r>
      <w:r w:rsidR="00164846">
        <w:t>data</w:t>
      </w:r>
      <w:r w:rsidR="009763EC">
        <w:t xml:space="preserve"> at </w:t>
      </w:r>
      <w:r w:rsidR="00D12F5A">
        <w:t>a more disaggregated level</w:t>
      </w:r>
      <w:r w:rsidR="005B6858">
        <w:t>.</w:t>
      </w:r>
      <w:r w:rsidR="00A77DF1">
        <w:t xml:space="preserve"> Another option may be to use an alternative data source. This is discussed in the next section.</w:t>
      </w:r>
    </w:p>
    <w:p w:rsidR="00D52FE9" w:rsidRDefault="00CA2E76" w:rsidP="00D52FE9">
      <w:pPr>
        <w:pStyle w:val="CGCNumberedPara"/>
      </w:pPr>
      <w:r>
        <w:t xml:space="preserve">On practicality grounds, Commission </w:t>
      </w:r>
      <w:proofErr w:type="gramStart"/>
      <w:r>
        <w:t>s</w:t>
      </w:r>
      <w:r w:rsidR="00D52FE9">
        <w:t>taff propose</w:t>
      </w:r>
      <w:proofErr w:type="gramEnd"/>
      <w:r w:rsidR="00D52FE9">
        <w:t xml:space="preserve"> to continue to </w:t>
      </w:r>
      <w:r>
        <w:t xml:space="preserve">reflect the policy of all States to exempt </w:t>
      </w:r>
      <w:r w:rsidR="005F059A">
        <w:t xml:space="preserve">small </w:t>
      </w:r>
      <w:r>
        <w:t>payrolls using data above a single average threshold</w:t>
      </w:r>
      <w:r w:rsidR="00D52FE9">
        <w:t xml:space="preserve">. </w:t>
      </w:r>
    </w:p>
    <w:p w:rsidR="00D21225" w:rsidRDefault="00810E5A" w:rsidP="00D52FE9">
      <w:pPr>
        <w:pStyle w:val="CGCNumberedPara"/>
      </w:pPr>
      <w:r>
        <w:rPr>
          <w:rStyle w:val="Heading6Char"/>
        </w:rPr>
        <w:t>S</w:t>
      </w:r>
      <w:r w:rsidRPr="00810E5A">
        <w:rPr>
          <w:rStyle w:val="Heading6Char"/>
        </w:rPr>
        <w:t>ource</w:t>
      </w:r>
      <w:r>
        <w:rPr>
          <w:rStyle w:val="Heading6Char"/>
        </w:rPr>
        <w:t xml:space="preserve"> of data for the revenue base</w:t>
      </w:r>
      <w:r w:rsidRPr="00810E5A">
        <w:rPr>
          <w:rStyle w:val="Heading6Char"/>
        </w:rPr>
        <w:t>.</w:t>
      </w:r>
      <w:r>
        <w:t xml:space="preserve"> </w:t>
      </w:r>
      <w:r w:rsidR="00D21225">
        <w:t xml:space="preserve">The ABS data used in the assessment are considered reliable and fit for purpose, although some States have previously raised concerns about volatility for the small States. </w:t>
      </w:r>
    </w:p>
    <w:p w:rsidR="00D52FE9" w:rsidRDefault="00A77DF1" w:rsidP="00D52FE9">
      <w:pPr>
        <w:pStyle w:val="CGCNumberedPara"/>
      </w:pPr>
      <w:r>
        <w:t xml:space="preserve">Commission </w:t>
      </w:r>
      <w:proofErr w:type="gramStart"/>
      <w:r w:rsidR="00184DEB">
        <w:t>staff are</w:t>
      </w:r>
      <w:proofErr w:type="gramEnd"/>
      <w:r w:rsidR="00184DEB">
        <w:t xml:space="preserve"> not aware of </w:t>
      </w:r>
      <w:r w:rsidR="004F71E3">
        <w:t xml:space="preserve">any currently available </w:t>
      </w:r>
      <w:r>
        <w:t xml:space="preserve">alternative </w:t>
      </w:r>
      <w:r w:rsidR="004F71E3">
        <w:t xml:space="preserve">sources of data that </w:t>
      </w:r>
      <w:r>
        <w:t xml:space="preserve">are </w:t>
      </w:r>
      <w:r w:rsidR="004F71E3">
        <w:t>reliable, fit for purpose and policy neutral. T</w:t>
      </w:r>
      <w:r>
        <w:t xml:space="preserve">he ABS </w:t>
      </w:r>
      <w:r w:rsidR="004F71E3">
        <w:t xml:space="preserve">is jointly developing </w:t>
      </w:r>
      <w:r w:rsidR="00D52FE9">
        <w:t>the Business Longitudinal Analysis Data Environment (BLADE)</w:t>
      </w:r>
      <w:r w:rsidR="004F71E3">
        <w:t xml:space="preserve"> with the </w:t>
      </w:r>
      <w:r w:rsidR="004F71E3">
        <w:lastRenderedPageBreak/>
        <w:t>Department</w:t>
      </w:r>
      <w:r w:rsidR="00486854">
        <w:t> </w:t>
      </w:r>
      <w:r w:rsidR="004F71E3">
        <w:t>of</w:t>
      </w:r>
      <w:r w:rsidR="00486854">
        <w:t> </w:t>
      </w:r>
      <w:r w:rsidR="004F71E3">
        <w:t>Industry, Innovation and Science</w:t>
      </w:r>
      <w:r w:rsidR="00D52FE9">
        <w:t xml:space="preserve">. BLADE </w:t>
      </w:r>
      <w:r w:rsidR="004F71E3">
        <w:t>will contain</w:t>
      </w:r>
      <w:r w:rsidR="00D52FE9">
        <w:t xml:space="preserve"> administrative data on more than two million actively trading Australian businesses</w:t>
      </w:r>
      <w:r w:rsidR="004F71E3">
        <w:t xml:space="preserve"> and may provide a richer source of data for a future </w:t>
      </w:r>
      <w:r w:rsidR="00D52FE9">
        <w:t xml:space="preserve">payroll </w:t>
      </w:r>
      <w:r w:rsidR="004F71E3">
        <w:t>assessment, possibly including an adjustment for diminishing thresholds</w:t>
      </w:r>
      <w:r w:rsidR="00D52FE9">
        <w:t>.</w:t>
      </w:r>
      <w:r w:rsidR="004F71E3">
        <w:t xml:space="preserve"> </w:t>
      </w:r>
      <w:r w:rsidR="00D52FE9">
        <w:t xml:space="preserve">However, the ABS </w:t>
      </w:r>
      <w:r w:rsidR="004F71E3">
        <w:t xml:space="preserve">has </w:t>
      </w:r>
      <w:r w:rsidR="00D52FE9">
        <w:t>indicate</w:t>
      </w:r>
      <w:r w:rsidR="004F71E3">
        <w:t>d</w:t>
      </w:r>
      <w:r w:rsidR="00D52FE9">
        <w:t xml:space="preserve"> </w:t>
      </w:r>
      <w:r w:rsidR="004F71E3">
        <w:t xml:space="preserve">that the BLADE </w:t>
      </w:r>
      <w:r w:rsidR="00D52FE9">
        <w:t xml:space="preserve">data </w:t>
      </w:r>
      <w:r w:rsidR="004F71E3">
        <w:t xml:space="preserve">are </w:t>
      </w:r>
      <w:r w:rsidR="006F7255">
        <w:t xml:space="preserve">unlikely to be </w:t>
      </w:r>
      <w:r w:rsidR="004F71E3">
        <w:t xml:space="preserve">available </w:t>
      </w:r>
      <w:r w:rsidR="006F7255">
        <w:t xml:space="preserve">in time for consideration in the </w:t>
      </w:r>
      <w:r w:rsidR="00D52FE9">
        <w:t>2020 Review.</w:t>
      </w:r>
    </w:p>
    <w:p w:rsidR="00D52FE9" w:rsidRPr="00D52FE9" w:rsidRDefault="00184DEB" w:rsidP="00D52FE9">
      <w:pPr>
        <w:pStyle w:val="CGCNumberedPara"/>
        <w:rPr>
          <w:rStyle w:val="Heading6Char"/>
          <w:rFonts w:eastAsiaTheme="minorHAnsi" w:cstheme="minorBidi"/>
          <w:b w:val="0"/>
          <w:i w:val="0"/>
          <w:iCs w:val="0"/>
          <w:color w:val="auto"/>
          <w:sz w:val="24"/>
        </w:rPr>
      </w:pPr>
      <w:r>
        <w:t xml:space="preserve">Commission </w:t>
      </w:r>
      <w:proofErr w:type="gramStart"/>
      <w:r>
        <w:t>s</w:t>
      </w:r>
      <w:r w:rsidR="00D52FE9">
        <w:t>taff propose</w:t>
      </w:r>
      <w:proofErr w:type="gramEnd"/>
      <w:r w:rsidR="00D52FE9">
        <w:t xml:space="preserve"> </w:t>
      </w:r>
      <w:r w:rsidR="00681FCD">
        <w:t xml:space="preserve">to </w:t>
      </w:r>
      <w:r w:rsidR="00D52FE9">
        <w:t xml:space="preserve">continue to use ABS data </w:t>
      </w:r>
      <w:r>
        <w:t xml:space="preserve">on </w:t>
      </w:r>
      <w:proofErr w:type="spellStart"/>
      <w:r>
        <w:t>CoE</w:t>
      </w:r>
      <w:proofErr w:type="spellEnd"/>
      <w:r>
        <w:t xml:space="preserve"> and wages and salaries </w:t>
      </w:r>
      <w:r w:rsidR="00D52FE9">
        <w:t>for the 2020 Review.</w:t>
      </w:r>
    </w:p>
    <w:p w:rsidR="00112953" w:rsidRPr="0071625C" w:rsidRDefault="00112953" w:rsidP="00112953">
      <w:pPr>
        <w:pStyle w:val="CGCNumberedPara"/>
      </w:pPr>
      <w:r>
        <w:rPr>
          <w:rStyle w:val="Heading6Char"/>
        </w:rPr>
        <w:t>Elasticity adjustment</w:t>
      </w:r>
      <w:r w:rsidRPr="00B7517F">
        <w:rPr>
          <w:rStyle w:val="Heading6Char"/>
        </w:rPr>
        <w:t>.</w:t>
      </w:r>
      <w:r>
        <w:t xml:space="preserve"> The Commission has engaged </w:t>
      </w:r>
      <w:r w:rsidR="00EC0D48">
        <w:t>a consultant</w:t>
      </w:r>
      <w:r>
        <w:t xml:space="preserve"> to provide advice on whether it should consider reinstating elasticity adjustments and, if so, for which categories. </w:t>
      </w:r>
      <w:r w:rsidRPr="00B948BA">
        <w:rPr>
          <w:szCs w:val="22"/>
        </w:rPr>
        <w:t xml:space="preserve">The question whether an elasticity adjustment </w:t>
      </w:r>
      <w:r w:rsidR="005C0326">
        <w:rPr>
          <w:szCs w:val="22"/>
        </w:rPr>
        <w:t>could</w:t>
      </w:r>
      <w:r w:rsidRPr="00B948BA">
        <w:rPr>
          <w:szCs w:val="22"/>
        </w:rPr>
        <w:t xml:space="preserve"> be assessed in the </w:t>
      </w:r>
      <w:r>
        <w:rPr>
          <w:szCs w:val="22"/>
        </w:rPr>
        <w:t>Payroll tax</w:t>
      </w:r>
      <w:r w:rsidRPr="00B948BA">
        <w:rPr>
          <w:szCs w:val="22"/>
        </w:rPr>
        <w:t xml:space="preserve"> category will be addressed </w:t>
      </w:r>
      <w:r>
        <w:rPr>
          <w:szCs w:val="22"/>
        </w:rPr>
        <w:t>by that</w:t>
      </w:r>
      <w:r w:rsidRPr="00B948BA">
        <w:rPr>
          <w:szCs w:val="22"/>
        </w:rPr>
        <w:t xml:space="preserve"> consultancy.</w:t>
      </w:r>
    </w:p>
    <w:p w:rsidR="00FF0FE2" w:rsidRPr="00CA1249" w:rsidRDefault="00FF0FE2" w:rsidP="00747B6A">
      <w:pPr>
        <w:pStyle w:val="Heading3"/>
      </w:pPr>
      <w:bookmarkStart w:id="15" w:name="_Toc511636225"/>
      <w:r w:rsidRPr="00CA1249">
        <w:t>Conclusion and way forward</w:t>
      </w:r>
      <w:bookmarkEnd w:id="15"/>
    </w:p>
    <w:p w:rsidR="00CA1249" w:rsidRDefault="00FC1115" w:rsidP="00CA1249">
      <w:pPr>
        <w:pStyle w:val="CGCNumberedPara"/>
      </w:pPr>
      <w:proofErr w:type="gramStart"/>
      <w:r>
        <w:t>Staff propose</w:t>
      </w:r>
      <w:proofErr w:type="gramEnd"/>
      <w:r>
        <w:t xml:space="preserve"> to retain the 2015 Review </w:t>
      </w:r>
      <w:r w:rsidR="008470E6">
        <w:t>P</w:t>
      </w:r>
      <w:r>
        <w:t>ayroll tax assessment.</w:t>
      </w:r>
    </w:p>
    <w:p w:rsidR="00FF0FE2" w:rsidRDefault="00FF0FE2" w:rsidP="00747B6A">
      <w:pPr>
        <w:pStyle w:val="Heading4"/>
      </w:pPr>
      <w:bookmarkStart w:id="16" w:name="_Toc511636226"/>
      <w:r>
        <w:t>Proposed assessment structure</w:t>
      </w:r>
      <w:bookmarkEnd w:id="16"/>
    </w:p>
    <w:p w:rsidR="00FF0FE2" w:rsidRDefault="008927C8" w:rsidP="001850FF">
      <w:pPr>
        <w:pStyle w:val="CGCNumberedPara"/>
      </w:pPr>
      <w:r>
        <w:fldChar w:fldCharType="begin"/>
      </w:r>
      <w:r>
        <w:instrText xml:space="preserve"> REF _Ref498679223 \h </w:instrText>
      </w:r>
      <w:r>
        <w:fldChar w:fldCharType="separate"/>
      </w:r>
      <w:r w:rsidR="0044574B">
        <w:t xml:space="preserve">Table </w:t>
      </w:r>
      <w:r w:rsidR="0044574B">
        <w:rPr>
          <w:noProof/>
        </w:rPr>
        <w:t>4</w:t>
      </w:r>
      <w:r>
        <w:fldChar w:fldCharType="end"/>
      </w:r>
      <w:r w:rsidR="00FF0FE2" w:rsidRPr="00741FF2">
        <w:t xml:space="preserve"> </w:t>
      </w:r>
      <w:r w:rsidR="00BD4AF1">
        <w:t xml:space="preserve">shows the proposed assessment structure </w:t>
      </w:r>
      <w:r w:rsidR="00BD4AF1" w:rsidRPr="00741FF2">
        <w:t xml:space="preserve">for </w:t>
      </w:r>
      <w:r w:rsidR="00BD4AF1">
        <w:t>Payroll tax</w:t>
      </w:r>
      <w:r w:rsidR="00BD4AF1" w:rsidRPr="00741FF2">
        <w:t xml:space="preserve"> in the </w:t>
      </w:r>
      <w:r w:rsidR="00BD4AF1">
        <w:t>2020 R</w:t>
      </w:r>
      <w:r w:rsidR="00BD4AF1" w:rsidRPr="00741FF2">
        <w:t>eview</w:t>
      </w:r>
      <w:r w:rsidR="00BD4AF1">
        <w:t>.</w:t>
      </w:r>
    </w:p>
    <w:p w:rsidR="005F02A1" w:rsidRDefault="005F02A1" w:rsidP="005F02A1">
      <w:pPr>
        <w:pStyle w:val="Caption"/>
      </w:pPr>
      <w:bookmarkStart w:id="17" w:name="_Ref498679223"/>
      <w:r>
        <w:t xml:space="preserve">Table </w:t>
      </w:r>
      <w:fldSimple w:instr=" SEQ Table \* ARABIC ">
        <w:r w:rsidR="0044574B">
          <w:rPr>
            <w:noProof/>
          </w:rPr>
          <w:t>4</w:t>
        </w:r>
      </w:fldSimple>
      <w:bookmarkEnd w:id="17"/>
      <w:r>
        <w:tab/>
        <w:t xml:space="preserve">Proposed </w:t>
      </w:r>
      <w:r w:rsidR="00CA1249">
        <w:t>Payroll</w:t>
      </w:r>
      <w:r>
        <w:t xml:space="preserve"> taxes category structure, 2020 Review</w:t>
      </w:r>
    </w:p>
    <w:tbl>
      <w:tblPr>
        <w:tblW w:w="9074" w:type="dxa"/>
        <w:tblInd w:w="93" w:type="dxa"/>
        <w:tblLook w:val="04A0" w:firstRow="1" w:lastRow="0" w:firstColumn="1" w:lastColumn="0" w:noHBand="0" w:noVBand="1"/>
      </w:tblPr>
      <w:tblGrid>
        <w:gridCol w:w="1433"/>
        <w:gridCol w:w="1417"/>
        <w:gridCol w:w="6224"/>
      </w:tblGrid>
      <w:tr w:rsidR="00BD4AF1" w:rsidRPr="005F02A1" w:rsidTr="00BD4AF1">
        <w:trPr>
          <w:trHeight w:val="375"/>
        </w:trPr>
        <w:tc>
          <w:tcPr>
            <w:tcW w:w="1433" w:type="dxa"/>
            <w:tcBorders>
              <w:top w:val="single" w:sz="4" w:space="0" w:color="auto"/>
              <w:left w:val="nil"/>
              <w:bottom w:val="single" w:sz="4" w:space="0" w:color="auto"/>
              <w:right w:val="nil"/>
            </w:tcBorders>
            <w:shd w:val="clear" w:color="auto" w:fill="auto"/>
            <w:vAlign w:val="center"/>
            <w:hideMark/>
          </w:tcPr>
          <w:p w:rsidR="00BD4AF1" w:rsidRPr="00CA1249" w:rsidRDefault="00BD4AF1" w:rsidP="008927C8">
            <w:pPr>
              <w:keepNext/>
              <w:keepLines/>
              <w:tabs>
                <w:tab w:val="clear" w:pos="567"/>
              </w:tabs>
              <w:spacing w:after="0" w:line="240" w:lineRule="auto"/>
              <w:rPr>
                <w:rFonts w:ascii="Calibri" w:eastAsia="Times New Roman" w:hAnsi="Calibri" w:cs="Times New Roman"/>
                <w:color w:val="000000"/>
                <w:sz w:val="20"/>
                <w:szCs w:val="20"/>
                <w:lang w:eastAsia="en-AU"/>
              </w:rPr>
            </w:pPr>
            <w:bookmarkStart w:id="18" w:name="RANGE!A4:C7"/>
            <w:r w:rsidRPr="00CA1249">
              <w:rPr>
                <w:rFonts w:ascii="Calibri" w:eastAsia="Times New Roman" w:hAnsi="Calibri" w:cs="Times New Roman"/>
                <w:color w:val="000000"/>
                <w:sz w:val="20"/>
                <w:szCs w:val="20"/>
                <w:lang w:eastAsia="en-AU"/>
              </w:rPr>
              <w:t>Component</w:t>
            </w:r>
            <w:bookmarkEnd w:id="18"/>
          </w:p>
        </w:tc>
        <w:tc>
          <w:tcPr>
            <w:tcW w:w="1417" w:type="dxa"/>
            <w:tcBorders>
              <w:top w:val="single" w:sz="4" w:space="0" w:color="auto"/>
              <w:left w:val="nil"/>
              <w:bottom w:val="single" w:sz="4" w:space="0" w:color="auto"/>
              <w:right w:val="nil"/>
            </w:tcBorders>
          </w:tcPr>
          <w:p w:rsidR="00BD4AF1" w:rsidRPr="00CA1249" w:rsidRDefault="00BD4AF1" w:rsidP="008927C8">
            <w:pPr>
              <w:keepNext/>
              <w:keepLines/>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Disability</w:t>
            </w:r>
          </w:p>
        </w:tc>
        <w:tc>
          <w:tcPr>
            <w:tcW w:w="6224" w:type="dxa"/>
            <w:tcBorders>
              <w:top w:val="single" w:sz="4" w:space="0" w:color="auto"/>
              <w:left w:val="nil"/>
              <w:bottom w:val="single" w:sz="4" w:space="0" w:color="auto"/>
              <w:right w:val="nil"/>
            </w:tcBorders>
            <w:shd w:val="clear" w:color="auto" w:fill="auto"/>
            <w:vAlign w:val="center"/>
            <w:hideMark/>
          </w:tcPr>
          <w:p w:rsidR="00BD4AF1" w:rsidRPr="00CA1249" w:rsidRDefault="00BD4AF1" w:rsidP="008927C8">
            <w:pPr>
              <w:keepNext/>
              <w:keepLines/>
              <w:tabs>
                <w:tab w:val="clear" w:pos="567"/>
              </w:tabs>
              <w:spacing w:after="0" w:line="240" w:lineRule="auto"/>
              <w:rPr>
                <w:rFonts w:ascii="Calibri" w:eastAsia="Times New Roman" w:hAnsi="Calibri" w:cs="Times New Roman"/>
                <w:color w:val="000000"/>
                <w:sz w:val="20"/>
                <w:szCs w:val="20"/>
                <w:lang w:eastAsia="en-AU"/>
              </w:rPr>
            </w:pPr>
            <w:r w:rsidRPr="00CA1249">
              <w:rPr>
                <w:rFonts w:ascii="Calibri" w:eastAsia="Times New Roman" w:hAnsi="Calibri" w:cs="Times New Roman"/>
                <w:color w:val="000000"/>
                <w:sz w:val="20"/>
                <w:szCs w:val="20"/>
                <w:lang w:eastAsia="en-AU"/>
              </w:rPr>
              <w:t>Influence measured by disability</w:t>
            </w:r>
          </w:p>
        </w:tc>
      </w:tr>
      <w:tr w:rsidR="00BD4AF1" w:rsidRPr="005F02A1" w:rsidTr="00BD4AF1">
        <w:trPr>
          <w:trHeight w:val="795"/>
        </w:trPr>
        <w:tc>
          <w:tcPr>
            <w:tcW w:w="1433" w:type="dxa"/>
            <w:tcBorders>
              <w:top w:val="single" w:sz="4" w:space="0" w:color="auto"/>
              <w:left w:val="nil"/>
              <w:bottom w:val="single" w:sz="4" w:space="0" w:color="auto"/>
              <w:right w:val="nil"/>
            </w:tcBorders>
            <w:shd w:val="clear" w:color="auto" w:fill="auto"/>
            <w:hideMark/>
          </w:tcPr>
          <w:p w:rsidR="00BD4AF1" w:rsidRPr="00CA1249" w:rsidRDefault="00BD4AF1" w:rsidP="00BD4AF1">
            <w:pPr>
              <w:keepNext/>
              <w:keepLines/>
              <w:tabs>
                <w:tab w:val="clear" w:pos="567"/>
              </w:tabs>
              <w:spacing w:after="0" w:line="240" w:lineRule="auto"/>
              <w:rPr>
                <w:rFonts w:ascii="Calibri" w:eastAsia="Times New Roman" w:hAnsi="Calibri" w:cs="Times New Roman"/>
                <w:color w:val="000000"/>
                <w:sz w:val="20"/>
                <w:szCs w:val="20"/>
                <w:lang w:eastAsia="en-AU"/>
              </w:rPr>
            </w:pPr>
            <w:r w:rsidRPr="00CA1249">
              <w:rPr>
                <w:rFonts w:ascii="Calibri" w:eastAsia="Times New Roman" w:hAnsi="Calibri" w:cs="Times New Roman"/>
                <w:color w:val="000000"/>
                <w:sz w:val="20"/>
                <w:szCs w:val="20"/>
                <w:lang w:eastAsia="en-AU"/>
              </w:rPr>
              <w:t>P</w:t>
            </w:r>
            <w:r>
              <w:rPr>
                <w:rFonts w:ascii="Calibri" w:eastAsia="Times New Roman" w:hAnsi="Calibri" w:cs="Times New Roman"/>
                <w:color w:val="000000"/>
                <w:sz w:val="20"/>
                <w:szCs w:val="20"/>
                <w:lang w:eastAsia="en-AU"/>
              </w:rPr>
              <w:t>ayroll tax</w:t>
            </w:r>
          </w:p>
        </w:tc>
        <w:tc>
          <w:tcPr>
            <w:tcW w:w="1417" w:type="dxa"/>
            <w:tcBorders>
              <w:top w:val="single" w:sz="4" w:space="0" w:color="auto"/>
              <w:left w:val="nil"/>
              <w:bottom w:val="single" w:sz="4" w:space="0" w:color="auto"/>
              <w:right w:val="nil"/>
            </w:tcBorders>
          </w:tcPr>
          <w:p w:rsidR="00BD4AF1" w:rsidRPr="00CA1249" w:rsidRDefault="00BD4AF1" w:rsidP="00CA1249">
            <w:pPr>
              <w:keepNext/>
              <w:keepLines/>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Value of </w:t>
            </w:r>
            <w:r w:rsidR="00754576">
              <w:rPr>
                <w:rFonts w:ascii="Calibri" w:eastAsia="Times New Roman" w:hAnsi="Calibri" w:cs="Times New Roman"/>
                <w:color w:val="000000"/>
                <w:sz w:val="20"/>
                <w:szCs w:val="20"/>
                <w:lang w:eastAsia="en-AU"/>
              </w:rPr>
              <w:t>taxable remuneration</w:t>
            </w:r>
          </w:p>
        </w:tc>
        <w:tc>
          <w:tcPr>
            <w:tcW w:w="6224" w:type="dxa"/>
            <w:tcBorders>
              <w:top w:val="single" w:sz="4" w:space="0" w:color="auto"/>
              <w:left w:val="nil"/>
              <w:bottom w:val="single" w:sz="4" w:space="0" w:color="auto"/>
              <w:right w:val="nil"/>
            </w:tcBorders>
            <w:shd w:val="clear" w:color="auto" w:fill="auto"/>
            <w:hideMark/>
          </w:tcPr>
          <w:p w:rsidR="00BD4AF1" w:rsidRPr="00CA1249" w:rsidRDefault="00BD4AF1" w:rsidP="00754576">
            <w:pPr>
              <w:keepNext/>
              <w:keepLines/>
              <w:tabs>
                <w:tab w:val="clear" w:pos="567"/>
              </w:tabs>
              <w:spacing w:after="0" w:line="240" w:lineRule="auto"/>
              <w:rPr>
                <w:rFonts w:ascii="Calibri" w:eastAsia="Times New Roman" w:hAnsi="Calibri" w:cs="Times New Roman"/>
                <w:color w:val="000000"/>
                <w:sz w:val="20"/>
                <w:szCs w:val="20"/>
                <w:lang w:eastAsia="en-AU"/>
              </w:rPr>
            </w:pPr>
            <w:r w:rsidRPr="00CA1249">
              <w:rPr>
                <w:rFonts w:ascii="Calibri" w:eastAsia="Times New Roman" w:hAnsi="Calibri" w:cs="Times New Roman"/>
                <w:color w:val="000000"/>
                <w:sz w:val="20"/>
                <w:szCs w:val="20"/>
                <w:lang w:eastAsia="en-AU"/>
              </w:rPr>
              <w:t xml:space="preserve">Recognises the </w:t>
            </w:r>
            <w:r>
              <w:rPr>
                <w:rFonts w:ascii="Calibri" w:eastAsia="Times New Roman" w:hAnsi="Calibri" w:cs="Times New Roman"/>
                <w:color w:val="000000"/>
                <w:sz w:val="20"/>
                <w:szCs w:val="20"/>
                <w:lang w:eastAsia="en-AU"/>
              </w:rPr>
              <w:t xml:space="preserve">additional </w:t>
            </w:r>
            <w:r w:rsidRPr="00CA1249">
              <w:rPr>
                <w:rFonts w:ascii="Calibri" w:eastAsia="Times New Roman" w:hAnsi="Calibri" w:cs="Times New Roman"/>
                <w:color w:val="000000"/>
                <w:sz w:val="20"/>
                <w:szCs w:val="20"/>
                <w:lang w:eastAsia="en-AU"/>
              </w:rPr>
              <w:t xml:space="preserve">revenue </w:t>
            </w:r>
            <w:r>
              <w:rPr>
                <w:rFonts w:ascii="Calibri" w:eastAsia="Times New Roman" w:hAnsi="Calibri" w:cs="Times New Roman"/>
                <w:color w:val="000000"/>
                <w:sz w:val="20"/>
                <w:szCs w:val="20"/>
                <w:lang w:eastAsia="en-AU"/>
              </w:rPr>
              <w:t xml:space="preserve">capacity of </w:t>
            </w:r>
            <w:r w:rsidRPr="00CA1249">
              <w:rPr>
                <w:rFonts w:ascii="Calibri" w:eastAsia="Times New Roman" w:hAnsi="Calibri" w:cs="Times New Roman"/>
                <w:color w:val="000000"/>
                <w:sz w:val="20"/>
                <w:szCs w:val="20"/>
                <w:lang w:eastAsia="en-AU"/>
              </w:rPr>
              <w:t xml:space="preserve">States </w:t>
            </w:r>
            <w:r w:rsidR="00754576">
              <w:rPr>
                <w:rFonts w:ascii="Calibri" w:eastAsia="Times New Roman" w:hAnsi="Calibri" w:cs="Times New Roman"/>
                <w:color w:val="000000"/>
                <w:sz w:val="20"/>
                <w:szCs w:val="20"/>
                <w:lang w:eastAsia="en-AU"/>
              </w:rPr>
              <w:t xml:space="preserve">with greater </w:t>
            </w:r>
            <w:r w:rsidRPr="00CA1249">
              <w:rPr>
                <w:rFonts w:ascii="Calibri" w:eastAsia="Times New Roman" w:hAnsi="Calibri" w:cs="Times New Roman"/>
                <w:color w:val="000000"/>
                <w:sz w:val="20"/>
                <w:szCs w:val="20"/>
                <w:lang w:eastAsia="en-AU"/>
              </w:rPr>
              <w:t xml:space="preserve">private sector </w:t>
            </w:r>
            <w:r w:rsidR="00754576">
              <w:rPr>
                <w:rFonts w:ascii="Calibri" w:eastAsia="Times New Roman" w:hAnsi="Calibri" w:cs="Times New Roman"/>
                <w:color w:val="000000"/>
                <w:sz w:val="20"/>
                <w:szCs w:val="20"/>
                <w:lang w:eastAsia="en-AU"/>
              </w:rPr>
              <w:t>and non-general government public sector remuneration above an average threshold</w:t>
            </w:r>
            <w:r w:rsidRPr="00CA1249">
              <w:rPr>
                <w:rFonts w:ascii="Calibri" w:eastAsia="Times New Roman" w:hAnsi="Calibri" w:cs="Times New Roman"/>
                <w:color w:val="000000"/>
                <w:sz w:val="20"/>
                <w:szCs w:val="20"/>
                <w:lang w:eastAsia="en-AU"/>
              </w:rPr>
              <w:t>.</w:t>
            </w:r>
          </w:p>
        </w:tc>
      </w:tr>
    </w:tbl>
    <w:p w:rsidR="001850FF" w:rsidRPr="00C21EF9" w:rsidRDefault="008927C8" w:rsidP="008927C8">
      <w:pPr>
        <w:pStyle w:val="CGCTableFootnote"/>
        <w:keepNext/>
        <w:keepLines/>
      </w:pPr>
      <w:r w:rsidRPr="00C21EF9">
        <w:t xml:space="preserve"> </w:t>
      </w:r>
    </w:p>
    <w:sectPr w:rsidR="001850FF" w:rsidRPr="00C21EF9" w:rsidSect="00B05EEE">
      <w:footerReference w:type="first" r:id="rId20"/>
      <w:pgSz w:w="11899" w:h="16838" w:code="9"/>
      <w:pgMar w:top="1701" w:right="1474" w:bottom="1701" w:left="1474" w:header="709" w:footer="709"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0FF" w:rsidRDefault="001850FF">
      <w:r>
        <w:separator/>
      </w:r>
    </w:p>
  </w:endnote>
  <w:endnote w:type="continuationSeparator" w:id="0">
    <w:p w:rsidR="001850FF" w:rsidRDefault="0018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E44" w:rsidRPr="00875C0F" w:rsidRDefault="007B2E44" w:rsidP="00BE7A0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707265773"/>
      <w:docPartObj>
        <w:docPartGallery w:val="Page Numbers (Bottom of Page)"/>
        <w:docPartUnique/>
      </w:docPartObj>
    </w:sdtPr>
    <w:sdtEndPr/>
    <w:sdtContent>
      <w:p w:rsidR="00747B6A" w:rsidRDefault="00747B6A" w:rsidP="00747B6A">
        <w:pPr>
          <w:pStyle w:val="Footer"/>
        </w:pPr>
      </w:p>
      <w:p w:rsidR="007B2E44" w:rsidRPr="00875C0F" w:rsidRDefault="0021123F" w:rsidP="00BE7A02">
        <w:pPr>
          <w:pStyle w:val="Footer"/>
          <w:rPr>
            <w:sz w:val="20"/>
            <w:szCs w:val="20"/>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C88" w:rsidRPr="00875C0F" w:rsidRDefault="00882C88" w:rsidP="00BE7A02">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807996343"/>
      <w:docPartObj>
        <w:docPartGallery w:val="Page Numbers (Bottom of Page)"/>
        <w:docPartUnique/>
      </w:docPartObj>
    </w:sdtPr>
    <w:sdtEndPr/>
    <w:sdtContent>
      <w:p w:rsidR="005F5EFC" w:rsidRDefault="005F5EFC" w:rsidP="005F5EFC">
        <w:pPr>
          <w:pStyle w:val="Footer"/>
        </w:pPr>
      </w:p>
      <w:p w:rsidR="00882C88" w:rsidRPr="00875C0F" w:rsidRDefault="0021123F" w:rsidP="00BE7A02">
        <w:pPr>
          <w:pStyle w:val="Footer"/>
          <w:rPr>
            <w:sz w:val="20"/>
            <w:szCs w:val="20"/>
          </w:rPr>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3" w:rsidRPr="0011178C" w:rsidRDefault="00F56813" w:rsidP="003929D2">
    <w:pPr>
      <w:pStyle w:val="Footer"/>
      <w:jc w:val="right"/>
    </w:pPr>
    <w:r>
      <w:fldChar w:fldCharType="begin"/>
    </w:r>
    <w:r>
      <w:instrText xml:space="preserve"> PAGE  \* Arabic  \* MERGEFORMAT </w:instrText>
    </w:r>
    <w:r>
      <w:fldChar w:fldCharType="separate"/>
    </w:r>
    <w:r w:rsidR="0021123F">
      <w:rPr>
        <w:noProof/>
      </w:rPr>
      <w:t>5</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3" w:rsidRPr="007E487F" w:rsidRDefault="00AB1A13" w:rsidP="00DC0F02">
    <w:pPr>
      <w:pStyle w:val="Footer"/>
      <w:tabs>
        <w:tab w:val="right" w:pos="8931"/>
      </w:tabs>
      <w:rPr>
        <w:sz w:val="20"/>
        <w:szCs w:val="20"/>
      </w:rPr>
    </w:pPr>
    <w:r>
      <w:rPr>
        <w:sz w:val="20"/>
        <w:szCs w:val="20"/>
      </w:rPr>
      <w:tab/>
    </w:r>
    <w:r w:rsidR="00DC0F02">
      <w:rPr>
        <w:sz w:val="20"/>
        <w:szCs w:val="20"/>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EEE" w:rsidRPr="007E487F" w:rsidRDefault="00B05EEE" w:rsidP="00DC0F02">
    <w:pPr>
      <w:pStyle w:val="Footer"/>
      <w:tabs>
        <w:tab w:val="right" w:pos="8931"/>
      </w:tabs>
      <w:rPr>
        <w:sz w:val="20"/>
        <w:szCs w:val="20"/>
      </w:rPr>
    </w:pPr>
    <w:r>
      <w:rPr>
        <w:sz w:val="20"/>
        <w:szCs w:val="20"/>
      </w:rPr>
      <w:tab/>
    </w:r>
    <w:r>
      <w:rPr>
        <w:sz w:val="20"/>
        <w:szCs w:val="20"/>
      </w:rPr>
      <w:tab/>
    </w:r>
    <w:r>
      <w:fldChar w:fldCharType="begin"/>
    </w:r>
    <w:r>
      <w:instrText xml:space="preserve"> PAGE   \* MERGEFORMAT </w:instrText>
    </w:r>
    <w:r>
      <w:fldChar w:fldCharType="separate"/>
    </w:r>
    <w:r w:rsidR="0021123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0FF" w:rsidRDefault="001850FF">
      <w:r>
        <w:separator/>
      </w:r>
    </w:p>
  </w:footnote>
  <w:footnote w:type="continuationSeparator" w:id="0">
    <w:p w:rsidR="001850FF" w:rsidRDefault="001850FF">
      <w:r>
        <w:continuationSeparator/>
      </w:r>
    </w:p>
  </w:footnote>
  <w:footnote w:id="1">
    <w:p w:rsidR="00A0583B" w:rsidRDefault="00A0583B">
      <w:pPr>
        <w:pStyle w:val="FootnoteText"/>
      </w:pPr>
      <w:r>
        <w:rPr>
          <w:rStyle w:val="FootnoteReference"/>
        </w:rPr>
        <w:footnoteRef/>
      </w:r>
      <w:r>
        <w:t xml:space="preserve"> </w:t>
      </w:r>
      <w:r>
        <w:tab/>
      </w:r>
      <w:proofErr w:type="spellStart"/>
      <w:r>
        <w:t>CoE</w:t>
      </w:r>
      <w:proofErr w:type="spellEnd"/>
      <w:r>
        <w:t xml:space="preserve"> is a component of the income approach to measuring gross domestic product.</w:t>
      </w:r>
    </w:p>
  </w:footnote>
  <w:footnote w:id="2">
    <w:p w:rsidR="00A65AFD" w:rsidRDefault="00A65AFD" w:rsidP="00A65AFD">
      <w:pPr>
        <w:pStyle w:val="FootnoteText"/>
      </w:pPr>
      <w:r>
        <w:rPr>
          <w:rStyle w:val="FootnoteReference"/>
        </w:rPr>
        <w:footnoteRef/>
      </w:r>
      <w:r>
        <w:t xml:space="preserve"> </w:t>
      </w:r>
      <w:r>
        <w:tab/>
        <w:t xml:space="preserve">The average threshold was adjusted before being provided to the ABS, to reflect that the wages and salaries data are narrower in scope than the </w:t>
      </w:r>
      <w:proofErr w:type="spellStart"/>
      <w:r>
        <w:t>CoE</w:t>
      </w:r>
      <w:proofErr w:type="spellEnd"/>
      <w:r>
        <w:t xml:space="preserve"> data.</w:t>
      </w:r>
    </w:p>
  </w:footnote>
  <w:footnote w:id="3">
    <w:p w:rsidR="00F017C5" w:rsidRDefault="00F017C5" w:rsidP="00F017C5">
      <w:pPr>
        <w:pStyle w:val="FootnoteText"/>
      </w:pPr>
      <w:r>
        <w:rPr>
          <w:rStyle w:val="FootnoteReference"/>
        </w:rPr>
        <w:footnoteRef/>
      </w:r>
      <w:r>
        <w:t xml:space="preserve"> </w:t>
      </w:r>
      <w:r>
        <w:tab/>
        <w:t xml:space="preserve">Private sector wages and salaries data </w:t>
      </w:r>
      <w:r w:rsidR="00EF6818">
        <w:t>we</w:t>
      </w:r>
      <w:r>
        <w:t>re sourced from the ABS Quarterly Business Indicators Survey.</w:t>
      </w:r>
    </w:p>
  </w:footnote>
  <w:footnote w:id="4">
    <w:p w:rsidR="009B22CB" w:rsidRDefault="009B22CB" w:rsidP="009B22CB">
      <w:pPr>
        <w:pStyle w:val="FootnoteText"/>
      </w:pPr>
      <w:r>
        <w:rPr>
          <w:rStyle w:val="FootnoteReference"/>
        </w:rPr>
        <w:footnoteRef/>
      </w:r>
      <w:r>
        <w:t xml:space="preserve"> </w:t>
      </w:r>
      <w:r>
        <w:tab/>
        <w:t>Public sector wages and salaries data were sourced from the ABS Survey of Employment and Earnings.</w:t>
      </w:r>
    </w:p>
  </w:footnote>
  <w:footnote w:id="5">
    <w:p w:rsidR="009B22CB" w:rsidRDefault="009B22CB" w:rsidP="009B22CB">
      <w:pPr>
        <w:pStyle w:val="FootnoteText"/>
      </w:pPr>
      <w:r>
        <w:rPr>
          <w:rStyle w:val="FootnoteReference"/>
        </w:rPr>
        <w:footnoteRef/>
      </w:r>
      <w:r>
        <w:t xml:space="preserve"> </w:t>
      </w:r>
      <w:r>
        <w:tab/>
        <w:t xml:space="preserve">The threshold differed from the private sector threshold, since wages and salaries represented a different proportion of </w:t>
      </w:r>
      <w:proofErr w:type="spellStart"/>
      <w:r>
        <w:t>CoE</w:t>
      </w:r>
      <w:proofErr w:type="spellEnd"/>
      <w:r>
        <w:t xml:space="preserve"> in the two sectors nationally.</w:t>
      </w:r>
    </w:p>
  </w:footnote>
  <w:footnote w:id="6">
    <w:p w:rsidR="009B22CB" w:rsidRDefault="009B22CB" w:rsidP="009B22CB">
      <w:pPr>
        <w:pStyle w:val="FootnoteText"/>
      </w:pPr>
      <w:r>
        <w:rPr>
          <w:rStyle w:val="FootnoteReference"/>
        </w:rPr>
        <w:footnoteRef/>
      </w:r>
      <w:r>
        <w:t xml:space="preserve"> </w:t>
      </w:r>
      <w:r>
        <w:tab/>
        <w:t>Tasmania was the only State to impose payroll tax on general government sector remuneration paid by local governments.</w:t>
      </w:r>
    </w:p>
  </w:footnote>
  <w:footnote w:id="7">
    <w:p w:rsidR="009B22CB" w:rsidRDefault="009B22CB" w:rsidP="009B22CB">
      <w:pPr>
        <w:pStyle w:val="FootnoteText"/>
      </w:pPr>
      <w:r>
        <w:rPr>
          <w:rStyle w:val="FootnoteReference"/>
        </w:rPr>
        <w:footnoteRef/>
      </w:r>
      <w:r>
        <w:t xml:space="preserve"> </w:t>
      </w:r>
      <w:r>
        <w:tab/>
        <w:t xml:space="preserve">With the exception of the Australian National University, </w:t>
      </w:r>
      <w:proofErr w:type="spellStart"/>
      <w:r>
        <w:t>HEIs</w:t>
      </w:r>
      <w:proofErr w:type="spellEnd"/>
      <w:r>
        <w:t xml:space="preserve"> were established by State legislation. While they are classified to the general government sector in ABS GFS, </w:t>
      </w:r>
      <w:proofErr w:type="spellStart"/>
      <w:r>
        <w:t>HEIs</w:t>
      </w:r>
      <w:proofErr w:type="spellEnd"/>
      <w:r>
        <w:t xml:space="preserve"> are included in the assessment since they are subject to payroll tax in all States.</w:t>
      </w:r>
    </w:p>
  </w:footnote>
  <w:footnote w:id="8">
    <w:p w:rsidR="009B22CB" w:rsidRDefault="009B22CB" w:rsidP="009B22CB">
      <w:pPr>
        <w:pStyle w:val="FootnoteText"/>
      </w:pPr>
      <w:r>
        <w:rPr>
          <w:rStyle w:val="FootnoteReference"/>
        </w:rPr>
        <w:footnoteRef/>
      </w:r>
      <w:r>
        <w:t xml:space="preserve"> </w:t>
      </w:r>
      <w:r>
        <w:tab/>
        <w:t xml:space="preserve">Commercial industries were those in which public sector wages and salaries are predominantly paid by </w:t>
      </w:r>
      <w:proofErr w:type="spellStart"/>
      <w:r>
        <w:t>PNFCs</w:t>
      </w:r>
      <w:proofErr w:type="spellEnd"/>
      <w:r>
        <w:t xml:space="preserve"> nationally. These were Australian and New Zealand Standard Industrial Classification Divisions: A (Agriculture, forestry and fishing), C (Manufacturing), D (Electricity, gas, water and waste services), I (Transport, postal and warehousing), and K (Financial and insurance services).</w:t>
      </w:r>
    </w:p>
  </w:footnote>
  <w:footnote w:id="9">
    <w:p w:rsidR="00112F9A" w:rsidRDefault="00112F9A" w:rsidP="00112F9A">
      <w:pPr>
        <w:pStyle w:val="FootnoteText"/>
      </w:pPr>
      <w:r>
        <w:rPr>
          <w:rStyle w:val="FootnoteReference"/>
        </w:rPr>
        <w:footnoteRef/>
      </w:r>
      <w:r>
        <w:t xml:space="preserve"> </w:t>
      </w:r>
      <w:r>
        <w:tab/>
        <w:t>The Queensland deduction is reduced by $1 for every $4 by which the payroll exceeds $1.1 million, with no deduction for payrolls of $5.5 million or more. The Western Australia deduction is reduced by $1 for every $</w:t>
      </w:r>
      <w:r w:rsidR="002C3B9C">
        <w:t>7</w:t>
      </w:r>
      <w:r>
        <w:t>.</w:t>
      </w:r>
      <w:r w:rsidR="002C3B9C">
        <w:t>82</w:t>
      </w:r>
      <w:r>
        <w:t xml:space="preserve"> the payroll exceeds $850 000, with no deduction for payrolls of $7.5 million or more. The Northern Territory deduction is reduced by $1 for every $4 the payroll exceeds $1.5 million, with no deduction for payrolls of $7.5 million or more.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3D7BB4"/>
    <w:multiLevelType w:val="multilevel"/>
    <w:tmpl w:val="DC4277A2"/>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
  </w:num>
  <w:num w:numId="4">
    <w:abstractNumId w:val="15"/>
  </w:num>
  <w:num w:numId="5">
    <w:abstractNumId w:val="15"/>
  </w:num>
  <w:num w:numId="6">
    <w:abstractNumId w:val="4"/>
  </w:num>
  <w:num w:numId="7">
    <w:abstractNumId w:val="4"/>
  </w:num>
  <w:num w:numId="8">
    <w:abstractNumId w:val="4"/>
  </w:num>
  <w:num w:numId="9">
    <w:abstractNumId w:val="4"/>
  </w:num>
  <w:num w:numId="10">
    <w:abstractNumId w:val="14"/>
  </w:num>
  <w:num w:numId="11">
    <w:abstractNumId w:val="5"/>
  </w:num>
  <w:num w:numId="12">
    <w:abstractNumId w:val="1"/>
  </w:num>
  <w:num w:numId="13">
    <w:abstractNumId w:val="15"/>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3"/>
  </w:num>
  <w:num w:numId="24">
    <w:abstractNumId w:val="3"/>
  </w:num>
  <w:num w:numId="25">
    <w:abstractNumId w:val="11"/>
  </w:num>
  <w:num w:numId="26">
    <w:abstractNumId w:val="1"/>
  </w:num>
  <w:num w:numId="27">
    <w:abstractNumId w:val="8"/>
  </w:num>
  <w:num w:numId="28">
    <w:abstractNumId w:val="12"/>
  </w:num>
  <w:num w:numId="29">
    <w:abstractNumId w:val="6"/>
  </w:num>
  <w:num w:numId="30">
    <w:abstractNumId w:val="5"/>
    <w:lvlOverride w:ilvl="0">
      <w:startOverride w:val="1"/>
    </w:lvlOverride>
  </w:num>
  <w:num w:numId="31">
    <w:abstractNumId w:val="14"/>
  </w:num>
  <w:num w:numId="32">
    <w:abstractNumId w:val="1"/>
  </w:num>
  <w:num w:numId="33">
    <w:abstractNumId w:val="5"/>
  </w:num>
  <w:num w:numId="34">
    <w:abstractNumId w:val="15"/>
  </w:num>
  <w:num w:numId="35">
    <w:abstractNumId w:val="9"/>
  </w:num>
  <w:num w:numId="36">
    <w:abstractNumId w:val="14"/>
  </w:num>
  <w:num w:numId="37">
    <w:abstractNumId w:val="1"/>
  </w:num>
  <w:num w:numId="38">
    <w:abstractNumId w:val="5"/>
  </w:num>
  <w:num w:numId="39">
    <w:abstractNumId w:val="15"/>
  </w:num>
  <w:num w:numId="40">
    <w:abstractNumId w:val="9"/>
  </w:num>
  <w:num w:numId="41">
    <w:abstractNumId w:val="1"/>
    <w:lvlOverride w:ilvl="0">
      <w:startOverride w:val="3"/>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FF"/>
    <w:rsid w:val="0000763D"/>
    <w:rsid w:val="00016FE0"/>
    <w:rsid w:val="00022EA9"/>
    <w:rsid w:val="00024745"/>
    <w:rsid w:val="00031534"/>
    <w:rsid w:val="00032F41"/>
    <w:rsid w:val="0004123E"/>
    <w:rsid w:val="00041748"/>
    <w:rsid w:val="00041E84"/>
    <w:rsid w:val="000424EA"/>
    <w:rsid w:val="00042703"/>
    <w:rsid w:val="00043405"/>
    <w:rsid w:val="00056373"/>
    <w:rsid w:val="00061111"/>
    <w:rsid w:val="000624BB"/>
    <w:rsid w:val="0006427F"/>
    <w:rsid w:val="000648E8"/>
    <w:rsid w:val="00093796"/>
    <w:rsid w:val="00095D18"/>
    <w:rsid w:val="000A3898"/>
    <w:rsid w:val="000A52A1"/>
    <w:rsid w:val="000B2942"/>
    <w:rsid w:val="000B3557"/>
    <w:rsid w:val="000B64E3"/>
    <w:rsid w:val="000D1354"/>
    <w:rsid w:val="000D7C54"/>
    <w:rsid w:val="000E0210"/>
    <w:rsid w:val="000E5A7F"/>
    <w:rsid w:val="000E6AA5"/>
    <w:rsid w:val="000E7F56"/>
    <w:rsid w:val="000F1CDA"/>
    <w:rsid w:val="001039C2"/>
    <w:rsid w:val="001040AD"/>
    <w:rsid w:val="0011178C"/>
    <w:rsid w:val="00112953"/>
    <w:rsid w:val="00112CF0"/>
    <w:rsid w:val="00112F9A"/>
    <w:rsid w:val="001211AB"/>
    <w:rsid w:val="001218B8"/>
    <w:rsid w:val="00124ED1"/>
    <w:rsid w:val="00136497"/>
    <w:rsid w:val="00141BD1"/>
    <w:rsid w:val="00147115"/>
    <w:rsid w:val="001477CE"/>
    <w:rsid w:val="00164846"/>
    <w:rsid w:val="0016518A"/>
    <w:rsid w:val="0016723A"/>
    <w:rsid w:val="00171A05"/>
    <w:rsid w:val="00172F3A"/>
    <w:rsid w:val="001730FD"/>
    <w:rsid w:val="00173798"/>
    <w:rsid w:val="00173BE6"/>
    <w:rsid w:val="00173E72"/>
    <w:rsid w:val="001807C0"/>
    <w:rsid w:val="001811DE"/>
    <w:rsid w:val="00184DEB"/>
    <w:rsid w:val="001850FF"/>
    <w:rsid w:val="001866CF"/>
    <w:rsid w:val="00187145"/>
    <w:rsid w:val="0019334F"/>
    <w:rsid w:val="001B0110"/>
    <w:rsid w:val="001B3048"/>
    <w:rsid w:val="001B696E"/>
    <w:rsid w:val="001B6A56"/>
    <w:rsid w:val="001C469B"/>
    <w:rsid w:val="001C6A71"/>
    <w:rsid w:val="001D638B"/>
    <w:rsid w:val="001D6DFA"/>
    <w:rsid w:val="001E6180"/>
    <w:rsid w:val="001E674B"/>
    <w:rsid w:val="001E68FC"/>
    <w:rsid w:val="001F32A9"/>
    <w:rsid w:val="001F3BB1"/>
    <w:rsid w:val="00204026"/>
    <w:rsid w:val="0021123F"/>
    <w:rsid w:val="00212948"/>
    <w:rsid w:val="002133E9"/>
    <w:rsid w:val="00217839"/>
    <w:rsid w:val="00225A3B"/>
    <w:rsid w:val="0023081D"/>
    <w:rsid w:val="00232C18"/>
    <w:rsid w:val="0023329C"/>
    <w:rsid w:val="00236DC0"/>
    <w:rsid w:val="002373A2"/>
    <w:rsid w:val="00242517"/>
    <w:rsid w:val="0024260B"/>
    <w:rsid w:val="0024401F"/>
    <w:rsid w:val="0024569B"/>
    <w:rsid w:val="00254184"/>
    <w:rsid w:val="00255B5A"/>
    <w:rsid w:val="002652F7"/>
    <w:rsid w:val="00266F24"/>
    <w:rsid w:val="002671A2"/>
    <w:rsid w:val="00267496"/>
    <w:rsid w:val="00275B68"/>
    <w:rsid w:val="002845EA"/>
    <w:rsid w:val="00286EBE"/>
    <w:rsid w:val="00295B70"/>
    <w:rsid w:val="00295D1E"/>
    <w:rsid w:val="002A2A08"/>
    <w:rsid w:val="002A2D93"/>
    <w:rsid w:val="002A4E42"/>
    <w:rsid w:val="002A77C3"/>
    <w:rsid w:val="002B10B0"/>
    <w:rsid w:val="002B169C"/>
    <w:rsid w:val="002B6EFD"/>
    <w:rsid w:val="002B6F33"/>
    <w:rsid w:val="002B79F0"/>
    <w:rsid w:val="002B7F3E"/>
    <w:rsid w:val="002C1D9C"/>
    <w:rsid w:val="002C366F"/>
    <w:rsid w:val="002C3B9C"/>
    <w:rsid w:val="002C4CA9"/>
    <w:rsid w:val="002D2270"/>
    <w:rsid w:val="002D55ED"/>
    <w:rsid w:val="002E25A8"/>
    <w:rsid w:val="002E3DED"/>
    <w:rsid w:val="002F04DE"/>
    <w:rsid w:val="002F1CD3"/>
    <w:rsid w:val="002F6E28"/>
    <w:rsid w:val="002F7E68"/>
    <w:rsid w:val="00302E5E"/>
    <w:rsid w:val="00307DEF"/>
    <w:rsid w:val="00311D33"/>
    <w:rsid w:val="00313664"/>
    <w:rsid w:val="00314F90"/>
    <w:rsid w:val="00320DDF"/>
    <w:rsid w:val="0033102E"/>
    <w:rsid w:val="00331401"/>
    <w:rsid w:val="00333234"/>
    <w:rsid w:val="00335ED1"/>
    <w:rsid w:val="00337EF8"/>
    <w:rsid w:val="0034124D"/>
    <w:rsid w:val="00342A60"/>
    <w:rsid w:val="0034379D"/>
    <w:rsid w:val="0034646D"/>
    <w:rsid w:val="00347BE5"/>
    <w:rsid w:val="003522E0"/>
    <w:rsid w:val="0035267F"/>
    <w:rsid w:val="0035580D"/>
    <w:rsid w:val="00355C48"/>
    <w:rsid w:val="003571D0"/>
    <w:rsid w:val="003639FB"/>
    <w:rsid w:val="00363BF7"/>
    <w:rsid w:val="00382AE5"/>
    <w:rsid w:val="00387FE4"/>
    <w:rsid w:val="003916C4"/>
    <w:rsid w:val="003920E1"/>
    <w:rsid w:val="003929D2"/>
    <w:rsid w:val="00393FA5"/>
    <w:rsid w:val="003A23BA"/>
    <w:rsid w:val="003A27BB"/>
    <w:rsid w:val="003B673D"/>
    <w:rsid w:val="003C2577"/>
    <w:rsid w:val="003C4448"/>
    <w:rsid w:val="003C5591"/>
    <w:rsid w:val="003D3D91"/>
    <w:rsid w:val="003D4708"/>
    <w:rsid w:val="003D477A"/>
    <w:rsid w:val="003D6C9B"/>
    <w:rsid w:val="003E6615"/>
    <w:rsid w:val="003E79F9"/>
    <w:rsid w:val="003F12E9"/>
    <w:rsid w:val="003F59F4"/>
    <w:rsid w:val="00404DCD"/>
    <w:rsid w:val="0040685C"/>
    <w:rsid w:val="004077D6"/>
    <w:rsid w:val="004121E7"/>
    <w:rsid w:val="00413BB5"/>
    <w:rsid w:val="00414E51"/>
    <w:rsid w:val="004201EE"/>
    <w:rsid w:val="00420F04"/>
    <w:rsid w:val="00423099"/>
    <w:rsid w:val="00424E79"/>
    <w:rsid w:val="0042661C"/>
    <w:rsid w:val="004274B3"/>
    <w:rsid w:val="00443EC1"/>
    <w:rsid w:val="0044574B"/>
    <w:rsid w:val="00453264"/>
    <w:rsid w:val="00462B54"/>
    <w:rsid w:val="00463064"/>
    <w:rsid w:val="00472461"/>
    <w:rsid w:val="004809B8"/>
    <w:rsid w:val="004821B9"/>
    <w:rsid w:val="00486854"/>
    <w:rsid w:val="00491D88"/>
    <w:rsid w:val="0049605C"/>
    <w:rsid w:val="004965F7"/>
    <w:rsid w:val="004A7048"/>
    <w:rsid w:val="004B0A0A"/>
    <w:rsid w:val="004B1C4B"/>
    <w:rsid w:val="004B1D1F"/>
    <w:rsid w:val="004B51D3"/>
    <w:rsid w:val="004B60CB"/>
    <w:rsid w:val="004C0FA0"/>
    <w:rsid w:val="004C1CB5"/>
    <w:rsid w:val="004E5F72"/>
    <w:rsid w:val="004E769A"/>
    <w:rsid w:val="004F71E3"/>
    <w:rsid w:val="00500ACD"/>
    <w:rsid w:val="005024C6"/>
    <w:rsid w:val="00504061"/>
    <w:rsid w:val="00505BAE"/>
    <w:rsid w:val="00506956"/>
    <w:rsid w:val="00515380"/>
    <w:rsid w:val="005176CA"/>
    <w:rsid w:val="005177E7"/>
    <w:rsid w:val="00520630"/>
    <w:rsid w:val="00537A77"/>
    <w:rsid w:val="00541A14"/>
    <w:rsid w:val="00543F9C"/>
    <w:rsid w:val="0054503C"/>
    <w:rsid w:val="00546D39"/>
    <w:rsid w:val="00550E84"/>
    <w:rsid w:val="00551368"/>
    <w:rsid w:val="005547F0"/>
    <w:rsid w:val="005577B0"/>
    <w:rsid w:val="00562084"/>
    <w:rsid w:val="0056313A"/>
    <w:rsid w:val="00570EED"/>
    <w:rsid w:val="005716FC"/>
    <w:rsid w:val="00575DEF"/>
    <w:rsid w:val="005831CF"/>
    <w:rsid w:val="00583A33"/>
    <w:rsid w:val="005867D2"/>
    <w:rsid w:val="00592A86"/>
    <w:rsid w:val="005963CC"/>
    <w:rsid w:val="00596E19"/>
    <w:rsid w:val="005A241E"/>
    <w:rsid w:val="005A6FED"/>
    <w:rsid w:val="005B1BC4"/>
    <w:rsid w:val="005B6858"/>
    <w:rsid w:val="005B6894"/>
    <w:rsid w:val="005C0326"/>
    <w:rsid w:val="005C13B2"/>
    <w:rsid w:val="005C27E3"/>
    <w:rsid w:val="005C37CB"/>
    <w:rsid w:val="005C3F7E"/>
    <w:rsid w:val="005C459C"/>
    <w:rsid w:val="005D1A9F"/>
    <w:rsid w:val="005D3C2F"/>
    <w:rsid w:val="005D52FA"/>
    <w:rsid w:val="005E266F"/>
    <w:rsid w:val="005E5734"/>
    <w:rsid w:val="005E73CE"/>
    <w:rsid w:val="005F02A1"/>
    <w:rsid w:val="005F059A"/>
    <w:rsid w:val="005F07DC"/>
    <w:rsid w:val="005F5EFC"/>
    <w:rsid w:val="005F64FB"/>
    <w:rsid w:val="0060251E"/>
    <w:rsid w:val="00602DDE"/>
    <w:rsid w:val="006075B1"/>
    <w:rsid w:val="00611737"/>
    <w:rsid w:val="00614DE8"/>
    <w:rsid w:val="006170EA"/>
    <w:rsid w:val="00622669"/>
    <w:rsid w:val="00622972"/>
    <w:rsid w:val="00622FE1"/>
    <w:rsid w:val="00625CE5"/>
    <w:rsid w:val="00635027"/>
    <w:rsid w:val="00644A7B"/>
    <w:rsid w:val="0065085B"/>
    <w:rsid w:val="00652628"/>
    <w:rsid w:val="006556D9"/>
    <w:rsid w:val="00660570"/>
    <w:rsid w:val="00661C46"/>
    <w:rsid w:val="006652D3"/>
    <w:rsid w:val="00667CF3"/>
    <w:rsid w:val="006769C4"/>
    <w:rsid w:val="00676D4B"/>
    <w:rsid w:val="00677627"/>
    <w:rsid w:val="00677BD5"/>
    <w:rsid w:val="0068025E"/>
    <w:rsid w:val="00681FCD"/>
    <w:rsid w:val="00693C87"/>
    <w:rsid w:val="006A05C7"/>
    <w:rsid w:val="006A0FD7"/>
    <w:rsid w:val="006A607B"/>
    <w:rsid w:val="006A6E27"/>
    <w:rsid w:val="006A72B0"/>
    <w:rsid w:val="006B3E4D"/>
    <w:rsid w:val="006B53BE"/>
    <w:rsid w:val="006C52B9"/>
    <w:rsid w:val="006D0289"/>
    <w:rsid w:val="006D1DFE"/>
    <w:rsid w:val="006D2CB1"/>
    <w:rsid w:val="006D327C"/>
    <w:rsid w:val="006E6BC2"/>
    <w:rsid w:val="006E77BB"/>
    <w:rsid w:val="006F0244"/>
    <w:rsid w:val="006F7255"/>
    <w:rsid w:val="0070150E"/>
    <w:rsid w:val="00705DB8"/>
    <w:rsid w:val="00713225"/>
    <w:rsid w:val="0072267B"/>
    <w:rsid w:val="0072512A"/>
    <w:rsid w:val="00731EE6"/>
    <w:rsid w:val="0073290E"/>
    <w:rsid w:val="007355A6"/>
    <w:rsid w:val="00740A71"/>
    <w:rsid w:val="0074671F"/>
    <w:rsid w:val="007477C5"/>
    <w:rsid w:val="00747938"/>
    <w:rsid w:val="00747B6A"/>
    <w:rsid w:val="00754507"/>
    <w:rsid w:val="00754576"/>
    <w:rsid w:val="0075645F"/>
    <w:rsid w:val="00762AFB"/>
    <w:rsid w:val="00765BA8"/>
    <w:rsid w:val="00766007"/>
    <w:rsid w:val="007660EF"/>
    <w:rsid w:val="00770A26"/>
    <w:rsid w:val="007A0440"/>
    <w:rsid w:val="007A1364"/>
    <w:rsid w:val="007A24A0"/>
    <w:rsid w:val="007A4AB2"/>
    <w:rsid w:val="007A5E68"/>
    <w:rsid w:val="007B1BF7"/>
    <w:rsid w:val="007B2E44"/>
    <w:rsid w:val="007B59AA"/>
    <w:rsid w:val="007C404B"/>
    <w:rsid w:val="007C4BAE"/>
    <w:rsid w:val="007D1D3B"/>
    <w:rsid w:val="007D5960"/>
    <w:rsid w:val="007E114E"/>
    <w:rsid w:val="007E487F"/>
    <w:rsid w:val="007E4B2D"/>
    <w:rsid w:val="007E587D"/>
    <w:rsid w:val="007E6275"/>
    <w:rsid w:val="007E693A"/>
    <w:rsid w:val="007E71E9"/>
    <w:rsid w:val="007F1D06"/>
    <w:rsid w:val="008000F7"/>
    <w:rsid w:val="008010D7"/>
    <w:rsid w:val="00803443"/>
    <w:rsid w:val="0080680D"/>
    <w:rsid w:val="00810E5A"/>
    <w:rsid w:val="00812C05"/>
    <w:rsid w:val="0081322A"/>
    <w:rsid w:val="008162AB"/>
    <w:rsid w:val="00843E6F"/>
    <w:rsid w:val="00846E4A"/>
    <w:rsid w:val="008470E6"/>
    <w:rsid w:val="00847CAF"/>
    <w:rsid w:val="00851AF5"/>
    <w:rsid w:val="00851FB5"/>
    <w:rsid w:val="008647DE"/>
    <w:rsid w:val="00864B95"/>
    <w:rsid w:val="00872EC8"/>
    <w:rsid w:val="00876E8A"/>
    <w:rsid w:val="008800D3"/>
    <w:rsid w:val="00882C88"/>
    <w:rsid w:val="00886CDD"/>
    <w:rsid w:val="0089214D"/>
    <w:rsid w:val="008927C8"/>
    <w:rsid w:val="0089393B"/>
    <w:rsid w:val="00893C0D"/>
    <w:rsid w:val="008A025D"/>
    <w:rsid w:val="008A20DA"/>
    <w:rsid w:val="008A5324"/>
    <w:rsid w:val="008A7ED4"/>
    <w:rsid w:val="008B5C8F"/>
    <w:rsid w:val="008B5F16"/>
    <w:rsid w:val="008B7722"/>
    <w:rsid w:val="008B773E"/>
    <w:rsid w:val="008C0E5C"/>
    <w:rsid w:val="008D2CBE"/>
    <w:rsid w:val="008D348B"/>
    <w:rsid w:val="008D7588"/>
    <w:rsid w:val="008E2BE4"/>
    <w:rsid w:val="008E6B4E"/>
    <w:rsid w:val="008E7970"/>
    <w:rsid w:val="008E7C34"/>
    <w:rsid w:val="008F0C36"/>
    <w:rsid w:val="008F377B"/>
    <w:rsid w:val="008F5B4E"/>
    <w:rsid w:val="00915512"/>
    <w:rsid w:val="009233CC"/>
    <w:rsid w:val="009240D8"/>
    <w:rsid w:val="009360D7"/>
    <w:rsid w:val="009362C9"/>
    <w:rsid w:val="00942387"/>
    <w:rsid w:val="0094626F"/>
    <w:rsid w:val="009462D2"/>
    <w:rsid w:val="00952479"/>
    <w:rsid w:val="009652D5"/>
    <w:rsid w:val="009677F8"/>
    <w:rsid w:val="009679CC"/>
    <w:rsid w:val="00971146"/>
    <w:rsid w:val="00972A9A"/>
    <w:rsid w:val="009763EC"/>
    <w:rsid w:val="00991675"/>
    <w:rsid w:val="00992008"/>
    <w:rsid w:val="00996409"/>
    <w:rsid w:val="00996D00"/>
    <w:rsid w:val="009A03DC"/>
    <w:rsid w:val="009A5D4E"/>
    <w:rsid w:val="009A6CF3"/>
    <w:rsid w:val="009B22CB"/>
    <w:rsid w:val="009B43BF"/>
    <w:rsid w:val="009B4A2D"/>
    <w:rsid w:val="009B678B"/>
    <w:rsid w:val="009C1E0B"/>
    <w:rsid w:val="009C6D5E"/>
    <w:rsid w:val="009D545A"/>
    <w:rsid w:val="009D6D44"/>
    <w:rsid w:val="009E11C5"/>
    <w:rsid w:val="009E22FA"/>
    <w:rsid w:val="009E4744"/>
    <w:rsid w:val="009E4EC9"/>
    <w:rsid w:val="009E5D5A"/>
    <w:rsid w:val="009F2262"/>
    <w:rsid w:val="009F4ADA"/>
    <w:rsid w:val="009F6A0D"/>
    <w:rsid w:val="00A0093F"/>
    <w:rsid w:val="00A02BF0"/>
    <w:rsid w:val="00A0583B"/>
    <w:rsid w:val="00A05BFF"/>
    <w:rsid w:val="00A07991"/>
    <w:rsid w:val="00A10CDE"/>
    <w:rsid w:val="00A126C3"/>
    <w:rsid w:val="00A1680D"/>
    <w:rsid w:val="00A23AB0"/>
    <w:rsid w:val="00A266C5"/>
    <w:rsid w:val="00A309C6"/>
    <w:rsid w:val="00A32E4E"/>
    <w:rsid w:val="00A45DBA"/>
    <w:rsid w:val="00A46EB1"/>
    <w:rsid w:val="00A505DE"/>
    <w:rsid w:val="00A5327C"/>
    <w:rsid w:val="00A5721C"/>
    <w:rsid w:val="00A65AFD"/>
    <w:rsid w:val="00A67913"/>
    <w:rsid w:val="00A77DF1"/>
    <w:rsid w:val="00A81A94"/>
    <w:rsid w:val="00A829AE"/>
    <w:rsid w:val="00A83FED"/>
    <w:rsid w:val="00A866D3"/>
    <w:rsid w:val="00A9641E"/>
    <w:rsid w:val="00A9681E"/>
    <w:rsid w:val="00AA007A"/>
    <w:rsid w:val="00AA11C3"/>
    <w:rsid w:val="00AB073E"/>
    <w:rsid w:val="00AB1A13"/>
    <w:rsid w:val="00AB4E9F"/>
    <w:rsid w:val="00AC210F"/>
    <w:rsid w:val="00AC319E"/>
    <w:rsid w:val="00AD2EA6"/>
    <w:rsid w:val="00AD3A1A"/>
    <w:rsid w:val="00AE3A1E"/>
    <w:rsid w:val="00AE734F"/>
    <w:rsid w:val="00AF2656"/>
    <w:rsid w:val="00AF4147"/>
    <w:rsid w:val="00AF6110"/>
    <w:rsid w:val="00AF6AC6"/>
    <w:rsid w:val="00B00611"/>
    <w:rsid w:val="00B04354"/>
    <w:rsid w:val="00B05EEE"/>
    <w:rsid w:val="00B12058"/>
    <w:rsid w:val="00B2172B"/>
    <w:rsid w:val="00B249FC"/>
    <w:rsid w:val="00B317E7"/>
    <w:rsid w:val="00B33A57"/>
    <w:rsid w:val="00B34083"/>
    <w:rsid w:val="00B37728"/>
    <w:rsid w:val="00B40ECB"/>
    <w:rsid w:val="00B44D61"/>
    <w:rsid w:val="00B45C64"/>
    <w:rsid w:val="00B46A32"/>
    <w:rsid w:val="00B46B29"/>
    <w:rsid w:val="00B53547"/>
    <w:rsid w:val="00B53597"/>
    <w:rsid w:val="00B55D3E"/>
    <w:rsid w:val="00B60258"/>
    <w:rsid w:val="00B62590"/>
    <w:rsid w:val="00B6411F"/>
    <w:rsid w:val="00B66EE5"/>
    <w:rsid w:val="00B6729F"/>
    <w:rsid w:val="00B82627"/>
    <w:rsid w:val="00B90AA7"/>
    <w:rsid w:val="00B94335"/>
    <w:rsid w:val="00B944CC"/>
    <w:rsid w:val="00BA65E5"/>
    <w:rsid w:val="00BB09DF"/>
    <w:rsid w:val="00BB3FC5"/>
    <w:rsid w:val="00BB6A17"/>
    <w:rsid w:val="00BC2B3B"/>
    <w:rsid w:val="00BC4579"/>
    <w:rsid w:val="00BC62EF"/>
    <w:rsid w:val="00BC76B9"/>
    <w:rsid w:val="00BD1810"/>
    <w:rsid w:val="00BD209C"/>
    <w:rsid w:val="00BD3D24"/>
    <w:rsid w:val="00BD4AF1"/>
    <w:rsid w:val="00BD4C97"/>
    <w:rsid w:val="00BF6AAE"/>
    <w:rsid w:val="00C0018A"/>
    <w:rsid w:val="00C00905"/>
    <w:rsid w:val="00C035B5"/>
    <w:rsid w:val="00C05730"/>
    <w:rsid w:val="00C11ABD"/>
    <w:rsid w:val="00C14FB2"/>
    <w:rsid w:val="00C176AC"/>
    <w:rsid w:val="00C21EF9"/>
    <w:rsid w:val="00C222F7"/>
    <w:rsid w:val="00C24839"/>
    <w:rsid w:val="00C26DEA"/>
    <w:rsid w:val="00C27C23"/>
    <w:rsid w:val="00C41C84"/>
    <w:rsid w:val="00C554D4"/>
    <w:rsid w:val="00C61B02"/>
    <w:rsid w:val="00C719A2"/>
    <w:rsid w:val="00C72165"/>
    <w:rsid w:val="00C83041"/>
    <w:rsid w:val="00C87AA5"/>
    <w:rsid w:val="00C90B42"/>
    <w:rsid w:val="00C9475D"/>
    <w:rsid w:val="00C95056"/>
    <w:rsid w:val="00C951FD"/>
    <w:rsid w:val="00CA1249"/>
    <w:rsid w:val="00CA1A0B"/>
    <w:rsid w:val="00CA2E76"/>
    <w:rsid w:val="00CA7F28"/>
    <w:rsid w:val="00CB0768"/>
    <w:rsid w:val="00CB131F"/>
    <w:rsid w:val="00CB4DCD"/>
    <w:rsid w:val="00CB4F2D"/>
    <w:rsid w:val="00CC1690"/>
    <w:rsid w:val="00CC2DCA"/>
    <w:rsid w:val="00CC665A"/>
    <w:rsid w:val="00CD4861"/>
    <w:rsid w:val="00CE04A0"/>
    <w:rsid w:val="00CE34DC"/>
    <w:rsid w:val="00CE6B67"/>
    <w:rsid w:val="00D07FB4"/>
    <w:rsid w:val="00D12F5A"/>
    <w:rsid w:val="00D21225"/>
    <w:rsid w:val="00D21FA8"/>
    <w:rsid w:val="00D23014"/>
    <w:rsid w:val="00D236B7"/>
    <w:rsid w:val="00D23E48"/>
    <w:rsid w:val="00D244BE"/>
    <w:rsid w:val="00D43096"/>
    <w:rsid w:val="00D46AB2"/>
    <w:rsid w:val="00D47815"/>
    <w:rsid w:val="00D500C1"/>
    <w:rsid w:val="00D523DE"/>
    <w:rsid w:val="00D52FE9"/>
    <w:rsid w:val="00D656EB"/>
    <w:rsid w:val="00D73366"/>
    <w:rsid w:val="00D771FD"/>
    <w:rsid w:val="00D7796D"/>
    <w:rsid w:val="00D81B18"/>
    <w:rsid w:val="00D83541"/>
    <w:rsid w:val="00D850B3"/>
    <w:rsid w:val="00D91998"/>
    <w:rsid w:val="00D93A16"/>
    <w:rsid w:val="00D9496D"/>
    <w:rsid w:val="00DA0768"/>
    <w:rsid w:val="00DA161A"/>
    <w:rsid w:val="00DA5A94"/>
    <w:rsid w:val="00DB2355"/>
    <w:rsid w:val="00DB351F"/>
    <w:rsid w:val="00DB3BB4"/>
    <w:rsid w:val="00DC0F02"/>
    <w:rsid w:val="00DC0F8D"/>
    <w:rsid w:val="00DC2284"/>
    <w:rsid w:val="00DC3CA4"/>
    <w:rsid w:val="00DE4578"/>
    <w:rsid w:val="00DF04EE"/>
    <w:rsid w:val="00DF3E35"/>
    <w:rsid w:val="00E03ED5"/>
    <w:rsid w:val="00E06243"/>
    <w:rsid w:val="00E07169"/>
    <w:rsid w:val="00E1688C"/>
    <w:rsid w:val="00E22665"/>
    <w:rsid w:val="00E25A66"/>
    <w:rsid w:val="00E30499"/>
    <w:rsid w:val="00E30B51"/>
    <w:rsid w:val="00E324BB"/>
    <w:rsid w:val="00E377E8"/>
    <w:rsid w:val="00E430CD"/>
    <w:rsid w:val="00E43464"/>
    <w:rsid w:val="00E47A69"/>
    <w:rsid w:val="00E5043B"/>
    <w:rsid w:val="00E571BB"/>
    <w:rsid w:val="00E6364D"/>
    <w:rsid w:val="00E74435"/>
    <w:rsid w:val="00E758AD"/>
    <w:rsid w:val="00E77D4E"/>
    <w:rsid w:val="00E91860"/>
    <w:rsid w:val="00E922D5"/>
    <w:rsid w:val="00E954B7"/>
    <w:rsid w:val="00E96FDB"/>
    <w:rsid w:val="00EA107B"/>
    <w:rsid w:val="00EC0D48"/>
    <w:rsid w:val="00EC16F1"/>
    <w:rsid w:val="00ED05D6"/>
    <w:rsid w:val="00ED0C6F"/>
    <w:rsid w:val="00ED1069"/>
    <w:rsid w:val="00ED2FCC"/>
    <w:rsid w:val="00EE09A9"/>
    <w:rsid w:val="00EE23F4"/>
    <w:rsid w:val="00EE5F75"/>
    <w:rsid w:val="00EE6084"/>
    <w:rsid w:val="00EF0771"/>
    <w:rsid w:val="00EF2722"/>
    <w:rsid w:val="00EF5DFF"/>
    <w:rsid w:val="00EF6805"/>
    <w:rsid w:val="00EF6818"/>
    <w:rsid w:val="00F00508"/>
    <w:rsid w:val="00F017C5"/>
    <w:rsid w:val="00F01E52"/>
    <w:rsid w:val="00F042DC"/>
    <w:rsid w:val="00F0463B"/>
    <w:rsid w:val="00F07099"/>
    <w:rsid w:val="00F105EA"/>
    <w:rsid w:val="00F11117"/>
    <w:rsid w:val="00F11676"/>
    <w:rsid w:val="00F12541"/>
    <w:rsid w:val="00F22035"/>
    <w:rsid w:val="00F22D18"/>
    <w:rsid w:val="00F25FE8"/>
    <w:rsid w:val="00F34AEE"/>
    <w:rsid w:val="00F3575D"/>
    <w:rsid w:val="00F36C87"/>
    <w:rsid w:val="00F43C99"/>
    <w:rsid w:val="00F46927"/>
    <w:rsid w:val="00F55854"/>
    <w:rsid w:val="00F56813"/>
    <w:rsid w:val="00F70110"/>
    <w:rsid w:val="00F72C93"/>
    <w:rsid w:val="00F80A88"/>
    <w:rsid w:val="00F8237A"/>
    <w:rsid w:val="00F823F5"/>
    <w:rsid w:val="00F86A86"/>
    <w:rsid w:val="00F9170D"/>
    <w:rsid w:val="00F94368"/>
    <w:rsid w:val="00F9494C"/>
    <w:rsid w:val="00F9562B"/>
    <w:rsid w:val="00FA15C8"/>
    <w:rsid w:val="00FA2D86"/>
    <w:rsid w:val="00FA348C"/>
    <w:rsid w:val="00FB0AD8"/>
    <w:rsid w:val="00FB4DBB"/>
    <w:rsid w:val="00FC1115"/>
    <w:rsid w:val="00FC32EE"/>
    <w:rsid w:val="00FD019F"/>
    <w:rsid w:val="00FE2C17"/>
    <w:rsid w:val="00FF072F"/>
    <w:rsid w:val="00FF0F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2" w:uiPriority="39"/>
    <w:lsdException w:name="toc 3" w:uiPriority="39"/>
    <w:lsdException w:name="footnote text" w:qFormat="1"/>
    <w:lsdException w:name="header" w:uiPriority="99"/>
    <w:lsdException w:name="footer" w:uiPriority="99"/>
    <w:lsdException w:name="Default Paragraph Font" w:uiPriority="1"/>
    <w:lsdException w:name="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22669"/>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
    <w:qFormat/>
    <w:rsid w:val="00DC0F02"/>
    <w:pPr>
      <w:numPr>
        <w:numId w:val="36"/>
      </w:numPr>
      <w:tabs>
        <w:tab w:val="clear" w:pos="567"/>
        <w:tab w:val="left" w:pos="1134"/>
      </w:tabs>
      <w:spacing w:before="80" w:line="300" w:lineRule="atLeast"/>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
      </w:numPr>
      <w:spacing w:before="120"/>
    </w:pPr>
    <w:rPr>
      <w:szCs w:val="24"/>
    </w:rPr>
  </w:style>
  <w:style w:type="paragraph" w:customStyle="1" w:styleId="CGCQuotation">
    <w:name w:val="CGC Quotation"/>
    <w:basedOn w:val="Normal"/>
    <w:next w:val="CGCNumberedPara"/>
    <w:qFormat/>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qFormat/>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uiPriority w:val="39"/>
    <w:rsid w:val="006A72B0"/>
    <w:pPr>
      <w:tabs>
        <w:tab w:val="clear" w:pos="567"/>
        <w:tab w:val="right" w:pos="8942"/>
      </w:tabs>
      <w:spacing w:after="0"/>
      <w:ind w:left="851"/>
    </w:pPr>
    <w:rPr>
      <w:szCs w:val="20"/>
    </w:rPr>
  </w:style>
  <w:style w:type="paragraph" w:styleId="TOC3">
    <w:name w:val="toc 3"/>
    <w:basedOn w:val="Normal"/>
    <w:next w:val="Normal"/>
    <w:uiPriority w:val="39"/>
    <w:rsid w:val="00996409"/>
    <w:pPr>
      <w:tabs>
        <w:tab w:val="clear" w:pos="567"/>
        <w:tab w:val="right" w:pos="8942"/>
      </w:tabs>
      <w:spacing w:after="0"/>
      <w:ind w:left="567"/>
    </w:pPr>
    <w:rPr>
      <w:iCs/>
      <w:cap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TableFootnoteChar">
    <w:name w:val="CGC Table Footnote Char"/>
    <w:basedOn w:val="DefaultParagraphFont"/>
    <w:link w:val="CGCTableFootnote"/>
    <w:rsid w:val="001850FF"/>
    <w:rPr>
      <w:sz w:val="20"/>
      <w:szCs w:val="24"/>
    </w:rPr>
  </w:style>
  <w:style w:type="character" w:customStyle="1" w:styleId="CGCParaNoChar">
    <w:name w:val="CGC Para No Char"/>
    <w:aliases w:val="CGC Numbered Para Char"/>
    <w:basedOn w:val="DefaultParagraphFont"/>
    <w:link w:val="CGCNumberedPara"/>
    <w:rsid w:val="00413BB5"/>
    <w:rPr>
      <w:sz w:val="24"/>
      <w:szCs w:val="24"/>
    </w:rPr>
  </w:style>
  <w:style w:type="character" w:customStyle="1" w:styleId="CGCTableStubChar">
    <w:name w:val="CGC Table Stub Char"/>
    <w:basedOn w:val="DefaultParagraphFont"/>
    <w:link w:val="CGCTableStub"/>
    <w:rsid w:val="00660570"/>
    <w:rPr>
      <w:sz w:val="20"/>
      <w:szCs w:val="20"/>
    </w:rPr>
  </w:style>
  <w:style w:type="character" w:customStyle="1" w:styleId="TableRowNormalChar">
    <w:name w:val="TableRowNormal Char"/>
    <w:basedOn w:val="DefaultParagraphFont"/>
    <w:link w:val="TableRowNormal"/>
    <w:locked/>
    <w:rsid w:val="00660570"/>
    <w:rPr>
      <w:sz w:val="20"/>
      <w:szCs w:val="20"/>
    </w:rPr>
  </w:style>
  <w:style w:type="character" w:customStyle="1" w:styleId="CGCBulletlistChar">
    <w:name w:val="CGC Bullet list Char"/>
    <w:aliases w:val="CGC List 1 Char,CGC Bullet list Char1"/>
    <w:basedOn w:val="DefaultParagraphFont"/>
    <w:link w:val="CGCBulletlist"/>
    <w:locked/>
    <w:rsid w:val="00B12058"/>
    <w:rPr>
      <w:sz w:val="24"/>
      <w:szCs w:val="20"/>
    </w:rPr>
  </w:style>
  <w:style w:type="character" w:customStyle="1" w:styleId="CGCTableHeadingChar">
    <w:name w:val="CGC Table Heading Char"/>
    <w:basedOn w:val="DefaultParagraphFont"/>
    <w:link w:val="CGCTableHeading"/>
    <w:rsid w:val="00C87AA5"/>
    <w:rPr>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2" w:uiPriority="39"/>
    <w:lsdException w:name="toc 3" w:uiPriority="39"/>
    <w:lsdException w:name="footnote text" w:qFormat="1"/>
    <w:lsdException w:name="header" w:uiPriority="99"/>
    <w:lsdException w:name="footer" w:uiPriority="99"/>
    <w:lsdException w:name="Default Paragraph Font" w:uiPriority="1"/>
    <w:lsdException w:name="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22669"/>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
    <w:qFormat/>
    <w:rsid w:val="00DC0F02"/>
    <w:pPr>
      <w:numPr>
        <w:numId w:val="36"/>
      </w:numPr>
      <w:tabs>
        <w:tab w:val="clear" w:pos="567"/>
        <w:tab w:val="left" w:pos="1134"/>
      </w:tabs>
      <w:spacing w:before="80" w:line="300" w:lineRule="atLeast"/>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
      </w:numPr>
      <w:spacing w:before="120"/>
    </w:pPr>
    <w:rPr>
      <w:szCs w:val="24"/>
    </w:rPr>
  </w:style>
  <w:style w:type="paragraph" w:customStyle="1" w:styleId="CGCQuotation">
    <w:name w:val="CGC Quotation"/>
    <w:basedOn w:val="Normal"/>
    <w:next w:val="CGCNumberedPara"/>
    <w:qFormat/>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qFormat/>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uiPriority w:val="39"/>
    <w:rsid w:val="006A72B0"/>
    <w:pPr>
      <w:tabs>
        <w:tab w:val="clear" w:pos="567"/>
        <w:tab w:val="right" w:pos="8942"/>
      </w:tabs>
      <w:spacing w:after="0"/>
      <w:ind w:left="851"/>
    </w:pPr>
    <w:rPr>
      <w:szCs w:val="20"/>
    </w:rPr>
  </w:style>
  <w:style w:type="paragraph" w:styleId="TOC3">
    <w:name w:val="toc 3"/>
    <w:basedOn w:val="Normal"/>
    <w:next w:val="Normal"/>
    <w:uiPriority w:val="39"/>
    <w:rsid w:val="00996409"/>
    <w:pPr>
      <w:tabs>
        <w:tab w:val="clear" w:pos="567"/>
        <w:tab w:val="right" w:pos="8942"/>
      </w:tabs>
      <w:spacing w:after="0"/>
      <w:ind w:left="567"/>
    </w:pPr>
    <w:rPr>
      <w:iCs/>
      <w:cap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TableFootnoteChar">
    <w:name w:val="CGC Table Footnote Char"/>
    <w:basedOn w:val="DefaultParagraphFont"/>
    <w:link w:val="CGCTableFootnote"/>
    <w:rsid w:val="001850FF"/>
    <w:rPr>
      <w:sz w:val="20"/>
      <w:szCs w:val="24"/>
    </w:rPr>
  </w:style>
  <w:style w:type="character" w:customStyle="1" w:styleId="CGCParaNoChar">
    <w:name w:val="CGC Para No Char"/>
    <w:aliases w:val="CGC Numbered Para Char"/>
    <w:basedOn w:val="DefaultParagraphFont"/>
    <w:link w:val="CGCNumberedPara"/>
    <w:rsid w:val="00413BB5"/>
    <w:rPr>
      <w:sz w:val="24"/>
      <w:szCs w:val="24"/>
    </w:rPr>
  </w:style>
  <w:style w:type="character" w:customStyle="1" w:styleId="CGCTableStubChar">
    <w:name w:val="CGC Table Stub Char"/>
    <w:basedOn w:val="DefaultParagraphFont"/>
    <w:link w:val="CGCTableStub"/>
    <w:rsid w:val="00660570"/>
    <w:rPr>
      <w:sz w:val="20"/>
      <w:szCs w:val="20"/>
    </w:rPr>
  </w:style>
  <w:style w:type="character" w:customStyle="1" w:styleId="TableRowNormalChar">
    <w:name w:val="TableRowNormal Char"/>
    <w:basedOn w:val="DefaultParagraphFont"/>
    <w:link w:val="TableRowNormal"/>
    <w:locked/>
    <w:rsid w:val="00660570"/>
    <w:rPr>
      <w:sz w:val="20"/>
      <w:szCs w:val="20"/>
    </w:rPr>
  </w:style>
  <w:style w:type="character" w:customStyle="1" w:styleId="CGCBulletlistChar">
    <w:name w:val="CGC Bullet list Char"/>
    <w:aliases w:val="CGC List 1 Char,CGC Bullet list Char1"/>
    <w:basedOn w:val="DefaultParagraphFont"/>
    <w:link w:val="CGCBulletlist"/>
    <w:locked/>
    <w:rsid w:val="00B12058"/>
    <w:rPr>
      <w:sz w:val="24"/>
      <w:szCs w:val="20"/>
    </w:rPr>
  </w:style>
  <w:style w:type="character" w:customStyle="1" w:styleId="CGCTableHeadingChar">
    <w:name w:val="CGC Table Heading Char"/>
    <w:basedOn w:val="DefaultParagraphFont"/>
    <w:link w:val="CGCTableHeading"/>
    <w:rsid w:val="00C87AA5"/>
    <w:rPr>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349601874">
      <w:bodyDiv w:val="1"/>
      <w:marLeft w:val="0"/>
      <w:marRight w:val="0"/>
      <w:marTop w:val="0"/>
      <w:marBottom w:val="0"/>
      <w:divBdr>
        <w:top w:val="none" w:sz="0" w:space="0" w:color="auto"/>
        <w:left w:val="none" w:sz="0" w:space="0" w:color="auto"/>
        <w:bottom w:val="none" w:sz="0" w:space="0" w:color="auto"/>
        <w:right w:val="none" w:sz="0" w:space="0" w:color="auto"/>
      </w:divBdr>
    </w:div>
    <w:div w:id="1357609762">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8921701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retary@cgc.gov.au"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organ.moa@cgc.gov.a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creativecommons.org/licenses/by/3.0" TargetMode="Externa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729D6-389F-4354-AE6E-219BB2467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1593</Words>
  <Characters>9339</Characters>
  <Application>Microsoft Office Word</Application>
  <DocSecurity>0</DocSecurity>
  <Lines>77</Lines>
  <Paragraphs>21</Paragraphs>
  <ScaleCrop>false</ScaleCrop>
  <Company/>
  <LinksUpToDate>false</LinksUpToDate>
  <CharactersWithSpaces>10911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2018-04-18T03:34:00Z</dcterms:created>
  <dcterms:modified xsi:type="dcterms:W3CDTF">2018-04-18T03:34:00Z</dcterms:modified>
</cp:coreProperties>
</file>