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478" w:rsidRPr="00970E6D" w:rsidRDefault="00FA3478" w:rsidP="00FA3478">
      <w:pPr>
        <w:tabs>
          <w:tab w:val="clear" w:pos="567"/>
        </w:tabs>
        <w:jc w:val="center"/>
        <w:rPr>
          <w:b/>
          <w:bCs/>
        </w:rPr>
      </w:pPr>
      <w:bookmarkStart w:id="0" w:name="Content"/>
      <w:bookmarkStart w:id="1" w:name="_Toc106707725"/>
      <w:bookmarkStart w:id="2" w:name="_Toc155675935"/>
      <w:bookmarkStart w:id="3" w:name="_Toc174415770"/>
      <w:bookmarkStart w:id="4" w:name="_Toc174415844"/>
      <w:bookmarkStart w:id="5" w:name="_Toc174415935"/>
      <w:bookmarkStart w:id="6" w:name="_Toc174416620"/>
      <w:bookmarkStart w:id="7" w:name="_Toc174416662"/>
      <w:bookmarkStart w:id="8" w:name="_Toc174416675"/>
      <w:bookmarkEnd w:id="0"/>
      <w:r w:rsidRPr="00970E6D">
        <w:rPr>
          <w:noProof/>
          <w:lang w:eastAsia="en-AU"/>
        </w:rPr>
        <w:drawing>
          <wp:inline distT="0" distB="0" distL="0" distR="0" wp14:anchorId="51CF5952" wp14:editId="1AA29148">
            <wp:extent cx="2933700" cy="1524600"/>
            <wp:effectExtent l="19050" t="0" r="0" b="0"/>
            <wp:docPr id="1" name="Picture 1" descr="Commonwealth Gran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C_stackedstrip"/>
                    <pic:cNvPicPr>
                      <a:picLocks noChangeAspect="1" noChangeArrowheads="1"/>
                    </pic:cNvPicPr>
                  </pic:nvPicPr>
                  <pic:blipFill>
                    <a:blip r:embed="rId8" cstate="print"/>
                    <a:srcRect/>
                    <a:stretch>
                      <a:fillRect/>
                    </a:stretch>
                  </pic:blipFill>
                  <pic:spPr bwMode="auto">
                    <a:xfrm>
                      <a:off x="0" y="0"/>
                      <a:ext cx="2933700" cy="1524600"/>
                    </a:xfrm>
                    <a:prstGeom prst="rect">
                      <a:avLst/>
                    </a:prstGeom>
                    <a:noFill/>
                    <a:ln w="9525">
                      <a:noFill/>
                      <a:miter lim="800000"/>
                      <a:headEnd/>
                      <a:tailEnd/>
                    </a:ln>
                  </pic:spPr>
                </pic:pic>
              </a:graphicData>
            </a:graphic>
          </wp:inline>
        </w:drawing>
      </w:r>
    </w:p>
    <w:p w:rsidR="00FA3478" w:rsidRPr="00970E6D" w:rsidRDefault="00FA3478" w:rsidP="00FA3478">
      <w:pPr>
        <w:tabs>
          <w:tab w:val="clear" w:pos="567"/>
        </w:tabs>
        <w:jc w:val="center"/>
        <w:rPr>
          <w:b/>
          <w:sz w:val="40"/>
          <w:szCs w:val="40"/>
        </w:rPr>
      </w:pPr>
    </w:p>
    <w:p w:rsidR="00FA3478" w:rsidRPr="00970E6D" w:rsidRDefault="00FA3478" w:rsidP="00FA3478">
      <w:pPr>
        <w:tabs>
          <w:tab w:val="clear" w:pos="567"/>
        </w:tabs>
        <w:jc w:val="center"/>
        <w:rPr>
          <w:b/>
          <w:sz w:val="40"/>
          <w:szCs w:val="40"/>
        </w:rPr>
      </w:pPr>
    </w:p>
    <w:p w:rsidR="00FA3478" w:rsidRPr="00970E6D" w:rsidRDefault="00FA3478" w:rsidP="00FA3478">
      <w:pPr>
        <w:tabs>
          <w:tab w:val="clear" w:pos="567"/>
        </w:tabs>
        <w:jc w:val="center"/>
        <w:rPr>
          <w:b/>
          <w:sz w:val="40"/>
          <w:szCs w:val="40"/>
        </w:rPr>
      </w:pPr>
      <w:r w:rsidRPr="00970E6D">
        <w:rPr>
          <w:b/>
          <w:sz w:val="40"/>
          <w:szCs w:val="40"/>
        </w:rPr>
        <w:t>20</w:t>
      </w:r>
      <w:r>
        <w:rPr>
          <w:b/>
          <w:sz w:val="40"/>
          <w:szCs w:val="40"/>
        </w:rPr>
        <w:t>20</w:t>
      </w:r>
      <w:r w:rsidRPr="00970E6D">
        <w:rPr>
          <w:b/>
          <w:sz w:val="40"/>
          <w:szCs w:val="40"/>
        </w:rPr>
        <w:t xml:space="preserve"> REVIEW</w:t>
      </w:r>
    </w:p>
    <w:p w:rsidR="00FA3478" w:rsidRPr="00970E6D" w:rsidRDefault="00FA3478" w:rsidP="00FA3478">
      <w:pPr>
        <w:tabs>
          <w:tab w:val="clear" w:pos="567"/>
        </w:tabs>
        <w:jc w:val="center"/>
        <w:rPr>
          <w:b/>
          <w:sz w:val="40"/>
          <w:szCs w:val="40"/>
        </w:rPr>
      </w:pPr>
    </w:p>
    <w:p w:rsidR="00FA3478" w:rsidRPr="00970E6D" w:rsidRDefault="00FA3478" w:rsidP="00FA3478">
      <w:pPr>
        <w:tabs>
          <w:tab w:val="clear" w:pos="567"/>
        </w:tabs>
        <w:jc w:val="center"/>
        <w:rPr>
          <w:b/>
          <w:sz w:val="40"/>
          <w:szCs w:val="40"/>
        </w:rPr>
      </w:pPr>
    </w:p>
    <w:p w:rsidR="00FA3478" w:rsidRPr="00970E6D" w:rsidRDefault="00FA3478" w:rsidP="00FA3478">
      <w:pPr>
        <w:tabs>
          <w:tab w:val="clear" w:pos="567"/>
        </w:tabs>
        <w:jc w:val="center"/>
        <w:rPr>
          <w:b/>
          <w:sz w:val="40"/>
          <w:szCs w:val="40"/>
        </w:rPr>
      </w:pPr>
    </w:p>
    <w:p w:rsidR="00FA3478" w:rsidRPr="00970E6D" w:rsidRDefault="00FA3478" w:rsidP="00FA3478">
      <w:pPr>
        <w:tabs>
          <w:tab w:val="clear" w:pos="567"/>
        </w:tabs>
        <w:jc w:val="center"/>
        <w:rPr>
          <w:b/>
          <w:sz w:val="40"/>
          <w:szCs w:val="40"/>
        </w:rPr>
      </w:pPr>
    </w:p>
    <w:p w:rsidR="00FA3478" w:rsidRPr="00970E6D" w:rsidRDefault="00FA3478" w:rsidP="00FA3478">
      <w:pPr>
        <w:tabs>
          <w:tab w:val="clear" w:pos="567"/>
        </w:tabs>
        <w:jc w:val="center"/>
        <w:rPr>
          <w:bCs/>
          <w:sz w:val="40"/>
          <w:szCs w:val="40"/>
        </w:rPr>
      </w:pPr>
      <w:r>
        <w:rPr>
          <w:b/>
          <w:sz w:val="40"/>
          <w:szCs w:val="40"/>
        </w:rPr>
        <w:t>STAMP DUTY ON CONVEYANCES</w:t>
      </w:r>
    </w:p>
    <w:p w:rsidR="00FA3478" w:rsidRPr="00970E6D" w:rsidRDefault="00FA3478" w:rsidP="00FA3478">
      <w:pPr>
        <w:tabs>
          <w:tab w:val="clear" w:pos="567"/>
        </w:tabs>
        <w:jc w:val="center"/>
        <w:rPr>
          <w:b/>
          <w:sz w:val="40"/>
          <w:szCs w:val="40"/>
        </w:rPr>
      </w:pPr>
    </w:p>
    <w:p w:rsidR="00FA3478" w:rsidRPr="00970E6D" w:rsidRDefault="00FA3478" w:rsidP="00FA3478">
      <w:pPr>
        <w:tabs>
          <w:tab w:val="clear" w:pos="567"/>
        </w:tabs>
        <w:jc w:val="center"/>
        <w:rPr>
          <w:b/>
          <w:sz w:val="40"/>
          <w:szCs w:val="40"/>
        </w:rPr>
      </w:pPr>
    </w:p>
    <w:p w:rsidR="00FA3478" w:rsidRPr="00970E6D" w:rsidRDefault="00FA3478" w:rsidP="00FA3478">
      <w:pPr>
        <w:tabs>
          <w:tab w:val="clear" w:pos="567"/>
        </w:tabs>
        <w:jc w:val="center"/>
        <w:rPr>
          <w:b/>
          <w:sz w:val="40"/>
          <w:szCs w:val="40"/>
        </w:rPr>
      </w:pPr>
    </w:p>
    <w:p w:rsidR="00FA3478" w:rsidRPr="00970E6D" w:rsidRDefault="00FA3478" w:rsidP="00FA3478">
      <w:pPr>
        <w:tabs>
          <w:tab w:val="clear" w:pos="567"/>
        </w:tabs>
        <w:jc w:val="center"/>
        <w:rPr>
          <w:b/>
          <w:sz w:val="40"/>
          <w:szCs w:val="40"/>
        </w:rPr>
      </w:pPr>
    </w:p>
    <w:p w:rsidR="00FA3478" w:rsidRPr="00970E6D" w:rsidRDefault="003321E4" w:rsidP="00FA3478">
      <w:pPr>
        <w:tabs>
          <w:tab w:val="clear" w:pos="567"/>
        </w:tabs>
        <w:jc w:val="center"/>
        <w:rPr>
          <w:b/>
          <w:sz w:val="40"/>
          <w:szCs w:val="40"/>
        </w:rPr>
      </w:pPr>
      <w:r>
        <w:rPr>
          <w:b/>
          <w:sz w:val="40"/>
          <w:szCs w:val="40"/>
        </w:rPr>
        <w:t xml:space="preserve">STAFF </w:t>
      </w:r>
      <w:r w:rsidR="00FA3478">
        <w:rPr>
          <w:b/>
          <w:sz w:val="40"/>
          <w:szCs w:val="40"/>
        </w:rPr>
        <w:t>DRAFT ASSESSMENT PAPER</w:t>
      </w:r>
      <w:r w:rsidR="00FA3478">
        <w:rPr>
          <w:b/>
          <w:sz w:val="40"/>
          <w:szCs w:val="40"/>
        </w:rPr>
        <w:br/>
      </w:r>
      <w:proofErr w:type="spellStart"/>
      <w:r w:rsidR="00FA3478">
        <w:rPr>
          <w:b/>
          <w:sz w:val="40"/>
          <w:szCs w:val="40"/>
        </w:rPr>
        <w:t>CGC</w:t>
      </w:r>
      <w:proofErr w:type="spellEnd"/>
      <w:r w:rsidR="00FA3478">
        <w:rPr>
          <w:b/>
          <w:sz w:val="40"/>
          <w:szCs w:val="40"/>
        </w:rPr>
        <w:t xml:space="preserve"> 20</w:t>
      </w:r>
      <w:r w:rsidR="00FA3478" w:rsidRPr="00970E6D">
        <w:rPr>
          <w:b/>
          <w:sz w:val="40"/>
          <w:szCs w:val="40"/>
        </w:rPr>
        <w:t>1</w:t>
      </w:r>
      <w:r w:rsidR="00FA3478">
        <w:rPr>
          <w:b/>
          <w:sz w:val="40"/>
          <w:szCs w:val="40"/>
        </w:rPr>
        <w:t>8</w:t>
      </w:r>
      <w:r w:rsidR="00FA3478" w:rsidRPr="00970E6D">
        <w:rPr>
          <w:b/>
          <w:sz w:val="40"/>
          <w:szCs w:val="40"/>
        </w:rPr>
        <w:t>-</w:t>
      </w:r>
      <w:r w:rsidR="00FA3478">
        <w:rPr>
          <w:b/>
          <w:sz w:val="40"/>
          <w:szCs w:val="40"/>
        </w:rPr>
        <w:t>01/0</w:t>
      </w:r>
      <w:r w:rsidR="00D36BA6">
        <w:rPr>
          <w:b/>
          <w:sz w:val="40"/>
          <w:szCs w:val="40"/>
        </w:rPr>
        <w:t>4</w:t>
      </w:r>
    </w:p>
    <w:p w:rsidR="00FA3478" w:rsidRPr="00970E6D" w:rsidRDefault="00FA3478" w:rsidP="00FA3478">
      <w:pPr>
        <w:tabs>
          <w:tab w:val="clear" w:pos="567"/>
        </w:tabs>
        <w:jc w:val="center"/>
        <w:rPr>
          <w:b/>
          <w:sz w:val="40"/>
          <w:szCs w:val="40"/>
        </w:rPr>
      </w:pPr>
    </w:p>
    <w:p w:rsidR="00FA3478" w:rsidRPr="00970E6D" w:rsidRDefault="00FA3478" w:rsidP="00FA3478">
      <w:pPr>
        <w:tabs>
          <w:tab w:val="clear" w:pos="567"/>
        </w:tabs>
        <w:jc w:val="center"/>
        <w:rPr>
          <w:b/>
          <w:sz w:val="40"/>
          <w:szCs w:val="40"/>
        </w:rPr>
      </w:pPr>
    </w:p>
    <w:p w:rsidR="00FA3478" w:rsidRPr="00970E6D" w:rsidRDefault="00FA3478" w:rsidP="00FA3478">
      <w:pPr>
        <w:tabs>
          <w:tab w:val="clear" w:pos="567"/>
        </w:tabs>
        <w:jc w:val="center"/>
        <w:rPr>
          <w:b/>
          <w:sz w:val="40"/>
          <w:szCs w:val="40"/>
        </w:rPr>
      </w:pPr>
    </w:p>
    <w:p w:rsidR="00FA3478" w:rsidRPr="00970E6D" w:rsidRDefault="00FA3478" w:rsidP="00FA3478">
      <w:pPr>
        <w:tabs>
          <w:tab w:val="clear" w:pos="567"/>
        </w:tabs>
        <w:jc w:val="center"/>
        <w:rPr>
          <w:sz w:val="40"/>
          <w:szCs w:val="40"/>
        </w:rPr>
      </w:pPr>
    </w:p>
    <w:p w:rsidR="00FA3478" w:rsidRPr="00970E6D" w:rsidRDefault="00FA3478" w:rsidP="00FA3478">
      <w:pPr>
        <w:tabs>
          <w:tab w:val="clear" w:pos="567"/>
        </w:tabs>
        <w:jc w:val="right"/>
        <w:rPr>
          <w:b/>
          <w:sz w:val="28"/>
          <w:szCs w:val="28"/>
        </w:rPr>
      </w:pPr>
      <w:r>
        <w:rPr>
          <w:b/>
          <w:sz w:val="28"/>
          <w:szCs w:val="28"/>
        </w:rPr>
        <w:t>APRIL 2018</w:t>
      </w:r>
    </w:p>
    <w:p w:rsidR="00FA3478" w:rsidRPr="00970E6D" w:rsidRDefault="00FA3478" w:rsidP="00FA3478">
      <w:pPr>
        <w:tabs>
          <w:tab w:val="clear" w:pos="567"/>
        </w:tabs>
      </w:pPr>
    </w:p>
    <w:p w:rsidR="00FA3478" w:rsidRPr="00970E6D" w:rsidRDefault="00FA3478" w:rsidP="00FA3478">
      <w:pPr>
        <w:tabs>
          <w:tab w:val="clear" w:pos="567"/>
        </w:tabs>
        <w:sectPr w:rsidR="00FA3478" w:rsidRPr="00970E6D" w:rsidSect="00C8665E">
          <w:footerReference w:type="default" r:id="rId9"/>
          <w:pgSz w:w="11899" w:h="16838" w:code="9"/>
          <w:pgMar w:top="1701" w:right="1474" w:bottom="1701" w:left="1474" w:header="709" w:footer="709" w:gutter="0"/>
          <w:cols w:space="708"/>
          <w:titlePg/>
          <w:docGrid w:linePitch="299"/>
        </w:sectPr>
      </w:pPr>
    </w:p>
    <w:p w:rsidR="00FA3478" w:rsidRDefault="00FA3478" w:rsidP="00FA3478"/>
    <w:p w:rsidR="00FA3478" w:rsidRDefault="00FA3478" w:rsidP="00FA3478"/>
    <w:p w:rsidR="00FA3478" w:rsidRDefault="00FA3478" w:rsidP="00FA3478"/>
    <w:p w:rsidR="00FA3478" w:rsidRDefault="00FA3478" w:rsidP="00FA3478"/>
    <w:p w:rsidR="00FA3478" w:rsidRDefault="00FA3478" w:rsidP="00FA3478"/>
    <w:p w:rsidR="00FA3478" w:rsidRDefault="00FA3478" w:rsidP="00FA3478"/>
    <w:p w:rsidR="00FA3478" w:rsidRDefault="00FA3478" w:rsidP="00FA3478"/>
    <w:p w:rsidR="00FA3478" w:rsidRDefault="00FA3478" w:rsidP="00FA3478"/>
    <w:p w:rsidR="00FA3478" w:rsidRDefault="00FA3478" w:rsidP="00FA3478"/>
    <w:p w:rsidR="00FA3478" w:rsidRDefault="00FA3478" w:rsidP="00FA3478"/>
    <w:p w:rsidR="00FA3478" w:rsidRDefault="00FA3478" w:rsidP="00FA3478"/>
    <w:p w:rsidR="00FA3478" w:rsidRDefault="00FA3478" w:rsidP="00FA3478"/>
    <w:p w:rsidR="00FA3478" w:rsidRDefault="00FA3478" w:rsidP="00FA3478"/>
    <w:p w:rsidR="00FA3478" w:rsidRDefault="00FA3478" w:rsidP="00FA3478"/>
    <w:p w:rsidR="00FA3478" w:rsidRDefault="00FA3478" w:rsidP="00FA3478"/>
    <w:p w:rsidR="00096136" w:rsidRDefault="00096136" w:rsidP="00FA3478"/>
    <w:p w:rsidR="00FA3478" w:rsidRDefault="00FA3478" w:rsidP="00FA3478"/>
    <w:tbl>
      <w:tblPr>
        <w:tblStyle w:val="TableGrid"/>
        <w:tblW w:w="5000" w:type="pct"/>
        <w:tblLook w:val="04A0" w:firstRow="1" w:lastRow="0" w:firstColumn="1" w:lastColumn="0" w:noHBand="0" w:noVBand="1"/>
      </w:tblPr>
      <w:tblGrid>
        <w:gridCol w:w="2943"/>
        <w:gridCol w:w="6224"/>
      </w:tblGrid>
      <w:tr w:rsidR="00FA3478" w:rsidRPr="00970E6D" w:rsidTr="00C8665E">
        <w:tc>
          <w:tcPr>
            <w:tcW w:w="1605" w:type="pct"/>
          </w:tcPr>
          <w:p w:rsidR="00FA3478" w:rsidRPr="00970E6D" w:rsidRDefault="00FA3478" w:rsidP="00C8665E">
            <w:pPr>
              <w:tabs>
                <w:tab w:val="clear" w:pos="567"/>
              </w:tabs>
            </w:pPr>
            <w:r w:rsidRPr="00970E6D">
              <w:t>Paper issued</w:t>
            </w:r>
          </w:p>
        </w:tc>
        <w:tc>
          <w:tcPr>
            <w:tcW w:w="3395" w:type="pct"/>
          </w:tcPr>
          <w:p w:rsidR="00FA3478" w:rsidRPr="00970E6D" w:rsidRDefault="0014418C" w:rsidP="00C8665E">
            <w:pPr>
              <w:tabs>
                <w:tab w:val="clear" w:pos="567"/>
              </w:tabs>
            </w:pPr>
            <w:r>
              <w:t>20</w:t>
            </w:r>
            <w:r w:rsidR="00FA3478" w:rsidRPr="00970E6D">
              <w:t xml:space="preserve"> </w:t>
            </w:r>
            <w:r w:rsidR="00FA3478">
              <w:t>April</w:t>
            </w:r>
            <w:r w:rsidR="00FA3478" w:rsidRPr="00970E6D">
              <w:t xml:space="preserve"> 20</w:t>
            </w:r>
            <w:r w:rsidR="00FA3478">
              <w:t>18</w:t>
            </w:r>
          </w:p>
        </w:tc>
      </w:tr>
      <w:tr w:rsidR="00FA3478" w:rsidRPr="00970E6D" w:rsidTr="00C8665E">
        <w:tc>
          <w:tcPr>
            <w:tcW w:w="1605" w:type="pct"/>
          </w:tcPr>
          <w:p w:rsidR="00FA3478" w:rsidRPr="00970E6D" w:rsidRDefault="00FA3478" w:rsidP="00C8665E">
            <w:pPr>
              <w:tabs>
                <w:tab w:val="clear" w:pos="567"/>
              </w:tabs>
            </w:pPr>
            <w:r w:rsidRPr="00970E6D">
              <w:t>Commission contact officer</w:t>
            </w:r>
          </w:p>
        </w:tc>
        <w:tc>
          <w:tcPr>
            <w:tcW w:w="3395" w:type="pct"/>
          </w:tcPr>
          <w:p w:rsidR="00FA3478" w:rsidRPr="00970E6D" w:rsidRDefault="00FA3478" w:rsidP="00C8665E">
            <w:pPr>
              <w:tabs>
                <w:tab w:val="clear" w:pos="567"/>
              </w:tabs>
            </w:pPr>
            <w:r>
              <w:t xml:space="preserve">Dermot Doherty, 6229 8816, </w:t>
            </w:r>
            <w:hyperlink r:id="rId10" w:history="1">
              <w:r w:rsidRPr="00976AA6">
                <w:rPr>
                  <w:rStyle w:val="Hyperlink"/>
                </w:rPr>
                <w:t>Dermot.Doherty@cgc.gov.au</w:t>
              </w:r>
            </w:hyperlink>
            <w:r>
              <w:t xml:space="preserve"> </w:t>
            </w:r>
          </w:p>
        </w:tc>
      </w:tr>
      <w:tr w:rsidR="00FA3478" w:rsidRPr="00970E6D" w:rsidTr="00C8665E">
        <w:tc>
          <w:tcPr>
            <w:tcW w:w="1605" w:type="pct"/>
          </w:tcPr>
          <w:p w:rsidR="00FA3478" w:rsidRPr="00970E6D" w:rsidRDefault="00FA3478" w:rsidP="00C8665E">
            <w:pPr>
              <w:tabs>
                <w:tab w:val="clear" w:pos="567"/>
              </w:tabs>
            </w:pPr>
            <w:r w:rsidRPr="00970E6D">
              <w:t>Submissions sought by</w:t>
            </w:r>
          </w:p>
        </w:tc>
        <w:tc>
          <w:tcPr>
            <w:tcW w:w="3395" w:type="pct"/>
          </w:tcPr>
          <w:p w:rsidR="0014418C" w:rsidRDefault="0014418C" w:rsidP="00C8665E">
            <w:pPr>
              <w:tabs>
                <w:tab w:val="clear" w:pos="567"/>
              </w:tabs>
            </w:pPr>
            <w:r>
              <w:t>31 August 2018</w:t>
            </w:r>
            <w:r w:rsidR="00FA3478" w:rsidRPr="00970E6D">
              <w:t xml:space="preserve">. </w:t>
            </w:r>
          </w:p>
          <w:p w:rsidR="00FA3478" w:rsidRPr="00970E6D" w:rsidRDefault="00FA3478" w:rsidP="00C8665E">
            <w:pPr>
              <w:tabs>
                <w:tab w:val="clear" w:pos="567"/>
              </w:tabs>
            </w:pPr>
            <w:r w:rsidRPr="00970E6D">
              <w:t xml:space="preserve">Submissions should be emailed in Word format to </w:t>
            </w:r>
            <w:hyperlink r:id="rId11" w:history="1">
              <w:r w:rsidRPr="00970E6D">
                <w:rPr>
                  <w:rStyle w:val="Hyperlink"/>
                </w:rPr>
                <w:t>secretary@cgc.gov.au</w:t>
              </w:r>
            </w:hyperlink>
            <w:r w:rsidRPr="00970E6D">
              <w:t xml:space="preserve"> .</w:t>
            </w:r>
          </w:p>
          <w:p w:rsidR="00FA3478" w:rsidRPr="00970E6D" w:rsidRDefault="00FA3478" w:rsidP="00C8665E">
            <w:pPr>
              <w:tabs>
                <w:tab w:val="clear" w:pos="567"/>
              </w:tabs>
            </w:pPr>
            <w:r w:rsidRPr="00970E6D">
              <w:t xml:space="preserve">Submissions of more than </w:t>
            </w:r>
            <w:r>
              <w:t>10</w:t>
            </w:r>
            <w:r w:rsidRPr="00970E6D">
              <w:t xml:space="preserve"> pages in length should include a summary section.</w:t>
            </w:r>
          </w:p>
        </w:tc>
      </w:tr>
      <w:tr w:rsidR="00FA3478" w:rsidRPr="00970E6D" w:rsidTr="00C8665E">
        <w:tblPrEx>
          <w:tblLook w:val="01E0" w:firstRow="1" w:lastRow="1" w:firstColumn="1" w:lastColumn="1" w:noHBand="0" w:noVBand="0"/>
        </w:tblPrEx>
        <w:tc>
          <w:tcPr>
            <w:tcW w:w="1605" w:type="pct"/>
            <w:tcBorders>
              <w:top w:val="single" w:sz="4" w:space="0" w:color="auto"/>
              <w:left w:val="single" w:sz="4" w:space="0" w:color="auto"/>
              <w:bottom w:val="single" w:sz="4" w:space="0" w:color="auto"/>
              <w:right w:val="single" w:sz="4" w:space="0" w:color="auto"/>
            </w:tcBorders>
          </w:tcPr>
          <w:p w:rsidR="00FA3478" w:rsidRPr="00970E6D" w:rsidRDefault="00FA3478" w:rsidP="00C8665E">
            <w:pPr>
              <w:tabs>
                <w:tab w:val="clear" w:pos="567"/>
              </w:tabs>
            </w:pPr>
            <w:r w:rsidRPr="00970E6D">
              <w:t>Confidential material</w:t>
            </w:r>
          </w:p>
        </w:tc>
        <w:tc>
          <w:tcPr>
            <w:tcW w:w="3395" w:type="pct"/>
            <w:tcBorders>
              <w:top w:val="single" w:sz="4" w:space="0" w:color="auto"/>
              <w:left w:val="single" w:sz="4" w:space="0" w:color="auto"/>
              <w:bottom w:val="single" w:sz="4" w:space="0" w:color="auto"/>
              <w:right w:val="single" w:sz="4" w:space="0" w:color="auto"/>
            </w:tcBorders>
          </w:tcPr>
          <w:p w:rsidR="00FA3478" w:rsidRPr="00CF1294" w:rsidRDefault="00FA3478" w:rsidP="00C8665E">
            <w:pPr>
              <w:tabs>
                <w:tab w:val="clear" w:pos="567"/>
              </w:tabs>
            </w:pPr>
            <w:r w:rsidRPr="00CF1294">
              <w:t xml:space="preserve">It is the </w:t>
            </w:r>
            <w:r w:rsidR="00F5738F">
              <w:t>C</w:t>
            </w:r>
            <w:r w:rsidRPr="00CF1294">
              <w:t xml:space="preserve">ommission’s normal practice to make State submissions available on its website under the CC BY licence, allowing free use of content by third parties. </w:t>
            </w:r>
          </w:p>
          <w:p w:rsidR="00FA3478" w:rsidRPr="00CF1294" w:rsidRDefault="00FA3478" w:rsidP="00C8665E">
            <w:pPr>
              <w:tabs>
                <w:tab w:val="clear" w:pos="567"/>
              </w:tabs>
            </w:pPr>
            <w:r w:rsidRPr="00CF1294">
              <w:rPr>
                <w:noProof/>
                <w:lang w:eastAsia="en-AU"/>
              </w:rPr>
              <w:drawing>
                <wp:inline distT="0" distB="0" distL="0" distR="0" wp14:anchorId="69AC3F9C" wp14:editId="10113651">
                  <wp:extent cx="828675" cy="295275"/>
                  <wp:effectExtent l="19050" t="0" r="9525" b="0"/>
                  <wp:docPr id="3" name="Picture 1" descr="Creative Commons - CC BY At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 Attribution"/>
                          <pic:cNvPicPr>
                            <a:picLocks noChangeAspect="1" noChangeArrowheads="1"/>
                          </pic:cNvPicPr>
                        </pic:nvPicPr>
                        <pic:blipFill>
                          <a:blip r:embed="rId12"/>
                          <a:srcRect/>
                          <a:stretch>
                            <a:fillRect/>
                          </a:stretch>
                        </pic:blipFill>
                        <pic:spPr bwMode="auto">
                          <a:xfrm>
                            <a:off x="0" y="0"/>
                            <a:ext cx="828675" cy="295275"/>
                          </a:xfrm>
                          <a:prstGeom prst="rect">
                            <a:avLst/>
                          </a:prstGeom>
                          <a:noFill/>
                          <a:ln w="9525">
                            <a:noFill/>
                            <a:miter lim="800000"/>
                            <a:headEnd/>
                            <a:tailEnd/>
                          </a:ln>
                        </pic:spPr>
                      </pic:pic>
                    </a:graphicData>
                  </a:graphic>
                </wp:inline>
              </w:drawing>
            </w:r>
          </w:p>
          <w:p w:rsidR="00FA3478" w:rsidRPr="00CF1294" w:rsidRDefault="00FA3478" w:rsidP="00C8665E">
            <w:pPr>
              <w:tabs>
                <w:tab w:val="clear" w:pos="567"/>
              </w:tabs>
            </w:pPr>
            <w:r w:rsidRPr="00CF1294">
              <w:t xml:space="preserve">Further information on the CC BY licence can be found </w:t>
            </w:r>
            <w:r w:rsidRPr="00EC79CF">
              <w:t xml:space="preserve">on the </w:t>
            </w:r>
            <w:hyperlink r:id="rId13" w:history="1">
              <w:r w:rsidRPr="00841145">
                <w:rPr>
                  <w:rStyle w:val="Hyperlink"/>
                </w:rPr>
                <w:t>Creative Commons website</w:t>
              </w:r>
            </w:hyperlink>
            <w:r w:rsidRPr="00EC79CF">
              <w:t xml:space="preserve"> </w:t>
            </w:r>
            <w:r>
              <w:t>(</w:t>
            </w:r>
            <w:r w:rsidRPr="00841145">
              <w:t>http://creativecommons.org</w:t>
            </w:r>
            <w:r>
              <w:t>).</w:t>
            </w:r>
            <w:r w:rsidRPr="00CF1294">
              <w:t xml:space="preserve"> </w:t>
            </w:r>
          </w:p>
          <w:p w:rsidR="00FA3478" w:rsidRPr="00970E6D" w:rsidRDefault="00FA3478" w:rsidP="0014418C">
            <w:pPr>
              <w:tabs>
                <w:tab w:val="clear" w:pos="567"/>
              </w:tabs>
            </w:pPr>
            <w:r w:rsidRPr="00CF1294">
              <w:t xml:space="preserve">Confidential material contained in submissions must be clearly identified or included in separate attachment/s, and details provided in the covering email. Identified confidential material will not be published on the </w:t>
            </w:r>
            <w:r w:rsidR="0014418C">
              <w:t>C</w:t>
            </w:r>
            <w:r w:rsidRPr="00CF1294">
              <w:t>ommission’s website.</w:t>
            </w:r>
          </w:p>
        </w:tc>
      </w:tr>
    </w:tbl>
    <w:p w:rsidR="00FA3478" w:rsidRDefault="00FA3478" w:rsidP="00FA3478">
      <w:pPr>
        <w:sectPr w:rsidR="00FA3478" w:rsidSect="00C8665E">
          <w:footerReference w:type="default" r:id="rId14"/>
          <w:footerReference w:type="first" r:id="rId15"/>
          <w:pgSz w:w="11899" w:h="16838" w:code="9"/>
          <w:pgMar w:top="1701" w:right="1474" w:bottom="1701" w:left="1474" w:header="709" w:footer="709" w:gutter="0"/>
          <w:pgNumType w:start="1"/>
          <w:cols w:space="708"/>
          <w:titlePg/>
          <w:docGrid w:linePitch="299"/>
        </w:sectPr>
      </w:pPr>
    </w:p>
    <w:p w:rsidR="00FA3478" w:rsidRDefault="00FA3478" w:rsidP="00FA3478">
      <w:pPr>
        <w:pStyle w:val="Heading1"/>
      </w:pPr>
      <w:r>
        <w:lastRenderedPageBreak/>
        <w:t>Contents</w:t>
      </w:r>
    </w:p>
    <w:p w:rsidR="00FA3478" w:rsidRDefault="00FA3478" w:rsidP="00FA3478"/>
    <w:p w:rsidR="00C93BDF" w:rsidRDefault="00FA3478">
      <w:pPr>
        <w:pStyle w:val="TOC1"/>
        <w:rPr>
          <w:rFonts w:eastAsiaTheme="minorEastAsia"/>
          <w:b w:val="0"/>
          <w:bCs w:val="0"/>
          <w:caps w:val="0"/>
          <w:noProof/>
          <w:sz w:val="22"/>
          <w:szCs w:val="22"/>
          <w:lang w:eastAsia="en-AU"/>
        </w:rPr>
      </w:pPr>
      <w:r>
        <w:fldChar w:fldCharType="begin"/>
      </w:r>
      <w:r>
        <w:instrText xml:space="preserve"> TOC \f \h \z \u \t "Heading 2,1,Heading 3,1,Heading 4,3" </w:instrText>
      </w:r>
      <w:r>
        <w:fldChar w:fldCharType="separate"/>
      </w:r>
      <w:hyperlink w:anchor="_Toc511824696" w:history="1">
        <w:r w:rsidR="00C93BDF" w:rsidRPr="00524F90">
          <w:rPr>
            <w:rStyle w:val="Hyperlink"/>
            <w:noProof/>
          </w:rPr>
          <w:t>Stamp duty on conveyances</w:t>
        </w:r>
        <w:r w:rsidR="00C93BDF">
          <w:rPr>
            <w:noProof/>
            <w:webHidden/>
          </w:rPr>
          <w:tab/>
        </w:r>
        <w:r w:rsidR="00C93BDF">
          <w:rPr>
            <w:noProof/>
            <w:webHidden/>
          </w:rPr>
          <w:fldChar w:fldCharType="begin"/>
        </w:r>
        <w:r w:rsidR="00C93BDF">
          <w:rPr>
            <w:noProof/>
            <w:webHidden/>
          </w:rPr>
          <w:instrText xml:space="preserve"> PAGEREF _Toc511824696 \h </w:instrText>
        </w:r>
        <w:r w:rsidR="00C93BDF">
          <w:rPr>
            <w:noProof/>
            <w:webHidden/>
          </w:rPr>
        </w:r>
        <w:r w:rsidR="00C93BDF">
          <w:rPr>
            <w:noProof/>
            <w:webHidden/>
          </w:rPr>
          <w:fldChar w:fldCharType="separate"/>
        </w:r>
        <w:r w:rsidR="00C93BDF">
          <w:rPr>
            <w:noProof/>
            <w:webHidden/>
          </w:rPr>
          <w:t>1</w:t>
        </w:r>
        <w:r w:rsidR="00C93BDF">
          <w:rPr>
            <w:noProof/>
            <w:webHidden/>
          </w:rPr>
          <w:fldChar w:fldCharType="end"/>
        </w:r>
      </w:hyperlink>
    </w:p>
    <w:p w:rsidR="00C93BDF" w:rsidRDefault="00C00F10">
      <w:pPr>
        <w:pStyle w:val="TOC1"/>
        <w:rPr>
          <w:rFonts w:eastAsiaTheme="minorEastAsia"/>
          <w:b w:val="0"/>
          <w:bCs w:val="0"/>
          <w:caps w:val="0"/>
          <w:noProof/>
          <w:sz w:val="22"/>
          <w:szCs w:val="22"/>
          <w:lang w:eastAsia="en-AU"/>
        </w:rPr>
      </w:pPr>
      <w:hyperlink w:anchor="_Toc511824697" w:history="1">
        <w:r w:rsidR="00C93BDF" w:rsidRPr="00524F90">
          <w:rPr>
            <w:rStyle w:val="Hyperlink"/>
            <w:noProof/>
          </w:rPr>
          <w:t>2015 Review approach</w:t>
        </w:r>
        <w:r w:rsidR="00C93BDF">
          <w:rPr>
            <w:noProof/>
            <w:webHidden/>
          </w:rPr>
          <w:tab/>
        </w:r>
        <w:r w:rsidR="00C93BDF">
          <w:rPr>
            <w:noProof/>
            <w:webHidden/>
          </w:rPr>
          <w:fldChar w:fldCharType="begin"/>
        </w:r>
        <w:r w:rsidR="00C93BDF">
          <w:rPr>
            <w:noProof/>
            <w:webHidden/>
          </w:rPr>
          <w:instrText xml:space="preserve"> PAGEREF _Toc511824697 \h </w:instrText>
        </w:r>
        <w:r w:rsidR="00C93BDF">
          <w:rPr>
            <w:noProof/>
            <w:webHidden/>
          </w:rPr>
        </w:r>
        <w:r w:rsidR="00C93BDF">
          <w:rPr>
            <w:noProof/>
            <w:webHidden/>
          </w:rPr>
          <w:fldChar w:fldCharType="separate"/>
        </w:r>
        <w:r w:rsidR="00C93BDF">
          <w:rPr>
            <w:noProof/>
            <w:webHidden/>
          </w:rPr>
          <w:t>1</w:t>
        </w:r>
        <w:r w:rsidR="00C93BDF">
          <w:rPr>
            <w:noProof/>
            <w:webHidden/>
          </w:rPr>
          <w:fldChar w:fldCharType="end"/>
        </w:r>
      </w:hyperlink>
    </w:p>
    <w:p w:rsidR="00C93BDF" w:rsidRDefault="00C00F10">
      <w:pPr>
        <w:pStyle w:val="TOC3"/>
        <w:rPr>
          <w:rFonts w:eastAsiaTheme="minorEastAsia"/>
          <w:iCs w:val="0"/>
          <w:noProof/>
          <w:sz w:val="22"/>
          <w:lang w:eastAsia="en-AU"/>
        </w:rPr>
      </w:pPr>
      <w:hyperlink w:anchor="_Toc511824698" w:history="1">
        <w:r w:rsidR="00C93BDF" w:rsidRPr="00524F90">
          <w:rPr>
            <w:rStyle w:val="Hyperlink"/>
            <w:noProof/>
          </w:rPr>
          <w:t>How was revenue capacity assessed?</w:t>
        </w:r>
        <w:r w:rsidR="00C93BDF">
          <w:rPr>
            <w:noProof/>
            <w:webHidden/>
          </w:rPr>
          <w:tab/>
        </w:r>
        <w:r w:rsidR="00C93BDF">
          <w:rPr>
            <w:noProof/>
            <w:webHidden/>
          </w:rPr>
          <w:fldChar w:fldCharType="begin"/>
        </w:r>
        <w:r w:rsidR="00C93BDF">
          <w:rPr>
            <w:noProof/>
            <w:webHidden/>
          </w:rPr>
          <w:instrText xml:space="preserve"> PAGEREF _Toc511824698 \h </w:instrText>
        </w:r>
        <w:r w:rsidR="00C93BDF">
          <w:rPr>
            <w:noProof/>
            <w:webHidden/>
          </w:rPr>
        </w:r>
        <w:r w:rsidR="00C93BDF">
          <w:rPr>
            <w:noProof/>
            <w:webHidden/>
          </w:rPr>
          <w:fldChar w:fldCharType="separate"/>
        </w:r>
        <w:r w:rsidR="00C93BDF">
          <w:rPr>
            <w:noProof/>
            <w:webHidden/>
          </w:rPr>
          <w:t>2</w:t>
        </w:r>
        <w:r w:rsidR="00C93BDF">
          <w:rPr>
            <w:noProof/>
            <w:webHidden/>
          </w:rPr>
          <w:fldChar w:fldCharType="end"/>
        </w:r>
      </w:hyperlink>
    </w:p>
    <w:p w:rsidR="00C93BDF" w:rsidRDefault="00C00F10">
      <w:pPr>
        <w:pStyle w:val="TOC3"/>
        <w:rPr>
          <w:rFonts w:eastAsiaTheme="minorEastAsia"/>
          <w:iCs w:val="0"/>
          <w:noProof/>
          <w:sz w:val="22"/>
          <w:lang w:eastAsia="en-AU"/>
        </w:rPr>
      </w:pPr>
      <w:hyperlink w:anchor="_Toc511824699" w:history="1">
        <w:r w:rsidR="00C93BDF" w:rsidRPr="00524F90">
          <w:rPr>
            <w:rStyle w:val="Hyperlink"/>
            <w:noProof/>
          </w:rPr>
          <w:t>GST redistribution</w:t>
        </w:r>
        <w:r w:rsidR="00C93BDF">
          <w:rPr>
            <w:noProof/>
            <w:webHidden/>
          </w:rPr>
          <w:tab/>
        </w:r>
        <w:r w:rsidR="00C93BDF">
          <w:rPr>
            <w:noProof/>
            <w:webHidden/>
          </w:rPr>
          <w:fldChar w:fldCharType="begin"/>
        </w:r>
        <w:r w:rsidR="00C93BDF">
          <w:rPr>
            <w:noProof/>
            <w:webHidden/>
          </w:rPr>
          <w:instrText xml:space="preserve"> PAGEREF _Toc511824699 \h </w:instrText>
        </w:r>
        <w:r w:rsidR="00C93BDF">
          <w:rPr>
            <w:noProof/>
            <w:webHidden/>
          </w:rPr>
        </w:r>
        <w:r w:rsidR="00C93BDF">
          <w:rPr>
            <w:noProof/>
            <w:webHidden/>
          </w:rPr>
          <w:fldChar w:fldCharType="separate"/>
        </w:r>
        <w:r w:rsidR="00C93BDF">
          <w:rPr>
            <w:noProof/>
            <w:webHidden/>
          </w:rPr>
          <w:t>6</w:t>
        </w:r>
        <w:r w:rsidR="00C93BDF">
          <w:rPr>
            <w:noProof/>
            <w:webHidden/>
          </w:rPr>
          <w:fldChar w:fldCharType="end"/>
        </w:r>
      </w:hyperlink>
    </w:p>
    <w:p w:rsidR="00C93BDF" w:rsidRDefault="00C00F10">
      <w:pPr>
        <w:pStyle w:val="TOC1"/>
        <w:rPr>
          <w:rFonts w:eastAsiaTheme="minorEastAsia"/>
          <w:b w:val="0"/>
          <w:bCs w:val="0"/>
          <w:caps w:val="0"/>
          <w:noProof/>
          <w:sz w:val="22"/>
          <w:szCs w:val="22"/>
          <w:lang w:eastAsia="en-AU"/>
        </w:rPr>
      </w:pPr>
      <w:hyperlink w:anchor="_Toc511824700" w:history="1">
        <w:r w:rsidR="00C93BDF" w:rsidRPr="00524F90">
          <w:rPr>
            <w:rStyle w:val="Hyperlink"/>
            <w:noProof/>
          </w:rPr>
          <w:t>Issues and analysis</w:t>
        </w:r>
        <w:r w:rsidR="00C93BDF">
          <w:rPr>
            <w:noProof/>
            <w:webHidden/>
          </w:rPr>
          <w:tab/>
        </w:r>
        <w:r w:rsidR="00C93BDF">
          <w:rPr>
            <w:noProof/>
            <w:webHidden/>
          </w:rPr>
          <w:fldChar w:fldCharType="begin"/>
        </w:r>
        <w:r w:rsidR="00C93BDF">
          <w:rPr>
            <w:noProof/>
            <w:webHidden/>
          </w:rPr>
          <w:instrText xml:space="preserve"> PAGEREF _Toc511824700 \h </w:instrText>
        </w:r>
        <w:r w:rsidR="00C93BDF">
          <w:rPr>
            <w:noProof/>
            <w:webHidden/>
          </w:rPr>
        </w:r>
        <w:r w:rsidR="00C93BDF">
          <w:rPr>
            <w:noProof/>
            <w:webHidden/>
          </w:rPr>
          <w:fldChar w:fldCharType="separate"/>
        </w:r>
        <w:r w:rsidR="00C93BDF">
          <w:rPr>
            <w:noProof/>
            <w:webHidden/>
          </w:rPr>
          <w:t>7</w:t>
        </w:r>
        <w:r w:rsidR="00C93BDF">
          <w:rPr>
            <w:noProof/>
            <w:webHidden/>
          </w:rPr>
          <w:fldChar w:fldCharType="end"/>
        </w:r>
      </w:hyperlink>
    </w:p>
    <w:p w:rsidR="00C93BDF" w:rsidRDefault="00C00F10">
      <w:pPr>
        <w:pStyle w:val="TOC3"/>
        <w:rPr>
          <w:rFonts w:eastAsiaTheme="minorEastAsia"/>
          <w:iCs w:val="0"/>
          <w:noProof/>
          <w:sz w:val="22"/>
          <w:lang w:eastAsia="en-AU"/>
        </w:rPr>
      </w:pPr>
      <w:hyperlink w:anchor="_Toc511824701" w:history="1">
        <w:r w:rsidR="00C93BDF" w:rsidRPr="00524F90">
          <w:rPr>
            <w:rStyle w:val="Hyperlink"/>
            <w:noProof/>
          </w:rPr>
          <w:t>Which revenues should be included in the category?</w:t>
        </w:r>
        <w:r w:rsidR="00C93BDF">
          <w:rPr>
            <w:noProof/>
            <w:webHidden/>
          </w:rPr>
          <w:tab/>
        </w:r>
        <w:r w:rsidR="00C93BDF">
          <w:rPr>
            <w:noProof/>
            <w:webHidden/>
          </w:rPr>
          <w:fldChar w:fldCharType="begin"/>
        </w:r>
        <w:r w:rsidR="00C93BDF">
          <w:rPr>
            <w:noProof/>
            <w:webHidden/>
          </w:rPr>
          <w:instrText xml:space="preserve"> PAGEREF _Toc511824701 \h </w:instrText>
        </w:r>
        <w:r w:rsidR="00C93BDF">
          <w:rPr>
            <w:noProof/>
            <w:webHidden/>
          </w:rPr>
        </w:r>
        <w:r w:rsidR="00C93BDF">
          <w:rPr>
            <w:noProof/>
            <w:webHidden/>
          </w:rPr>
          <w:fldChar w:fldCharType="separate"/>
        </w:r>
        <w:r w:rsidR="00C93BDF">
          <w:rPr>
            <w:noProof/>
            <w:webHidden/>
          </w:rPr>
          <w:t>7</w:t>
        </w:r>
        <w:r w:rsidR="00C93BDF">
          <w:rPr>
            <w:noProof/>
            <w:webHidden/>
          </w:rPr>
          <w:fldChar w:fldCharType="end"/>
        </w:r>
      </w:hyperlink>
    </w:p>
    <w:p w:rsidR="00C93BDF" w:rsidRDefault="00C00F10">
      <w:pPr>
        <w:pStyle w:val="TOC3"/>
        <w:rPr>
          <w:rFonts w:eastAsiaTheme="minorEastAsia"/>
          <w:iCs w:val="0"/>
          <w:noProof/>
          <w:sz w:val="22"/>
          <w:lang w:eastAsia="en-AU"/>
        </w:rPr>
      </w:pPr>
      <w:hyperlink w:anchor="_Toc511824702" w:history="1">
        <w:r w:rsidR="00C93BDF" w:rsidRPr="00524F90">
          <w:rPr>
            <w:rStyle w:val="Hyperlink"/>
            <w:noProof/>
          </w:rPr>
          <w:t>What are the drivers of revenue capacity?</w:t>
        </w:r>
        <w:r w:rsidR="00C93BDF">
          <w:rPr>
            <w:noProof/>
            <w:webHidden/>
          </w:rPr>
          <w:tab/>
        </w:r>
        <w:r w:rsidR="00C93BDF">
          <w:rPr>
            <w:noProof/>
            <w:webHidden/>
          </w:rPr>
          <w:fldChar w:fldCharType="begin"/>
        </w:r>
        <w:r w:rsidR="00C93BDF">
          <w:rPr>
            <w:noProof/>
            <w:webHidden/>
          </w:rPr>
          <w:instrText xml:space="preserve"> PAGEREF _Toc511824702 \h </w:instrText>
        </w:r>
        <w:r w:rsidR="00C93BDF">
          <w:rPr>
            <w:noProof/>
            <w:webHidden/>
          </w:rPr>
        </w:r>
        <w:r w:rsidR="00C93BDF">
          <w:rPr>
            <w:noProof/>
            <w:webHidden/>
          </w:rPr>
          <w:fldChar w:fldCharType="separate"/>
        </w:r>
        <w:r w:rsidR="00C93BDF">
          <w:rPr>
            <w:noProof/>
            <w:webHidden/>
          </w:rPr>
          <w:t>8</w:t>
        </w:r>
        <w:r w:rsidR="00C93BDF">
          <w:rPr>
            <w:noProof/>
            <w:webHidden/>
          </w:rPr>
          <w:fldChar w:fldCharType="end"/>
        </w:r>
      </w:hyperlink>
    </w:p>
    <w:p w:rsidR="00C93BDF" w:rsidRDefault="00C00F10">
      <w:pPr>
        <w:pStyle w:val="TOC3"/>
        <w:rPr>
          <w:rFonts w:eastAsiaTheme="minorEastAsia"/>
          <w:iCs w:val="0"/>
          <w:noProof/>
          <w:sz w:val="22"/>
          <w:lang w:eastAsia="en-AU"/>
        </w:rPr>
      </w:pPr>
      <w:hyperlink w:anchor="_Toc511824703" w:history="1">
        <w:r w:rsidR="00C93BDF" w:rsidRPr="00524F90">
          <w:rPr>
            <w:rStyle w:val="Hyperlink"/>
            <w:noProof/>
          </w:rPr>
          <w:t>Other issues considered</w:t>
        </w:r>
        <w:r w:rsidR="00C93BDF">
          <w:rPr>
            <w:noProof/>
            <w:webHidden/>
          </w:rPr>
          <w:tab/>
        </w:r>
        <w:r w:rsidR="00C93BDF">
          <w:rPr>
            <w:noProof/>
            <w:webHidden/>
          </w:rPr>
          <w:fldChar w:fldCharType="begin"/>
        </w:r>
        <w:r w:rsidR="00C93BDF">
          <w:rPr>
            <w:noProof/>
            <w:webHidden/>
          </w:rPr>
          <w:instrText xml:space="preserve"> PAGEREF _Toc511824703 \h </w:instrText>
        </w:r>
        <w:r w:rsidR="00C93BDF">
          <w:rPr>
            <w:noProof/>
            <w:webHidden/>
          </w:rPr>
        </w:r>
        <w:r w:rsidR="00C93BDF">
          <w:rPr>
            <w:noProof/>
            <w:webHidden/>
          </w:rPr>
          <w:fldChar w:fldCharType="separate"/>
        </w:r>
        <w:r w:rsidR="00C93BDF">
          <w:rPr>
            <w:noProof/>
            <w:webHidden/>
          </w:rPr>
          <w:t>12</w:t>
        </w:r>
        <w:r w:rsidR="00C93BDF">
          <w:rPr>
            <w:noProof/>
            <w:webHidden/>
          </w:rPr>
          <w:fldChar w:fldCharType="end"/>
        </w:r>
      </w:hyperlink>
    </w:p>
    <w:p w:rsidR="00C93BDF" w:rsidRDefault="00C00F10">
      <w:pPr>
        <w:pStyle w:val="TOC1"/>
        <w:rPr>
          <w:rFonts w:eastAsiaTheme="minorEastAsia"/>
          <w:b w:val="0"/>
          <w:bCs w:val="0"/>
          <w:caps w:val="0"/>
          <w:noProof/>
          <w:sz w:val="22"/>
          <w:szCs w:val="22"/>
          <w:lang w:eastAsia="en-AU"/>
        </w:rPr>
      </w:pPr>
      <w:hyperlink w:anchor="_Toc511824704" w:history="1">
        <w:r w:rsidR="00C93BDF" w:rsidRPr="00524F90">
          <w:rPr>
            <w:rStyle w:val="Hyperlink"/>
            <w:noProof/>
          </w:rPr>
          <w:t>Conclusion and way forward</w:t>
        </w:r>
        <w:r w:rsidR="00C93BDF">
          <w:rPr>
            <w:noProof/>
            <w:webHidden/>
          </w:rPr>
          <w:tab/>
        </w:r>
        <w:r w:rsidR="00C93BDF">
          <w:rPr>
            <w:noProof/>
            <w:webHidden/>
          </w:rPr>
          <w:fldChar w:fldCharType="begin"/>
        </w:r>
        <w:r w:rsidR="00C93BDF">
          <w:rPr>
            <w:noProof/>
            <w:webHidden/>
          </w:rPr>
          <w:instrText xml:space="preserve"> PAGEREF _Toc511824704 \h </w:instrText>
        </w:r>
        <w:r w:rsidR="00C93BDF">
          <w:rPr>
            <w:noProof/>
            <w:webHidden/>
          </w:rPr>
        </w:r>
        <w:r w:rsidR="00C93BDF">
          <w:rPr>
            <w:noProof/>
            <w:webHidden/>
          </w:rPr>
          <w:fldChar w:fldCharType="separate"/>
        </w:r>
        <w:r w:rsidR="00C93BDF">
          <w:rPr>
            <w:noProof/>
            <w:webHidden/>
          </w:rPr>
          <w:t>13</w:t>
        </w:r>
        <w:r w:rsidR="00C93BDF">
          <w:rPr>
            <w:noProof/>
            <w:webHidden/>
          </w:rPr>
          <w:fldChar w:fldCharType="end"/>
        </w:r>
      </w:hyperlink>
    </w:p>
    <w:p w:rsidR="00C93BDF" w:rsidRDefault="00C00F10">
      <w:pPr>
        <w:pStyle w:val="TOC3"/>
        <w:rPr>
          <w:rFonts w:eastAsiaTheme="minorEastAsia"/>
          <w:iCs w:val="0"/>
          <w:noProof/>
          <w:sz w:val="22"/>
          <w:lang w:eastAsia="en-AU"/>
        </w:rPr>
      </w:pPr>
      <w:hyperlink w:anchor="_Toc511824705" w:history="1">
        <w:r w:rsidR="00C93BDF" w:rsidRPr="00524F90">
          <w:rPr>
            <w:rStyle w:val="Hyperlink"/>
            <w:noProof/>
          </w:rPr>
          <w:t>Proposed assessment structure</w:t>
        </w:r>
        <w:r w:rsidR="00C93BDF">
          <w:rPr>
            <w:noProof/>
            <w:webHidden/>
          </w:rPr>
          <w:tab/>
        </w:r>
        <w:r w:rsidR="00C93BDF">
          <w:rPr>
            <w:noProof/>
            <w:webHidden/>
          </w:rPr>
          <w:fldChar w:fldCharType="begin"/>
        </w:r>
        <w:r w:rsidR="00C93BDF">
          <w:rPr>
            <w:noProof/>
            <w:webHidden/>
          </w:rPr>
          <w:instrText xml:space="preserve"> PAGEREF _Toc511824705 \h </w:instrText>
        </w:r>
        <w:r w:rsidR="00C93BDF">
          <w:rPr>
            <w:noProof/>
            <w:webHidden/>
          </w:rPr>
        </w:r>
        <w:r w:rsidR="00C93BDF">
          <w:rPr>
            <w:noProof/>
            <w:webHidden/>
          </w:rPr>
          <w:fldChar w:fldCharType="separate"/>
        </w:r>
        <w:r w:rsidR="00C93BDF">
          <w:rPr>
            <w:noProof/>
            <w:webHidden/>
          </w:rPr>
          <w:t>13</w:t>
        </w:r>
        <w:r w:rsidR="00C93BDF">
          <w:rPr>
            <w:noProof/>
            <w:webHidden/>
          </w:rPr>
          <w:fldChar w:fldCharType="end"/>
        </w:r>
      </w:hyperlink>
    </w:p>
    <w:p w:rsidR="00C93BDF" w:rsidRDefault="00C00F10">
      <w:pPr>
        <w:pStyle w:val="TOC1"/>
        <w:rPr>
          <w:rFonts w:eastAsiaTheme="minorEastAsia"/>
          <w:b w:val="0"/>
          <w:bCs w:val="0"/>
          <w:caps w:val="0"/>
          <w:noProof/>
          <w:sz w:val="22"/>
          <w:szCs w:val="22"/>
          <w:lang w:eastAsia="en-AU"/>
        </w:rPr>
      </w:pPr>
      <w:hyperlink w:anchor="_Toc511824706" w:history="1">
        <w:r w:rsidR="00C93BDF" w:rsidRPr="00524F90">
          <w:rPr>
            <w:rStyle w:val="Hyperlink"/>
            <w:noProof/>
          </w:rPr>
          <w:t>Attachment A: The Commission’s treatment of State land rich/landholder provisions</w:t>
        </w:r>
        <w:r w:rsidR="00C93BDF">
          <w:rPr>
            <w:noProof/>
            <w:webHidden/>
          </w:rPr>
          <w:tab/>
        </w:r>
        <w:r w:rsidR="00C93BDF">
          <w:rPr>
            <w:noProof/>
            <w:webHidden/>
          </w:rPr>
          <w:fldChar w:fldCharType="begin"/>
        </w:r>
        <w:r w:rsidR="00C93BDF">
          <w:rPr>
            <w:noProof/>
            <w:webHidden/>
          </w:rPr>
          <w:instrText xml:space="preserve"> PAGEREF _Toc511824706 \h </w:instrText>
        </w:r>
        <w:r w:rsidR="00C93BDF">
          <w:rPr>
            <w:noProof/>
            <w:webHidden/>
          </w:rPr>
        </w:r>
        <w:r w:rsidR="00C93BDF">
          <w:rPr>
            <w:noProof/>
            <w:webHidden/>
          </w:rPr>
          <w:fldChar w:fldCharType="separate"/>
        </w:r>
        <w:r w:rsidR="00C93BDF">
          <w:rPr>
            <w:noProof/>
            <w:webHidden/>
          </w:rPr>
          <w:t>14</w:t>
        </w:r>
        <w:r w:rsidR="00C93BDF">
          <w:rPr>
            <w:noProof/>
            <w:webHidden/>
          </w:rPr>
          <w:fldChar w:fldCharType="end"/>
        </w:r>
      </w:hyperlink>
    </w:p>
    <w:p w:rsidR="00C93BDF" w:rsidRDefault="00C00F10">
      <w:pPr>
        <w:pStyle w:val="TOC3"/>
        <w:rPr>
          <w:rFonts w:eastAsiaTheme="minorEastAsia"/>
          <w:iCs w:val="0"/>
          <w:noProof/>
          <w:sz w:val="22"/>
          <w:lang w:eastAsia="en-AU"/>
        </w:rPr>
      </w:pPr>
      <w:hyperlink w:anchor="_Toc511824707" w:history="1">
        <w:r w:rsidR="00C93BDF" w:rsidRPr="00524F90">
          <w:rPr>
            <w:rStyle w:val="Hyperlink"/>
            <w:noProof/>
          </w:rPr>
          <w:t>Land rich provisions</w:t>
        </w:r>
        <w:r w:rsidR="00C93BDF">
          <w:rPr>
            <w:noProof/>
            <w:webHidden/>
          </w:rPr>
          <w:tab/>
        </w:r>
        <w:r w:rsidR="00C93BDF">
          <w:rPr>
            <w:noProof/>
            <w:webHidden/>
          </w:rPr>
          <w:fldChar w:fldCharType="begin"/>
        </w:r>
        <w:r w:rsidR="00C93BDF">
          <w:rPr>
            <w:noProof/>
            <w:webHidden/>
          </w:rPr>
          <w:instrText xml:space="preserve"> PAGEREF _Toc511824707 \h </w:instrText>
        </w:r>
        <w:r w:rsidR="00C93BDF">
          <w:rPr>
            <w:noProof/>
            <w:webHidden/>
          </w:rPr>
        </w:r>
        <w:r w:rsidR="00C93BDF">
          <w:rPr>
            <w:noProof/>
            <w:webHidden/>
          </w:rPr>
          <w:fldChar w:fldCharType="separate"/>
        </w:r>
        <w:r w:rsidR="00C93BDF">
          <w:rPr>
            <w:noProof/>
            <w:webHidden/>
          </w:rPr>
          <w:t>14</w:t>
        </w:r>
        <w:r w:rsidR="00C93BDF">
          <w:rPr>
            <w:noProof/>
            <w:webHidden/>
          </w:rPr>
          <w:fldChar w:fldCharType="end"/>
        </w:r>
      </w:hyperlink>
    </w:p>
    <w:p w:rsidR="00C93BDF" w:rsidRDefault="00C00F10">
      <w:pPr>
        <w:pStyle w:val="TOC3"/>
        <w:rPr>
          <w:rFonts w:eastAsiaTheme="minorEastAsia"/>
          <w:iCs w:val="0"/>
          <w:noProof/>
          <w:sz w:val="22"/>
          <w:lang w:eastAsia="en-AU"/>
        </w:rPr>
      </w:pPr>
      <w:hyperlink w:anchor="_Toc511824708" w:history="1">
        <w:r w:rsidR="00C93BDF" w:rsidRPr="00524F90">
          <w:rPr>
            <w:rStyle w:val="Hyperlink"/>
            <w:noProof/>
          </w:rPr>
          <w:t>Land holder provisions</w:t>
        </w:r>
        <w:r w:rsidR="00C93BDF">
          <w:rPr>
            <w:noProof/>
            <w:webHidden/>
          </w:rPr>
          <w:tab/>
        </w:r>
        <w:r w:rsidR="00C93BDF">
          <w:rPr>
            <w:noProof/>
            <w:webHidden/>
          </w:rPr>
          <w:fldChar w:fldCharType="begin"/>
        </w:r>
        <w:r w:rsidR="00C93BDF">
          <w:rPr>
            <w:noProof/>
            <w:webHidden/>
          </w:rPr>
          <w:instrText xml:space="preserve"> PAGEREF _Toc511824708 \h </w:instrText>
        </w:r>
        <w:r w:rsidR="00C93BDF">
          <w:rPr>
            <w:noProof/>
            <w:webHidden/>
          </w:rPr>
        </w:r>
        <w:r w:rsidR="00C93BDF">
          <w:rPr>
            <w:noProof/>
            <w:webHidden/>
          </w:rPr>
          <w:fldChar w:fldCharType="separate"/>
        </w:r>
        <w:r w:rsidR="00C93BDF">
          <w:rPr>
            <w:noProof/>
            <w:webHidden/>
          </w:rPr>
          <w:t>14</w:t>
        </w:r>
        <w:r w:rsidR="00C93BDF">
          <w:rPr>
            <w:noProof/>
            <w:webHidden/>
          </w:rPr>
          <w:fldChar w:fldCharType="end"/>
        </w:r>
      </w:hyperlink>
    </w:p>
    <w:p w:rsidR="00C93BDF" w:rsidRDefault="00C00F10">
      <w:pPr>
        <w:pStyle w:val="TOC3"/>
        <w:rPr>
          <w:rFonts w:eastAsiaTheme="minorEastAsia"/>
          <w:iCs w:val="0"/>
          <w:noProof/>
          <w:sz w:val="22"/>
          <w:lang w:eastAsia="en-AU"/>
        </w:rPr>
      </w:pPr>
      <w:hyperlink w:anchor="_Toc511824709" w:history="1">
        <w:r w:rsidR="00C93BDF" w:rsidRPr="00524F90">
          <w:rPr>
            <w:rStyle w:val="Hyperlink"/>
            <w:noProof/>
          </w:rPr>
          <w:t>Land rich provisions in listed companies</w:t>
        </w:r>
        <w:r w:rsidR="00C93BDF">
          <w:rPr>
            <w:noProof/>
            <w:webHidden/>
          </w:rPr>
          <w:tab/>
        </w:r>
        <w:r w:rsidR="00C93BDF">
          <w:rPr>
            <w:noProof/>
            <w:webHidden/>
          </w:rPr>
          <w:fldChar w:fldCharType="begin"/>
        </w:r>
        <w:r w:rsidR="00C93BDF">
          <w:rPr>
            <w:noProof/>
            <w:webHidden/>
          </w:rPr>
          <w:instrText xml:space="preserve"> PAGEREF _Toc511824709 \h </w:instrText>
        </w:r>
        <w:r w:rsidR="00C93BDF">
          <w:rPr>
            <w:noProof/>
            <w:webHidden/>
          </w:rPr>
        </w:r>
        <w:r w:rsidR="00C93BDF">
          <w:rPr>
            <w:noProof/>
            <w:webHidden/>
          </w:rPr>
          <w:fldChar w:fldCharType="separate"/>
        </w:r>
        <w:r w:rsidR="00C93BDF">
          <w:rPr>
            <w:noProof/>
            <w:webHidden/>
          </w:rPr>
          <w:t>15</w:t>
        </w:r>
        <w:r w:rsidR="00C93BDF">
          <w:rPr>
            <w:noProof/>
            <w:webHidden/>
          </w:rPr>
          <w:fldChar w:fldCharType="end"/>
        </w:r>
      </w:hyperlink>
    </w:p>
    <w:p w:rsidR="00FA3478" w:rsidRDefault="00FA3478" w:rsidP="00FA3478">
      <w:r>
        <w:fldChar w:fldCharType="end"/>
      </w:r>
    </w:p>
    <w:p w:rsidR="00FA3478" w:rsidRDefault="00FA3478" w:rsidP="00FA3478"/>
    <w:p w:rsidR="00FA3478" w:rsidRPr="002B17EB" w:rsidRDefault="00FA3478" w:rsidP="00FA3478">
      <w:pPr>
        <w:sectPr w:rsidR="00FA3478" w:rsidRPr="002B17EB" w:rsidSect="00C8665E">
          <w:footerReference w:type="first" r:id="rId16"/>
          <w:pgSz w:w="11899" w:h="16838" w:code="9"/>
          <w:pgMar w:top="1701" w:right="1474" w:bottom="1701" w:left="1474" w:header="709" w:footer="709" w:gutter="0"/>
          <w:pgNumType w:fmt="lowerRoman" w:start="1"/>
          <w:cols w:space="708"/>
          <w:titlePg/>
          <w:docGrid w:linePitch="299"/>
        </w:sectPr>
      </w:pPr>
    </w:p>
    <w:p w:rsidR="00FA3478" w:rsidRDefault="00FA3478" w:rsidP="00FA3478">
      <w:pPr>
        <w:pStyle w:val="Heading2"/>
      </w:pPr>
      <w:bookmarkStart w:id="9" w:name="_Toc511722579"/>
      <w:bookmarkStart w:id="10" w:name="_Toc511824696"/>
      <w:r>
        <w:lastRenderedPageBreak/>
        <w:t>Stamp duty on conveyances</w:t>
      </w:r>
      <w:bookmarkEnd w:id="9"/>
      <w:bookmarkEnd w:id="10"/>
    </w:p>
    <w:p w:rsidR="0032497D" w:rsidRPr="0032497D" w:rsidRDefault="0032497D" w:rsidP="00FA3478">
      <w:pPr>
        <w:pStyle w:val="CGCNumberedPara"/>
        <w:numPr>
          <w:ilvl w:val="1"/>
          <w:numId w:val="3"/>
        </w:numPr>
      </w:pPr>
      <w:r>
        <w:t xml:space="preserve">The paper provides Commission staff proposals for the assessment of </w:t>
      </w:r>
      <w:r w:rsidR="00FD10B1">
        <w:t xml:space="preserve">Stamp duty on conveyances </w:t>
      </w:r>
      <w:r>
        <w:t>for the 2020 Review.</w:t>
      </w:r>
    </w:p>
    <w:p w:rsidR="0032497D" w:rsidRPr="00F83306" w:rsidRDefault="0032497D" w:rsidP="0032497D">
      <w:pPr>
        <w:pStyle w:val="Heading3"/>
      </w:pPr>
      <w:bookmarkStart w:id="11" w:name="_Toc511824697"/>
      <w:r w:rsidRPr="00F83306">
        <w:t>2015 R</w:t>
      </w:r>
      <w:r>
        <w:t>eview approach</w:t>
      </w:r>
      <w:bookmarkEnd w:id="11"/>
    </w:p>
    <w:p w:rsidR="00FA3478" w:rsidRPr="002D0B21" w:rsidRDefault="00FA3478" w:rsidP="00FA3478">
      <w:pPr>
        <w:pStyle w:val="CGCNumberedPara"/>
        <w:numPr>
          <w:ilvl w:val="1"/>
          <w:numId w:val="3"/>
        </w:numPr>
      </w:pPr>
      <w:r w:rsidRPr="00F3521B">
        <w:rPr>
          <w:szCs w:val="22"/>
        </w:rPr>
        <w:t xml:space="preserve">The Stamp duty category </w:t>
      </w:r>
      <w:r w:rsidR="009E4AA3" w:rsidRPr="00F3521B">
        <w:rPr>
          <w:szCs w:val="22"/>
        </w:rPr>
        <w:t>comprise</w:t>
      </w:r>
      <w:r w:rsidR="009E4AA3">
        <w:rPr>
          <w:szCs w:val="22"/>
        </w:rPr>
        <w:t>s</w:t>
      </w:r>
      <w:r w:rsidR="009E4AA3" w:rsidRPr="00F3521B">
        <w:rPr>
          <w:szCs w:val="22"/>
        </w:rPr>
        <w:t xml:space="preserve"> </w:t>
      </w:r>
      <w:r w:rsidRPr="00F3521B">
        <w:rPr>
          <w:szCs w:val="22"/>
        </w:rPr>
        <w:t xml:space="preserve">revenue from stamp duties imposed on the transfer of </w:t>
      </w:r>
      <w:r>
        <w:rPr>
          <w:szCs w:val="22"/>
        </w:rPr>
        <w:t>property</w:t>
      </w:r>
      <w:r w:rsidRPr="00F3521B">
        <w:rPr>
          <w:szCs w:val="22"/>
        </w:rPr>
        <w:t xml:space="preserve"> ownership </w:t>
      </w:r>
      <w:r>
        <w:rPr>
          <w:szCs w:val="22"/>
        </w:rPr>
        <w:t>and</w:t>
      </w:r>
      <w:r w:rsidRPr="00F3521B">
        <w:rPr>
          <w:szCs w:val="22"/>
        </w:rPr>
        <w:t xml:space="preserve"> motor vehicles</w:t>
      </w:r>
      <w:r>
        <w:rPr>
          <w:szCs w:val="22"/>
        </w:rPr>
        <w:t xml:space="preserve"> ownership</w:t>
      </w:r>
      <w:r w:rsidRPr="00F3521B">
        <w:rPr>
          <w:szCs w:val="22"/>
        </w:rPr>
        <w:t>.</w:t>
      </w:r>
      <w:r w:rsidRPr="000C62A6">
        <w:rPr>
          <w:szCs w:val="22"/>
        </w:rPr>
        <w:t xml:space="preserve"> </w:t>
      </w:r>
      <w:r>
        <w:t xml:space="preserve">The concept of property </w:t>
      </w:r>
      <w:r w:rsidR="009E4AA3">
        <w:t xml:space="preserve">is </w:t>
      </w:r>
      <w:r>
        <w:t>broad, comprising both real and non-real property.</w:t>
      </w:r>
      <w:r>
        <w:rPr>
          <w:rStyle w:val="FootnoteReference"/>
        </w:rPr>
        <w:footnoteReference w:id="1"/>
      </w:r>
      <w:r>
        <w:t xml:space="preserve"> The duty was based on the value of the property transferred and was paid by the purchaser.</w:t>
      </w:r>
    </w:p>
    <w:p w:rsidR="00FA3478" w:rsidRPr="00B771D9" w:rsidRDefault="00FA3478" w:rsidP="00FA3478">
      <w:pPr>
        <w:pStyle w:val="CGCNumberedPara"/>
        <w:numPr>
          <w:ilvl w:val="1"/>
          <w:numId w:val="3"/>
        </w:numPr>
      </w:pPr>
      <w:r>
        <w:rPr>
          <w:szCs w:val="22"/>
        </w:rPr>
        <w:t>The category excluded:</w:t>
      </w:r>
    </w:p>
    <w:p w:rsidR="00FA3478" w:rsidRPr="00B771D9" w:rsidRDefault="00FA3478" w:rsidP="00FA3478">
      <w:pPr>
        <w:pStyle w:val="CGCBulletlist"/>
        <w:numPr>
          <w:ilvl w:val="0"/>
          <w:numId w:val="1"/>
        </w:numPr>
        <w:tabs>
          <w:tab w:val="clear" w:pos="927"/>
        </w:tabs>
        <w:ind w:left="1134" w:hanging="567"/>
      </w:pPr>
      <w:r>
        <w:rPr>
          <w:szCs w:val="22"/>
        </w:rPr>
        <w:t>taxes on land ownership, which were assessed in the Land taxes category</w:t>
      </w:r>
    </w:p>
    <w:p w:rsidR="00FA3478" w:rsidRDefault="00FA3478" w:rsidP="00FA3478">
      <w:pPr>
        <w:pStyle w:val="CGCBulletlist"/>
        <w:numPr>
          <w:ilvl w:val="0"/>
          <w:numId w:val="1"/>
        </w:numPr>
        <w:tabs>
          <w:tab w:val="clear" w:pos="927"/>
        </w:tabs>
        <w:ind w:left="1134" w:hanging="567"/>
      </w:pPr>
      <w:r>
        <w:rPr>
          <w:szCs w:val="22"/>
        </w:rPr>
        <w:t xml:space="preserve">revenue </w:t>
      </w:r>
      <w:r>
        <w:t>from other stamp duties (such as stamp duty on the transfer of marketable securities</w:t>
      </w:r>
      <w:r>
        <w:rPr>
          <w:rStyle w:val="FootnoteReference"/>
        </w:rPr>
        <w:footnoteReference w:id="2"/>
      </w:r>
      <w:r>
        <w:t>), which were assessed in the Other revenue category</w:t>
      </w:r>
    </w:p>
    <w:p w:rsidR="00FA3478" w:rsidRDefault="00FA3478" w:rsidP="00FA3478">
      <w:pPr>
        <w:pStyle w:val="CGCBulletlist"/>
        <w:numPr>
          <w:ilvl w:val="0"/>
          <w:numId w:val="1"/>
        </w:numPr>
        <w:tabs>
          <w:tab w:val="clear" w:pos="927"/>
        </w:tabs>
        <w:ind w:left="1134" w:hanging="567"/>
      </w:pPr>
      <w:r w:rsidRPr="00864B0B">
        <w:rPr>
          <w:szCs w:val="22"/>
        </w:rPr>
        <w:t>payments to and concessions for first home owners (such as First Home Owners’ Scheme payments, First Home Owners’ Bonus payments and concessional duties offered to first home owners</w:t>
      </w:r>
      <w:r>
        <w:rPr>
          <w:szCs w:val="22"/>
        </w:rPr>
        <w:t>), which were assessed in the Housing category</w:t>
      </w:r>
      <w:r>
        <w:t>.</w:t>
      </w:r>
      <w:r>
        <w:rPr>
          <w:rStyle w:val="FootnoteReference"/>
        </w:rPr>
        <w:footnoteReference w:id="3"/>
      </w:r>
    </w:p>
    <w:p w:rsidR="00FA3478" w:rsidRPr="00C15AC1" w:rsidRDefault="00FA3478" w:rsidP="00FA3478">
      <w:pPr>
        <w:pStyle w:val="CGCNumberedPara"/>
        <w:numPr>
          <w:ilvl w:val="1"/>
          <w:numId w:val="3"/>
        </w:numPr>
      </w:pPr>
      <w:r>
        <w:fldChar w:fldCharType="begin"/>
      </w:r>
      <w:r>
        <w:instrText xml:space="preserve"> REF _Ref498670239 \h </w:instrText>
      </w:r>
      <w:r>
        <w:fldChar w:fldCharType="separate"/>
      </w:r>
      <w:r w:rsidR="00865709">
        <w:t>Table </w:t>
      </w:r>
      <w:r w:rsidR="00865709">
        <w:rPr>
          <w:noProof/>
        </w:rPr>
        <w:t>1</w:t>
      </w:r>
      <w:r>
        <w:fldChar w:fldCharType="end"/>
      </w:r>
      <w:r>
        <w:t xml:space="preserve"> shows the composition of the Stamp duty category in 2016-17</w:t>
      </w:r>
      <w:r>
        <w:rPr>
          <w:szCs w:val="22"/>
        </w:rPr>
        <w:t>. The equal per capita and property components comprised revenue from conveyance duties. The vehicle component comprised revenue from vehicle transfer duties.</w:t>
      </w:r>
    </w:p>
    <w:p w:rsidR="00FA3478" w:rsidRDefault="00FA3478" w:rsidP="00FA3478">
      <w:pPr>
        <w:pStyle w:val="CGCTableHeading"/>
      </w:pPr>
      <w:bookmarkStart w:id="12" w:name="_Ref498670239"/>
      <w:r>
        <w:lastRenderedPageBreak/>
        <w:t>Table </w:t>
      </w:r>
      <w:fldSimple w:instr=" SEQ Table \* ARABIC ">
        <w:r w:rsidR="00865709">
          <w:rPr>
            <w:noProof/>
          </w:rPr>
          <w:t>1</w:t>
        </w:r>
      </w:fldSimple>
      <w:bookmarkEnd w:id="12"/>
      <w:r>
        <w:tab/>
        <w:t>Stamp duty revenue by component, 2016-17</w:t>
      </w:r>
    </w:p>
    <w:tbl>
      <w:tblPr>
        <w:tblW w:w="5000" w:type="pct"/>
        <w:tblLayout w:type="fixed"/>
        <w:tblCellMar>
          <w:left w:w="0" w:type="dxa"/>
          <w:right w:w="0" w:type="dxa"/>
        </w:tblCellMar>
        <w:tblLook w:val="0000" w:firstRow="0" w:lastRow="0" w:firstColumn="0" w:lastColumn="0" w:noHBand="0" w:noVBand="0"/>
      </w:tblPr>
      <w:tblGrid>
        <w:gridCol w:w="3701"/>
        <w:gridCol w:w="2624"/>
        <w:gridCol w:w="2626"/>
      </w:tblGrid>
      <w:tr w:rsidR="00FA3478" w:rsidRPr="004537EA" w:rsidTr="00C8665E">
        <w:tc>
          <w:tcPr>
            <w:tcW w:w="2067" w:type="pct"/>
            <w:tcBorders>
              <w:top w:val="single" w:sz="6" w:space="0" w:color="auto"/>
              <w:bottom w:val="single" w:sz="6" w:space="0" w:color="auto"/>
            </w:tcBorders>
            <w:vAlign w:val="center"/>
          </w:tcPr>
          <w:p w:rsidR="00FA3478" w:rsidRPr="004537EA" w:rsidRDefault="00FA3478" w:rsidP="00C8665E">
            <w:pPr>
              <w:pStyle w:val="TableColHeadings"/>
              <w:ind w:left="193" w:hanging="142"/>
              <w:jc w:val="left"/>
              <w:rPr>
                <w:rFonts w:cstheme="minorHAnsi"/>
              </w:rPr>
            </w:pPr>
            <w:r>
              <w:rPr>
                <w:rFonts w:cstheme="minorHAnsi"/>
              </w:rPr>
              <w:t>Component</w:t>
            </w:r>
          </w:p>
        </w:tc>
        <w:tc>
          <w:tcPr>
            <w:tcW w:w="1466" w:type="pct"/>
            <w:tcBorders>
              <w:top w:val="single" w:sz="6" w:space="0" w:color="auto"/>
              <w:bottom w:val="single" w:sz="6" w:space="0" w:color="auto"/>
            </w:tcBorders>
            <w:vAlign w:val="center"/>
          </w:tcPr>
          <w:p w:rsidR="00FA3478" w:rsidRPr="004537EA" w:rsidRDefault="00FA3478" w:rsidP="00C8665E">
            <w:pPr>
              <w:pStyle w:val="TableColHeadings"/>
              <w:rPr>
                <w:rFonts w:cstheme="minorHAnsi"/>
              </w:rPr>
            </w:pPr>
            <w:r>
              <w:rPr>
                <w:rFonts w:cstheme="minorHAnsi"/>
              </w:rPr>
              <w:t>Revenue</w:t>
            </w:r>
          </w:p>
        </w:tc>
        <w:tc>
          <w:tcPr>
            <w:tcW w:w="1467" w:type="pct"/>
            <w:tcBorders>
              <w:top w:val="single" w:sz="6" w:space="0" w:color="auto"/>
              <w:bottom w:val="single" w:sz="6" w:space="0" w:color="auto"/>
            </w:tcBorders>
            <w:vAlign w:val="center"/>
          </w:tcPr>
          <w:p w:rsidR="00FA3478" w:rsidRPr="004537EA" w:rsidRDefault="00FA3478" w:rsidP="00C8665E">
            <w:pPr>
              <w:pStyle w:val="TableColHeadings"/>
              <w:rPr>
                <w:rFonts w:cstheme="minorHAnsi"/>
              </w:rPr>
            </w:pPr>
            <w:r>
              <w:rPr>
                <w:rFonts w:cstheme="minorHAnsi"/>
              </w:rPr>
              <w:t>Proportion of total revenue</w:t>
            </w:r>
          </w:p>
        </w:tc>
      </w:tr>
      <w:tr w:rsidR="00FA3478" w:rsidRPr="004537EA" w:rsidTr="00C8665E">
        <w:tc>
          <w:tcPr>
            <w:tcW w:w="2067" w:type="pct"/>
            <w:tcMar>
              <w:top w:w="0" w:type="dxa"/>
              <w:bottom w:w="0" w:type="dxa"/>
            </w:tcMar>
            <w:vAlign w:val="bottom"/>
          </w:tcPr>
          <w:p w:rsidR="00FA3478" w:rsidRPr="004537EA" w:rsidRDefault="00FA3478" w:rsidP="00C8665E">
            <w:pPr>
              <w:pStyle w:val="TableRowUnits"/>
              <w:ind w:left="193" w:hanging="142"/>
              <w:rPr>
                <w:rFonts w:cstheme="minorHAnsi"/>
              </w:rPr>
            </w:pPr>
          </w:p>
        </w:tc>
        <w:tc>
          <w:tcPr>
            <w:tcW w:w="1466" w:type="pct"/>
            <w:tcMar>
              <w:top w:w="0" w:type="dxa"/>
              <w:bottom w:w="0" w:type="dxa"/>
            </w:tcMar>
            <w:vAlign w:val="bottom"/>
          </w:tcPr>
          <w:p w:rsidR="00FA3478" w:rsidRPr="004537EA" w:rsidRDefault="00FA3478" w:rsidP="00C8665E">
            <w:pPr>
              <w:pStyle w:val="TableRowUnits"/>
              <w:rPr>
                <w:rFonts w:cstheme="minorHAnsi"/>
              </w:rPr>
            </w:pPr>
            <w:r>
              <w:rPr>
                <w:rFonts w:cstheme="minorHAnsi"/>
              </w:rPr>
              <w:t>$m</w:t>
            </w:r>
          </w:p>
        </w:tc>
        <w:tc>
          <w:tcPr>
            <w:tcW w:w="1467" w:type="pct"/>
            <w:tcMar>
              <w:top w:w="0" w:type="dxa"/>
              <w:bottom w:w="0" w:type="dxa"/>
            </w:tcMar>
            <w:vAlign w:val="bottom"/>
          </w:tcPr>
          <w:p w:rsidR="00FA3478" w:rsidRPr="004537EA" w:rsidRDefault="00FA3478" w:rsidP="00C8665E">
            <w:pPr>
              <w:pStyle w:val="TableRowUnits"/>
              <w:rPr>
                <w:rFonts w:cstheme="minorHAnsi"/>
              </w:rPr>
            </w:pPr>
            <w:r>
              <w:rPr>
                <w:rFonts w:cstheme="minorHAnsi"/>
              </w:rPr>
              <w:t>%</w:t>
            </w:r>
          </w:p>
        </w:tc>
      </w:tr>
      <w:tr w:rsidR="00FA3478" w:rsidRPr="004537EA" w:rsidTr="00C8665E">
        <w:tc>
          <w:tcPr>
            <w:tcW w:w="2067" w:type="pct"/>
            <w:vAlign w:val="bottom"/>
          </w:tcPr>
          <w:p w:rsidR="00FA3478" w:rsidRPr="004537EA" w:rsidRDefault="00FA3478" w:rsidP="00C8665E">
            <w:pPr>
              <w:pStyle w:val="CGCTableStub"/>
              <w:ind w:left="193" w:hanging="142"/>
              <w:rPr>
                <w:rFonts w:cstheme="minorHAnsi"/>
              </w:rPr>
            </w:pPr>
            <w:r>
              <w:rPr>
                <w:rFonts w:cstheme="minorHAnsi"/>
              </w:rPr>
              <w:t>Equal per capita</w:t>
            </w:r>
          </w:p>
        </w:tc>
        <w:tc>
          <w:tcPr>
            <w:tcW w:w="1466" w:type="pct"/>
            <w:vAlign w:val="bottom"/>
          </w:tcPr>
          <w:p w:rsidR="00FA3478" w:rsidRPr="00C15AC1" w:rsidRDefault="00FA3478" w:rsidP="00C8665E">
            <w:pPr>
              <w:pStyle w:val="TableRowNormal"/>
              <w:rPr>
                <w:rFonts w:cstheme="minorHAnsi"/>
              </w:rPr>
            </w:pPr>
            <w:r w:rsidRPr="00C15AC1">
              <w:rPr>
                <w:rFonts w:cstheme="minorHAnsi"/>
              </w:rPr>
              <w:t>1 005</w:t>
            </w:r>
          </w:p>
        </w:tc>
        <w:tc>
          <w:tcPr>
            <w:tcW w:w="1467" w:type="pct"/>
            <w:vAlign w:val="bottom"/>
          </w:tcPr>
          <w:p w:rsidR="00FA3478" w:rsidRPr="00C15AC1" w:rsidRDefault="00FA3478" w:rsidP="00C8665E">
            <w:pPr>
              <w:pStyle w:val="TableRowNormal"/>
              <w:rPr>
                <w:rFonts w:cstheme="minorHAnsi"/>
              </w:rPr>
            </w:pPr>
            <w:r w:rsidRPr="00C15AC1">
              <w:rPr>
                <w:rFonts w:cstheme="minorHAnsi"/>
              </w:rPr>
              <w:t>4</w:t>
            </w:r>
          </w:p>
        </w:tc>
      </w:tr>
      <w:tr w:rsidR="00FA3478" w:rsidRPr="004537EA" w:rsidTr="00C8665E">
        <w:tc>
          <w:tcPr>
            <w:tcW w:w="2067" w:type="pct"/>
            <w:vAlign w:val="bottom"/>
          </w:tcPr>
          <w:p w:rsidR="00FA3478" w:rsidRDefault="00FA3478" w:rsidP="00C8665E">
            <w:pPr>
              <w:pStyle w:val="CGCTableStub"/>
              <w:ind w:left="193" w:hanging="142"/>
              <w:rPr>
                <w:rFonts w:cstheme="minorHAnsi"/>
              </w:rPr>
            </w:pPr>
            <w:r>
              <w:rPr>
                <w:rFonts w:cstheme="minorHAnsi"/>
              </w:rPr>
              <w:t>Property</w:t>
            </w:r>
          </w:p>
        </w:tc>
        <w:tc>
          <w:tcPr>
            <w:tcW w:w="1466" w:type="pct"/>
            <w:vAlign w:val="bottom"/>
          </w:tcPr>
          <w:p w:rsidR="00FA3478" w:rsidRPr="00C15AC1" w:rsidRDefault="00FA3478" w:rsidP="00C8665E">
            <w:pPr>
              <w:pStyle w:val="TableRowNormal"/>
              <w:rPr>
                <w:rFonts w:cstheme="minorHAnsi"/>
              </w:rPr>
            </w:pPr>
            <w:r w:rsidRPr="00C15AC1">
              <w:rPr>
                <w:rFonts w:cstheme="minorHAnsi"/>
              </w:rPr>
              <w:t>21 737</w:t>
            </w:r>
          </w:p>
        </w:tc>
        <w:tc>
          <w:tcPr>
            <w:tcW w:w="1467" w:type="pct"/>
            <w:vAlign w:val="bottom"/>
          </w:tcPr>
          <w:p w:rsidR="00FA3478" w:rsidRPr="00C15AC1" w:rsidRDefault="00FA3478" w:rsidP="00C8665E">
            <w:pPr>
              <w:pStyle w:val="TableRowNormal"/>
              <w:rPr>
                <w:rFonts w:cstheme="minorHAnsi"/>
              </w:rPr>
            </w:pPr>
            <w:r w:rsidRPr="00C15AC1">
              <w:rPr>
                <w:rFonts w:cstheme="minorHAnsi"/>
              </w:rPr>
              <w:t>85</w:t>
            </w:r>
          </w:p>
        </w:tc>
      </w:tr>
      <w:tr w:rsidR="00FA3478" w:rsidRPr="004537EA" w:rsidTr="00C8665E">
        <w:tc>
          <w:tcPr>
            <w:tcW w:w="2067" w:type="pct"/>
            <w:vAlign w:val="bottom"/>
          </w:tcPr>
          <w:p w:rsidR="00FA3478" w:rsidRPr="004537EA" w:rsidRDefault="00FA3478" w:rsidP="00C8665E">
            <w:pPr>
              <w:pStyle w:val="CGCTableStub"/>
              <w:ind w:left="193" w:hanging="142"/>
              <w:rPr>
                <w:rFonts w:cstheme="minorHAnsi"/>
              </w:rPr>
            </w:pPr>
            <w:r>
              <w:rPr>
                <w:rFonts w:cstheme="minorHAnsi"/>
              </w:rPr>
              <w:t>Vehicles</w:t>
            </w:r>
          </w:p>
        </w:tc>
        <w:tc>
          <w:tcPr>
            <w:tcW w:w="1466" w:type="pct"/>
            <w:tcBorders>
              <w:bottom w:val="single" w:sz="4" w:space="0" w:color="auto"/>
            </w:tcBorders>
            <w:vAlign w:val="bottom"/>
          </w:tcPr>
          <w:p w:rsidR="00FA3478" w:rsidRPr="00C15AC1" w:rsidRDefault="00FA3478" w:rsidP="00C8665E">
            <w:pPr>
              <w:pStyle w:val="TableRowNormal"/>
              <w:rPr>
                <w:rFonts w:cstheme="minorHAnsi"/>
              </w:rPr>
            </w:pPr>
            <w:r w:rsidRPr="00C15AC1">
              <w:rPr>
                <w:rFonts w:cstheme="minorHAnsi"/>
              </w:rPr>
              <w:t>2 755</w:t>
            </w:r>
          </w:p>
        </w:tc>
        <w:tc>
          <w:tcPr>
            <w:tcW w:w="1467" w:type="pct"/>
            <w:tcBorders>
              <w:bottom w:val="single" w:sz="4" w:space="0" w:color="auto"/>
            </w:tcBorders>
            <w:vAlign w:val="bottom"/>
          </w:tcPr>
          <w:p w:rsidR="00FA3478" w:rsidRPr="00C15AC1" w:rsidRDefault="00FA3478" w:rsidP="00C8665E">
            <w:pPr>
              <w:pStyle w:val="TableRowNormal"/>
              <w:rPr>
                <w:rFonts w:cstheme="minorHAnsi"/>
              </w:rPr>
            </w:pPr>
            <w:r w:rsidRPr="00C15AC1">
              <w:rPr>
                <w:rFonts w:cstheme="minorHAnsi"/>
              </w:rPr>
              <w:t>11</w:t>
            </w:r>
          </w:p>
        </w:tc>
      </w:tr>
      <w:tr w:rsidR="00FA3478" w:rsidRPr="004537EA" w:rsidTr="00C8665E">
        <w:tc>
          <w:tcPr>
            <w:tcW w:w="2067" w:type="pct"/>
            <w:tcBorders>
              <w:bottom w:val="single" w:sz="6" w:space="0" w:color="auto"/>
            </w:tcBorders>
            <w:vAlign w:val="bottom"/>
          </w:tcPr>
          <w:p w:rsidR="00FA3478" w:rsidRPr="004537EA" w:rsidRDefault="00FA3478" w:rsidP="00C8665E">
            <w:pPr>
              <w:pStyle w:val="CGCTableStub"/>
              <w:ind w:left="193" w:hanging="142"/>
              <w:rPr>
                <w:rFonts w:cstheme="minorHAnsi"/>
              </w:rPr>
            </w:pPr>
            <w:r>
              <w:rPr>
                <w:rFonts w:cstheme="minorHAnsi"/>
              </w:rPr>
              <w:t>Total</w:t>
            </w:r>
          </w:p>
        </w:tc>
        <w:tc>
          <w:tcPr>
            <w:tcW w:w="1466" w:type="pct"/>
            <w:tcBorders>
              <w:top w:val="single" w:sz="4" w:space="0" w:color="auto"/>
              <w:bottom w:val="single" w:sz="6" w:space="0" w:color="auto"/>
            </w:tcBorders>
            <w:vAlign w:val="bottom"/>
          </w:tcPr>
          <w:p w:rsidR="00FA3478" w:rsidRPr="00C15AC1" w:rsidRDefault="00FA3478" w:rsidP="00C8665E">
            <w:pPr>
              <w:pStyle w:val="TableRowNormal"/>
              <w:rPr>
                <w:rFonts w:cstheme="minorHAnsi"/>
              </w:rPr>
            </w:pPr>
            <w:r w:rsidRPr="00C15AC1">
              <w:rPr>
                <w:rFonts w:cstheme="minorHAnsi"/>
              </w:rPr>
              <w:t>25 497</w:t>
            </w:r>
          </w:p>
        </w:tc>
        <w:tc>
          <w:tcPr>
            <w:tcW w:w="1467" w:type="pct"/>
            <w:tcBorders>
              <w:top w:val="single" w:sz="4" w:space="0" w:color="auto"/>
              <w:bottom w:val="single" w:sz="6" w:space="0" w:color="auto"/>
            </w:tcBorders>
            <w:vAlign w:val="bottom"/>
          </w:tcPr>
          <w:p w:rsidR="00FA3478" w:rsidRPr="00C15AC1" w:rsidRDefault="00FA3478" w:rsidP="00C8665E">
            <w:pPr>
              <w:pStyle w:val="TableRowNormal"/>
              <w:rPr>
                <w:rFonts w:cstheme="minorHAnsi"/>
              </w:rPr>
            </w:pPr>
            <w:r w:rsidRPr="00C15AC1">
              <w:rPr>
                <w:rFonts w:cstheme="minorHAnsi"/>
              </w:rPr>
              <w:t>100</w:t>
            </w:r>
          </w:p>
        </w:tc>
      </w:tr>
    </w:tbl>
    <w:p w:rsidR="00FA3478" w:rsidRDefault="00FA3478" w:rsidP="00FA3478">
      <w:pPr>
        <w:pStyle w:val="CGCTableFootnote"/>
      </w:pPr>
      <w:r>
        <w:t>Source:</w:t>
      </w:r>
      <w:r>
        <w:tab/>
        <w:t>Australian Bureau of Statistics, Government Finance Statistics, Cat No 5512.0. State data returns.</w:t>
      </w:r>
    </w:p>
    <w:p w:rsidR="00FA3478" w:rsidRDefault="00FA3478" w:rsidP="00FA3478">
      <w:pPr>
        <w:pStyle w:val="Heading4"/>
      </w:pPr>
      <w:bookmarkStart w:id="13" w:name="_Toc511824698"/>
      <w:r>
        <w:t>How was revenue capacity assessed?</w:t>
      </w:r>
      <w:bookmarkEnd w:id="13"/>
    </w:p>
    <w:p w:rsidR="00FA3478" w:rsidRDefault="00FA3478" w:rsidP="00FA3478">
      <w:pPr>
        <w:pStyle w:val="CGCNumberedPara"/>
        <w:numPr>
          <w:ilvl w:val="1"/>
          <w:numId w:val="3"/>
        </w:numPr>
      </w:pPr>
      <w:r>
        <w:t>The assessment recognised a State’s revenue capacity was related to the value of property and vehicles transferred. As States imposed conveyance duties at progressive rates, the distribution of a State’s property transfers by value was also important.</w:t>
      </w:r>
    </w:p>
    <w:p w:rsidR="00FA3478" w:rsidRDefault="00FA3478" w:rsidP="00FA3478">
      <w:pPr>
        <w:pStyle w:val="CGCNumberedPara"/>
        <w:numPr>
          <w:ilvl w:val="1"/>
          <w:numId w:val="3"/>
        </w:numPr>
      </w:pPr>
      <w:r>
        <w:t>In the 2015 Review, stamp duty revenue was assessed in three components:</w:t>
      </w:r>
    </w:p>
    <w:p w:rsidR="00FA3478" w:rsidRDefault="00FA3478" w:rsidP="00FA3478">
      <w:pPr>
        <w:pStyle w:val="CGCBulletlist"/>
        <w:numPr>
          <w:ilvl w:val="0"/>
          <w:numId w:val="1"/>
        </w:numPr>
        <w:tabs>
          <w:tab w:val="clear" w:pos="927"/>
        </w:tabs>
        <w:ind w:left="1134" w:hanging="567"/>
      </w:pPr>
      <w:proofErr w:type="gramStart"/>
      <w:r>
        <w:t>an</w:t>
      </w:r>
      <w:proofErr w:type="gramEnd"/>
      <w:r>
        <w:t xml:space="preserve"> equal per capita (EPC) component. These were duties for which a differential assessment was not made. This approach meant:</w:t>
      </w:r>
    </w:p>
    <w:p w:rsidR="00FA3478" w:rsidRDefault="00FA3478" w:rsidP="00FA3478">
      <w:pPr>
        <w:pStyle w:val="CGCSubbulletlist"/>
        <w:numPr>
          <w:ilvl w:val="0"/>
          <w:numId w:val="4"/>
        </w:numPr>
        <w:tabs>
          <w:tab w:val="clear" w:pos="927"/>
        </w:tabs>
        <w:ind w:left="1701" w:hanging="567"/>
      </w:pPr>
      <w:r>
        <w:t>States were assessed to have equal capacities to raise revenue from them</w:t>
      </w:r>
    </w:p>
    <w:p w:rsidR="00FA3478" w:rsidRDefault="00FA3478" w:rsidP="00FA3478">
      <w:pPr>
        <w:pStyle w:val="CGCSubbulletlist"/>
        <w:numPr>
          <w:ilvl w:val="0"/>
          <w:numId w:val="4"/>
        </w:numPr>
        <w:tabs>
          <w:tab w:val="clear" w:pos="927"/>
        </w:tabs>
        <w:ind w:left="1701" w:hanging="567"/>
      </w:pPr>
      <w:r>
        <w:t>their assessment did not affect States’ GST shares</w:t>
      </w:r>
    </w:p>
    <w:p w:rsidR="00FA3478" w:rsidRDefault="00FA3478" w:rsidP="00FA3478">
      <w:pPr>
        <w:pStyle w:val="CGCBulletlist"/>
        <w:numPr>
          <w:ilvl w:val="0"/>
          <w:numId w:val="1"/>
        </w:numPr>
        <w:tabs>
          <w:tab w:val="clear" w:pos="927"/>
        </w:tabs>
        <w:ind w:left="1134" w:hanging="567"/>
      </w:pPr>
      <w:proofErr w:type="gramStart"/>
      <w:r>
        <w:t>a</w:t>
      </w:r>
      <w:proofErr w:type="gramEnd"/>
      <w:r>
        <w:t xml:space="preserve"> property component. State capacity was assessed using the value of property transferred.</w:t>
      </w:r>
    </w:p>
    <w:p w:rsidR="00FA3478" w:rsidRPr="00CD18A3" w:rsidRDefault="00FA3478" w:rsidP="00FA3478">
      <w:pPr>
        <w:pStyle w:val="CGCBulletlist"/>
        <w:numPr>
          <w:ilvl w:val="0"/>
          <w:numId w:val="1"/>
        </w:numPr>
        <w:tabs>
          <w:tab w:val="clear" w:pos="927"/>
        </w:tabs>
        <w:ind w:left="1134" w:hanging="567"/>
      </w:pPr>
      <w:proofErr w:type="gramStart"/>
      <w:r>
        <w:t>a</w:t>
      </w:r>
      <w:proofErr w:type="gramEnd"/>
      <w:r>
        <w:t xml:space="preserve"> vehicle component. State capacity was assessed using the value of vehicles transferred.</w:t>
      </w:r>
    </w:p>
    <w:p w:rsidR="00FA3478" w:rsidRDefault="00FA3478" w:rsidP="00FA3478">
      <w:pPr>
        <w:pStyle w:val="Heading5"/>
      </w:pPr>
      <w:r>
        <w:t>The equal per capita (EPC) component</w:t>
      </w:r>
    </w:p>
    <w:p w:rsidR="00FA3478" w:rsidRPr="00E15CB3" w:rsidRDefault="00FA3478" w:rsidP="00FA3478">
      <w:pPr>
        <w:pStyle w:val="CGCNumberedPara"/>
        <w:numPr>
          <w:ilvl w:val="1"/>
          <w:numId w:val="3"/>
        </w:numPr>
      </w:pPr>
      <w:r>
        <w:rPr>
          <w:szCs w:val="22"/>
        </w:rPr>
        <w:t>This component comprised revenue from duties on:</w:t>
      </w:r>
    </w:p>
    <w:p w:rsidR="00FA3478" w:rsidRPr="00E15CB3" w:rsidRDefault="00FA3478" w:rsidP="00FA3478">
      <w:pPr>
        <w:pStyle w:val="CGCBulletlist"/>
        <w:numPr>
          <w:ilvl w:val="0"/>
          <w:numId w:val="1"/>
        </w:numPr>
        <w:tabs>
          <w:tab w:val="clear" w:pos="927"/>
        </w:tabs>
        <w:ind w:left="1134" w:hanging="567"/>
      </w:pPr>
      <w:r>
        <w:t>the sale of major State assets</w:t>
      </w:r>
    </w:p>
    <w:p w:rsidR="00FA3478" w:rsidRDefault="00FA3478" w:rsidP="00FA3478">
      <w:pPr>
        <w:pStyle w:val="CGCBulletlist"/>
        <w:numPr>
          <w:ilvl w:val="0"/>
          <w:numId w:val="1"/>
        </w:numPr>
        <w:tabs>
          <w:tab w:val="clear" w:pos="927"/>
        </w:tabs>
        <w:ind w:left="1134" w:hanging="567"/>
      </w:pPr>
      <w:r>
        <w:t>corporate reconstructions</w:t>
      </w:r>
      <w:r>
        <w:rPr>
          <w:rStyle w:val="FootnoteReference"/>
        </w:rPr>
        <w:footnoteReference w:id="4"/>
      </w:r>
    </w:p>
    <w:p w:rsidR="00FA3478" w:rsidRDefault="00FA3478" w:rsidP="00FA3478">
      <w:pPr>
        <w:pStyle w:val="CGCBulletlist"/>
        <w:numPr>
          <w:ilvl w:val="0"/>
          <w:numId w:val="1"/>
        </w:numPr>
        <w:tabs>
          <w:tab w:val="clear" w:pos="927"/>
        </w:tabs>
        <w:ind w:left="1134" w:hanging="567"/>
      </w:pPr>
      <w:proofErr w:type="gramStart"/>
      <w:r>
        <w:t>land</w:t>
      </w:r>
      <w:proofErr w:type="gramEnd"/>
      <w:r>
        <w:t xml:space="preserve"> rich transactions of listed companies.</w:t>
      </w:r>
      <w:r>
        <w:rPr>
          <w:rStyle w:val="FootnoteReference"/>
        </w:rPr>
        <w:footnoteReference w:id="5"/>
      </w:r>
      <w:r w:rsidR="00C70202">
        <w:t xml:space="preserve"> Attachment A sets out the Commission’s treatment of State land rich/land holder provisions.</w:t>
      </w:r>
    </w:p>
    <w:p w:rsidR="00FA3478" w:rsidRDefault="00FA3478" w:rsidP="00FA3478">
      <w:pPr>
        <w:pStyle w:val="CGCNumberedPara"/>
        <w:numPr>
          <w:ilvl w:val="1"/>
          <w:numId w:val="3"/>
        </w:numPr>
      </w:pPr>
      <w:r>
        <w:lastRenderedPageBreak/>
        <w:t>The Commission assessed duties on the sale of major State assets EPC because those duties arose from differences in State policies on the ownership of assets. It assessed duties from corporate reconstructions and land rich transactions of listed companies EPC because the ad hoc nature and volatility of these transactions made it difficult to construct a reliable estimate of revenue capacity for States that did not impose duty on those transactions.</w:t>
      </w:r>
    </w:p>
    <w:p w:rsidR="00FA3478" w:rsidRDefault="00FA3478" w:rsidP="00FA3478">
      <w:pPr>
        <w:pStyle w:val="CGCNumberedPara"/>
        <w:numPr>
          <w:ilvl w:val="1"/>
          <w:numId w:val="3"/>
        </w:numPr>
      </w:pPr>
      <w:r>
        <w:t xml:space="preserve">The Commission sought data </w:t>
      </w:r>
      <w:r w:rsidR="00C8665E">
        <w:t xml:space="preserve">from </w:t>
      </w:r>
      <w:r>
        <w:t>State Revenue Offices (SROs) on the duty raised from these transactions.</w:t>
      </w:r>
      <w:r w:rsidRPr="00CD18A3">
        <w:t xml:space="preserve"> </w:t>
      </w:r>
      <w:r>
        <w:fldChar w:fldCharType="begin"/>
      </w:r>
      <w:r>
        <w:instrText xml:space="preserve"> REF _Ref507487637 \h </w:instrText>
      </w:r>
      <w:r>
        <w:fldChar w:fldCharType="separate"/>
      </w:r>
      <w:r w:rsidR="00865709">
        <w:t xml:space="preserve">Table </w:t>
      </w:r>
      <w:r w:rsidR="00865709">
        <w:rPr>
          <w:noProof/>
        </w:rPr>
        <w:t>2</w:t>
      </w:r>
      <w:r>
        <w:fldChar w:fldCharType="end"/>
      </w:r>
      <w:r>
        <w:t xml:space="preserve"> shows the data provided for 2016-17.</w:t>
      </w:r>
    </w:p>
    <w:p w:rsidR="00FA3478" w:rsidRDefault="00FA3478" w:rsidP="00FA3478">
      <w:pPr>
        <w:pStyle w:val="CGCTableHeading"/>
      </w:pPr>
      <w:bookmarkStart w:id="14" w:name="_Ref507487637"/>
      <w:r>
        <w:t xml:space="preserve">Table </w:t>
      </w:r>
      <w:fldSimple w:instr=" SEQ Table \* ARABIC ">
        <w:r w:rsidR="00865709">
          <w:rPr>
            <w:noProof/>
          </w:rPr>
          <w:t>2</w:t>
        </w:r>
      </w:fldSimple>
      <w:bookmarkEnd w:id="14"/>
      <w:r>
        <w:tab/>
        <w:t>EPC component, 2016-17</w:t>
      </w:r>
    </w:p>
    <w:tbl>
      <w:tblPr>
        <w:tblW w:w="5000" w:type="pct"/>
        <w:tblCellMar>
          <w:left w:w="85" w:type="dxa"/>
          <w:right w:w="85" w:type="dxa"/>
        </w:tblCellMar>
        <w:tblLook w:val="0000" w:firstRow="0" w:lastRow="0" w:firstColumn="0" w:lastColumn="0" w:noHBand="0" w:noVBand="0"/>
      </w:tblPr>
      <w:tblGrid>
        <w:gridCol w:w="2470"/>
        <w:gridCol w:w="739"/>
        <w:gridCol w:w="739"/>
        <w:gridCol w:w="739"/>
        <w:gridCol w:w="739"/>
        <w:gridCol w:w="739"/>
        <w:gridCol w:w="739"/>
        <w:gridCol w:w="739"/>
        <w:gridCol w:w="739"/>
        <w:gridCol w:w="739"/>
      </w:tblGrid>
      <w:tr w:rsidR="00FA3478" w:rsidRPr="00FE3F73" w:rsidTr="00C8665E">
        <w:tc>
          <w:tcPr>
            <w:tcW w:w="1354" w:type="pct"/>
            <w:tcBorders>
              <w:top w:val="single" w:sz="6" w:space="0" w:color="auto"/>
              <w:bottom w:val="single" w:sz="6" w:space="0" w:color="auto"/>
            </w:tcBorders>
            <w:vAlign w:val="bottom"/>
          </w:tcPr>
          <w:p w:rsidR="00FA3478" w:rsidRPr="00FE3F73" w:rsidRDefault="00FA3478" w:rsidP="00C8665E">
            <w:pPr>
              <w:pStyle w:val="CGCTableStub"/>
              <w:spacing w:line="240" w:lineRule="auto"/>
              <w:ind w:left="142" w:hanging="142"/>
              <w:rPr>
                <w:rFonts w:cstheme="minorHAnsi"/>
              </w:rPr>
            </w:pPr>
            <w:r>
              <w:rPr>
                <w:rFonts w:cstheme="minorHAnsi"/>
              </w:rPr>
              <w:t>Duties from</w:t>
            </w:r>
          </w:p>
        </w:tc>
        <w:tc>
          <w:tcPr>
            <w:tcW w:w="405" w:type="pct"/>
            <w:tcBorders>
              <w:top w:val="single" w:sz="6" w:space="0" w:color="auto"/>
              <w:bottom w:val="single" w:sz="6" w:space="0" w:color="auto"/>
            </w:tcBorders>
            <w:vAlign w:val="bottom"/>
          </w:tcPr>
          <w:p w:rsidR="00FA3478" w:rsidRPr="00FE3F73" w:rsidRDefault="00FA3478" w:rsidP="00C8665E">
            <w:pPr>
              <w:pStyle w:val="TableColHeadings"/>
              <w:rPr>
                <w:rFonts w:cstheme="minorHAnsi"/>
              </w:rPr>
            </w:pPr>
            <w:r w:rsidRPr="00FE3F73">
              <w:rPr>
                <w:rFonts w:cstheme="minorHAnsi"/>
              </w:rPr>
              <w:t>NSW</w:t>
            </w:r>
          </w:p>
        </w:tc>
        <w:tc>
          <w:tcPr>
            <w:tcW w:w="405" w:type="pct"/>
            <w:tcBorders>
              <w:top w:val="single" w:sz="6" w:space="0" w:color="auto"/>
              <w:bottom w:val="single" w:sz="6" w:space="0" w:color="auto"/>
            </w:tcBorders>
            <w:vAlign w:val="bottom"/>
          </w:tcPr>
          <w:p w:rsidR="00FA3478" w:rsidRPr="00FE3F73" w:rsidRDefault="00FA3478" w:rsidP="00C8665E">
            <w:pPr>
              <w:pStyle w:val="TableColHeadings"/>
              <w:rPr>
                <w:rFonts w:cstheme="minorHAnsi"/>
              </w:rPr>
            </w:pPr>
            <w:r w:rsidRPr="00FE3F73">
              <w:rPr>
                <w:rFonts w:cstheme="minorHAnsi"/>
              </w:rPr>
              <w:t>Vic</w:t>
            </w:r>
          </w:p>
        </w:tc>
        <w:tc>
          <w:tcPr>
            <w:tcW w:w="405" w:type="pct"/>
            <w:tcBorders>
              <w:top w:val="single" w:sz="6" w:space="0" w:color="auto"/>
              <w:bottom w:val="single" w:sz="6" w:space="0" w:color="auto"/>
            </w:tcBorders>
            <w:vAlign w:val="bottom"/>
          </w:tcPr>
          <w:p w:rsidR="00FA3478" w:rsidRPr="00FE3F73" w:rsidRDefault="00FA3478" w:rsidP="00C8665E">
            <w:pPr>
              <w:pStyle w:val="TableColHeadings"/>
              <w:rPr>
                <w:rFonts w:cstheme="minorHAnsi"/>
              </w:rPr>
            </w:pPr>
            <w:r w:rsidRPr="00FE3F73">
              <w:rPr>
                <w:rFonts w:cstheme="minorHAnsi"/>
              </w:rPr>
              <w:t>Qld</w:t>
            </w:r>
          </w:p>
        </w:tc>
        <w:tc>
          <w:tcPr>
            <w:tcW w:w="405" w:type="pct"/>
            <w:tcBorders>
              <w:top w:val="single" w:sz="6" w:space="0" w:color="auto"/>
              <w:bottom w:val="single" w:sz="6" w:space="0" w:color="auto"/>
            </w:tcBorders>
            <w:vAlign w:val="bottom"/>
          </w:tcPr>
          <w:p w:rsidR="00FA3478" w:rsidRPr="00FE3F73" w:rsidRDefault="00FA3478" w:rsidP="00C8665E">
            <w:pPr>
              <w:pStyle w:val="TableColHeadings"/>
              <w:rPr>
                <w:rFonts w:cstheme="minorHAnsi"/>
              </w:rPr>
            </w:pPr>
            <w:r w:rsidRPr="00FE3F73">
              <w:rPr>
                <w:rFonts w:cstheme="minorHAnsi"/>
              </w:rPr>
              <w:t>WA</w:t>
            </w:r>
          </w:p>
        </w:tc>
        <w:tc>
          <w:tcPr>
            <w:tcW w:w="405" w:type="pct"/>
            <w:tcBorders>
              <w:top w:val="single" w:sz="6" w:space="0" w:color="auto"/>
              <w:bottom w:val="single" w:sz="6" w:space="0" w:color="auto"/>
            </w:tcBorders>
            <w:vAlign w:val="bottom"/>
          </w:tcPr>
          <w:p w:rsidR="00FA3478" w:rsidRPr="00FE3F73" w:rsidRDefault="00FA3478" w:rsidP="00C8665E">
            <w:pPr>
              <w:pStyle w:val="TableColHeadings"/>
              <w:rPr>
                <w:rFonts w:cstheme="minorHAnsi"/>
              </w:rPr>
            </w:pPr>
            <w:r w:rsidRPr="00FE3F73">
              <w:rPr>
                <w:rFonts w:cstheme="minorHAnsi"/>
              </w:rPr>
              <w:t>SA</w:t>
            </w:r>
          </w:p>
        </w:tc>
        <w:tc>
          <w:tcPr>
            <w:tcW w:w="405" w:type="pct"/>
            <w:tcBorders>
              <w:top w:val="single" w:sz="6" w:space="0" w:color="auto"/>
              <w:bottom w:val="single" w:sz="6" w:space="0" w:color="auto"/>
            </w:tcBorders>
            <w:vAlign w:val="bottom"/>
          </w:tcPr>
          <w:p w:rsidR="00FA3478" w:rsidRPr="00FE3F73" w:rsidRDefault="00FA3478" w:rsidP="00C8665E">
            <w:pPr>
              <w:pStyle w:val="TableColHeadings"/>
              <w:rPr>
                <w:rFonts w:cstheme="minorHAnsi"/>
              </w:rPr>
            </w:pPr>
            <w:proofErr w:type="spellStart"/>
            <w:r w:rsidRPr="00FE3F73">
              <w:rPr>
                <w:rFonts w:cstheme="minorHAnsi"/>
              </w:rPr>
              <w:t>Tas</w:t>
            </w:r>
            <w:proofErr w:type="spellEnd"/>
          </w:p>
        </w:tc>
        <w:tc>
          <w:tcPr>
            <w:tcW w:w="405" w:type="pct"/>
            <w:tcBorders>
              <w:top w:val="single" w:sz="6" w:space="0" w:color="auto"/>
              <w:bottom w:val="single" w:sz="6" w:space="0" w:color="auto"/>
            </w:tcBorders>
            <w:vAlign w:val="bottom"/>
          </w:tcPr>
          <w:p w:rsidR="00FA3478" w:rsidRPr="00FE3F73" w:rsidRDefault="00FA3478" w:rsidP="00C8665E">
            <w:pPr>
              <w:pStyle w:val="TableColHeadings"/>
              <w:rPr>
                <w:rFonts w:cstheme="minorHAnsi"/>
              </w:rPr>
            </w:pPr>
            <w:r w:rsidRPr="00FE3F73">
              <w:rPr>
                <w:rFonts w:cstheme="minorHAnsi"/>
              </w:rPr>
              <w:t>ACT</w:t>
            </w:r>
          </w:p>
        </w:tc>
        <w:tc>
          <w:tcPr>
            <w:tcW w:w="405" w:type="pct"/>
            <w:tcBorders>
              <w:top w:val="single" w:sz="6" w:space="0" w:color="auto"/>
              <w:bottom w:val="single" w:sz="6" w:space="0" w:color="auto"/>
            </w:tcBorders>
            <w:vAlign w:val="bottom"/>
          </w:tcPr>
          <w:p w:rsidR="00FA3478" w:rsidRPr="00FE3F73" w:rsidRDefault="00FA3478" w:rsidP="00C8665E">
            <w:pPr>
              <w:pStyle w:val="TableColHeadings"/>
              <w:rPr>
                <w:rFonts w:cstheme="minorHAnsi"/>
              </w:rPr>
            </w:pPr>
            <w:r w:rsidRPr="00FE3F73">
              <w:rPr>
                <w:rFonts w:cstheme="minorHAnsi"/>
              </w:rPr>
              <w:t>NT</w:t>
            </w:r>
          </w:p>
        </w:tc>
        <w:tc>
          <w:tcPr>
            <w:tcW w:w="405" w:type="pct"/>
            <w:tcBorders>
              <w:top w:val="single" w:sz="6" w:space="0" w:color="auto"/>
              <w:bottom w:val="single" w:sz="6" w:space="0" w:color="auto"/>
            </w:tcBorders>
            <w:vAlign w:val="bottom"/>
          </w:tcPr>
          <w:p w:rsidR="00FA3478" w:rsidRPr="00FE3F73" w:rsidRDefault="00FA3478" w:rsidP="00C8665E">
            <w:pPr>
              <w:pStyle w:val="TableColHeadings"/>
              <w:rPr>
                <w:rFonts w:cstheme="minorHAnsi"/>
              </w:rPr>
            </w:pPr>
            <w:r>
              <w:rPr>
                <w:rFonts w:cstheme="minorHAnsi"/>
              </w:rPr>
              <w:t>Total</w:t>
            </w:r>
          </w:p>
        </w:tc>
      </w:tr>
      <w:tr w:rsidR="00FA3478" w:rsidRPr="00FE3F73" w:rsidTr="00C8665E">
        <w:tc>
          <w:tcPr>
            <w:tcW w:w="1354" w:type="pct"/>
            <w:tcMar>
              <w:top w:w="0" w:type="dxa"/>
              <w:bottom w:w="0" w:type="dxa"/>
            </w:tcMar>
            <w:vAlign w:val="bottom"/>
          </w:tcPr>
          <w:p w:rsidR="00FA3478" w:rsidRPr="00FE3F73" w:rsidRDefault="00FA3478" w:rsidP="00C8665E">
            <w:pPr>
              <w:pStyle w:val="CGCTableStub"/>
              <w:spacing w:before="0" w:after="0" w:line="240" w:lineRule="auto"/>
              <w:jc w:val="right"/>
              <w:rPr>
                <w:rFonts w:cstheme="minorHAnsi"/>
              </w:rPr>
            </w:pPr>
          </w:p>
        </w:tc>
        <w:tc>
          <w:tcPr>
            <w:tcW w:w="405" w:type="pct"/>
            <w:tcMar>
              <w:top w:w="0" w:type="dxa"/>
              <w:bottom w:w="0" w:type="dxa"/>
            </w:tcMar>
            <w:vAlign w:val="bottom"/>
          </w:tcPr>
          <w:p w:rsidR="00FA3478" w:rsidRPr="00FE3F73" w:rsidRDefault="00FA3478" w:rsidP="00C8665E">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rsidR="00FA3478" w:rsidRPr="00FE3F73" w:rsidRDefault="00FA3478" w:rsidP="00C8665E">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rsidR="00FA3478" w:rsidRPr="00FE3F73" w:rsidRDefault="00FA3478" w:rsidP="00C8665E">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rsidR="00FA3478" w:rsidRPr="00FE3F73" w:rsidRDefault="00FA3478" w:rsidP="00C8665E">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rsidR="00FA3478" w:rsidRPr="00FE3F73" w:rsidRDefault="00FA3478" w:rsidP="00C8665E">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rsidR="00FA3478" w:rsidRPr="00FE3F73" w:rsidRDefault="00FA3478" w:rsidP="00C8665E">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rsidR="00FA3478" w:rsidRPr="00FE3F73" w:rsidRDefault="00FA3478" w:rsidP="00C8665E">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rsidR="00FA3478" w:rsidRPr="00FE3F73" w:rsidRDefault="00FA3478" w:rsidP="00C8665E">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rsidR="00FA3478" w:rsidRPr="00FE3F73" w:rsidRDefault="00FA3478" w:rsidP="00C8665E">
            <w:pPr>
              <w:pStyle w:val="TableRowNormal"/>
              <w:spacing w:before="0" w:after="0" w:line="240" w:lineRule="auto"/>
              <w:ind w:left="0" w:firstLine="0"/>
              <w:rPr>
                <w:rFonts w:cstheme="minorHAnsi"/>
              </w:rPr>
            </w:pPr>
            <w:r>
              <w:rPr>
                <w:rFonts w:cstheme="minorHAnsi"/>
              </w:rPr>
              <w:t>$m</w:t>
            </w:r>
          </w:p>
        </w:tc>
      </w:tr>
      <w:tr w:rsidR="00FA3478" w:rsidRPr="00FE3F73" w:rsidTr="00C8665E">
        <w:tc>
          <w:tcPr>
            <w:tcW w:w="1354" w:type="pct"/>
            <w:vAlign w:val="bottom"/>
          </w:tcPr>
          <w:p w:rsidR="00FA3478" w:rsidRPr="00FE3F73" w:rsidRDefault="00FA3478" w:rsidP="00C8665E">
            <w:pPr>
              <w:pStyle w:val="CGCTableStub"/>
              <w:tabs>
                <w:tab w:val="left" w:pos="142"/>
                <w:tab w:val="left" w:pos="425"/>
                <w:tab w:val="left" w:pos="709"/>
                <w:tab w:val="left" w:pos="851"/>
              </w:tabs>
              <w:ind w:left="142" w:hanging="142"/>
              <w:rPr>
                <w:rFonts w:cstheme="minorHAnsi"/>
              </w:rPr>
            </w:pPr>
            <w:r>
              <w:rPr>
                <w:rFonts w:cstheme="minorHAnsi"/>
              </w:rPr>
              <w:t>Sale of major State assets</w:t>
            </w:r>
          </w:p>
        </w:tc>
        <w:tc>
          <w:tcPr>
            <w:tcW w:w="405" w:type="pct"/>
            <w:vAlign w:val="bottom"/>
          </w:tcPr>
          <w:p w:rsidR="00FA3478" w:rsidRPr="00CD18A3" w:rsidRDefault="00FA3478" w:rsidP="00C8665E">
            <w:pPr>
              <w:pStyle w:val="TableRowNormal"/>
              <w:ind w:left="0" w:firstLine="0"/>
              <w:rPr>
                <w:rFonts w:cstheme="minorHAnsi"/>
              </w:rPr>
            </w:pPr>
            <w:r w:rsidRPr="00CD18A3">
              <w:rPr>
                <w:rFonts w:cstheme="minorHAnsi"/>
              </w:rPr>
              <w:t>710</w:t>
            </w:r>
          </w:p>
        </w:tc>
        <w:tc>
          <w:tcPr>
            <w:tcW w:w="405" w:type="pct"/>
            <w:vAlign w:val="bottom"/>
          </w:tcPr>
          <w:p w:rsidR="00FA3478" w:rsidRPr="00CD18A3" w:rsidRDefault="00FA3478" w:rsidP="00C8665E">
            <w:pPr>
              <w:pStyle w:val="TableRowNormal"/>
              <w:ind w:left="0" w:firstLine="0"/>
              <w:rPr>
                <w:rFonts w:cstheme="minorHAnsi"/>
              </w:rPr>
            </w:pPr>
            <w:r w:rsidRPr="00CD18A3">
              <w:rPr>
                <w:rFonts w:cstheme="minorHAnsi"/>
              </w:rPr>
              <w:t>0</w:t>
            </w:r>
          </w:p>
        </w:tc>
        <w:tc>
          <w:tcPr>
            <w:tcW w:w="405" w:type="pct"/>
            <w:vAlign w:val="bottom"/>
          </w:tcPr>
          <w:p w:rsidR="00FA3478" w:rsidRPr="00CD18A3" w:rsidRDefault="00FA3478" w:rsidP="00C8665E">
            <w:pPr>
              <w:pStyle w:val="TableRowNormal"/>
              <w:ind w:left="0" w:firstLine="0"/>
              <w:rPr>
                <w:rFonts w:cstheme="minorHAnsi"/>
              </w:rPr>
            </w:pPr>
            <w:r w:rsidRPr="00CD18A3">
              <w:rPr>
                <w:rFonts w:cstheme="minorHAnsi"/>
              </w:rPr>
              <w:t>0</w:t>
            </w:r>
          </w:p>
        </w:tc>
        <w:tc>
          <w:tcPr>
            <w:tcW w:w="405" w:type="pct"/>
            <w:vAlign w:val="bottom"/>
          </w:tcPr>
          <w:p w:rsidR="00FA3478" w:rsidRPr="00CD18A3" w:rsidRDefault="00FA3478" w:rsidP="00C8665E">
            <w:pPr>
              <w:pStyle w:val="TableRowNormal"/>
              <w:ind w:left="0" w:firstLine="0"/>
              <w:rPr>
                <w:rFonts w:cstheme="minorHAnsi"/>
              </w:rPr>
            </w:pPr>
            <w:r w:rsidRPr="00CD18A3">
              <w:rPr>
                <w:rFonts w:cstheme="minorHAnsi"/>
              </w:rPr>
              <w:t>0</w:t>
            </w:r>
          </w:p>
        </w:tc>
        <w:tc>
          <w:tcPr>
            <w:tcW w:w="405" w:type="pct"/>
            <w:vAlign w:val="bottom"/>
          </w:tcPr>
          <w:p w:rsidR="00FA3478" w:rsidRPr="00CD18A3" w:rsidRDefault="00FA3478" w:rsidP="00C8665E">
            <w:pPr>
              <w:pStyle w:val="TableRowNormal"/>
              <w:ind w:left="0" w:firstLine="0"/>
              <w:rPr>
                <w:rFonts w:cstheme="minorHAnsi"/>
              </w:rPr>
            </w:pPr>
            <w:r w:rsidRPr="00CD18A3">
              <w:rPr>
                <w:rFonts w:cstheme="minorHAnsi"/>
              </w:rPr>
              <w:t>0</w:t>
            </w:r>
          </w:p>
        </w:tc>
        <w:tc>
          <w:tcPr>
            <w:tcW w:w="405" w:type="pct"/>
            <w:vAlign w:val="bottom"/>
          </w:tcPr>
          <w:p w:rsidR="00FA3478" w:rsidRPr="00CD18A3" w:rsidRDefault="00FA3478" w:rsidP="00C8665E">
            <w:pPr>
              <w:pStyle w:val="TableRowNormal"/>
              <w:ind w:left="0" w:firstLine="0"/>
              <w:rPr>
                <w:rFonts w:cstheme="minorHAnsi"/>
              </w:rPr>
            </w:pPr>
            <w:r w:rsidRPr="00CD18A3">
              <w:rPr>
                <w:rFonts w:cstheme="minorHAnsi"/>
              </w:rPr>
              <w:t>0</w:t>
            </w:r>
          </w:p>
        </w:tc>
        <w:tc>
          <w:tcPr>
            <w:tcW w:w="405" w:type="pct"/>
            <w:vAlign w:val="bottom"/>
          </w:tcPr>
          <w:p w:rsidR="00FA3478" w:rsidRPr="00CD18A3" w:rsidRDefault="00FA3478" w:rsidP="00C8665E">
            <w:pPr>
              <w:pStyle w:val="TableRowNormal"/>
              <w:ind w:left="0" w:firstLine="0"/>
              <w:rPr>
                <w:rFonts w:cstheme="minorHAnsi"/>
              </w:rPr>
            </w:pPr>
            <w:r w:rsidRPr="00CD18A3">
              <w:rPr>
                <w:rFonts w:cstheme="minorHAnsi"/>
              </w:rPr>
              <w:t>0</w:t>
            </w:r>
          </w:p>
        </w:tc>
        <w:tc>
          <w:tcPr>
            <w:tcW w:w="405" w:type="pct"/>
            <w:vAlign w:val="bottom"/>
          </w:tcPr>
          <w:p w:rsidR="00FA3478" w:rsidRPr="00CD18A3" w:rsidRDefault="00FA3478" w:rsidP="00C8665E">
            <w:pPr>
              <w:pStyle w:val="TableRowNormal"/>
              <w:ind w:left="0" w:firstLine="0"/>
              <w:rPr>
                <w:rFonts w:cstheme="minorHAnsi"/>
              </w:rPr>
            </w:pPr>
            <w:r w:rsidRPr="00CD18A3">
              <w:rPr>
                <w:rFonts w:cstheme="minorHAnsi"/>
              </w:rPr>
              <w:t>0</w:t>
            </w:r>
          </w:p>
        </w:tc>
        <w:tc>
          <w:tcPr>
            <w:tcW w:w="405" w:type="pct"/>
            <w:vAlign w:val="bottom"/>
          </w:tcPr>
          <w:p w:rsidR="00FA3478" w:rsidRPr="00CD18A3" w:rsidRDefault="00FA3478" w:rsidP="00C8665E">
            <w:pPr>
              <w:pStyle w:val="TableRowNormal"/>
              <w:ind w:left="0" w:firstLine="0"/>
              <w:rPr>
                <w:rFonts w:cstheme="minorHAnsi"/>
              </w:rPr>
            </w:pPr>
            <w:r w:rsidRPr="00CD18A3">
              <w:rPr>
                <w:rFonts w:cstheme="minorHAnsi"/>
              </w:rPr>
              <w:t>710</w:t>
            </w:r>
          </w:p>
        </w:tc>
      </w:tr>
      <w:tr w:rsidR="00FA3478" w:rsidRPr="00FE3F73" w:rsidTr="00C8665E">
        <w:tc>
          <w:tcPr>
            <w:tcW w:w="1354" w:type="pct"/>
            <w:vAlign w:val="bottom"/>
          </w:tcPr>
          <w:p w:rsidR="00FA3478" w:rsidRPr="00FE3F73" w:rsidRDefault="00FA3478" w:rsidP="00C8665E">
            <w:pPr>
              <w:pStyle w:val="CGCTableStub"/>
              <w:tabs>
                <w:tab w:val="left" w:pos="142"/>
                <w:tab w:val="left" w:pos="425"/>
                <w:tab w:val="left" w:pos="709"/>
                <w:tab w:val="left" w:pos="851"/>
              </w:tabs>
              <w:ind w:left="142" w:hanging="142"/>
              <w:rPr>
                <w:rFonts w:cstheme="minorHAnsi"/>
              </w:rPr>
            </w:pPr>
            <w:r>
              <w:rPr>
                <w:rFonts w:cstheme="minorHAnsi"/>
              </w:rPr>
              <w:t>Corporate reconstructions</w:t>
            </w:r>
          </w:p>
        </w:tc>
        <w:tc>
          <w:tcPr>
            <w:tcW w:w="405" w:type="pct"/>
            <w:vAlign w:val="bottom"/>
          </w:tcPr>
          <w:p w:rsidR="00FA3478" w:rsidRPr="00CD18A3" w:rsidRDefault="00FA3478" w:rsidP="00C8665E">
            <w:pPr>
              <w:pStyle w:val="TableRowNormal"/>
              <w:ind w:left="0" w:firstLine="0"/>
              <w:rPr>
                <w:rFonts w:cstheme="minorHAnsi"/>
              </w:rPr>
            </w:pPr>
            <w:r w:rsidRPr="00CD18A3">
              <w:rPr>
                <w:rFonts w:cstheme="minorHAnsi"/>
              </w:rPr>
              <w:t>0</w:t>
            </w:r>
          </w:p>
        </w:tc>
        <w:tc>
          <w:tcPr>
            <w:tcW w:w="405" w:type="pct"/>
            <w:vAlign w:val="bottom"/>
          </w:tcPr>
          <w:p w:rsidR="00FA3478" w:rsidRPr="00CD18A3" w:rsidRDefault="00FA3478" w:rsidP="00C8665E">
            <w:pPr>
              <w:pStyle w:val="TableRowNormal"/>
              <w:ind w:left="0" w:firstLine="0"/>
              <w:rPr>
                <w:rFonts w:cstheme="minorHAnsi"/>
              </w:rPr>
            </w:pPr>
            <w:r w:rsidRPr="00CD18A3">
              <w:rPr>
                <w:rFonts w:cstheme="minorHAnsi"/>
              </w:rPr>
              <w:t>0</w:t>
            </w:r>
          </w:p>
        </w:tc>
        <w:tc>
          <w:tcPr>
            <w:tcW w:w="405" w:type="pct"/>
            <w:vAlign w:val="bottom"/>
          </w:tcPr>
          <w:p w:rsidR="00FA3478" w:rsidRPr="00CD18A3" w:rsidRDefault="00FA3478" w:rsidP="00C8665E">
            <w:pPr>
              <w:pStyle w:val="TableRowNormal"/>
              <w:ind w:left="0" w:firstLine="0"/>
              <w:rPr>
                <w:rFonts w:cstheme="minorHAnsi"/>
              </w:rPr>
            </w:pPr>
            <w:r w:rsidRPr="00CD18A3">
              <w:rPr>
                <w:rFonts w:cstheme="minorHAnsi"/>
              </w:rPr>
              <w:t>0</w:t>
            </w:r>
          </w:p>
        </w:tc>
        <w:tc>
          <w:tcPr>
            <w:tcW w:w="405" w:type="pct"/>
            <w:vAlign w:val="bottom"/>
          </w:tcPr>
          <w:p w:rsidR="00FA3478" w:rsidRPr="00CD18A3" w:rsidRDefault="00FA3478" w:rsidP="00C8665E">
            <w:pPr>
              <w:pStyle w:val="TableRowNormal"/>
              <w:ind w:left="0" w:firstLine="0"/>
              <w:rPr>
                <w:rFonts w:cstheme="minorHAnsi"/>
              </w:rPr>
            </w:pPr>
            <w:r w:rsidRPr="00CD18A3">
              <w:rPr>
                <w:rFonts w:cstheme="minorHAnsi"/>
              </w:rPr>
              <w:t>0</w:t>
            </w:r>
          </w:p>
        </w:tc>
        <w:tc>
          <w:tcPr>
            <w:tcW w:w="405" w:type="pct"/>
            <w:vAlign w:val="bottom"/>
          </w:tcPr>
          <w:p w:rsidR="00FA3478" w:rsidRPr="00CD18A3" w:rsidRDefault="00FA3478" w:rsidP="00C8665E">
            <w:pPr>
              <w:pStyle w:val="TableRowNormal"/>
              <w:ind w:left="0" w:firstLine="0"/>
              <w:rPr>
                <w:rFonts w:cstheme="minorHAnsi"/>
              </w:rPr>
            </w:pPr>
            <w:r w:rsidRPr="00CD18A3">
              <w:rPr>
                <w:rFonts w:cstheme="minorHAnsi"/>
              </w:rPr>
              <w:t>0</w:t>
            </w:r>
          </w:p>
        </w:tc>
        <w:tc>
          <w:tcPr>
            <w:tcW w:w="405" w:type="pct"/>
            <w:vAlign w:val="bottom"/>
          </w:tcPr>
          <w:p w:rsidR="00FA3478" w:rsidRPr="00CD18A3" w:rsidRDefault="00FA3478" w:rsidP="00C8665E">
            <w:pPr>
              <w:pStyle w:val="TableRowNormal"/>
              <w:ind w:left="0" w:firstLine="0"/>
              <w:rPr>
                <w:rFonts w:cstheme="minorHAnsi"/>
              </w:rPr>
            </w:pPr>
            <w:r w:rsidRPr="00CD18A3">
              <w:rPr>
                <w:rFonts w:cstheme="minorHAnsi"/>
              </w:rPr>
              <w:t>0</w:t>
            </w:r>
          </w:p>
        </w:tc>
        <w:tc>
          <w:tcPr>
            <w:tcW w:w="405" w:type="pct"/>
            <w:vAlign w:val="bottom"/>
          </w:tcPr>
          <w:p w:rsidR="00FA3478" w:rsidRPr="00CD18A3" w:rsidRDefault="00FA3478" w:rsidP="00C8665E">
            <w:pPr>
              <w:pStyle w:val="TableRowNormal"/>
              <w:ind w:left="0" w:firstLine="0"/>
              <w:rPr>
                <w:rFonts w:cstheme="minorHAnsi"/>
              </w:rPr>
            </w:pPr>
            <w:r w:rsidRPr="00CD18A3">
              <w:rPr>
                <w:rFonts w:cstheme="minorHAnsi"/>
              </w:rPr>
              <w:t>0</w:t>
            </w:r>
          </w:p>
        </w:tc>
        <w:tc>
          <w:tcPr>
            <w:tcW w:w="405" w:type="pct"/>
            <w:vAlign w:val="bottom"/>
          </w:tcPr>
          <w:p w:rsidR="00FA3478" w:rsidRPr="00CD18A3" w:rsidRDefault="00FA3478" w:rsidP="00C8665E">
            <w:pPr>
              <w:pStyle w:val="TableRowNormal"/>
              <w:ind w:left="0" w:firstLine="0"/>
              <w:rPr>
                <w:rFonts w:cstheme="minorHAnsi"/>
              </w:rPr>
            </w:pPr>
            <w:r w:rsidRPr="00CD18A3">
              <w:rPr>
                <w:rFonts w:cstheme="minorHAnsi"/>
              </w:rPr>
              <w:t>0</w:t>
            </w:r>
          </w:p>
        </w:tc>
        <w:tc>
          <w:tcPr>
            <w:tcW w:w="405" w:type="pct"/>
            <w:vAlign w:val="bottom"/>
          </w:tcPr>
          <w:p w:rsidR="00FA3478" w:rsidRPr="00CD18A3" w:rsidRDefault="00FA3478" w:rsidP="00C8665E">
            <w:pPr>
              <w:pStyle w:val="TableRowNormal"/>
              <w:ind w:left="0" w:firstLine="0"/>
              <w:rPr>
                <w:rFonts w:cstheme="minorHAnsi"/>
              </w:rPr>
            </w:pPr>
            <w:r w:rsidRPr="00CD18A3">
              <w:rPr>
                <w:rFonts w:cstheme="minorHAnsi"/>
              </w:rPr>
              <w:t>0</w:t>
            </w:r>
          </w:p>
        </w:tc>
      </w:tr>
      <w:tr w:rsidR="00FA3478" w:rsidRPr="00FE3F73" w:rsidTr="00C8665E">
        <w:tc>
          <w:tcPr>
            <w:tcW w:w="1354" w:type="pct"/>
            <w:vAlign w:val="bottom"/>
          </w:tcPr>
          <w:p w:rsidR="00FA3478" w:rsidRPr="00FE3F73" w:rsidRDefault="00FA3478" w:rsidP="00C8665E">
            <w:pPr>
              <w:pStyle w:val="CGCTableStub"/>
              <w:tabs>
                <w:tab w:val="left" w:pos="142"/>
                <w:tab w:val="left" w:pos="425"/>
                <w:tab w:val="left" w:pos="709"/>
                <w:tab w:val="left" w:pos="851"/>
              </w:tabs>
              <w:ind w:left="142" w:hanging="142"/>
              <w:rPr>
                <w:rFonts w:cstheme="minorHAnsi"/>
              </w:rPr>
            </w:pPr>
            <w:r>
              <w:rPr>
                <w:rFonts w:cstheme="minorHAnsi"/>
              </w:rPr>
              <w:t>Land rich transactions of listed companies</w:t>
            </w:r>
          </w:p>
        </w:tc>
        <w:tc>
          <w:tcPr>
            <w:tcW w:w="405" w:type="pct"/>
            <w:tcBorders>
              <w:bottom w:val="single" w:sz="4" w:space="0" w:color="auto"/>
            </w:tcBorders>
            <w:vAlign w:val="bottom"/>
          </w:tcPr>
          <w:p w:rsidR="00FA3478" w:rsidRPr="00CD18A3" w:rsidRDefault="00FA3478" w:rsidP="00C8665E">
            <w:pPr>
              <w:pStyle w:val="TableRowNormal"/>
              <w:ind w:left="0" w:firstLine="0"/>
              <w:rPr>
                <w:rFonts w:cstheme="minorHAnsi"/>
              </w:rPr>
            </w:pPr>
            <w:r w:rsidRPr="00CD18A3">
              <w:rPr>
                <w:rFonts w:cstheme="minorHAnsi"/>
              </w:rPr>
              <w:t>13</w:t>
            </w:r>
          </w:p>
        </w:tc>
        <w:tc>
          <w:tcPr>
            <w:tcW w:w="405" w:type="pct"/>
            <w:tcBorders>
              <w:bottom w:val="single" w:sz="4" w:space="0" w:color="auto"/>
            </w:tcBorders>
            <w:vAlign w:val="bottom"/>
          </w:tcPr>
          <w:p w:rsidR="00FA3478" w:rsidRPr="00CD18A3" w:rsidRDefault="00FA3478" w:rsidP="00C8665E">
            <w:pPr>
              <w:pStyle w:val="TableRowNormal"/>
              <w:ind w:left="0" w:firstLine="0"/>
              <w:rPr>
                <w:rFonts w:cstheme="minorHAnsi"/>
              </w:rPr>
            </w:pPr>
            <w:r w:rsidRPr="00CD18A3">
              <w:rPr>
                <w:rFonts w:cstheme="minorHAnsi"/>
              </w:rPr>
              <w:t>0</w:t>
            </w:r>
          </w:p>
        </w:tc>
        <w:tc>
          <w:tcPr>
            <w:tcW w:w="405" w:type="pct"/>
            <w:tcBorders>
              <w:bottom w:val="single" w:sz="4" w:space="0" w:color="auto"/>
            </w:tcBorders>
            <w:vAlign w:val="bottom"/>
          </w:tcPr>
          <w:p w:rsidR="00FA3478" w:rsidRPr="00CD18A3" w:rsidRDefault="00FA3478" w:rsidP="00C8665E">
            <w:pPr>
              <w:pStyle w:val="TableRowNormal"/>
              <w:ind w:left="0" w:firstLine="0"/>
              <w:rPr>
                <w:rFonts w:cstheme="minorHAnsi"/>
              </w:rPr>
            </w:pPr>
            <w:r w:rsidRPr="00CD18A3">
              <w:rPr>
                <w:rFonts w:cstheme="minorHAnsi"/>
              </w:rPr>
              <w:t>4</w:t>
            </w:r>
          </w:p>
        </w:tc>
        <w:tc>
          <w:tcPr>
            <w:tcW w:w="405" w:type="pct"/>
            <w:tcBorders>
              <w:bottom w:val="single" w:sz="4" w:space="0" w:color="auto"/>
            </w:tcBorders>
            <w:vAlign w:val="bottom"/>
          </w:tcPr>
          <w:p w:rsidR="00FA3478" w:rsidRPr="00CD18A3" w:rsidRDefault="00FA3478" w:rsidP="00C8665E">
            <w:pPr>
              <w:pStyle w:val="TableRowNormal"/>
              <w:ind w:left="0" w:firstLine="0"/>
              <w:rPr>
                <w:rFonts w:cstheme="minorHAnsi"/>
              </w:rPr>
            </w:pPr>
            <w:r w:rsidRPr="00CD18A3">
              <w:rPr>
                <w:rFonts w:cstheme="minorHAnsi"/>
              </w:rPr>
              <w:t>277</w:t>
            </w:r>
          </w:p>
        </w:tc>
        <w:tc>
          <w:tcPr>
            <w:tcW w:w="405" w:type="pct"/>
            <w:tcBorders>
              <w:bottom w:val="single" w:sz="4" w:space="0" w:color="auto"/>
            </w:tcBorders>
            <w:vAlign w:val="bottom"/>
          </w:tcPr>
          <w:p w:rsidR="00FA3478" w:rsidRPr="00CD18A3" w:rsidRDefault="00FA3478" w:rsidP="00C8665E">
            <w:pPr>
              <w:pStyle w:val="TableRowNormal"/>
              <w:ind w:left="0" w:firstLine="0"/>
              <w:rPr>
                <w:rFonts w:cstheme="minorHAnsi"/>
              </w:rPr>
            </w:pPr>
            <w:r w:rsidRPr="00CD18A3">
              <w:rPr>
                <w:rFonts w:cstheme="minorHAnsi"/>
              </w:rPr>
              <w:t>1</w:t>
            </w:r>
          </w:p>
        </w:tc>
        <w:tc>
          <w:tcPr>
            <w:tcW w:w="405" w:type="pct"/>
            <w:tcBorders>
              <w:bottom w:val="single" w:sz="4" w:space="0" w:color="auto"/>
            </w:tcBorders>
            <w:vAlign w:val="bottom"/>
          </w:tcPr>
          <w:p w:rsidR="00FA3478" w:rsidRPr="00CD18A3" w:rsidRDefault="00FA3478" w:rsidP="00C8665E">
            <w:pPr>
              <w:pStyle w:val="TableRowNormal"/>
              <w:ind w:left="0" w:firstLine="0"/>
              <w:rPr>
                <w:rFonts w:cstheme="minorHAnsi"/>
              </w:rPr>
            </w:pPr>
            <w:r w:rsidRPr="00CD18A3">
              <w:rPr>
                <w:rFonts w:cstheme="minorHAnsi"/>
              </w:rPr>
              <w:t>0</w:t>
            </w:r>
          </w:p>
        </w:tc>
        <w:tc>
          <w:tcPr>
            <w:tcW w:w="405" w:type="pct"/>
            <w:tcBorders>
              <w:bottom w:val="single" w:sz="4" w:space="0" w:color="auto"/>
            </w:tcBorders>
            <w:vAlign w:val="bottom"/>
          </w:tcPr>
          <w:p w:rsidR="00FA3478" w:rsidRPr="00CD18A3" w:rsidRDefault="00FA3478" w:rsidP="00C8665E">
            <w:pPr>
              <w:pStyle w:val="TableRowNormal"/>
              <w:ind w:left="0" w:firstLine="0"/>
              <w:rPr>
                <w:rFonts w:cstheme="minorHAnsi"/>
              </w:rPr>
            </w:pPr>
            <w:r w:rsidRPr="00CD18A3">
              <w:rPr>
                <w:rFonts w:cstheme="minorHAnsi"/>
              </w:rPr>
              <w:t>0</w:t>
            </w:r>
          </w:p>
        </w:tc>
        <w:tc>
          <w:tcPr>
            <w:tcW w:w="405" w:type="pct"/>
            <w:tcBorders>
              <w:bottom w:val="single" w:sz="4" w:space="0" w:color="auto"/>
            </w:tcBorders>
            <w:vAlign w:val="bottom"/>
          </w:tcPr>
          <w:p w:rsidR="00FA3478" w:rsidRPr="00CD18A3" w:rsidRDefault="00FA3478" w:rsidP="00C8665E">
            <w:pPr>
              <w:pStyle w:val="TableRowNormal"/>
              <w:ind w:left="0" w:firstLine="0"/>
              <w:rPr>
                <w:rFonts w:cstheme="minorHAnsi"/>
              </w:rPr>
            </w:pPr>
            <w:r w:rsidRPr="00CD18A3">
              <w:rPr>
                <w:rFonts w:cstheme="minorHAnsi"/>
              </w:rPr>
              <w:t>0</w:t>
            </w:r>
          </w:p>
        </w:tc>
        <w:tc>
          <w:tcPr>
            <w:tcW w:w="405" w:type="pct"/>
            <w:tcBorders>
              <w:bottom w:val="single" w:sz="4" w:space="0" w:color="auto"/>
            </w:tcBorders>
            <w:vAlign w:val="bottom"/>
          </w:tcPr>
          <w:p w:rsidR="00FA3478" w:rsidRPr="00CD18A3" w:rsidRDefault="00FA3478" w:rsidP="00C8665E">
            <w:pPr>
              <w:pStyle w:val="TableRowNormal"/>
              <w:ind w:left="0" w:firstLine="0"/>
              <w:rPr>
                <w:rFonts w:cstheme="minorHAnsi"/>
              </w:rPr>
            </w:pPr>
            <w:r w:rsidRPr="00CD18A3">
              <w:rPr>
                <w:rFonts w:cstheme="minorHAnsi"/>
              </w:rPr>
              <w:t>295</w:t>
            </w:r>
          </w:p>
        </w:tc>
      </w:tr>
      <w:tr w:rsidR="00FA3478" w:rsidRPr="00FE3F73" w:rsidTr="00C8665E">
        <w:tc>
          <w:tcPr>
            <w:tcW w:w="1354" w:type="pct"/>
            <w:tcBorders>
              <w:bottom w:val="single" w:sz="4" w:space="0" w:color="auto"/>
            </w:tcBorders>
            <w:vAlign w:val="bottom"/>
          </w:tcPr>
          <w:p w:rsidR="00FA3478" w:rsidRDefault="00FA3478" w:rsidP="00C8665E">
            <w:pPr>
              <w:pStyle w:val="CGCTableStub"/>
              <w:tabs>
                <w:tab w:val="left" w:pos="142"/>
                <w:tab w:val="left" w:pos="425"/>
                <w:tab w:val="left" w:pos="709"/>
                <w:tab w:val="left" w:pos="851"/>
              </w:tabs>
              <w:ind w:left="142" w:hanging="142"/>
              <w:rPr>
                <w:rFonts w:cstheme="minorHAnsi"/>
              </w:rPr>
            </w:pPr>
            <w:r>
              <w:rPr>
                <w:rFonts w:cstheme="minorHAnsi"/>
              </w:rPr>
              <w:t>Component total</w:t>
            </w:r>
          </w:p>
        </w:tc>
        <w:tc>
          <w:tcPr>
            <w:tcW w:w="405" w:type="pct"/>
            <w:tcBorders>
              <w:top w:val="single" w:sz="4" w:space="0" w:color="auto"/>
              <w:bottom w:val="single" w:sz="4" w:space="0" w:color="auto"/>
            </w:tcBorders>
            <w:vAlign w:val="bottom"/>
          </w:tcPr>
          <w:p w:rsidR="00FA3478" w:rsidRPr="00CD18A3" w:rsidRDefault="00FA3478" w:rsidP="00C8665E">
            <w:pPr>
              <w:pStyle w:val="TableRowNormal"/>
              <w:ind w:left="0" w:firstLine="0"/>
              <w:rPr>
                <w:rFonts w:cstheme="minorHAnsi"/>
              </w:rPr>
            </w:pPr>
            <w:r w:rsidRPr="00CD18A3">
              <w:rPr>
                <w:rFonts w:cstheme="minorHAnsi"/>
              </w:rPr>
              <w:t>723</w:t>
            </w:r>
          </w:p>
        </w:tc>
        <w:tc>
          <w:tcPr>
            <w:tcW w:w="405" w:type="pct"/>
            <w:tcBorders>
              <w:top w:val="single" w:sz="4" w:space="0" w:color="auto"/>
              <w:bottom w:val="single" w:sz="4" w:space="0" w:color="auto"/>
            </w:tcBorders>
            <w:vAlign w:val="bottom"/>
          </w:tcPr>
          <w:p w:rsidR="00FA3478" w:rsidRPr="00CD18A3" w:rsidRDefault="00FA3478" w:rsidP="00C8665E">
            <w:pPr>
              <w:pStyle w:val="TableRowNormal"/>
              <w:ind w:left="0" w:firstLine="0"/>
              <w:rPr>
                <w:rFonts w:cstheme="minorHAnsi"/>
              </w:rPr>
            </w:pPr>
            <w:r w:rsidRPr="00CD18A3">
              <w:rPr>
                <w:rFonts w:cstheme="minorHAnsi"/>
              </w:rPr>
              <w:t>0</w:t>
            </w:r>
          </w:p>
        </w:tc>
        <w:tc>
          <w:tcPr>
            <w:tcW w:w="405" w:type="pct"/>
            <w:tcBorders>
              <w:top w:val="single" w:sz="4" w:space="0" w:color="auto"/>
              <w:bottom w:val="single" w:sz="4" w:space="0" w:color="auto"/>
            </w:tcBorders>
            <w:vAlign w:val="bottom"/>
          </w:tcPr>
          <w:p w:rsidR="00FA3478" w:rsidRPr="00CD18A3" w:rsidRDefault="00FA3478" w:rsidP="00C8665E">
            <w:pPr>
              <w:pStyle w:val="TableRowNormal"/>
              <w:ind w:left="0" w:firstLine="0"/>
              <w:rPr>
                <w:rFonts w:cstheme="minorHAnsi"/>
              </w:rPr>
            </w:pPr>
            <w:r w:rsidRPr="00CD18A3">
              <w:rPr>
                <w:rFonts w:cstheme="minorHAnsi"/>
              </w:rPr>
              <w:t>4</w:t>
            </w:r>
          </w:p>
        </w:tc>
        <w:tc>
          <w:tcPr>
            <w:tcW w:w="405" w:type="pct"/>
            <w:tcBorders>
              <w:top w:val="single" w:sz="4" w:space="0" w:color="auto"/>
              <w:bottom w:val="single" w:sz="4" w:space="0" w:color="auto"/>
            </w:tcBorders>
            <w:vAlign w:val="bottom"/>
          </w:tcPr>
          <w:p w:rsidR="00FA3478" w:rsidRPr="00CD18A3" w:rsidRDefault="00FA3478" w:rsidP="00C8665E">
            <w:pPr>
              <w:pStyle w:val="TableRowNormal"/>
              <w:ind w:left="0" w:firstLine="0"/>
              <w:rPr>
                <w:rFonts w:cstheme="minorHAnsi"/>
              </w:rPr>
            </w:pPr>
            <w:r w:rsidRPr="00CD18A3">
              <w:rPr>
                <w:rFonts w:cstheme="minorHAnsi"/>
              </w:rPr>
              <w:t>277</w:t>
            </w:r>
          </w:p>
        </w:tc>
        <w:tc>
          <w:tcPr>
            <w:tcW w:w="405" w:type="pct"/>
            <w:tcBorders>
              <w:top w:val="single" w:sz="4" w:space="0" w:color="auto"/>
              <w:bottom w:val="single" w:sz="4" w:space="0" w:color="auto"/>
            </w:tcBorders>
            <w:vAlign w:val="bottom"/>
          </w:tcPr>
          <w:p w:rsidR="00FA3478" w:rsidRPr="00CD18A3" w:rsidRDefault="00FA3478" w:rsidP="00C8665E">
            <w:pPr>
              <w:pStyle w:val="TableRowNormal"/>
              <w:ind w:left="0" w:firstLine="0"/>
              <w:rPr>
                <w:rFonts w:cstheme="minorHAnsi"/>
              </w:rPr>
            </w:pPr>
            <w:r w:rsidRPr="00CD18A3">
              <w:rPr>
                <w:rFonts w:cstheme="minorHAnsi"/>
              </w:rPr>
              <w:t>1</w:t>
            </w:r>
          </w:p>
        </w:tc>
        <w:tc>
          <w:tcPr>
            <w:tcW w:w="405" w:type="pct"/>
            <w:tcBorders>
              <w:top w:val="single" w:sz="4" w:space="0" w:color="auto"/>
              <w:bottom w:val="single" w:sz="4" w:space="0" w:color="auto"/>
            </w:tcBorders>
            <w:vAlign w:val="bottom"/>
          </w:tcPr>
          <w:p w:rsidR="00FA3478" w:rsidRPr="00CD18A3" w:rsidRDefault="00FA3478" w:rsidP="00C8665E">
            <w:pPr>
              <w:pStyle w:val="TableRowNormal"/>
              <w:ind w:left="0" w:firstLine="0"/>
              <w:rPr>
                <w:rFonts w:cstheme="minorHAnsi"/>
              </w:rPr>
            </w:pPr>
            <w:r w:rsidRPr="00CD18A3">
              <w:rPr>
                <w:rFonts w:cstheme="minorHAnsi"/>
              </w:rPr>
              <w:t>0</w:t>
            </w:r>
          </w:p>
        </w:tc>
        <w:tc>
          <w:tcPr>
            <w:tcW w:w="405" w:type="pct"/>
            <w:tcBorders>
              <w:top w:val="single" w:sz="4" w:space="0" w:color="auto"/>
              <w:bottom w:val="single" w:sz="4" w:space="0" w:color="auto"/>
            </w:tcBorders>
            <w:vAlign w:val="bottom"/>
          </w:tcPr>
          <w:p w:rsidR="00FA3478" w:rsidRPr="00CD18A3" w:rsidRDefault="00FA3478" w:rsidP="00C8665E">
            <w:pPr>
              <w:pStyle w:val="TableRowNormal"/>
              <w:ind w:left="0" w:firstLine="0"/>
              <w:rPr>
                <w:rFonts w:cstheme="minorHAnsi"/>
              </w:rPr>
            </w:pPr>
            <w:r w:rsidRPr="00CD18A3">
              <w:rPr>
                <w:rFonts w:cstheme="minorHAnsi"/>
              </w:rPr>
              <w:t>0</w:t>
            </w:r>
          </w:p>
        </w:tc>
        <w:tc>
          <w:tcPr>
            <w:tcW w:w="405" w:type="pct"/>
            <w:tcBorders>
              <w:top w:val="single" w:sz="4" w:space="0" w:color="auto"/>
              <w:bottom w:val="single" w:sz="4" w:space="0" w:color="auto"/>
            </w:tcBorders>
            <w:vAlign w:val="bottom"/>
          </w:tcPr>
          <w:p w:rsidR="00FA3478" w:rsidRPr="00CD18A3" w:rsidRDefault="00FA3478" w:rsidP="00C8665E">
            <w:pPr>
              <w:pStyle w:val="TableRowNormal"/>
              <w:ind w:left="0" w:firstLine="0"/>
              <w:rPr>
                <w:rFonts w:cstheme="minorHAnsi"/>
              </w:rPr>
            </w:pPr>
            <w:r w:rsidRPr="00CD18A3">
              <w:rPr>
                <w:rFonts w:cstheme="minorHAnsi"/>
              </w:rPr>
              <w:t>0</w:t>
            </w:r>
          </w:p>
        </w:tc>
        <w:tc>
          <w:tcPr>
            <w:tcW w:w="405" w:type="pct"/>
            <w:tcBorders>
              <w:top w:val="single" w:sz="4" w:space="0" w:color="auto"/>
              <w:bottom w:val="single" w:sz="4" w:space="0" w:color="auto"/>
            </w:tcBorders>
            <w:vAlign w:val="bottom"/>
          </w:tcPr>
          <w:p w:rsidR="00FA3478" w:rsidRPr="00CD18A3" w:rsidRDefault="00FA3478" w:rsidP="00C8665E">
            <w:pPr>
              <w:pStyle w:val="TableRowNormal"/>
              <w:ind w:left="0" w:firstLine="0"/>
              <w:rPr>
                <w:rFonts w:cstheme="minorHAnsi"/>
              </w:rPr>
            </w:pPr>
            <w:r w:rsidRPr="00CD18A3">
              <w:rPr>
                <w:rFonts w:cstheme="minorHAnsi"/>
              </w:rPr>
              <w:t>1 005</w:t>
            </w:r>
          </w:p>
        </w:tc>
      </w:tr>
    </w:tbl>
    <w:p w:rsidR="00FA3478" w:rsidRDefault="00FA3478" w:rsidP="00FA3478">
      <w:pPr>
        <w:pStyle w:val="CGCTableFootnote"/>
      </w:pPr>
      <w:r>
        <w:t>Source:</w:t>
      </w:r>
      <w:r>
        <w:tab/>
        <w:t>State provided data</w:t>
      </w:r>
      <w:r w:rsidR="00C00F10">
        <w:t>, 2018 Update</w:t>
      </w:r>
      <w:bookmarkStart w:id="15" w:name="_GoBack"/>
      <w:bookmarkEnd w:id="15"/>
      <w:r>
        <w:t>.</w:t>
      </w:r>
    </w:p>
    <w:p w:rsidR="00FA3478" w:rsidRDefault="00FA3478" w:rsidP="00FA3478">
      <w:pPr>
        <w:pStyle w:val="CGCNumberedPara"/>
        <w:numPr>
          <w:ilvl w:val="1"/>
          <w:numId w:val="3"/>
        </w:numPr>
      </w:pPr>
      <w:r>
        <w:rPr>
          <w:szCs w:val="22"/>
        </w:rPr>
        <w:t xml:space="preserve">As this component was assessed EPC, </w:t>
      </w:r>
      <w:r>
        <w:t>States were assessed to have the same revenue capacity per capita (a component factor of 1.000).</w:t>
      </w:r>
    </w:p>
    <w:p w:rsidR="00FA3478" w:rsidRDefault="00FA3478" w:rsidP="00FA3478">
      <w:pPr>
        <w:pStyle w:val="Heading5"/>
      </w:pPr>
      <w:r>
        <w:t>The property component</w:t>
      </w:r>
    </w:p>
    <w:p w:rsidR="00FA3478" w:rsidRDefault="00FA3478" w:rsidP="00FA3478">
      <w:pPr>
        <w:pStyle w:val="CGCNumberedPara"/>
        <w:numPr>
          <w:ilvl w:val="1"/>
          <w:numId w:val="3"/>
        </w:numPr>
      </w:pPr>
      <w:r w:rsidRPr="004359B7">
        <w:rPr>
          <w:szCs w:val="22"/>
        </w:rPr>
        <w:t xml:space="preserve">This component comprised the remaining duties on the transfer of property ownership. </w:t>
      </w:r>
      <w:r>
        <w:t>It comprised duties relating to:</w:t>
      </w:r>
    </w:p>
    <w:p w:rsidR="00FA3478" w:rsidRDefault="00FA3478" w:rsidP="00FA3478">
      <w:pPr>
        <w:pStyle w:val="CGCBulletlist"/>
        <w:numPr>
          <w:ilvl w:val="0"/>
          <w:numId w:val="1"/>
        </w:numPr>
        <w:tabs>
          <w:tab w:val="clear" w:pos="927"/>
        </w:tabs>
        <w:ind w:left="1134" w:hanging="567"/>
      </w:pPr>
      <w:r>
        <w:t>real property transfers</w:t>
      </w:r>
    </w:p>
    <w:p w:rsidR="00FA3478" w:rsidRDefault="00FA3478" w:rsidP="00FA3478">
      <w:pPr>
        <w:pStyle w:val="CGCBulletlist"/>
        <w:numPr>
          <w:ilvl w:val="0"/>
          <w:numId w:val="1"/>
        </w:numPr>
        <w:tabs>
          <w:tab w:val="clear" w:pos="927"/>
        </w:tabs>
        <w:ind w:left="1134" w:hanging="567"/>
      </w:pPr>
      <w:r>
        <w:t>non-real property transfers</w:t>
      </w:r>
    </w:p>
    <w:p w:rsidR="00FA3478" w:rsidRDefault="00FA3478" w:rsidP="00FA3478">
      <w:pPr>
        <w:pStyle w:val="CGCBulletlist"/>
        <w:numPr>
          <w:ilvl w:val="0"/>
          <w:numId w:val="1"/>
        </w:numPr>
        <w:tabs>
          <w:tab w:val="clear" w:pos="927"/>
        </w:tabs>
        <w:ind w:left="1134" w:hanging="567"/>
      </w:pPr>
      <w:proofErr w:type="gramStart"/>
      <w:r>
        <w:t>concessions</w:t>
      </w:r>
      <w:proofErr w:type="gramEnd"/>
      <w:r>
        <w:t xml:space="preserve"> for first home owners.</w:t>
      </w:r>
    </w:p>
    <w:p w:rsidR="00FA3478" w:rsidRDefault="00FA3478" w:rsidP="00FA3478">
      <w:pPr>
        <w:pStyle w:val="CGCNumberedPara"/>
        <w:numPr>
          <w:ilvl w:val="1"/>
          <w:numId w:val="3"/>
        </w:numPr>
      </w:pPr>
      <w:r>
        <w:t xml:space="preserve">The Commission sought data </w:t>
      </w:r>
      <w:r w:rsidR="00C70202">
        <w:t xml:space="preserve">from </w:t>
      </w:r>
      <w:r>
        <w:t>State Revenue Offices (SROs) on the duty raised from these transactions.</w:t>
      </w:r>
      <w:r w:rsidRPr="00CD18A3">
        <w:t xml:space="preserve"> </w:t>
      </w:r>
      <w:r>
        <w:fldChar w:fldCharType="begin"/>
      </w:r>
      <w:r>
        <w:instrText xml:space="preserve"> REF _Ref507489063 \h </w:instrText>
      </w:r>
      <w:r>
        <w:fldChar w:fldCharType="separate"/>
      </w:r>
      <w:r w:rsidR="00865709">
        <w:t xml:space="preserve">Table </w:t>
      </w:r>
      <w:r w:rsidR="00865709">
        <w:rPr>
          <w:noProof/>
        </w:rPr>
        <w:t>3</w:t>
      </w:r>
      <w:r>
        <w:fldChar w:fldCharType="end"/>
      </w:r>
      <w:r>
        <w:t xml:space="preserve"> shows the data provided for 2016-17.</w:t>
      </w:r>
    </w:p>
    <w:p w:rsidR="00FA3478" w:rsidRDefault="00FA3478" w:rsidP="00FA3478">
      <w:pPr>
        <w:pStyle w:val="CGCTableHeading"/>
      </w:pPr>
      <w:bookmarkStart w:id="16" w:name="_Ref507489063"/>
      <w:r>
        <w:t xml:space="preserve">Table </w:t>
      </w:r>
      <w:fldSimple w:instr=" SEQ Table \* ARABIC ">
        <w:r w:rsidR="00865709">
          <w:rPr>
            <w:noProof/>
          </w:rPr>
          <w:t>3</w:t>
        </w:r>
      </w:fldSimple>
      <w:bookmarkEnd w:id="16"/>
      <w:r>
        <w:tab/>
        <w:t>Property component, 2016-17</w:t>
      </w:r>
    </w:p>
    <w:tbl>
      <w:tblPr>
        <w:tblW w:w="5000" w:type="pct"/>
        <w:tblCellMar>
          <w:left w:w="85" w:type="dxa"/>
          <w:right w:w="85" w:type="dxa"/>
        </w:tblCellMar>
        <w:tblLook w:val="0000" w:firstRow="0" w:lastRow="0" w:firstColumn="0" w:lastColumn="0" w:noHBand="0" w:noVBand="0"/>
      </w:tblPr>
      <w:tblGrid>
        <w:gridCol w:w="2470"/>
        <w:gridCol w:w="739"/>
        <w:gridCol w:w="739"/>
        <w:gridCol w:w="739"/>
        <w:gridCol w:w="739"/>
        <w:gridCol w:w="739"/>
        <w:gridCol w:w="739"/>
        <w:gridCol w:w="739"/>
        <w:gridCol w:w="739"/>
        <w:gridCol w:w="739"/>
      </w:tblGrid>
      <w:tr w:rsidR="00FA3478" w:rsidRPr="00FE3F73" w:rsidTr="00C8665E">
        <w:tc>
          <w:tcPr>
            <w:tcW w:w="1354" w:type="pct"/>
            <w:tcBorders>
              <w:top w:val="single" w:sz="6" w:space="0" w:color="auto"/>
              <w:bottom w:val="single" w:sz="6" w:space="0" w:color="auto"/>
            </w:tcBorders>
            <w:vAlign w:val="bottom"/>
          </w:tcPr>
          <w:p w:rsidR="00FA3478" w:rsidRPr="00FE3F73" w:rsidRDefault="00FA3478" w:rsidP="00C8665E">
            <w:pPr>
              <w:pStyle w:val="CGCTableStub"/>
              <w:spacing w:line="240" w:lineRule="auto"/>
              <w:ind w:left="142" w:hanging="142"/>
              <w:rPr>
                <w:rFonts w:cstheme="minorHAnsi"/>
              </w:rPr>
            </w:pPr>
            <w:r>
              <w:rPr>
                <w:rFonts w:cstheme="minorHAnsi"/>
              </w:rPr>
              <w:t>Duties from</w:t>
            </w:r>
          </w:p>
        </w:tc>
        <w:tc>
          <w:tcPr>
            <w:tcW w:w="405" w:type="pct"/>
            <w:tcBorders>
              <w:top w:val="single" w:sz="6" w:space="0" w:color="auto"/>
              <w:bottom w:val="single" w:sz="6" w:space="0" w:color="auto"/>
            </w:tcBorders>
            <w:vAlign w:val="bottom"/>
          </w:tcPr>
          <w:p w:rsidR="00FA3478" w:rsidRPr="00FE3F73" w:rsidRDefault="00FA3478" w:rsidP="00C8665E">
            <w:pPr>
              <w:pStyle w:val="TableColHeadings"/>
              <w:rPr>
                <w:rFonts w:cstheme="minorHAnsi"/>
              </w:rPr>
            </w:pPr>
            <w:r w:rsidRPr="00FE3F73">
              <w:rPr>
                <w:rFonts w:cstheme="minorHAnsi"/>
              </w:rPr>
              <w:t>NSW</w:t>
            </w:r>
          </w:p>
        </w:tc>
        <w:tc>
          <w:tcPr>
            <w:tcW w:w="405" w:type="pct"/>
            <w:tcBorders>
              <w:top w:val="single" w:sz="6" w:space="0" w:color="auto"/>
              <w:bottom w:val="single" w:sz="6" w:space="0" w:color="auto"/>
            </w:tcBorders>
            <w:vAlign w:val="bottom"/>
          </w:tcPr>
          <w:p w:rsidR="00FA3478" w:rsidRPr="00FE3F73" w:rsidRDefault="00FA3478" w:rsidP="00C8665E">
            <w:pPr>
              <w:pStyle w:val="TableColHeadings"/>
              <w:rPr>
                <w:rFonts w:cstheme="minorHAnsi"/>
              </w:rPr>
            </w:pPr>
            <w:r w:rsidRPr="00FE3F73">
              <w:rPr>
                <w:rFonts w:cstheme="minorHAnsi"/>
              </w:rPr>
              <w:t>Vic</w:t>
            </w:r>
          </w:p>
        </w:tc>
        <w:tc>
          <w:tcPr>
            <w:tcW w:w="405" w:type="pct"/>
            <w:tcBorders>
              <w:top w:val="single" w:sz="6" w:space="0" w:color="auto"/>
              <w:bottom w:val="single" w:sz="6" w:space="0" w:color="auto"/>
            </w:tcBorders>
            <w:vAlign w:val="bottom"/>
          </w:tcPr>
          <w:p w:rsidR="00FA3478" w:rsidRPr="00FE3F73" w:rsidRDefault="00FA3478" w:rsidP="00C8665E">
            <w:pPr>
              <w:pStyle w:val="TableColHeadings"/>
              <w:rPr>
                <w:rFonts w:cstheme="minorHAnsi"/>
              </w:rPr>
            </w:pPr>
            <w:r w:rsidRPr="00FE3F73">
              <w:rPr>
                <w:rFonts w:cstheme="minorHAnsi"/>
              </w:rPr>
              <w:t>Qld</w:t>
            </w:r>
          </w:p>
        </w:tc>
        <w:tc>
          <w:tcPr>
            <w:tcW w:w="405" w:type="pct"/>
            <w:tcBorders>
              <w:top w:val="single" w:sz="6" w:space="0" w:color="auto"/>
              <w:bottom w:val="single" w:sz="6" w:space="0" w:color="auto"/>
            </w:tcBorders>
            <w:vAlign w:val="bottom"/>
          </w:tcPr>
          <w:p w:rsidR="00FA3478" w:rsidRPr="00FE3F73" w:rsidRDefault="00FA3478" w:rsidP="00C8665E">
            <w:pPr>
              <w:pStyle w:val="TableColHeadings"/>
              <w:rPr>
                <w:rFonts w:cstheme="minorHAnsi"/>
              </w:rPr>
            </w:pPr>
            <w:r w:rsidRPr="00FE3F73">
              <w:rPr>
                <w:rFonts w:cstheme="minorHAnsi"/>
              </w:rPr>
              <w:t>WA</w:t>
            </w:r>
          </w:p>
        </w:tc>
        <w:tc>
          <w:tcPr>
            <w:tcW w:w="405" w:type="pct"/>
            <w:tcBorders>
              <w:top w:val="single" w:sz="6" w:space="0" w:color="auto"/>
              <w:bottom w:val="single" w:sz="6" w:space="0" w:color="auto"/>
            </w:tcBorders>
            <w:vAlign w:val="bottom"/>
          </w:tcPr>
          <w:p w:rsidR="00FA3478" w:rsidRPr="00FE3F73" w:rsidRDefault="00FA3478" w:rsidP="00C8665E">
            <w:pPr>
              <w:pStyle w:val="TableColHeadings"/>
              <w:rPr>
                <w:rFonts w:cstheme="minorHAnsi"/>
              </w:rPr>
            </w:pPr>
            <w:r w:rsidRPr="00FE3F73">
              <w:rPr>
                <w:rFonts w:cstheme="minorHAnsi"/>
              </w:rPr>
              <w:t>SA</w:t>
            </w:r>
          </w:p>
        </w:tc>
        <w:tc>
          <w:tcPr>
            <w:tcW w:w="405" w:type="pct"/>
            <w:tcBorders>
              <w:top w:val="single" w:sz="6" w:space="0" w:color="auto"/>
              <w:bottom w:val="single" w:sz="6" w:space="0" w:color="auto"/>
            </w:tcBorders>
            <w:vAlign w:val="bottom"/>
          </w:tcPr>
          <w:p w:rsidR="00FA3478" w:rsidRPr="00FE3F73" w:rsidRDefault="00FA3478" w:rsidP="00C8665E">
            <w:pPr>
              <w:pStyle w:val="TableColHeadings"/>
              <w:rPr>
                <w:rFonts w:cstheme="minorHAnsi"/>
              </w:rPr>
            </w:pPr>
            <w:proofErr w:type="spellStart"/>
            <w:r w:rsidRPr="00FE3F73">
              <w:rPr>
                <w:rFonts w:cstheme="minorHAnsi"/>
              </w:rPr>
              <w:t>Tas</w:t>
            </w:r>
            <w:proofErr w:type="spellEnd"/>
          </w:p>
        </w:tc>
        <w:tc>
          <w:tcPr>
            <w:tcW w:w="405" w:type="pct"/>
            <w:tcBorders>
              <w:top w:val="single" w:sz="6" w:space="0" w:color="auto"/>
              <w:bottom w:val="single" w:sz="6" w:space="0" w:color="auto"/>
            </w:tcBorders>
            <w:vAlign w:val="bottom"/>
          </w:tcPr>
          <w:p w:rsidR="00FA3478" w:rsidRPr="00FE3F73" w:rsidRDefault="00FA3478" w:rsidP="00C8665E">
            <w:pPr>
              <w:pStyle w:val="TableColHeadings"/>
              <w:rPr>
                <w:rFonts w:cstheme="minorHAnsi"/>
              </w:rPr>
            </w:pPr>
            <w:r w:rsidRPr="00FE3F73">
              <w:rPr>
                <w:rFonts w:cstheme="minorHAnsi"/>
              </w:rPr>
              <w:t>ACT</w:t>
            </w:r>
          </w:p>
        </w:tc>
        <w:tc>
          <w:tcPr>
            <w:tcW w:w="405" w:type="pct"/>
            <w:tcBorders>
              <w:top w:val="single" w:sz="6" w:space="0" w:color="auto"/>
              <w:bottom w:val="single" w:sz="6" w:space="0" w:color="auto"/>
            </w:tcBorders>
            <w:vAlign w:val="bottom"/>
          </w:tcPr>
          <w:p w:rsidR="00FA3478" w:rsidRPr="00FE3F73" w:rsidRDefault="00FA3478" w:rsidP="00C8665E">
            <w:pPr>
              <w:pStyle w:val="TableColHeadings"/>
              <w:rPr>
                <w:rFonts w:cstheme="minorHAnsi"/>
              </w:rPr>
            </w:pPr>
            <w:r w:rsidRPr="00FE3F73">
              <w:rPr>
                <w:rFonts w:cstheme="minorHAnsi"/>
              </w:rPr>
              <w:t>NT</w:t>
            </w:r>
          </w:p>
        </w:tc>
        <w:tc>
          <w:tcPr>
            <w:tcW w:w="405" w:type="pct"/>
            <w:tcBorders>
              <w:top w:val="single" w:sz="6" w:space="0" w:color="auto"/>
              <w:bottom w:val="single" w:sz="6" w:space="0" w:color="auto"/>
            </w:tcBorders>
            <w:vAlign w:val="bottom"/>
          </w:tcPr>
          <w:p w:rsidR="00FA3478" w:rsidRPr="00FE3F73" w:rsidRDefault="00FA3478" w:rsidP="00C8665E">
            <w:pPr>
              <w:pStyle w:val="TableColHeadings"/>
              <w:rPr>
                <w:rFonts w:cstheme="minorHAnsi"/>
              </w:rPr>
            </w:pPr>
            <w:r>
              <w:rPr>
                <w:rFonts w:cstheme="minorHAnsi"/>
              </w:rPr>
              <w:t>Total</w:t>
            </w:r>
          </w:p>
        </w:tc>
      </w:tr>
      <w:tr w:rsidR="00FA3478" w:rsidRPr="00FE3F73" w:rsidTr="00C8665E">
        <w:tc>
          <w:tcPr>
            <w:tcW w:w="1354" w:type="pct"/>
            <w:tcMar>
              <w:top w:w="0" w:type="dxa"/>
              <w:bottom w:w="0" w:type="dxa"/>
            </w:tcMar>
            <w:vAlign w:val="bottom"/>
          </w:tcPr>
          <w:p w:rsidR="00FA3478" w:rsidRPr="00FE3F73" w:rsidRDefault="00FA3478" w:rsidP="00C8665E">
            <w:pPr>
              <w:pStyle w:val="CGCTableStub"/>
              <w:spacing w:before="0" w:after="0" w:line="240" w:lineRule="auto"/>
              <w:jc w:val="right"/>
              <w:rPr>
                <w:rFonts w:cstheme="minorHAnsi"/>
              </w:rPr>
            </w:pPr>
          </w:p>
        </w:tc>
        <w:tc>
          <w:tcPr>
            <w:tcW w:w="405" w:type="pct"/>
            <w:tcMar>
              <w:top w:w="0" w:type="dxa"/>
              <w:bottom w:w="0" w:type="dxa"/>
            </w:tcMar>
            <w:vAlign w:val="bottom"/>
          </w:tcPr>
          <w:p w:rsidR="00FA3478" w:rsidRPr="00FE3F73" w:rsidRDefault="00FA3478" w:rsidP="00C8665E">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rsidR="00FA3478" w:rsidRPr="00FE3F73" w:rsidRDefault="00FA3478" w:rsidP="00C8665E">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rsidR="00FA3478" w:rsidRPr="00FE3F73" w:rsidRDefault="00FA3478" w:rsidP="00C8665E">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rsidR="00FA3478" w:rsidRPr="00FE3F73" w:rsidRDefault="00FA3478" w:rsidP="00C8665E">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rsidR="00FA3478" w:rsidRPr="00FE3F73" w:rsidRDefault="00FA3478" w:rsidP="00C8665E">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rsidR="00FA3478" w:rsidRPr="00FE3F73" w:rsidRDefault="00FA3478" w:rsidP="00C8665E">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rsidR="00FA3478" w:rsidRPr="00FE3F73" w:rsidRDefault="00FA3478" w:rsidP="00C8665E">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rsidR="00FA3478" w:rsidRPr="00FE3F73" w:rsidRDefault="00FA3478" w:rsidP="00C8665E">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rsidR="00FA3478" w:rsidRPr="00FE3F73" w:rsidRDefault="00FA3478" w:rsidP="00C8665E">
            <w:pPr>
              <w:pStyle w:val="TableRowNormal"/>
              <w:spacing w:before="0" w:after="0" w:line="240" w:lineRule="auto"/>
              <w:ind w:left="0" w:firstLine="0"/>
              <w:rPr>
                <w:rFonts w:cstheme="minorHAnsi"/>
              </w:rPr>
            </w:pPr>
            <w:r>
              <w:rPr>
                <w:rFonts w:cstheme="minorHAnsi"/>
              </w:rPr>
              <w:t>$m</w:t>
            </w:r>
          </w:p>
        </w:tc>
      </w:tr>
      <w:tr w:rsidR="00FA3478" w:rsidRPr="00FE3F73" w:rsidTr="00C8665E">
        <w:tc>
          <w:tcPr>
            <w:tcW w:w="1354" w:type="pct"/>
            <w:vAlign w:val="bottom"/>
          </w:tcPr>
          <w:p w:rsidR="00FA3478" w:rsidRPr="00FE3F73" w:rsidRDefault="00FA3478" w:rsidP="00C8665E">
            <w:pPr>
              <w:pStyle w:val="CGCTableStub"/>
              <w:tabs>
                <w:tab w:val="left" w:pos="142"/>
                <w:tab w:val="left" w:pos="425"/>
                <w:tab w:val="left" w:pos="709"/>
                <w:tab w:val="left" w:pos="851"/>
              </w:tabs>
              <w:ind w:left="142" w:hanging="142"/>
              <w:rPr>
                <w:rFonts w:cstheme="minorHAnsi"/>
              </w:rPr>
            </w:pPr>
            <w:r>
              <w:rPr>
                <w:rFonts w:cstheme="minorHAnsi"/>
              </w:rPr>
              <w:t>Real property transfers</w:t>
            </w:r>
          </w:p>
        </w:tc>
        <w:tc>
          <w:tcPr>
            <w:tcW w:w="405" w:type="pct"/>
            <w:vAlign w:val="bottom"/>
          </w:tcPr>
          <w:p w:rsidR="00FA3478" w:rsidRPr="00C15AC1" w:rsidRDefault="00FA3478" w:rsidP="00C8665E">
            <w:pPr>
              <w:pStyle w:val="TableRowNormal"/>
              <w:ind w:left="0" w:firstLine="0"/>
              <w:rPr>
                <w:rFonts w:cstheme="minorHAnsi"/>
              </w:rPr>
            </w:pPr>
            <w:r w:rsidRPr="00C15AC1">
              <w:rPr>
                <w:rFonts w:cstheme="minorHAnsi"/>
              </w:rPr>
              <w:t>8 853</w:t>
            </w:r>
          </w:p>
        </w:tc>
        <w:tc>
          <w:tcPr>
            <w:tcW w:w="405" w:type="pct"/>
            <w:vAlign w:val="bottom"/>
          </w:tcPr>
          <w:p w:rsidR="00FA3478" w:rsidRPr="00C15AC1" w:rsidRDefault="00FA3478" w:rsidP="00C8665E">
            <w:pPr>
              <w:pStyle w:val="TableRowNormal"/>
              <w:ind w:left="0" w:firstLine="0"/>
              <w:rPr>
                <w:rFonts w:cstheme="minorHAnsi"/>
              </w:rPr>
            </w:pPr>
            <w:r w:rsidRPr="00C15AC1">
              <w:rPr>
                <w:rFonts w:cstheme="minorHAnsi"/>
              </w:rPr>
              <w:t>6 113</w:t>
            </w:r>
          </w:p>
        </w:tc>
        <w:tc>
          <w:tcPr>
            <w:tcW w:w="405" w:type="pct"/>
            <w:vAlign w:val="bottom"/>
          </w:tcPr>
          <w:p w:rsidR="00FA3478" w:rsidRPr="00C15AC1" w:rsidRDefault="00FA3478" w:rsidP="00C8665E">
            <w:pPr>
              <w:pStyle w:val="TableRowNormal"/>
              <w:ind w:left="0" w:firstLine="0"/>
              <w:rPr>
                <w:rFonts w:cstheme="minorHAnsi"/>
              </w:rPr>
            </w:pPr>
            <w:r w:rsidRPr="00C15AC1">
              <w:rPr>
                <w:rFonts w:cstheme="minorHAnsi"/>
              </w:rPr>
              <w:t>3 001</w:t>
            </w:r>
          </w:p>
        </w:tc>
        <w:tc>
          <w:tcPr>
            <w:tcW w:w="405" w:type="pct"/>
            <w:vAlign w:val="bottom"/>
          </w:tcPr>
          <w:p w:rsidR="00FA3478" w:rsidRPr="00C15AC1" w:rsidRDefault="00FA3478" w:rsidP="00C8665E">
            <w:pPr>
              <w:pStyle w:val="TableRowNormal"/>
              <w:ind w:left="0" w:firstLine="0"/>
              <w:rPr>
                <w:rFonts w:cstheme="minorHAnsi"/>
              </w:rPr>
            </w:pPr>
            <w:r w:rsidRPr="00C15AC1">
              <w:rPr>
                <w:rFonts w:cstheme="minorHAnsi"/>
              </w:rPr>
              <w:t>1 125</w:t>
            </w:r>
          </w:p>
        </w:tc>
        <w:tc>
          <w:tcPr>
            <w:tcW w:w="405" w:type="pct"/>
            <w:vAlign w:val="bottom"/>
          </w:tcPr>
          <w:p w:rsidR="00FA3478" w:rsidRPr="00C15AC1" w:rsidRDefault="00FA3478" w:rsidP="00C8665E">
            <w:pPr>
              <w:pStyle w:val="TableRowNormal"/>
              <w:ind w:left="0" w:firstLine="0"/>
              <w:rPr>
                <w:rFonts w:cstheme="minorHAnsi"/>
              </w:rPr>
            </w:pPr>
            <w:r w:rsidRPr="00C15AC1">
              <w:rPr>
                <w:rFonts w:cstheme="minorHAnsi"/>
              </w:rPr>
              <w:t>839</w:t>
            </w:r>
          </w:p>
        </w:tc>
        <w:tc>
          <w:tcPr>
            <w:tcW w:w="405" w:type="pct"/>
            <w:vAlign w:val="bottom"/>
          </w:tcPr>
          <w:p w:rsidR="00FA3478" w:rsidRPr="00C15AC1" w:rsidRDefault="00FA3478" w:rsidP="00C8665E">
            <w:pPr>
              <w:pStyle w:val="TableRowNormal"/>
              <w:ind w:left="0" w:firstLine="0"/>
              <w:rPr>
                <w:rFonts w:cstheme="minorHAnsi"/>
              </w:rPr>
            </w:pPr>
            <w:r w:rsidRPr="00C15AC1">
              <w:rPr>
                <w:rFonts w:cstheme="minorHAnsi"/>
              </w:rPr>
              <w:t>231</w:t>
            </w:r>
          </w:p>
        </w:tc>
        <w:tc>
          <w:tcPr>
            <w:tcW w:w="405" w:type="pct"/>
            <w:vAlign w:val="bottom"/>
          </w:tcPr>
          <w:p w:rsidR="00FA3478" w:rsidRPr="00C15AC1" w:rsidRDefault="00FA3478" w:rsidP="00C8665E">
            <w:pPr>
              <w:pStyle w:val="TableRowNormal"/>
              <w:ind w:left="0" w:firstLine="0"/>
              <w:rPr>
                <w:rFonts w:cstheme="minorHAnsi"/>
              </w:rPr>
            </w:pPr>
            <w:r w:rsidRPr="00C15AC1">
              <w:rPr>
                <w:rFonts w:cstheme="minorHAnsi"/>
              </w:rPr>
              <w:t>316</w:t>
            </w:r>
          </w:p>
        </w:tc>
        <w:tc>
          <w:tcPr>
            <w:tcW w:w="405" w:type="pct"/>
            <w:vAlign w:val="bottom"/>
          </w:tcPr>
          <w:p w:rsidR="00FA3478" w:rsidRPr="00C15AC1" w:rsidRDefault="00FA3478" w:rsidP="00C8665E">
            <w:pPr>
              <w:pStyle w:val="TableRowNormal"/>
              <w:ind w:left="0" w:firstLine="0"/>
              <w:rPr>
                <w:rFonts w:cstheme="minorHAnsi"/>
              </w:rPr>
            </w:pPr>
            <w:r w:rsidRPr="00C15AC1">
              <w:rPr>
                <w:rFonts w:cstheme="minorHAnsi"/>
              </w:rPr>
              <w:t>99</w:t>
            </w:r>
          </w:p>
        </w:tc>
        <w:tc>
          <w:tcPr>
            <w:tcW w:w="405" w:type="pct"/>
            <w:vAlign w:val="bottom"/>
          </w:tcPr>
          <w:p w:rsidR="00FA3478" w:rsidRPr="00C15AC1" w:rsidRDefault="00FA3478" w:rsidP="00C8665E">
            <w:pPr>
              <w:pStyle w:val="TableRowNormal"/>
              <w:ind w:left="0" w:firstLine="0"/>
              <w:rPr>
                <w:rFonts w:cstheme="minorHAnsi"/>
              </w:rPr>
            </w:pPr>
            <w:r w:rsidRPr="00C15AC1">
              <w:rPr>
                <w:rFonts w:cstheme="minorHAnsi"/>
              </w:rPr>
              <w:t>20 577</w:t>
            </w:r>
          </w:p>
        </w:tc>
      </w:tr>
      <w:tr w:rsidR="00FA3478" w:rsidRPr="00FE3F73" w:rsidTr="00C8665E">
        <w:tc>
          <w:tcPr>
            <w:tcW w:w="1354" w:type="pct"/>
            <w:vAlign w:val="bottom"/>
          </w:tcPr>
          <w:p w:rsidR="00FA3478" w:rsidRPr="00FE3F73" w:rsidRDefault="00FA3478" w:rsidP="00C8665E">
            <w:pPr>
              <w:pStyle w:val="CGCTableStub"/>
              <w:tabs>
                <w:tab w:val="left" w:pos="142"/>
                <w:tab w:val="left" w:pos="425"/>
                <w:tab w:val="left" w:pos="709"/>
                <w:tab w:val="left" w:pos="851"/>
              </w:tabs>
              <w:ind w:left="142" w:hanging="142"/>
              <w:rPr>
                <w:rFonts w:cstheme="minorHAnsi"/>
              </w:rPr>
            </w:pPr>
            <w:r>
              <w:rPr>
                <w:rFonts w:cstheme="minorHAnsi"/>
              </w:rPr>
              <w:t>Non-real property transfers</w:t>
            </w:r>
          </w:p>
        </w:tc>
        <w:tc>
          <w:tcPr>
            <w:tcW w:w="405" w:type="pct"/>
            <w:vAlign w:val="bottom"/>
          </w:tcPr>
          <w:p w:rsidR="00FA3478" w:rsidRPr="00C15AC1" w:rsidRDefault="00FA3478" w:rsidP="00C8665E">
            <w:pPr>
              <w:pStyle w:val="TableRowNormal"/>
              <w:ind w:left="0" w:firstLine="0"/>
              <w:rPr>
                <w:rFonts w:cstheme="minorHAnsi"/>
              </w:rPr>
            </w:pPr>
            <w:r w:rsidRPr="00C15AC1">
              <w:rPr>
                <w:rFonts w:cstheme="minorHAnsi"/>
              </w:rPr>
              <w:t>111</w:t>
            </w:r>
          </w:p>
        </w:tc>
        <w:tc>
          <w:tcPr>
            <w:tcW w:w="405" w:type="pct"/>
            <w:vAlign w:val="bottom"/>
          </w:tcPr>
          <w:p w:rsidR="00FA3478" w:rsidRPr="00C15AC1" w:rsidRDefault="00FA3478" w:rsidP="00C8665E">
            <w:pPr>
              <w:pStyle w:val="TableRowNormal"/>
              <w:ind w:left="0" w:firstLine="0"/>
              <w:rPr>
                <w:rFonts w:cstheme="minorHAnsi"/>
              </w:rPr>
            </w:pPr>
            <w:r w:rsidRPr="00C15AC1">
              <w:rPr>
                <w:rFonts w:cstheme="minorHAnsi"/>
              </w:rPr>
              <w:t>0</w:t>
            </w:r>
          </w:p>
        </w:tc>
        <w:tc>
          <w:tcPr>
            <w:tcW w:w="405" w:type="pct"/>
            <w:vAlign w:val="bottom"/>
          </w:tcPr>
          <w:p w:rsidR="00FA3478" w:rsidRPr="00C15AC1" w:rsidRDefault="00FA3478" w:rsidP="00C8665E">
            <w:pPr>
              <w:pStyle w:val="TableRowNormal"/>
              <w:ind w:left="0" w:firstLine="0"/>
              <w:rPr>
                <w:rFonts w:cstheme="minorHAnsi"/>
              </w:rPr>
            </w:pPr>
            <w:r w:rsidRPr="00C15AC1">
              <w:rPr>
                <w:rFonts w:cstheme="minorHAnsi"/>
              </w:rPr>
              <w:t>271</w:t>
            </w:r>
          </w:p>
        </w:tc>
        <w:tc>
          <w:tcPr>
            <w:tcW w:w="405" w:type="pct"/>
            <w:vAlign w:val="bottom"/>
          </w:tcPr>
          <w:p w:rsidR="00FA3478" w:rsidRPr="00C15AC1" w:rsidRDefault="00FA3478" w:rsidP="00C8665E">
            <w:pPr>
              <w:pStyle w:val="TableRowNormal"/>
              <w:ind w:left="0" w:firstLine="0"/>
              <w:rPr>
                <w:rFonts w:cstheme="minorHAnsi"/>
              </w:rPr>
            </w:pPr>
            <w:r w:rsidRPr="00C15AC1">
              <w:rPr>
                <w:rFonts w:cstheme="minorHAnsi"/>
              </w:rPr>
              <w:t>95</w:t>
            </w:r>
          </w:p>
        </w:tc>
        <w:tc>
          <w:tcPr>
            <w:tcW w:w="405" w:type="pct"/>
            <w:vAlign w:val="bottom"/>
          </w:tcPr>
          <w:p w:rsidR="00FA3478" w:rsidRPr="00C15AC1" w:rsidRDefault="00FA3478" w:rsidP="00C8665E">
            <w:pPr>
              <w:pStyle w:val="TableRowNormal"/>
              <w:ind w:left="0" w:firstLine="0"/>
              <w:rPr>
                <w:rFonts w:cstheme="minorHAnsi"/>
              </w:rPr>
            </w:pPr>
            <w:r w:rsidRPr="00C15AC1">
              <w:rPr>
                <w:rFonts w:cstheme="minorHAnsi"/>
              </w:rPr>
              <w:t>4</w:t>
            </w:r>
          </w:p>
        </w:tc>
        <w:tc>
          <w:tcPr>
            <w:tcW w:w="405" w:type="pct"/>
            <w:vAlign w:val="bottom"/>
          </w:tcPr>
          <w:p w:rsidR="00FA3478" w:rsidRPr="00C15AC1" w:rsidRDefault="00FA3478" w:rsidP="00C8665E">
            <w:pPr>
              <w:pStyle w:val="TableRowNormal"/>
              <w:ind w:left="0" w:firstLine="0"/>
              <w:rPr>
                <w:rFonts w:cstheme="minorHAnsi"/>
              </w:rPr>
            </w:pPr>
            <w:r w:rsidRPr="00C15AC1">
              <w:rPr>
                <w:rFonts w:cstheme="minorHAnsi"/>
              </w:rPr>
              <w:t>0</w:t>
            </w:r>
          </w:p>
        </w:tc>
        <w:tc>
          <w:tcPr>
            <w:tcW w:w="405" w:type="pct"/>
            <w:vAlign w:val="bottom"/>
          </w:tcPr>
          <w:p w:rsidR="00FA3478" w:rsidRPr="00C15AC1" w:rsidRDefault="00FA3478" w:rsidP="00C8665E">
            <w:pPr>
              <w:pStyle w:val="TableRowNormal"/>
              <w:ind w:left="0" w:firstLine="0"/>
              <w:rPr>
                <w:rFonts w:cstheme="minorHAnsi"/>
              </w:rPr>
            </w:pPr>
            <w:r w:rsidRPr="00C15AC1">
              <w:rPr>
                <w:rFonts w:cstheme="minorHAnsi"/>
              </w:rPr>
              <w:t>0</w:t>
            </w:r>
          </w:p>
        </w:tc>
        <w:tc>
          <w:tcPr>
            <w:tcW w:w="405" w:type="pct"/>
            <w:vAlign w:val="bottom"/>
          </w:tcPr>
          <w:p w:rsidR="00FA3478" w:rsidRPr="00C15AC1" w:rsidRDefault="00FA3478" w:rsidP="00C8665E">
            <w:pPr>
              <w:pStyle w:val="TableRowNormal"/>
              <w:ind w:left="0" w:firstLine="0"/>
              <w:rPr>
                <w:rFonts w:cstheme="minorHAnsi"/>
              </w:rPr>
            </w:pPr>
            <w:r w:rsidRPr="00C15AC1">
              <w:rPr>
                <w:rFonts w:cstheme="minorHAnsi"/>
              </w:rPr>
              <w:t>6</w:t>
            </w:r>
          </w:p>
        </w:tc>
        <w:tc>
          <w:tcPr>
            <w:tcW w:w="405" w:type="pct"/>
            <w:vAlign w:val="bottom"/>
          </w:tcPr>
          <w:p w:rsidR="00FA3478" w:rsidRPr="00C15AC1" w:rsidRDefault="00FA3478" w:rsidP="00C8665E">
            <w:pPr>
              <w:pStyle w:val="TableRowNormal"/>
              <w:ind w:left="0" w:firstLine="0"/>
              <w:rPr>
                <w:rFonts w:cstheme="minorHAnsi"/>
              </w:rPr>
            </w:pPr>
            <w:r w:rsidRPr="00C15AC1">
              <w:rPr>
                <w:rFonts w:cstheme="minorHAnsi"/>
              </w:rPr>
              <w:t>487</w:t>
            </w:r>
          </w:p>
        </w:tc>
      </w:tr>
      <w:tr w:rsidR="00FA3478" w:rsidRPr="00FE3F73" w:rsidTr="00C8665E">
        <w:tc>
          <w:tcPr>
            <w:tcW w:w="1354" w:type="pct"/>
            <w:vAlign w:val="bottom"/>
          </w:tcPr>
          <w:p w:rsidR="00FA3478" w:rsidRPr="00FE3F73" w:rsidRDefault="00FA3478" w:rsidP="00C8665E">
            <w:pPr>
              <w:pStyle w:val="CGCTableStub"/>
              <w:tabs>
                <w:tab w:val="left" w:pos="142"/>
                <w:tab w:val="left" w:pos="425"/>
                <w:tab w:val="left" w:pos="709"/>
                <w:tab w:val="left" w:pos="851"/>
              </w:tabs>
              <w:ind w:left="142" w:hanging="142"/>
              <w:rPr>
                <w:rFonts w:cstheme="minorHAnsi"/>
              </w:rPr>
            </w:pPr>
            <w:r>
              <w:rPr>
                <w:rFonts w:cstheme="minorHAnsi"/>
              </w:rPr>
              <w:t>Concessions for first home owners</w:t>
            </w:r>
          </w:p>
        </w:tc>
        <w:tc>
          <w:tcPr>
            <w:tcW w:w="405" w:type="pct"/>
            <w:tcBorders>
              <w:bottom w:val="single" w:sz="4" w:space="0" w:color="auto"/>
            </w:tcBorders>
            <w:vAlign w:val="bottom"/>
          </w:tcPr>
          <w:p w:rsidR="00FA3478" w:rsidRPr="00C15AC1" w:rsidRDefault="00FA3478" w:rsidP="00C8665E">
            <w:pPr>
              <w:pStyle w:val="TableRowNormal"/>
              <w:ind w:left="0" w:firstLine="0"/>
              <w:rPr>
                <w:rFonts w:cstheme="minorHAnsi"/>
              </w:rPr>
            </w:pPr>
            <w:r w:rsidRPr="00C15AC1">
              <w:rPr>
                <w:rFonts w:cstheme="minorHAnsi"/>
              </w:rPr>
              <w:t>91</w:t>
            </w:r>
          </w:p>
        </w:tc>
        <w:tc>
          <w:tcPr>
            <w:tcW w:w="405" w:type="pct"/>
            <w:tcBorders>
              <w:bottom w:val="single" w:sz="4" w:space="0" w:color="auto"/>
            </w:tcBorders>
            <w:vAlign w:val="bottom"/>
          </w:tcPr>
          <w:p w:rsidR="00FA3478" w:rsidRPr="00C15AC1" w:rsidRDefault="00FA3478" w:rsidP="00C8665E">
            <w:pPr>
              <w:pStyle w:val="TableRowNormal"/>
              <w:ind w:left="0" w:firstLine="0"/>
              <w:rPr>
                <w:rFonts w:cstheme="minorHAnsi"/>
              </w:rPr>
            </w:pPr>
            <w:r w:rsidRPr="00C15AC1">
              <w:rPr>
                <w:rFonts w:cstheme="minorHAnsi"/>
              </w:rPr>
              <w:t>190</w:t>
            </w:r>
          </w:p>
        </w:tc>
        <w:tc>
          <w:tcPr>
            <w:tcW w:w="405" w:type="pct"/>
            <w:tcBorders>
              <w:bottom w:val="single" w:sz="4" w:space="0" w:color="auto"/>
            </w:tcBorders>
            <w:vAlign w:val="bottom"/>
          </w:tcPr>
          <w:p w:rsidR="00FA3478" w:rsidRPr="00C15AC1" w:rsidRDefault="00FA3478" w:rsidP="00C8665E">
            <w:pPr>
              <w:pStyle w:val="TableRowNormal"/>
              <w:ind w:left="0" w:firstLine="0"/>
              <w:rPr>
                <w:rFonts w:cstheme="minorHAnsi"/>
              </w:rPr>
            </w:pPr>
            <w:r w:rsidRPr="00C15AC1">
              <w:rPr>
                <w:rFonts w:cstheme="minorHAnsi"/>
              </w:rPr>
              <w:t>249</w:t>
            </w:r>
          </w:p>
        </w:tc>
        <w:tc>
          <w:tcPr>
            <w:tcW w:w="405" w:type="pct"/>
            <w:tcBorders>
              <w:bottom w:val="single" w:sz="4" w:space="0" w:color="auto"/>
            </w:tcBorders>
            <w:vAlign w:val="bottom"/>
          </w:tcPr>
          <w:p w:rsidR="00FA3478" w:rsidRPr="00C15AC1" w:rsidRDefault="00FA3478" w:rsidP="00C8665E">
            <w:pPr>
              <w:pStyle w:val="TableRowNormal"/>
              <w:ind w:left="0" w:firstLine="0"/>
              <w:rPr>
                <w:rFonts w:cstheme="minorHAnsi"/>
              </w:rPr>
            </w:pPr>
            <w:r w:rsidRPr="00C15AC1">
              <w:rPr>
                <w:rFonts w:cstheme="minorHAnsi"/>
              </w:rPr>
              <w:t>123</w:t>
            </w:r>
          </w:p>
        </w:tc>
        <w:tc>
          <w:tcPr>
            <w:tcW w:w="405" w:type="pct"/>
            <w:tcBorders>
              <w:bottom w:val="single" w:sz="4" w:space="0" w:color="auto"/>
            </w:tcBorders>
            <w:vAlign w:val="bottom"/>
          </w:tcPr>
          <w:p w:rsidR="00FA3478" w:rsidRPr="00C15AC1" w:rsidRDefault="00FA3478" w:rsidP="00C8665E">
            <w:pPr>
              <w:pStyle w:val="TableRowNormal"/>
              <w:ind w:left="0" w:firstLine="0"/>
              <w:rPr>
                <w:rFonts w:cstheme="minorHAnsi"/>
              </w:rPr>
            </w:pPr>
            <w:r w:rsidRPr="00C15AC1">
              <w:rPr>
                <w:rFonts w:cstheme="minorHAnsi"/>
              </w:rPr>
              <w:t>0</w:t>
            </w:r>
          </w:p>
        </w:tc>
        <w:tc>
          <w:tcPr>
            <w:tcW w:w="405" w:type="pct"/>
            <w:tcBorders>
              <w:bottom w:val="single" w:sz="4" w:space="0" w:color="auto"/>
            </w:tcBorders>
            <w:vAlign w:val="bottom"/>
          </w:tcPr>
          <w:p w:rsidR="00FA3478" w:rsidRPr="00C15AC1" w:rsidRDefault="00FA3478" w:rsidP="00C8665E">
            <w:pPr>
              <w:pStyle w:val="TableRowNormal"/>
              <w:ind w:left="0" w:firstLine="0"/>
              <w:rPr>
                <w:rFonts w:cstheme="minorHAnsi"/>
              </w:rPr>
            </w:pPr>
            <w:r w:rsidRPr="00C15AC1">
              <w:rPr>
                <w:rFonts w:cstheme="minorHAnsi"/>
              </w:rPr>
              <w:t>0</w:t>
            </w:r>
          </w:p>
        </w:tc>
        <w:tc>
          <w:tcPr>
            <w:tcW w:w="405" w:type="pct"/>
            <w:tcBorders>
              <w:bottom w:val="single" w:sz="4" w:space="0" w:color="auto"/>
            </w:tcBorders>
            <w:vAlign w:val="bottom"/>
          </w:tcPr>
          <w:p w:rsidR="00FA3478" w:rsidRPr="00C15AC1" w:rsidRDefault="00FA3478" w:rsidP="00C8665E">
            <w:pPr>
              <w:pStyle w:val="TableRowNormal"/>
              <w:ind w:left="0" w:firstLine="0"/>
              <w:rPr>
                <w:rFonts w:cstheme="minorHAnsi"/>
              </w:rPr>
            </w:pPr>
            <w:r w:rsidRPr="00C15AC1">
              <w:rPr>
                <w:rFonts w:cstheme="minorHAnsi"/>
              </w:rPr>
              <w:t>10</w:t>
            </w:r>
          </w:p>
        </w:tc>
        <w:tc>
          <w:tcPr>
            <w:tcW w:w="405" w:type="pct"/>
            <w:tcBorders>
              <w:bottom w:val="single" w:sz="4" w:space="0" w:color="auto"/>
            </w:tcBorders>
            <w:vAlign w:val="bottom"/>
          </w:tcPr>
          <w:p w:rsidR="00FA3478" w:rsidRPr="00C15AC1" w:rsidRDefault="00FA3478" w:rsidP="00C8665E">
            <w:pPr>
              <w:pStyle w:val="TableRowNormal"/>
              <w:ind w:left="0" w:firstLine="0"/>
              <w:rPr>
                <w:rFonts w:cstheme="minorHAnsi"/>
              </w:rPr>
            </w:pPr>
            <w:r w:rsidRPr="00C15AC1">
              <w:rPr>
                <w:rFonts w:cstheme="minorHAnsi"/>
              </w:rPr>
              <w:t>11</w:t>
            </w:r>
          </w:p>
        </w:tc>
        <w:tc>
          <w:tcPr>
            <w:tcW w:w="405" w:type="pct"/>
            <w:tcBorders>
              <w:bottom w:val="single" w:sz="4" w:space="0" w:color="auto"/>
            </w:tcBorders>
            <w:vAlign w:val="bottom"/>
          </w:tcPr>
          <w:p w:rsidR="00FA3478" w:rsidRPr="00C15AC1" w:rsidRDefault="00FA3478" w:rsidP="00C8665E">
            <w:pPr>
              <w:pStyle w:val="TableRowNormal"/>
              <w:ind w:left="0" w:firstLine="0"/>
              <w:rPr>
                <w:rFonts w:cstheme="minorHAnsi"/>
              </w:rPr>
            </w:pPr>
            <w:r w:rsidRPr="00C15AC1">
              <w:rPr>
                <w:rFonts w:cstheme="minorHAnsi"/>
              </w:rPr>
              <w:t>673</w:t>
            </w:r>
          </w:p>
        </w:tc>
      </w:tr>
      <w:tr w:rsidR="00FA3478" w:rsidRPr="00FE3F73" w:rsidTr="00C8665E">
        <w:tc>
          <w:tcPr>
            <w:tcW w:w="1354" w:type="pct"/>
            <w:tcBorders>
              <w:bottom w:val="single" w:sz="4" w:space="0" w:color="auto"/>
            </w:tcBorders>
            <w:vAlign w:val="bottom"/>
          </w:tcPr>
          <w:p w:rsidR="00FA3478" w:rsidRDefault="00FA3478" w:rsidP="00C8665E">
            <w:pPr>
              <w:pStyle w:val="CGCTableStub"/>
              <w:tabs>
                <w:tab w:val="left" w:pos="142"/>
                <w:tab w:val="left" w:pos="425"/>
                <w:tab w:val="left" w:pos="709"/>
                <w:tab w:val="left" w:pos="851"/>
              </w:tabs>
              <w:ind w:left="142" w:hanging="142"/>
              <w:rPr>
                <w:rFonts w:cstheme="minorHAnsi"/>
              </w:rPr>
            </w:pPr>
            <w:r>
              <w:rPr>
                <w:rFonts w:cstheme="minorHAnsi"/>
              </w:rPr>
              <w:t>Component total</w:t>
            </w:r>
          </w:p>
        </w:tc>
        <w:tc>
          <w:tcPr>
            <w:tcW w:w="405" w:type="pct"/>
            <w:tcBorders>
              <w:top w:val="single" w:sz="4" w:space="0" w:color="auto"/>
              <w:bottom w:val="single" w:sz="4" w:space="0" w:color="auto"/>
            </w:tcBorders>
            <w:vAlign w:val="bottom"/>
          </w:tcPr>
          <w:p w:rsidR="00FA3478" w:rsidRPr="00C15AC1" w:rsidRDefault="00FA3478" w:rsidP="00C8665E">
            <w:pPr>
              <w:pStyle w:val="TableRowNormal"/>
              <w:ind w:left="0" w:firstLine="0"/>
              <w:rPr>
                <w:rFonts w:cstheme="minorHAnsi"/>
              </w:rPr>
            </w:pPr>
            <w:r w:rsidRPr="00C15AC1">
              <w:rPr>
                <w:rFonts w:cstheme="minorHAnsi"/>
              </w:rPr>
              <w:t>9 055</w:t>
            </w:r>
          </w:p>
        </w:tc>
        <w:tc>
          <w:tcPr>
            <w:tcW w:w="405" w:type="pct"/>
            <w:tcBorders>
              <w:top w:val="single" w:sz="4" w:space="0" w:color="auto"/>
              <w:bottom w:val="single" w:sz="4" w:space="0" w:color="auto"/>
            </w:tcBorders>
            <w:vAlign w:val="bottom"/>
          </w:tcPr>
          <w:p w:rsidR="00FA3478" w:rsidRPr="00C15AC1" w:rsidRDefault="00FA3478" w:rsidP="00C8665E">
            <w:pPr>
              <w:pStyle w:val="TableRowNormal"/>
              <w:ind w:left="0" w:firstLine="0"/>
              <w:rPr>
                <w:rFonts w:cstheme="minorHAnsi"/>
              </w:rPr>
            </w:pPr>
            <w:r w:rsidRPr="00C15AC1">
              <w:rPr>
                <w:rFonts w:cstheme="minorHAnsi"/>
              </w:rPr>
              <w:t>6 303</w:t>
            </w:r>
          </w:p>
        </w:tc>
        <w:tc>
          <w:tcPr>
            <w:tcW w:w="405" w:type="pct"/>
            <w:tcBorders>
              <w:top w:val="single" w:sz="4" w:space="0" w:color="auto"/>
              <w:bottom w:val="single" w:sz="4" w:space="0" w:color="auto"/>
            </w:tcBorders>
            <w:vAlign w:val="bottom"/>
          </w:tcPr>
          <w:p w:rsidR="00FA3478" w:rsidRPr="00C15AC1" w:rsidRDefault="00FA3478" w:rsidP="00C8665E">
            <w:pPr>
              <w:pStyle w:val="TableRowNormal"/>
              <w:ind w:left="0" w:firstLine="0"/>
              <w:rPr>
                <w:rFonts w:cstheme="minorHAnsi"/>
              </w:rPr>
            </w:pPr>
            <w:r w:rsidRPr="00C15AC1">
              <w:rPr>
                <w:rFonts w:cstheme="minorHAnsi"/>
              </w:rPr>
              <w:t>3 521</w:t>
            </w:r>
          </w:p>
        </w:tc>
        <w:tc>
          <w:tcPr>
            <w:tcW w:w="405" w:type="pct"/>
            <w:tcBorders>
              <w:top w:val="single" w:sz="4" w:space="0" w:color="auto"/>
              <w:bottom w:val="single" w:sz="4" w:space="0" w:color="auto"/>
            </w:tcBorders>
            <w:vAlign w:val="bottom"/>
          </w:tcPr>
          <w:p w:rsidR="00FA3478" w:rsidRPr="00C15AC1" w:rsidRDefault="00FA3478" w:rsidP="00C8665E">
            <w:pPr>
              <w:pStyle w:val="TableRowNormal"/>
              <w:ind w:left="0" w:firstLine="0"/>
              <w:rPr>
                <w:rFonts w:cstheme="minorHAnsi"/>
              </w:rPr>
            </w:pPr>
            <w:r w:rsidRPr="00C15AC1">
              <w:rPr>
                <w:rFonts w:cstheme="minorHAnsi"/>
              </w:rPr>
              <w:t>1 343</w:t>
            </w:r>
          </w:p>
        </w:tc>
        <w:tc>
          <w:tcPr>
            <w:tcW w:w="405" w:type="pct"/>
            <w:tcBorders>
              <w:top w:val="single" w:sz="4" w:space="0" w:color="auto"/>
              <w:bottom w:val="single" w:sz="4" w:space="0" w:color="auto"/>
            </w:tcBorders>
            <w:vAlign w:val="bottom"/>
          </w:tcPr>
          <w:p w:rsidR="00FA3478" w:rsidRPr="00C15AC1" w:rsidRDefault="00FA3478" w:rsidP="00C8665E">
            <w:pPr>
              <w:pStyle w:val="TableRowNormal"/>
              <w:ind w:left="0" w:firstLine="0"/>
              <w:rPr>
                <w:rFonts w:cstheme="minorHAnsi"/>
              </w:rPr>
            </w:pPr>
            <w:r w:rsidRPr="00C15AC1">
              <w:rPr>
                <w:rFonts w:cstheme="minorHAnsi"/>
              </w:rPr>
              <w:t>843</w:t>
            </w:r>
          </w:p>
        </w:tc>
        <w:tc>
          <w:tcPr>
            <w:tcW w:w="405" w:type="pct"/>
            <w:tcBorders>
              <w:top w:val="single" w:sz="4" w:space="0" w:color="auto"/>
              <w:bottom w:val="single" w:sz="4" w:space="0" w:color="auto"/>
            </w:tcBorders>
            <w:vAlign w:val="bottom"/>
          </w:tcPr>
          <w:p w:rsidR="00FA3478" w:rsidRPr="00C15AC1" w:rsidRDefault="00FA3478" w:rsidP="00C8665E">
            <w:pPr>
              <w:pStyle w:val="TableRowNormal"/>
              <w:ind w:left="0" w:firstLine="0"/>
              <w:rPr>
                <w:rFonts w:cstheme="minorHAnsi"/>
              </w:rPr>
            </w:pPr>
            <w:r w:rsidRPr="00C15AC1">
              <w:rPr>
                <w:rFonts w:cstheme="minorHAnsi"/>
              </w:rPr>
              <w:t>231</w:t>
            </w:r>
          </w:p>
        </w:tc>
        <w:tc>
          <w:tcPr>
            <w:tcW w:w="405" w:type="pct"/>
            <w:tcBorders>
              <w:top w:val="single" w:sz="4" w:space="0" w:color="auto"/>
              <w:bottom w:val="single" w:sz="4" w:space="0" w:color="auto"/>
            </w:tcBorders>
            <w:vAlign w:val="bottom"/>
          </w:tcPr>
          <w:p w:rsidR="00FA3478" w:rsidRPr="00C15AC1" w:rsidRDefault="00FA3478" w:rsidP="00C8665E">
            <w:pPr>
              <w:pStyle w:val="TableRowNormal"/>
              <w:ind w:left="0" w:firstLine="0"/>
              <w:rPr>
                <w:rFonts w:cstheme="minorHAnsi"/>
              </w:rPr>
            </w:pPr>
            <w:r w:rsidRPr="00C15AC1">
              <w:rPr>
                <w:rFonts w:cstheme="minorHAnsi"/>
              </w:rPr>
              <w:t>326</w:t>
            </w:r>
          </w:p>
        </w:tc>
        <w:tc>
          <w:tcPr>
            <w:tcW w:w="405" w:type="pct"/>
            <w:tcBorders>
              <w:top w:val="single" w:sz="4" w:space="0" w:color="auto"/>
              <w:bottom w:val="single" w:sz="4" w:space="0" w:color="auto"/>
            </w:tcBorders>
            <w:vAlign w:val="bottom"/>
          </w:tcPr>
          <w:p w:rsidR="00FA3478" w:rsidRPr="00C15AC1" w:rsidRDefault="00FA3478" w:rsidP="00C8665E">
            <w:pPr>
              <w:pStyle w:val="TableRowNormal"/>
              <w:ind w:left="0" w:firstLine="0"/>
              <w:rPr>
                <w:rFonts w:cstheme="minorHAnsi"/>
              </w:rPr>
            </w:pPr>
            <w:r w:rsidRPr="00C15AC1">
              <w:rPr>
                <w:rFonts w:cstheme="minorHAnsi"/>
              </w:rPr>
              <w:t>116</w:t>
            </w:r>
          </w:p>
        </w:tc>
        <w:tc>
          <w:tcPr>
            <w:tcW w:w="405" w:type="pct"/>
            <w:tcBorders>
              <w:top w:val="single" w:sz="4" w:space="0" w:color="auto"/>
              <w:bottom w:val="single" w:sz="4" w:space="0" w:color="auto"/>
            </w:tcBorders>
            <w:vAlign w:val="bottom"/>
          </w:tcPr>
          <w:p w:rsidR="00FA3478" w:rsidRPr="00C15AC1" w:rsidRDefault="00FA3478" w:rsidP="00C8665E">
            <w:pPr>
              <w:pStyle w:val="TableRowNormal"/>
              <w:ind w:left="0" w:firstLine="0"/>
              <w:rPr>
                <w:rFonts w:cstheme="minorHAnsi"/>
              </w:rPr>
            </w:pPr>
            <w:r w:rsidRPr="00C15AC1">
              <w:rPr>
                <w:rFonts w:cstheme="minorHAnsi"/>
              </w:rPr>
              <w:t>21 737</w:t>
            </w:r>
          </w:p>
        </w:tc>
      </w:tr>
    </w:tbl>
    <w:p w:rsidR="00FA3478" w:rsidRDefault="00FA3478" w:rsidP="00FA3478">
      <w:pPr>
        <w:pStyle w:val="CGCTableFootnote"/>
      </w:pPr>
      <w:r>
        <w:t>Source:</w:t>
      </w:r>
      <w:r>
        <w:tab/>
        <w:t>State provided data</w:t>
      </w:r>
      <w:r w:rsidR="00C00F10">
        <w:t>, 2018 Update</w:t>
      </w:r>
      <w:r>
        <w:t>.</w:t>
      </w:r>
    </w:p>
    <w:p w:rsidR="00FA3478" w:rsidRPr="00D1574A" w:rsidRDefault="00FA3478" w:rsidP="00FA3478">
      <w:pPr>
        <w:pStyle w:val="CGCNumberedPara"/>
        <w:numPr>
          <w:ilvl w:val="1"/>
          <w:numId w:val="3"/>
        </w:numPr>
      </w:pPr>
      <w:r>
        <w:rPr>
          <w:szCs w:val="22"/>
        </w:rPr>
        <w:lastRenderedPageBreak/>
        <w:t xml:space="preserve">This component was assessed using the value of property transferred. </w:t>
      </w:r>
      <w:r w:rsidRPr="004359B7">
        <w:rPr>
          <w:szCs w:val="22"/>
        </w:rPr>
        <w:t xml:space="preserve">The Commission sought data from SROs on </w:t>
      </w:r>
      <w:r>
        <w:rPr>
          <w:szCs w:val="22"/>
        </w:rPr>
        <w:t xml:space="preserve">both </w:t>
      </w:r>
      <w:r w:rsidRPr="004359B7">
        <w:rPr>
          <w:szCs w:val="22"/>
        </w:rPr>
        <w:t>value of property transferred</w:t>
      </w:r>
      <w:r>
        <w:rPr>
          <w:szCs w:val="22"/>
        </w:rPr>
        <w:t xml:space="preserve"> and duty raised</w:t>
      </w:r>
      <w:r w:rsidRPr="004359B7">
        <w:rPr>
          <w:szCs w:val="22"/>
        </w:rPr>
        <w:t xml:space="preserve"> by value range.</w:t>
      </w:r>
    </w:p>
    <w:p w:rsidR="00FA3478" w:rsidRDefault="00FA3478" w:rsidP="00FA3478">
      <w:pPr>
        <w:pStyle w:val="CGCNumberedPara"/>
        <w:numPr>
          <w:ilvl w:val="1"/>
          <w:numId w:val="3"/>
        </w:numPr>
      </w:pPr>
      <w:r>
        <w:t>To obtain a policy neutral measure of the tax base, the Commission made adjustments to SRO value data to account for:</w:t>
      </w:r>
    </w:p>
    <w:p w:rsidR="00FA3478" w:rsidRDefault="00FA3478" w:rsidP="00FA3478">
      <w:pPr>
        <w:pStyle w:val="CGCBulletlist"/>
        <w:numPr>
          <w:ilvl w:val="0"/>
          <w:numId w:val="1"/>
        </w:numPr>
        <w:tabs>
          <w:tab w:val="clear" w:pos="927"/>
        </w:tabs>
        <w:ind w:left="1134" w:hanging="567"/>
      </w:pPr>
      <w:r>
        <w:t>differences in the range of property that were subject to duty</w:t>
      </w:r>
    </w:p>
    <w:p w:rsidR="00FA3478" w:rsidRDefault="00FA3478" w:rsidP="00FA3478">
      <w:pPr>
        <w:pStyle w:val="CGCBulletlist"/>
        <w:numPr>
          <w:ilvl w:val="0"/>
          <w:numId w:val="1"/>
        </w:numPr>
        <w:tabs>
          <w:tab w:val="clear" w:pos="927"/>
        </w:tabs>
        <w:ind w:left="1134" w:hanging="567"/>
      </w:pPr>
      <w:proofErr w:type="gramStart"/>
      <w:r>
        <w:t>the</w:t>
      </w:r>
      <w:proofErr w:type="gramEnd"/>
      <w:r>
        <w:t xml:space="preserve"> progressivity of States’ rates of duty.</w:t>
      </w:r>
    </w:p>
    <w:p w:rsidR="00FA3478" w:rsidRDefault="00FA3478" w:rsidP="00FA3478">
      <w:pPr>
        <w:pStyle w:val="CGCNumberedPara"/>
        <w:numPr>
          <w:ilvl w:val="1"/>
          <w:numId w:val="3"/>
        </w:numPr>
      </w:pPr>
      <w:r>
        <w:rPr>
          <w:rStyle w:val="Heading6Char"/>
        </w:rPr>
        <w:t>Adjustments for differences in the range of properties subject to duty</w:t>
      </w:r>
      <w:r w:rsidRPr="00F87760">
        <w:rPr>
          <w:rStyle w:val="Heading6Char"/>
        </w:rPr>
        <w:t>.</w:t>
      </w:r>
      <w:r>
        <w:rPr>
          <w:szCs w:val="22"/>
        </w:rPr>
        <w:t xml:space="preserve"> Some</w:t>
      </w:r>
      <w:r w:rsidRPr="00B305CF">
        <w:rPr>
          <w:szCs w:val="22"/>
        </w:rPr>
        <w:t xml:space="preserve"> transactions </w:t>
      </w:r>
      <w:r>
        <w:rPr>
          <w:szCs w:val="22"/>
        </w:rPr>
        <w:t>we</w:t>
      </w:r>
      <w:r w:rsidRPr="00B305CF">
        <w:rPr>
          <w:szCs w:val="22"/>
        </w:rPr>
        <w:t xml:space="preserve">re dutiable </w:t>
      </w:r>
      <w:r>
        <w:rPr>
          <w:szCs w:val="22"/>
        </w:rPr>
        <w:t>in some</w:t>
      </w:r>
      <w:r w:rsidRPr="00B305CF">
        <w:rPr>
          <w:szCs w:val="22"/>
        </w:rPr>
        <w:t xml:space="preserve"> States, </w:t>
      </w:r>
      <w:r>
        <w:rPr>
          <w:szCs w:val="22"/>
        </w:rPr>
        <w:t xml:space="preserve">but not others. In these circumstances, the Commission made </w:t>
      </w:r>
      <w:r w:rsidRPr="00B305CF">
        <w:rPr>
          <w:szCs w:val="22"/>
        </w:rPr>
        <w:t xml:space="preserve">adjustments to </w:t>
      </w:r>
      <w:r>
        <w:rPr>
          <w:szCs w:val="22"/>
        </w:rPr>
        <w:t xml:space="preserve">the value data provided by SROs to </w:t>
      </w:r>
      <w:r w:rsidRPr="00B305CF">
        <w:rPr>
          <w:szCs w:val="22"/>
        </w:rPr>
        <w:t xml:space="preserve">improve </w:t>
      </w:r>
      <w:r>
        <w:rPr>
          <w:szCs w:val="22"/>
        </w:rPr>
        <w:t xml:space="preserve">their </w:t>
      </w:r>
      <w:r w:rsidRPr="00B305CF">
        <w:rPr>
          <w:szCs w:val="22"/>
        </w:rPr>
        <w:t xml:space="preserve">comparability. If </w:t>
      </w:r>
      <w:r>
        <w:rPr>
          <w:szCs w:val="22"/>
        </w:rPr>
        <w:t>these</w:t>
      </w:r>
      <w:r w:rsidRPr="00B305CF">
        <w:rPr>
          <w:szCs w:val="22"/>
        </w:rPr>
        <w:t xml:space="preserve"> adjustments</w:t>
      </w:r>
      <w:r>
        <w:rPr>
          <w:szCs w:val="22"/>
        </w:rPr>
        <w:t xml:space="preserve"> were not made</w:t>
      </w:r>
      <w:r w:rsidRPr="00B305CF">
        <w:rPr>
          <w:szCs w:val="22"/>
        </w:rPr>
        <w:t xml:space="preserve">, </w:t>
      </w:r>
      <w:r>
        <w:rPr>
          <w:szCs w:val="22"/>
        </w:rPr>
        <w:t>a State’s decision to tax a different range of transactions could have led to an over- or under</w:t>
      </w:r>
      <w:r>
        <w:rPr>
          <w:szCs w:val="22"/>
        </w:rPr>
        <w:noBreakHyphen/>
        <w:t>estimation of its revenue capacity</w:t>
      </w:r>
      <w:r>
        <w:t>.</w:t>
      </w:r>
    </w:p>
    <w:p w:rsidR="00FA3478" w:rsidRPr="00B1581A" w:rsidRDefault="00FA3478" w:rsidP="00FA3478">
      <w:pPr>
        <w:pStyle w:val="CGCNumberedPara"/>
        <w:numPr>
          <w:ilvl w:val="1"/>
          <w:numId w:val="3"/>
        </w:numPr>
      </w:pPr>
      <w:r>
        <w:t>In the 2015 Review, only three adjustments were material.</w:t>
      </w:r>
      <w:r>
        <w:rPr>
          <w:rStyle w:val="FootnoteReference"/>
        </w:rPr>
        <w:footnoteReference w:id="6"/>
      </w:r>
      <w:r>
        <w:t xml:space="preserve"> They were</w:t>
      </w:r>
      <w:r>
        <w:rPr>
          <w:szCs w:val="22"/>
        </w:rPr>
        <w:t>:</w:t>
      </w:r>
    </w:p>
    <w:p w:rsidR="00FA3478" w:rsidRDefault="00FA3478" w:rsidP="00FA3478">
      <w:pPr>
        <w:pStyle w:val="CGCBulletlist"/>
        <w:numPr>
          <w:ilvl w:val="0"/>
          <w:numId w:val="1"/>
        </w:numPr>
        <w:tabs>
          <w:tab w:val="clear" w:pos="927"/>
        </w:tabs>
        <w:ind w:left="1134" w:hanging="567"/>
      </w:pPr>
      <w:r>
        <w:t>a non-real property adjustment</w:t>
      </w:r>
    </w:p>
    <w:p w:rsidR="00FA3478" w:rsidRDefault="00FA3478" w:rsidP="00FA3478">
      <w:pPr>
        <w:pStyle w:val="CGCBulletlist"/>
        <w:numPr>
          <w:ilvl w:val="0"/>
          <w:numId w:val="1"/>
        </w:numPr>
        <w:tabs>
          <w:tab w:val="clear" w:pos="927"/>
        </w:tabs>
        <w:ind w:left="1134" w:hanging="567"/>
      </w:pPr>
      <w:r>
        <w:t>an off-the plan adjustment</w:t>
      </w:r>
    </w:p>
    <w:p w:rsidR="00FA3478" w:rsidRDefault="00FA3478" w:rsidP="00FA3478">
      <w:pPr>
        <w:pStyle w:val="CGCBulletlist"/>
        <w:numPr>
          <w:ilvl w:val="0"/>
          <w:numId w:val="1"/>
        </w:numPr>
        <w:tabs>
          <w:tab w:val="clear" w:pos="927"/>
        </w:tabs>
        <w:ind w:left="1134" w:hanging="567"/>
      </w:pPr>
      <w:proofErr w:type="gramStart"/>
      <w:r>
        <w:t>a</w:t>
      </w:r>
      <w:proofErr w:type="gramEnd"/>
      <w:r>
        <w:t xml:space="preserve"> unit trusts adjustment.</w:t>
      </w:r>
    </w:p>
    <w:p w:rsidR="00FA3478" w:rsidRPr="00B1581A" w:rsidRDefault="00FA3478" w:rsidP="00FA3478">
      <w:pPr>
        <w:pStyle w:val="CGCNumberedPara"/>
        <w:numPr>
          <w:ilvl w:val="1"/>
          <w:numId w:val="3"/>
        </w:numPr>
      </w:pPr>
      <w:r w:rsidRPr="00D82701">
        <w:rPr>
          <w:szCs w:val="22"/>
        </w:rPr>
        <w:t xml:space="preserve">As part of the Intergovernmental Agreement on Federal Financial Relations (the IGA), States agreed to abolish duty on non-real transactions, but they have different timetables for its abolition. Most States </w:t>
      </w:r>
      <w:r>
        <w:rPr>
          <w:szCs w:val="22"/>
        </w:rPr>
        <w:t>continued to</w:t>
      </w:r>
      <w:r w:rsidRPr="00D82701">
        <w:rPr>
          <w:szCs w:val="22"/>
        </w:rPr>
        <w:t xml:space="preserve"> apply duty. </w:t>
      </w:r>
      <w:r>
        <w:rPr>
          <w:szCs w:val="22"/>
        </w:rPr>
        <w:t xml:space="preserve">The size of the adjustment was determined by State data. </w:t>
      </w:r>
      <w:r>
        <w:t xml:space="preserve">In the 2010 Review, the States that taxed non-real property provided data that indicated these transactions accounted for 6% of the total value of property transferred. </w:t>
      </w:r>
      <w:r>
        <w:rPr>
          <w:szCs w:val="22"/>
        </w:rPr>
        <w:t xml:space="preserve">Consequently, this </w:t>
      </w:r>
      <w:r w:rsidRPr="00D82701">
        <w:rPr>
          <w:szCs w:val="22"/>
        </w:rPr>
        <w:t>adjustment</w:t>
      </w:r>
      <w:r>
        <w:rPr>
          <w:szCs w:val="22"/>
        </w:rPr>
        <w:t xml:space="preserve"> increased </w:t>
      </w:r>
      <w:r w:rsidRPr="00D82701">
        <w:rPr>
          <w:szCs w:val="22"/>
        </w:rPr>
        <w:t>by 6% (1% in the case of the ACT</w:t>
      </w:r>
      <w:r>
        <w:rPr>
          <w:rStyle w:val="FootnoteReference"/>
          <w:szCs w:val="22"/>
        </w:rPr>
        <w:footnoteReference w:id="7"/>
      </w:r>
      <w:r w:rsidRPr="00D82701">
        <w:rPr>
          <w:szCs w:val="22"/>
        </w:rPr>
        <w:t>)</w:t>
      </w:r>
      <w:r>
        <w:rPr>
          <w:szCs w:val="22"/>
        </w:rPr>
        <w:t xml:space="preserve"> </w:t>
      </w:r>
      <w:r w:rsidRPr="00D82701">
        <w:rPr>
          <w:szCs w:val="22"/>
        </w:rPr>
        <w:t>the</w:t>
      </w:r>
      <w:r>
        <w:rPr>
          <w:szCs w:val="22"/>
        </w:rPr>
        <w:t xml:space="preserve"> revenue bases</w:t>
      </w:r>
      <w:r w:rsidRPr="00D82701">
        <w:rPr>
          <w:szCs w:val="22"/>
        </w:rPr>
        <w:t xml:space="preserve"> </w:t>
      </w:r>
      <w:r>
        <w:rPr>
          <w:szCs w:val="22"/>
        </w:rPr>
        <w:t>of States that exempted these transactions.</w:t>
      </w:r>
    </w:p>
    <w:p w:rsidR="00FA3478" w:rsidRPr="00B1581A" w:rsidRDefault="00FA3478" w:rsidP="00FA3478">
      <w:pPr>
        <w:pStyle w:val="CGCNumberedPara"/>
        <w:numPr>
          <w:ilvl w:val="1"/>
          <w:numId w:val="3"/>
        </w:numPr>
      </w:pPr>
      <w:r>
        <w:t>An ‘off-the-plan’ adjustment was assessed for Victoria because it provided a concession to buyers buying off-the-plan apartments.</w:t>
      </w:r>
      <w:r>
        <w:rPr>
          <w:rStyle w:val="FootnoteReference"/>
        </w:rPr>
        <w:footnoteReference w:id="8"/>
      </w:r>
      <w:r>
        <w:t xml:space="preserve"> The size of the adjustment was determined by data provided by Victoria in the 2010 Review. Its data indicat</w:t>
      </w:r>
      <w:r w:rsidR="00C70202">
        <w:t>ed</w:t>
      </w:r>
      <w:r>
        <w:t xml:space="preserve"> that the concession reduced its </w:t>
      </w:r>
      <w:r w:rsidR="008E4BA7">
        <w:t>tax</w:t>
      </w:r>
      <w:r>
        <w:t xml:space="preserve"> base by 2.75%. Consequently, this adjustment increased its revenue base by 2.75%.</w:t>
      </w:r>
    </w:p>
    <w:p w:rsidR="00FA3478" w:rsidRPr="00785F80" w:rsidRDefault="00FA3478" w:rsidP="00FA3478">
      <w:pPr>
        <w:pStyle w:val="CGCNumberedPara"/>
        <w:numPr>
          <w:ilvl w:val="1"/>
          <w:numId w:val="3"/>
        </w:numPr>
      </w:pPr>
      <w:r w:rsidRPr="006622D3">
        <w:lastRenderedPageBreak/>
        <w:t>Queensland, Western Australia and South Australia tax</w:t>
      </w:r>
      <w:r>
        <w:t>ed</w:t>
      </w:r>
      <w:r w:rsidRPr="006622D3">
        <w:t xml:space="preserve"> a wider range of unit trusts</w:t>
      </w:r>
      <w:r>
        <w:rPr>
          <w:rStyle w:val="FootnoteReference"/>
        </w:rPr>
        <w:footnoteReference w:id="9"/>
      </w:r>
      <w:r w:rsidRPr="006622D3">
        <w:t xml:space="preserve"> than other States. </w:t>
      </w:r>
      <w:r>
        <w:t xml:space="preserve">The size of the adjustment was determined by data provided by Western Australia in the 2010 Review. Its data indicated that the wider trusts accounted for about 3% of its total value of property transferred. Consequently, the adjustment reduced </w:t>
      </w:r>
      <w:r w:rsidRPr="006622D3">
        <w:t>by 3%</w:t>
      </w:r>
      <w:r>
        <w:rPr>
          <w:szCs w:val="22"/>
        </w:rPr>
        <w:t xml:space="preserve"> </w:t>
      </w:r>
      <w:r>
        <w:t>the revenue bases of these three States.</w:t>
      </w:r>
    </w:p>
    <w:p w:rsidR="00FA3478" w:rsidRDefault="00FA3478" w:rsidP="00FA3478">
      <w:pPr>
        <w:pStyle w:val="CGCNumberedPara"/>
        <w:numPr>
          <w:ilvl w:val="1"/>
          <w:numId w:val="3"/>
        </w:numPr>
      </w:pPr>
      <w:r>
        <w:rPr>
          <w:rStyle w:val="Heading6Char"/>
        </w:rPr>
        <w:t>Adjustment for p</w:t>
      </w:r>
      <w:r w:rsidRPr="001810A2">
        <w:rPr>
          <w:rStyle w:val="Heading6Char"/>
        </w:rPr>
        <w:t>rogressive rates of duty.</w:t>
      </w:r>
      <w:r>
        <w:t xml:space="preserve"> States imposed conveyance duties using progressive rates. The Commission assessed revenue capacity across 16 value ranges using SRO data on the value of transactions and the duty </w:t>
      </w:r>
      <w:proofErr w:type="gramStart"/>
      <w:r>
        <w:t>raised</w:t>
      </w:r>
      <w:proofErr w:type="gramEnd"/>
      <w:r>
        <w:t>. This approach ensured a higher effective rate of duty was applied to properties in higher value ranges.</w:t>
      </w:r>
    </w:p>
    <w:p w:rsidR="00FA3478" w:rsidRDefault="00FA3478" w:rsidP="00FA3478">
      <w:pPr>
        <w:pStyle w:val="CGCNumberedPara"/>
        <w:numPr>
          <w:ilvl w:val="1"/>
          <w:numId w:val="3"/>
        </w:numPr>
      </w:pPr>
      <w:r>
        <w:fldChar w:fldCharType="begin"/>
      </w:r>
      <w:r>
        <w:instrText xml:space="preserve"> REF _Ref498672130 \h </w:instrText>
      </w:r>
      <w:r>
        <w:fldChar w:fldCharType="separate"/>
      </w:r>
      <w:r w:rsidR="00865709">
        <w:t>Table </w:t>
      </w:r>
      <w:r w:rsidR="00865709">
        <w:rPr>
          <w:noProof/>
        </w:rPr>
        <w:t>4</w:t>
      </w:r>
      <w:r>
        <w:fldChar w:fldCharType="end"/>
      </w:r>
      <w:r>
        <w:t xml:space="preserve"> shows the derivation of</w:t>
      </w:r>
      <w:r w:rsidRPr="002B3DC6">
        <w:t xml:space="preserve"> </w:t>
      </w:r>
      <w:r>
        <w:t xml:space="preserve">the component factor for 2016-17 once these adjustments had been made. It shows the </w:t>
      </w:r>
      <w:r w:rsidR="00C8665E">
        <w:t xml:space="preserve">assessed </w:t>
      </w:r>
      <w:r>
        <w:t>per capita value of taxable land holdings in New South Wales and Victoria exceeded the average ($21 996 per capita). The</w:t>
      </w:r>
      <w:r w:rsidR="00C8665E">
        <w:t>se States</w:t>
      </w:r>
      <w:r>
        <w:t xml:space="preserve"> were</w:t>
      </w:r>
      <w:r w:rsidR="009E4AA3">
        <w:t>,</w:t>
      </w:r>
      <w:r>
        <w:t xml:space="preserve"> </w:t>
      </w:r>
      <w:r w:rsidR="00C8665E">
        <w:t>therefore</w:t>
      </w:r>
      <w:r w:rsidR="009E4AA3">
        <w:t>,</w:t>
      </w:r>
      <w:r w:rsidR="00C8665E">
        <w:t xml:space="preserve"> </w:t>
      </w:r>
      <w:r>
        <w:t>assessed to have above average revenue raising capacity in that year.</w:t>
      </w:r>
    </w:p>
    <w:p w:rsidR="00FA3478" w:rsidRDefault="00FA3478" w:rsidP="00FA3478">
      <w:pPr>
        <w:pStyle w:val="CGCTableHeading"/>
      </w:pPr>
      <w:bookmarkStart w:id="17" w:name="_Ref498672130"/>
      <w:r>
        <w:t>Table </w:t>
      </w:r>
      <w:fldSimple w:instr=" SEQ Table \* ARABIC ">
        <w:r w:rsidR="00865709">
          <w:rPr>
            <w:noProof/>
          </w:rPr>
          <w:t>4</w:t>
        </w:r>
      </w:fldSimple>
      <w:bookmarkEnd w:id="17"/>
      <w:r>
        <w:tab/>
      </w:r>
      <w:r w:rsidR="00C8665E">
        <w:t>Stamp duty on conveyances component assessment</w:t>
      </w:r>
      <w:r>
        <w:t>, 2016-17</w:t>
      </w:r>
    </w:p>
    <w:tbl>
      <w:tblPr>
        <w:tblW w:w="5000" w:type="pct"/>
        <w:tblLayout w:type="fixed"/>
        <w:tblCellMar>
          <w:left w:w="0" w:type="dxa"/>
          <w:right w:w="0" w:type="dxa"/>
        </w:tblCellMar>
        <w:tblLook w:val="0000" w:firstRow="0" w:lastRow="0" w:firstColumn="0" w:lastColumn="0" w:noHBand="0" w:noVBand="0"/>
      </w:tblPr>
      <w:tblGrid>
        <w:gridCol w:w="1973"/>
        <w:gridCol w:w="455"/>
        <w:gridCol w:w="725"/>
        <w:gridCol w:w="725"/>
        <w:gridCol w:w="725"/>
        <w:gridCol w:w="725"/>
        <w:gridCol w:w="725"/>
        <w:gridCol w:w="725"/>
        <w:gridCol w:w="725"/>
        <w:gridCol w:w="725"/>
        <w:gridCol w:w="723"/>
      </w:tblGrid>
      <w:tr w:rsidR="00FA3478" w:rsidRPr="00FE3F73" w:rsidTr="00C8665E">
        <w:tc>
          <w:tcPr>
            <w:tcW w:w="1102" w:type="pct"/>
            <w:tcBorders>
              <w:top w:val="single" w:sz="6" w:space="0" w:color="auto"/>
              <w:bottom w:val="single" w:sz="6" w:space="0" w:color="auto"/>
            </w:tcBorders>
            <w:vAlign w:val="center"/>
          </w:tcPr>
          <w:p w:rsidR="00FA3478" w:rsidRPr="00FE3F73" w:rsidRDefault="00FA3478" w:rsidP="00C8665E">
            <w:pPr>
              <w:pStyle w:val="CGCTableStub"/>
              <w:spacing w:line="240" w:lineRule="auto"/>
              <w:ind w:left="193" w:hanging="142"/>
              <w:rPr>
                <w:rFonts w:cstheme="minorHAnsi"/>
              </w:rPr>
            </w:pPr>
          </w:p>
        </w:tc>
        <w:tc>
          <w:tcPr>
            <w:tcW w:w="254" w:type="pct"/>
            <w:tcBorders>
              <w:top w:val="single" w:sz="6" w:space="0" w:color="auto"/>
              <w:bottom w:val="single" w:sz="6" w:space="0" w:color="auto"/>
            </w:tcBorders>
            <w:vAlign w:val="center"/>
          </w:tcPr>
          <w:p w:rsidR="00FA3478" w:rsidRPr="00FE3F73" w:rsidRDefault="00FA3478" w:rsidP="00C8665E">
            <w:pPr>
              <w:pStyle w:val="CGCTableStub"/>
              <w:spacing w:line="240" w:lineRule="auto"/>
              <w:ind w:left="142" w:hanging="142"/>
              <w:jc w:val="center"/>
              <w:rPr>
                <w:rFonts w:cstheme="minorHAnsi"/>
              </w:rPr>
            </w:pPr>
          </w:p>
        </w:tc>
        <w:tc>
          <w:tcPr>
            <w:tcW w:w="405" w:type="pct"/>
            <w:tcBorders>
              <w:top w:val="single" w:sz="6" w:space="0" w:color="auto"/>
              <w:bottom w:val="single" w:sz="6" w:space="0" w:color="auto"/>
            </w:tcBorders>
            <w:vAlign w:val="center"/>
          </w:tcPr>
          <w:p w:rsidR="00FA3478" w:rsidRPr="00FE3F73" w:rsidRDefault="00FA3478" w:rsidP="00C8665E">
            <w:pPr>
              <w:pStyle w:val="TableColHeadings"/>
              <w:rPr>
                <w:rFonts w:cstheme="minorHAnsi"/>
              </w:rPr>
            </w:pPr>
            <w:r w:rsidRPr="00FE3F73">
              <w:rPr>
                <w:rFonts w:cstheme="minorHAnsi"/>
              </w:rPr>
              <w:t>NSW</w:t>
            </w:r>
          </w:p>
        </w:tc>
        <w:tc>
          <w:tcPr>
            <w:tcW w:w="405" w:type="pct"/>
            <w:tcBorders>
              <w:top w:val="single" w:sz="6" w:space="0" w:color="auto"/>
              <w:bottom w:val="single" w:sz="6" w:space="0" w:color="auto"/>
            </w:tcBorders>
            <w:vAlign w:val="center"/>
          </w:tcPr>
          <w:p w:rsidR="00FA3478" w:rsidRPr="00FE3F73" w:rsidRDefault="00FA3478" w:rsidP="00C8665E">
            <w:pPr>
              <w:pStyle w:val="TableColHeadings"/>
              <w:rPr>
                <w:rFonts w:cstheme="minorHAnsi"/>
              </w:rPr>
            </w:pPr>
            <w:r w:rsidRPr="00FE3F73">
              <w:rPr>
                <w:rFonts w:cstheme="minorHAnsi"/>
              </w:rPr>
              <w:t>Vic</w:t>
            </w:r>
          </w:p>
        </w:tc>
        <w:tc>
          <w:tcPr>
            <w:tcW w:w="405" w:type="pct"/>
            <w:tcBorders>
              <w:top w:val="single" w:sz="6" w:space="0" w:color="auto"/>
              <w:bottom w:val="single" w:sz="6" w:space="0" w:color="auto"/>
            </w:tcBorders>
            <w:vAlign w:val="center"/>
          </w:tcPr>
          <w:p w:rsidR="00FA3478" w:rsidRPr="00FE3F73" w:rsidRDefault="00FA3478" w:rsidP="00C8665E">
            <w:pPr>
              <w:pStyle w:val="TableColHeadings"/>
              <w:rPr>
                <w:rFonts w:cstheme="minorHAnsi"/>
              </w:rPr>
            </w:pPr>
            <w:r w:rsidRPr="00FE3F73">
              <w:rPr>
                <w:rFonts w:cstheme="minorHAnsi"/>
              </w:rPr>
              <w:t>Qld</w:t>
            </w:r>
          </w:p>
        </w:tc>
        <w:tc>
          <w:tcPr>
            <w:tcW w:w="405" w:type="pct"/>
            <w:tcBorders>
              <w:top w:val="single" w:sz="6" w:space="0" w:color="auto"/>
              <w:bottom w:val="single" w:sz="6" w:space="0" w:color="auto"/>
            </w:tcBorders>
            <w:vAlign w:val="center"/>
          </w:tcPr>
          <w:p w:rsidR="00FA3478" w:rsidRPr="00FE3F73" w:rsidRDefault="00FA3478" w:rsidP="00C8665E">
            <w:pPr>
              <w:pStyle w:val="TableColHeadings"/>
              <w:rPr>
                <w:rFonts w:cstheme="minorHAnsi"/>
              </w:rPr>
            </w:pPr>
            <w:r w:rsidRPr="00FE3F73">
              <w:rPr>
                <w:rFonts w:cstheme="minorHAnsi"/>
              </w:rPr>
              <w:t>WA</w:t>
            </w:r>
          </w:p>
        </w:tc>
        <w:tc>
          <w:tcPr>
            <w:tcW w:w="405" w:type="pct"/>
            <w:tcBorders>
              <w:top w:val="single" w:sz="6" w:space="0" w:color="auto"/>
              <w:bottom w:val="single" w:sz="6" w:space="0" w:color="auto"/>
            </w:tcBorders>
            <w:vAlign w:val="center"/>
          </w:tcPr>
          <w:p w:rsidR="00FA3478" w:rsidRPr="00FE3F73" w:rsidRDefault="00FA3478" w:rsidP="00C8665E">
            <w:pPr>
              <w:pStyle w:val="TableColHeadings"/>
              <w:rPr>
                <w:rFonts w:cstheme="minorHAnsi"/>
              </w:rPr>
            </w:pPr>
            <w:r w:rsidRPr="00FE3F73">
              <w:rPr>
                <w:rFonts w:cstheme="minorHAnsi"/>
              </w:rPr>
              <w:t>SA</w:t>
            </w:r>
          </w:p>
        </w:tc>
        <w:tc>
          <w:tcPr>
            <w:tcW w:w="405" w:type="pct"/>
            <w:tcBorders>
              <w:top w:val="single" w:sz="6" w:space="0" w:color="auto"/>
              <w:bottom w:val="single" w:sz="6" w:space="0" w:color="auto"/>
            </w:tcBorders>
            <w:vAlign w:val="center"/>
          </w:tcPr>
          <w:p w:rsidR="00FA3478" w:rsidRPr="00FE3F73" w:rsidRDefault="00FA3478" w:rsidP="00C8665E">
            <w:pPr>
              <w:pStyle w:val="TableColHeadings"/>
              <w:rPr>
                <w:rFonts w:cstheme="minorHAnsi"/>
              </w:rPr>
            </w:pPr>
            <w:proofErr w:type="spellStart"/>
            <w:r w:rsidRPr="00FE3F73">
              <w:rPr>
                <w:rFonts w:cstheme="minorHAnsi"/>
              </w:rPr>
              <w:t>Tas</w:t>
            </w:r>
            <w:proofErr w:type="spellEnd"/>
          </w:p>
        </w:tc>
        <w:tc>
          <w:tcPr>
            <w:tcW w:w="405" w:type="pct"/>
            <w:tcBorders>
              <w:top w:val="single" w:sz="6" w:space="0" w:color="auto"/>
              <w:bottom w:val="single" w:sz="6" w:space="0" w:color="auto"/>
            </w:tcBorders>
            <w:vAlign w:val="center"/>
          </w:tcPr>
          <w:p w:rsidR="00FA3478" w:rsidRPr="00FE3F73" w:rsidRDefault="00FA3478" w:rsidP="00C8665E">
            <w:pPr>
              <w:pStyle w:val="TableColHeadings"/>
              <w:rPr>
                <w:rFonts w:cstheme="minorHAnsi"/>
              </w:rPr>
            </w:pPr>
            <w:r w:rsidRPr="00FE3F73">
              <w:rPr>
                <w:rFonts w:cstheme="minorHAnsi"/>
              </w:rPr>
              <w:t>ACT</w:t>
            </w:r>
          </w:p>
        </w:tc>
        <w:tc>
          <w:tcPr>
            <w:tcW w:w="405" w:type="pct"/>
            <w:tcBorders>
              <w:top w:val="single" w:sz="6" w:space="0" w:color="auto"/>
              <w:bottom w:val="single" w:sz="6" w:space="0" w:color="auto"/>
            </w:tcBorders>
            <w:vAlign w:val="center"/>
          </w:tcPr>
          <w:p w:rsidR="00FA3478" w:rsidRPr="00FE3F73" w:rsidRDefault="00FA3478" w:rsidP="00C8665E">
            <w:pPr>
              <w:pStyle w:val="TableColHeadings"/>
              <w:rPr>
                <w:rFonts w:cstheme="minorHAnsi"/>
              </w:rPr>
            </w:pPr>
            <w:r w:rsidRPr="00FE3F73">
              <w:rPr>
                <w:rFonts w:cstheme="minorHAnsi"/>
              </w:rPr>
              <w:t>NT</w:t>
            </w:r>
          </w:p>
        </w:tc>
        <w:tc>
          <w:tcPr>
            <w:tcW w:w="404" w:type="pct"/>
            <w:tcBorders>
              <w:top w:val="single" w:sz="6" w:space="0" w:color="auto"/>
              <w:bottom w:val="single" w:sz="6" w:space="0" w:color="auto"/>
            </w:tcBorders>
            <w:vAlign w:val="center"/>
          </w:tcPr>
          <w:p w:rsidR="00FA3478" w:rsidRPr="00FE3F73" w:rsidRDefault="00FA3478" w:rsidP="00C8665E">
            <w:pPr>
              <w:pStyle w:val="TableColHeadings"/>
              <w:rPr>
                <w:rFonts w:cstheme="minorHAnsi"/>
              </w:rPr>
            </w:pPr>
            <w:r>
              <w:rPr>
                <w:rFonts w:cstheme="minorHAnsi"/>
              </w:rPr>
              <w:t>Total</w:t>
            </w:r>
          </w:p>
        </w:tc>
      </w:tr>
      <w:tr w:rsidR="00FA3478" w:rsidRPr="00FE3F73" w:rsidTr="00C8665E">
        <w:tc>
          <w:tcPr>
            <w:tcW w:w="1102" w:type="pct"/>
            <w:vAlign w:val="bottom"/>
          </w:tcPr>
          <w:p w:rsidR="00FA3478" w:rsidRPr="00FE3F73" w:rsidRDefault="00FA3478" w:rsidP="00C8665E">
            <w:pPr>
              <w:pStyle w:val="CGCTableStub"/>
              <w:tabs>
                <w:tab w:val="left" w:pos="142"/>
                <w:tab w:val="left" w:pos="425"/>
                <w:tab w:val="left" w:pos="709"/>
                <w:tab w:val="left" w:pos="851"/>
              </w:tabs>
              <w:ind w:left="193" w:hanging="142"/>
              <w:rPr>
                <w:rFonts w:cstheme="minorHAnsi"/>
              </w:rPr>
            </w:pPr>
            <w:r>
              <w:rPr>
                <w:rFonts w:cstheme="minorHAnsi"/>
              </w:rPr>
              <w:t>Value of property transferred</w:t>
            </w:r>
          </w:p>
        </w:tc>
        <w:tc>
          <w:tcPr>
            <w:tcW w:w="254" w:type="pct"/>
            <w:vAlign w:val="bottom"/>
          </w:tcPr>
          <w:p w:rsidR="00FA3478" w:rsidRPr="00FE3F73" w:rsidRDefault="00FA3478" w:rsidP="00C8665E">
            <w:pPr>
              <w:pStyle w:val="CGCTableStub"/>
              <w:tabs>
                <w:tab w:val="left" w:pos="142"/>
                <w:tab w:val="left" w:pos="425"/>
                <w:tab w:val="left" w:pos="709"/>
                <w:tab w:val="left" w:pos="851"/>
              </w:tabs>
              <w:ind w:left="142" w:hanging="142"/>
              <w:jc w:val="center"/>
              <w:rPr>
                <w:rFonts w:cstheme="minorHAnsi"/>
              </w:rPr>
            </w:pPr>
            <w:r>
              <w:rPr>
                <w:rFonts w:cstheme="minorHAnsi"/>
              </w:rPr>
              <w:t>$b</w:t>
            </w:r>
          </w:p>
        </w:tc>
        <w:tc>
          <w:tcPr>
            <w:tcW w:w="405" w:type="pct"/>
            <w:vAlign w:val="bottom"/>
          </w:tcPr>
          <w:p w:rsidR="00FA3478" w:rsidRPr="00332633" w:rsidRDefault="00FA3478" w:rsidP="00C8665E">
            <w:pPr>
              <w:pStyle w:val="TableRowNormal"/>
              <w:ind w:left="0" w:firstLine="0"/>
              <w:rPr>
                <w:rFonts w:cstheme="minorHAnsi"/>
              </w:rPr>
            </w:pPr>
            <w:r w:rsidRPr="00332633">
              <w:rPr>
                <w:rFonts w:cstheme="minorHAnsi"/>
              </w:rPr>
              <w:t>228</w:t>
            </w:r>
          </w:p>
        </w:tc>
        <w:tc>
          <w:tcPr>
            <w:tcW w:w="405" w:type="pct"/>
            <w:vAlign w:val="bottom"/>
          </w:tcPr>
          <w:p w:rsidR="00FA3478" w:rsidRPr="00332633" w:rsidRDefault="00FA3478" w:rsidP="00C8665E">
            <w:pPr>
              <w:pStyle w:val="TableRowNormal"/>
              <w:ind w:left="0" w:firstLine="0"/>
              <w:rPr>
                <w:rFonts w:cstheme="minorHAnsi"/>
              </w:rPr>
            </w:pPr>
            <w:r w:rsidRPr="00332633">
              <w:rPr>
                <w:rFonts w:cstheme="minorHAnsi"/>
              </w:rPr>
              <w:t>145</w:t>
            </w:r>
          </w:p>
        </w:tc>
        <w:tc>
          <w:tcPr>
            <w:tcW w:w="405" w:type="pct"/>
            <w:vAlign w:val="bottom"/>
          </w:tcPr>
          <w:p w:rsidR="00FA3478" w:rsidRPr="00332633" w:rsidRDefault="00FA3478" w:rsidP="00C8665E">
            <w:pPr>
              <w:pStyle w:val="TableRowNormal"/>
              <w:ind w:left="0" w:firstLine="0"/>
              <w:rPr>
                <w:rFonts w:cstheme="minorHAnsi"/>
              </w:rPr>
            </w:pPr>
            <w:r w:rsidRPr="00332633">
              <w:rPr>
                <w:rFonts w:cstheme="minorHAnsi"/>
              </w:rPr>
              <w:t>99</w:t>
            </w:r>
          </w:p>
        </w:tc>
        <w:tc>
          <w:tcPr>
            <w:tcW w:w="405" w:type="pct"/>
            <w:vAlign w:val="bottom"/>
          </w:tcPr>
          <w:p w:rsidR="00FA3478" w:rsidRPr="00332633" w:rsidRDefault="00FA3478" w:rsidP="00C8665E">
            <w:pPr>
              <w:pStyle w:val="TableRowNormal"/>
              <w:ind w:left="0" w:firstLine="0"/>
              <w:rPr>
                <w:rFonts w:cstheme="minorHAnsi"/>
              </w:rPr>
            </w:pPr>
            <w:r w:rsidRPr="00332633">
              <w:rPr>
                <w:rFonts w:cstheme="minorHAnsi"/>
              </w:rPr>
              <w:t>28</w:t>
            </w:r>
          </w:p>
        </w:tc>
        <w:tc>
          <w:tcPr>
            <w:tcW w:w="405" w:type="pct"/>
            <w:vAlign w:val="bottom"/>
          </w:tcPr>
          <w:p w:rsidR="00FA3478" w:rsidRPr="00332633" w:rsidRDefault="00FA3478" w:rsidP="00C8665E">
            <w:pPr>
              <w:pStyle w:val="TableRowNormal"/>
              <w:ind w:left="0" w:firstLine="0"/>
              <w:rPr>
                <w:rFonts w:cstheme="minorHAnsi"/>
              </w:rPr>
            </w:pPr>
            <w:r w:rsidRPr="00332633">
              <w:rPr>
                <w:rFonts w:cstheme="minorHAnsi"/>
              </w:rPr>
              <w:t>19</w:t>
            </w:r>
          </w:p>
        </w:tc>
        <w:tc>
          <w:tcPr>
            <w:tcW w:w="405" w:type="pct"/>
            <w:vAlign w:val="bottom"/>
          </w:tcPr>
          <w:p w:rsidR="00FA3478" w:rsidRPr="00332633" w:rsidRDefault="00FA3478" w:rsidP="00C8665E">
            <w:pPr>
              <w:pStyle w:val="TableRowNormal"/>
              <w:ind w:left="0" w:firstLine="0"/>
              <w:rPr>
                <w:rFonts w:cstheme="minorHAnsi"/>
              </w:rPr>
            </w:pPr>
            <w:r w:rsidRPr="00332633">
              <w:rPr>
                <w:rFonts w:cstheme="minorHAnsi"/>
              </w:rPr>
              <w:t>6</w:t>
            </w:r>
          </w:p>
        </w:tc>
        <w:tc>
          <w:tcPr>
            <w:tcW w:w="405" w:type="pct"/>
            <w:vAlign w:val="bottom"/>
          </w:tcPr>
          <w:p w:rsidR="00FA3478" w:rsidRPr="00332633" w:rsidRDefault="00FA3478" w:rsidP="00C8665E">
            <w:pPr>
              <w:pStyle w:val="TableRowNormal"/>
              <w:ind w:left="0" w:firstLine="0"/>
              <w:rPr>
                <w:rFonts w:cstheme="minorHAnsi"/>
              </w:rPr>
            </w:pPr>
            <w:r w:rsidRPr="00332633">
              <w:rPr>
                <w:rFonts w:cstheme="minorHAnsi"/>
              </w:rPr>
              <w:t>9</w:t>
            </w:r>
          </w:p>
        </w:tc>
        <w:tc>
          <w:tcPr>
            <w:tcW w:w="405" w:type="pct"/>
            <w:vAlign w:val="bottom"/>
          </w:tcPr>
          <w:p w:rsidR="00FA3478" w:rsidRPr="00332633" w:rsidRDefault="00FA3478" w:rsidP="00C8665E">
            <w:pPr>
              <w:pStyle w:val="TableRowNormal"/>
              <w:ind w:left="0" w:firstLine="0"/>
              <w:rPr>
                <w:rFonts w:cstheme="minorHAnsi"/>
              </w:rPr>
            </w:pPr>
            <w:r w:rsidRPr="00332633">
              <w:rPr>
                <w:rFonts w:cstheme="minorHAnsi"/>
              </w:rPr>
              <w:t>2</w:t>
            </w:r>
          </w:p>
        </w:tc>
        <w:tc>
          <w:tcPr>
            <w:tcW w:w="404" w:type="pct"/>
            <w:vAlign w:val="bottom"/>
          </w:tcPr>
          <w:p w:rsidR="00FA3478" w:rsidRPr="00332633" w:rsidRDefault="00FA3478" w:rsidP="00C8665E">
            <w:pPr>
              <w:pStyle w:val="TableRowNormal"/>
              <w:ind w:left="0" w:firstLine="0"/>
              <w:rPr>
                <w:rFonts w:cstheme="minorHAnsi"/>
              </w:rPr>
            </w:pPr>
            <w:r w:rsidRPr="00332633">
              <w:rPr>
                <w:rFonts w:cstheme="minorHAnsi"/>
              </w:rPr>
              <w:t>536</w:t>
            </w:r>
          </w:p>
        </w:tc>
      </w:tr>
      <w:tr w:rsidR="00FA3478" w:rsidRPr="00FE3F73" w:rsidTr="00C8665E">
        <w:tc>
          <w:tcPr>
            <w:tcW w:w="1102" w:type="pct"/>
            <w:vAlign w:val="bottom"/>
          </w:tcPr>
          <w:p w:rsidR="00FA3478" w:rsidRPr="00FE3F73" w:rsidRDefault="00FA3478" w:rsidP="00C8665E">
            <w:pPr>
              <w:pStyle w:val="CGCTableStub"/>
              <w:tabs>
                <w:tab w:val="left" w:pos="142"/>
                <w:tab w:val="left" w:pos="425"/>
                <w:tab w:val="left" w:pos="709"/>
                <w:tab w:val="left" w:pos="851"/>
              </w:tabs>
              <w:ind w:left="193" w:hanging="142"/>
              <w:rPr>
                <w:rFonts w:cstheme="minorHAnsi"/>
              </w:rPr>
            </w:pPr>
            <w:r>
              <w:rPr>
                <w:rFonts w:cstheme="minorHAnsi"/>
              </w:rPr>
              <w:t>Value of property transferred per capita</w:t>
            </w:r>
          </w:p>
        </w:tc>
        <w:tc>
          <w:tcPr>
            <w:tcW w:w="254" w:type="pct"/>
            <w:vAlign w:val="bottom"/>
          </w:tcPr>
          <w:p w:rsidR="00FA3478" w:rsidRPr="00FE3F73" w:rsidRDefault="00FA3478" w:rsidP="00C8665E">
            <w:pPr>
              <w:pStyle w:val="CGCTableStub"/>
              <w:tabs>
                <w:tab w:val="left" w:pos="142"/>
                <w:tab w:val="left" w:pos="425"/>
                <w:tab w:val="left" w:pos="709"/>
                <w:tab w:val="left" w:pos="851"/>
              </w:tabs>
              <w:ind w:left="142" w:hanging="142"/>
              <w:jc w:val="center"/>
              <w:rPr>
                <w:rFonts w:cstheme="minorHAnsi"/>
              </w:rPr>
            </w:pPr>
            <w:r>
              <w:rPr>
                <w:rFonts w:cstheme="minorHAnsi"/>
              </w:rPr>
              <w:t>$pc</w:t>
            </w:r>
          </w:p>
        </w:tc>
        <w:tc>
          <w:tcPr>
            <w:tcW w:w="405" w:type="pct"/>
            <w:vAlign w:val="bottom"/>
          </w:tcPr>
          <w:p w:rsidR="00FA3478" w:rsidRPr="00332633" w:rsidRDefault="00FA3478" w:rsidP="00C8665E">
            <w:pPr>
              <w:pStyle w:val="TableRowNormal"/>
              <w:ind w:left="0" w:firstLine="0"/>
              <w:rPr>
                <w:rFonts w:cstheme="minorHAnsi"/>
              </w:rPr>
            </w:pPr>
            <w:r w:rsidRPr="00332633">
              <w:rPr>
                <w:rFonts w:cstheme="minorHAnsi"/>
              </w:rPr>
              <w:t>29 179</w:t>
            </w:r>
          </w:p>
        </w:tc>
        <w:tc>
          <w:tcPr>
            <w:tcW w:w="405" w:type="pct"/>
            <w:vAlign w:val="bottom"/>
          </w:tcPr>
          <w:p w:rsidR="00FA3478" w:rsidRPr="00332633" w:rsidRDefault="00FA3478" w:rsidP="00C8665E">
            <w:pPr>
              <w:pStyle w:val="TableRowNormal"/>
              <w:ind w:left="0" w:firstLine="0"/>
              <w:rPr>
                <w:rFonts w:cstheme="minorHAnsi"/>
              </w:rPr>
            </w:pPr>
            <w:r w:rsidRPr="00332633">
              <w:rPr>
                <w:rFonts w:cstheme="minorHAnsi"/>
              </w:rPr>
              <w:t>23 271</w:t>
            </w:r>
          </w:p>
        </w:tc>
        <w:tc>
          <w:tcPr>
            <w:tcW w:w="405" w:type="pct"/>
            <w:vAlign w:val="bottom"/>
          </w:tcPr>
          <w:p w:rsidR="00FA3478" w:rsidRPr="00332633" w:rsidRDefault="00FA3478" w:rsidP="00C8665E">
            <w:pPr>
              <w:pStyle w:val="TableRowNormal"/>
              <w:ind w:left="0" w:firstLine="0"/>
              <w:rPr>
                <w:rFonts w:cstheme="minorHAnsi"/>
              </w:rPr>
            </w:pPr>
            <w:r w:rsidRPr="00332633">
              <w:rPr>
                <w:rFonts w:cstheme="minorHAnsi"/>
              </w:rPr>
              <w:t>20 302</w:t>
            </w:r>
          </w:p>
        </w:tc>
        <w:tc>
          <w:tcPr>
            <w:tcW w:w="405" w:type="pct"/>
            <w:vAlign w:val="bottom"/>
          </w:tcPr>
          <w:p w:rsidR="00FA3478" w:rsidRPr="00332633" w:rsidRDefault="00FA3478" w:rsidP="00C8665E">
            <w:pPr>
              <w:pStyle w:val="TableRowNormal"/>
              <w:ind w:left="0" w:firstLine="0"/>
              <w:rPr>
                <w:rFonts w:cstheme="minorHAnsi"/>
              </w:rPr>
            </w:pPr>
            <w:r w:rsidRPr="00332633">
              <w:rPr>
                <w:rFonts w:cstheme="minorHAnsi"/>
              </w:rPr>
              <w:t>10 921</w:t>
            </w:r>
          </w:p>
        </w:tc>
        <w:tc>
          <w:tcPr>
            <w:tcW w:w="405" w:type="pct"/>
            <w:vAlign w:val="bottom"/>
          </w:tcPr>
          <w:p w:rsidR="00FA3478" w:rsidRPr="00332633" w:rsidRDefault="00FA3478" w:rsidP="00C8665E">
            <w:pPr>
              <w:pStyle w:val="TableRowNormal"/>
              <w:ind w:left="0" w:firstLine="0"/>
              <w:rPr>
                <w:rFonts w:cstheme="minorHAnsi"/>
              </w:rPr>
            </w:pPr>
            <w:r w:rsidRPr="00332633">
              <w:rPr>
                <w:rFonts w:cstheme="minorHAnsi"/>
              </w:rPr>
              <w:t>11 108</w:t>
            </w:r>
          </w:p>
        </w:tc>
        <w:tc>
          <w:tcPr>
            <w:tcW w:w="405" w:type="pct"/>
            <w:vAlign w:val="bottom"/>
          </w:tcPr>
          <w:p w:rsidR="00FA3478" w:rsidRPr="00332633" w:rsidRDefault="00FA3478" w:rsidP="00C8665E">
            <w:pPr>
              <w:pStyle w:val="TableRowNormal"/>
              <w:ind w:left="0" w:firstLine="0"/>
              <w:rPr>
                <w:rFonts w:cstheme="minorHAnsi"/>
              </w:rPr>
            </w:pPr>
            <w:r w:rsidRPr="00332633">
              <w:rPr>
                <w:rFonts w:cstheme="minorHAnsi"/>
              </w:rPr>
              <w:t>11 426</w:t>
            </w:r>
          </w:p>
        </w:tc>
        <w:tc>
          <w:tcPr>
            <w:tcW w:w="405" w:type="pct"/>
            <w:vAlign w:val="bottom"/>
          </w:tcPr>
          <w:p w:rsidR="00FA3478" w:rsidRPr="00332633" w:rsidRDefault="00FA3478" w:rsidP="00C8665E">
            <w:pPr>
              <w:pStyle w:val="TableRowNormal"/>
              <w:ind w:left="0" w:firstLine="0"/>
              <w:rPr>
                <w:rFonts w:cstheme="minorHAnsi"/>
              </w:rPr>
            </w:pPr>
            <w:r w:rsidRPr="00332633">
              <w:rPr>
                <w:rFonts w:cstheme="minorHAnsi"/>
              </w:rPr>
              <w:t>21 736</w:t>
            </w:r>
          </w:p>
        </w:tc>
        <w:tc>
          <w:tcPr>
            <w:tcW w:w="405" w:type="pct"/>
            <w:vAlign w:val="bottom"/>
          </w:tcPr>
          <w:p w:rsidR="00FA3478" w:rsidRPr="00332633" w:rsidRDefault="00FA3478" w:rsidP="00C8665E">
            <w:pPr>
              <w:pStyle w:val="TableRowNormal"/>
              <w:ind w:left="0" w:firstLine="0"/>
              <w:rPr>
                <w:rFonts w:cstheme="minorHAnsi"/>
              </w:rPr>
            </w:pPr>
            <w:r w:rsidRPr="00332633">
              <w:rPr>
                <w:rFonts w:cstheme="minorHAnsi"/>
              </w:rPr>
              <w:t>9 879</w:t>
            </w:r>
          </w:p>
        </w:tc>
        <w:tc>
          <w:tcPr>
            <w:tcW w:w="404" w:type="pct"/>
            <w:vAlign w:val="bottom"/>
          </w:tcPr>
          <w:p w:rsidR="00FA3478" w:rsidRPr="00332633" w:rsidRDefault="00FA3478" w:rsidP="00C8665E">
            <w:pPr>
              <w:pStyle w:val="TableRowNormal"/>
              <w:ind w:left="0" w:firstLine="0"/>
              <w:rPr>
                <w:rFonts w:cstheme="minorHAnsi"/>
              </w:rPr>
            </w:pPr>
            <w:r w:rsidRPr="00332633">
              <w:rPr>
                <w:rFonts w:cstheme="minorHAnsi"/>
              </w:rPr>
              <w:t>21 996</w:t>
            </w:r>
          </w:p>
        </w:tc>
      </w:tr>
      <w:tr w:rsidR="00FA3478" w:rsidRPr="00FE3F73" w:rsidTr="00C8665E">
        <w:tc>
          <w:tcPr>
            <w:tcW w:w="1102" w:type="pct"/>
            <w:tcBorders>
              <w:bottom w:val="single" w:sz="4" w:space="0" w:color="auto"/>
            </w:tcBorders>
            <w:vAlign w:val="bottom"/>
          </w:tcPr>
          <w:p w:rsidR="00FA3478" w:rsidRPr="00FE3F73" w:rsidRDefault="00FA3478" w:rsidP="00C8665E">
            <w:pPr>
              <w:pStyle w:val="CGCTableStub"/>
              <w:tabs>
                <w:tab w:val="left" w:pos="142"/>
                <w:tab w:val="left" w:pos="425"/>
                <w:tab w:val="left" w:pos="709"/>
                <w:tab w:val="left" w:pos="851"/>
              </w:tabs>
              <w:ind w:left="193" w:hanging="142"/>
              <w:rPr>
                <w:rFonts w:cstheme="minorHAnsi"/>
              </w:rPr>
            </w:pPr>
            <w:r>
              <w:rPr>
                <w:rFonts w:cstheme="minorHAnsi"/>
              </w:rPr>
              <w:t>Component factor (a)</w:t>
            </w:r>
          </w:p>
        </w:tc>
        <w:tc>
          <w:tcPr>
            <w:tcW w:w="254" w:type="pct"/>
            <w:tcBorders>
              <w:bottom w:val="single" w:sz="4" w:space="0" w:color="auto"/>
            </w:tcBorders>
            <w:vAlign w:val="bottom"/>
          </w:tcPr>
          <w:p w:rsidR="00FA3478" w:rsidRPr="00FE3F73" w:rsidRDefault="00FA3478" w:rsidP="00C8665E">
            <w:pPr>
              <w:pStyle w:val="CGCTableStub"/>
              <w:tabs>
                <w:tab w:val="left" w:pos="142"/>
                <w:tab w:val="left" w:pos="425"/>
                <w:tab w:val="left" w:pos="709"/>
                <w:tab w:val="left" w:pos="851"/>
              </w:tabs>
              <w:ind w:left="142" w:hanging="142"/>
              <w:jc w:val="center"/>
              <w:rPr>
                <w:rFonts w:cstheme="minorHAnsi"/>
              </w:rPr>
            </w:pPr>
          </w:p>
        </w:tc>
        <w:tc>
          <w:tcPr>
            <w:tcW w:w="405" w:type="pct"/>
            <w:tcBorders>
              <w:bottom w:val="single" w:sz="4" w:space="0" w:color="auto"/>
            </w:tcBorders>
            <w:vAlign w:val="bottom"/>
          </w:tcPr>
          <w:p w:rsidR="00FA3478" w:rsidRPr="00332633" w:rsidRDefault="00FA3478" w:rsidP="00C8665E">
            <w:pPr>
              <w:pStyle w:val="TableRowNormal"/>
              <w:ind w:left="0" w:firstLine="0"/>
              <w:rPr>
                <w:rFonts w:cstheme="minorHAnsi"/>
              </w:rPr>
            </w:pPr>
            <w:r w:rsidRPr="00332633">
              <w:rPr>
                <w:rFonts w:cstheme="minorHAnsi"/>
              </w:rPr>
              <w:t>1.327</w:t>
            </w:r>
          </w:p>
        </w:tc>
        <w:tc>
          <w:tcPr>
            <w:tcW w:w="405" w:type="pct"/>
            <w:tcBorders>
              <w:bottom w:val="single" w:sz="4" w:space="0" w:color="auto"/>
            </w:tcBorders>
            <w:vAlign w:val="bottom"/>
          </w:tcPr>
          <w:p w:rsidR="00FA3478" w:rsidRPr="00332633" w:rsidRDefault="00FA3478" w:rsidP="00C8665E">
            <w:pPr>
              <w:pStyle w:val="TableRowNormal"/>
              <w:ind w:left="0" w:firstLine="0"/>
              <w:rPr>
                <w:rFonts w:cstheme="minorHAnsi"/>
              </w:rPr>
            </w:pPr>
            <w:r w:rsidRPr="00332633">
              <w:rPr>
                <w:rFonts w:cstheme="minorHAnsi"/>
              </w:rPr>
              <w:t>1.058</w:t>
            </w:r>
          </w:p>
        </w:tc>
        <w:tc>
          <w:tcPr>
            <w:tcW w:w="405" w:type="pct"/>
            <w:tcBorders>
              <w:bottom w:val="single" w:sz="4" w:space="0" w:color="auto"/>
            </w:tcBorders>
            <w:vAlign w:val="bottom"/>
          </w:tcPr>
          <w:p w:rsidR="00FA3478" w:rsidRPr="00332633" w:rsidRDefault="00FA3478" w:rsidP="00C8665E">
            <w:pPr>
              <w:pStyle w:val="TableRowNormal"/>
              <w:ind w:left="0" w:firstLine="0"/>
              <w:rPr>
                <w:rFonts w:cstheme="minorHAnsi"/>
              </w:rPr>
            </w:pPr>
            <w:r w:rsidRPr="00332633">
              <w:rPr>
                <w:rFonts w:cstheme="minorHAnsi"/>
              </w:rPr>
              <w:t>0.923</w:t>
            </w:r>
          </w:p>
        </w:tc>
        <w:tc>
          <w:tcPr>
            <w:tcW w:w="405" w:type="pct"/>
            <w:tcBorders>
              <w:bottom w:val="single" w:sz="4" w:space="0" w:color="auto"/>
            </w:tcBorders>
            <w:vAlign w:val="bottom"/>
          </w:tcPr>
          <w:p w:rsidR="00FA3478" w:rsidRPr="00332633" w:rsidRDefault="00FA3478" w:rsidP="00C8665E">
            <w:pPr>
              <w:pStyle w:val="TableRowNormal"/>
              <w:ind w:left="0" w:firstLine="0"/>
              <w:rPr>
                <w:rFonts w:cstheme="minorHAnsi"/>
              </w:rPr>
            </w:pPr>
            <w:r w:rsidRPr="00332633">
              <w:rPr>
                <w:rFonts w:cstheme="minorHAnsi"/>
              </w:rPr>
              <w:t>0.496</w:t>
            </w:r>
          </w:p>
        </w:tc>
        <w:tc>
          <w:tcPr>
            <w:tcW w:w="405" w:type="pct"/>
            <w:tcBorders>
              <w:bottom w:val="single" w:sz="4" w:space="0" w:color="auto"/>
            </w:tcBorders>
            <w:vAlign w:val="bottom"/>
          </w:tcPr>
          <w:p w:rsidR="00FA3478" w:rsidRPr="00332633" w:rsidRDefault="00FA3478" w:rsidP="00C8665E">
            <w:pPr>
              <w:pStyle w:val="TableRowNormal"/>
              <w:ind w:left="0" w:firstLine="0"/>
              <w:rPr>
                <w:rFonts w:cstheme="minorHAnsi"/>
              </w:rPr>
            </w:pPr>
            <w:r w:rsidRPr="00332633">
              <w:rPr>
                <w:rFonts w:cstheme="minorHAnsi"/>
              </w:rPr>
              <w:t>0.505</w:t>
            </w:r>
          </w:p>
        </w:tc>
        <w:tc>
          <w:tcPr>
            <w:tcW w:w="405" w:type="pct"/>
            <w:tcBorders>
              <w:bottom w:val="single" w:sz="4" w:space="0" w:color="auto"/>
            </w:tcBorders>
            <w:vAlign w:val="bottom"/>
          </w:tcPr>
          <w:p w:rsidR="00FA3478" w:rsidRPr="00332633" w:rsidRDefault="00FA3478" w:rsidP="00C8665E">
            <w:pPr>
              <w:pStyle w:val="TableRowNormal"/>
              <w:ind w:left="0" w:firstLine="0"/>
              <w:rPr>
                <w:rFonts w:cstheme="minorHAnsi"/>
              </w:rPr>
            </w:pPr>
            <w:r w:rsidRPr="00332633">
              <w:rPr>
                <w:rFonts w:cstheme="minorHAnsi"/>
              </w:rPr>
              <w:t>0.519</w:t>
            </w:r>
          </w:p>
        </w:tc>
        <w:tc>
          <w:tcPr>
            <w:tcW w:w="405" w:type="pct"/>
            <w:tcBorders>
              <w:bottom w:val="single" w:sz="4" w:space="0" w:color="auto"/>
            </w:tcBorders>
            <w:vAlign w:val="bottom"/>
          </w:tcPr>
          <w:p w:rsidR="00FA3478" w:rsidRPr="00332633" w:rsidRDefault="00FA3478" w:rsidP="00C8665E">
            <w:pPr>
              <w:pStyle w:val="TableRowNormal"/>
              <w:ind w:left="0" w:firstLine="0"/>
              <w:rPr>
                <w:rFonts w:cstheme="minorHAnsi"/>
              </w:rPr>
            </w:pPr>
            <w:r w:rsidRPr="00332633">
              <w:rPr>
                <w:rFonts w:cstheme="minorHAnsi"/>
              </w:rPr>
              <w:t>0.988</w:t>
            </w:r>
          </w:p>
        </w:tc>
        <w:tc>
          <w:tcPr>
            <w:tcW w:w="405" w:type="pct"/>
            <w:tcBorders>
              <w:bottom w:val="single" w:sz="4" w:space="0" w:color="auto"/>
            </w:tcBorders>
            <w:vAlign w:val="bottom"/>
          </w:tcPr>
          <w:p w:rsidR="00FA3478" w:rsidRPr="00332633" w:rsidRDefault="00FA3478" w:rsidP="00C8665E">
            <w:pPr>
              <w:pStyle w:val="TableRowNormal"/>
              <w:ind w:left="0" w:firstLine="0"/>
              <w:rPr>
                <w:rFonts w:cstheme="minorHAnsi"/>
              </w:rPr>
            </w:pPr>
            <w:r w:rsidRPr="00332633">
              <w:rPr>
                <w:rFonts w:cstheme="minorHAnsi"/>
              </w:rPr>
              <w:t>0.449</w:t>
            </w:r>
          </w:p>
        </w:tc>
        <w:tc>
          <w:tcPr>
            <w:tcW w:w="404" w:type="pct"/>
            <w:tcBorders>
              <w:bottom w:val="single" w:sz="4" w:space="0" w:color="auto"/>
            </w:tcBorders>
            <w:vAlign w:val="bottom"/>
          </w:tcPr>
          <w:p w:rsidR="00FA3478" w:rsidRPr="00332633" w:rsidRDefault="00FA3478" w:rsidP="00C8665E">
            <w:pPr>
              <w:pStyle w:val="TableRowNormal"/>
              <w:ind w:left="0" w:firstLine="0"/>
              <w:rPr>
                <w:rFonts w:cstheme="minorHAnsi"/>
              </w:rPr>
            </w:pPr>
            <w:r w:rsidRPr="00332633">
              <w:rPr>
                <w:rFonts w:cstheme="minorHAnsi"/>
              </w:rPr>
              <w:t>1.000</w:t>
            </w:r>
          </w:p>
        </w:tc>
      </w:tr>
    </w:tbl>
    <w:p w:rsidR="00FA3478" w:rsidRDefault="00FA3478" w:rsidP="00FA3478">
      <w:pPr>
        <w:pStyle w:val="CGCTableFootnote"/>
      </w:pPr>
      <w:r>
        <w:t>(a)</w:t>
      </w:r>
      <w:r>
        <w:tab/>
        <w:t>A State’s component factor is its per capita value of property transferred divided by the average per capita value of property transferred.</w:t>
      </w:r>
    </w:p>
    <w:p w:rsidR="00FA3478" w:rsidRDefault="00FA3478" w:rsidP="00FA3478">
      <w:pPr>
        <w:pStyle w:val="CGCTableFootnote"/>
      </w:pPr>
      <w:r>
        <w:t>Source:</w:t>
      </w:r>
      <w:r>
        <w:tab/>
        <w:t>State data returns</w:t>
      </w:r>
      <w:r w:rsidR="00C00F10">
        <w:t>, 2018 Update</w:t>
      </w:r>
      <w:r>
        <w:t>.</w:t>
      </w:r>
    </w:p>
    <w:p w:rsidR="00FA3478" w:rsidRPr="000F6176" w:rsidRDefault="00FA3478" w:rsidP="00FA3478">
      <w:pPr>
        <w:pStyle w:val="Heading5"/>
      </w:pPr>
      <w:r>
        <w:t>The vehicle component</w:t>
      </w:r>
    </w:p>
    <w:p w:rsidR="00FA3478" w:rsidRPr="00D1574A" w:rsidRDefault="00FA3478" w:rsidP="00FA3478">
      <w:pPr>
        <w:pStyle w:val="CGCNumberedPara"/>
        <w:numPr>
          <w:ilvl w:val="1"/>
          <w:numId w:val="3"/>
        </w:numPr>
      </w:pPr>
      <w:r>
        <w:rPr>
          <w:szCs w:val="22"/>
        </w:rPr>
        <w:t>This component comprised revenue from the duty on the transfer of vehicle ownership.</w:t>
      </w:r>
      <w:r>
        <w:rPr>
          <w:rStyle w:val="FootnoteReference"/>
          <w:szCs w:val="22"/>
        </w:rPr>
        <w:footnoteReference w:id="10"/>
      </w:r>
    </w:p>
    <w:p w:rsidR="00FA3478" w:rsidRPr="00DB1AD5" w:rsidRDefault="00FA3478" w:rsidP="00FA3478">
      <w:pPr>
        <w:pStyle w:val="CGCNumberedPara"/>
        <w:numPr>
          <w:ilvl w:val="1"/>
          <w:numId w:val="3"/>
        </w:numPr>
      </w:pPr>
      <w:r>
        <w:rPr>
          <w:szCs w:val="22"/>
        </w:rPr>
        <w:t xml:space="preserve">The value of the vehicles transferred reflects the base that States tax. While it was possible that differences between States in the value distribution of vehicles </w:t>
      </w:r>
      <w:r>
        <w:rPr>
          <w:szCs w:val="22"/>
        </w:rPr>
        <w:lastRenderedPageBreak/>
        <w:t>transferred could affect their actual revenue raising capacity, an adjustment would not have been material.</w:t>
      </w:r>
    </w:p>
    <w:p w:rsidR="00FA3478" w:rsidRDefault="00FA3478" w:rsidP="00FA3478">
      <w:pPr>
        <w:pStyle w:val="CGCNumberedPara"/>
        <w:numPr>
          <w:ilvl w:val="1"/>
          <w:numId w:val="3"/>
        </w:numPr>
      </w:pPr>
      <w:r>
        <w:rPr>
          <w:szCs w:val="22"/>
        </w:rPr>
        <w:t>The Commission sought data from States on the total value of vehicles transferred and the total duty paid</w:t>
      </w:r>
      <w:r>
        <w:t>. All States except Victoria and the Northern Territory were able to provide data on the value of vehicles transferred. The Commission estimated the missing value data for these two States using their total duty collected data and their legislated tax rates.</w:t>
      </w:r>
    </w:p>
    <w:p w:rsidR="00FA3478" w:rsidRDefault="00FA3478" w:rsidP="00FA3478">
      <w:pPr>
        <w:pStyle w:val="CGCNumberedPara"/>
        <w:numPr>
          <w:ilvl w:val="1"/>
          <w:numId w:val="3"/>
        </w:numPr>
      </w:pPr>
      <w:r>
        <w:fldChar w:fldCharType="begin"/>
      </w:r>
      <w:r>
        <w:instrText xml:space="preserve"> REF _Ref506467203 \h </w:instrText>
      </w:r>
      <w:r>
        <w:fldChar w:fldCharType="separate"/>
      </w:r>
      <w:r w:rsidR="00865709">
        <w:t>Table </w:t>
      </w:r>
      <w:r w:rsidR="00865709">
        <w:rPr>
          <w:noProof/>
        </w:rPr>
        <w:t>5</w:t>
      </w:r>
      <w:r>
        <w:fldChar w:fldCharType="end"/>
      </w:r>
      <w:r>
        <w:t xml:space="preserve"> shows the derivation of</w:t>
      </w:r>
      <w:r w:rsidRPr="002B3DC6">
        <w:t xml:space="preserve"> </w:t>
      </w:r>
      <w:r>
        <w:t xml:space="preserve">the component factor for 2016-17. It shows the </w:t>
      </w:r>
      <w:r w:rsidR="00C8665E">
        <w:t xml:space="preserve">assessed </w:t>
      </w:r>
      <w:r>
        <w:t>per capita value of vehicles transferred in Queensland and Western Australia exceeded the average ($3 293 per capita) and so the</w:t>
      </w:r>
      <w:r w:rsidR="00C8665E">
        <w:t>se States</w:t>
      </w:r>
      <w:r>
        <w:t xml:space="preserve"> were assessed to have above average revenue raising capacity in that year.</w:t>
      </w:r>
    </w:p>
    <w:p w:rsidR="00FA3478" w:rsidRDefault="00FA3478" w:rsidP="00FA3478">
      <w:pPr>
        <w:pStyle w:val="CGCTableHeading"/>
      </w:pPr>
      <w:bookmarkStart w:id="18" w:name="_Ref506467203"/>
      <w:r>
        <w:t>Table </w:t>
      </w:r>
      <w:fldSimple w:instr=" SEQ Table \* ARABIC ">
        <w:r w:rsidR="00865709">
          <w:rPr>
            <w:noProof/>
          </w:rPr>
          <w:t>5</w:t>
        </w:r>
      </w:fldSimple>
      <w:bookmarkEnd w:id="18"/>
      <w:r>
        <w:tab/>
      </w:r>
      <w:r w:rsidR="00C8665E">
        <w:t>Stamp duty on vehicles component assessment</w:t>
      </w:r>
      <w:r>
        <w:t>, 2016-17</w:t>
      </w:r>
    </w:p>
    <w:tbl>
      <w:tblPr>
        <w:tblW w:w="5000" w:type="pct"/>
        <w:tblLayout w:type="fixed"/>
        <w:tblCellMar>
          <w:left w:w="0" w:type="dxa"/>
          <w:right w:w="0" w:type="dxa"/>
        </w:tblCellMar>
        <w:tblLook w:val="0000" w:firstRow="0" w:lastRow="0" w:firstColumn="0" w:lastColumn="0" w:noHBand="0" w:noVBand="0"/>
      </w:tblPr>
      <w:tblGrid>
        <w:gridCol w:w="1973"/>
        <w:gridCol w:w="455"/>
        <w:gridCol w:w="725"/>
        <w:gridCol w:w="725"/>
        <w:gridCol w:w="725"/>
        <w:gridCol w:w="725"/>
        <w:gridCol w:w="725"/>
        <w:gridCol w:w="725"/>
        <w:gridCol w:w="725"/>
        <w:gridCol w:w="725"/>
        <w:gridCol w:w="723"/>
      </w:tblGrid>
      <w:tr w:rsidR="00FA3478" w:rsidRPr="00FE3F73" w:rsidTr="00C8665E">
        <w:tc>
          <w:tcPr>
            <w:tcW w:w="1102" w:type="pct"/>
            <w:tcBorders>
              <w:top w:val="single" w:sz="6" w:space="0" w:color="auto"/>
              <w:bottom w:val="single" w:sz="6" w:space="0" w:color="auto"/>
            </w:tcBorders>
            <w:vAlign w:val="center"/>
          </w:tcPr>
          <w:p w:rsidR="00FA3478" w:rsidRPr="00FE3F73" w:rsidRDefault="00FA3478" w:rsidP="00C8665E">
            <w:pPr>
              <w:pStyle w:val="CGCTableStub"/>
              <w:spacing w:line="240" w:lineRule="auto"/>
              <w:ind w:left="193" w:hanging="142"/>
              <w:rPr>
                <w:rFonts w:cstheme="minorHAnsi"/>
              </w:rPr>
            </w:pPr>
          </w:p>
        </w:tc>
        <w:tc>
          <w:tcPr>
            <w:tcW w:w="254" w:type="pct"/>
            <w:tcBorders>
              <w:top w:val="single" w:sz="6" w:space="0" w:color="auto"/>
              <w:bottom w:val="single" w:sz="6" w:space="0" w:color="auto"/>
            </w:tcBorders>
            <w:vAlign w:val="center"/>
          </w:tcPr>
          <w:p w:rsidR="00FA3478" w:rsidRPr="00FE3F73" w:rsidRDefault="00FA3478" w:rsidP="00C8665E">
            <w:pPr>
              <w:pStyle w:val="CGCTableStub"/>
              <w:spacing w:line="240" w:lineRule="auto"/>
              <w:ind w:left="142" w:hanging="142"/>
              <w:jc w:val="center"/>
              <w:rPr>
                <w:rFonts w:cstheme="minorHAnsi"/>
              </w:rPr>
            </w:pPr>
          </w:p>
        </w:tc>
        <w:tc>
          <w:tcPr>
            <w:tcW w:w="405" w:type="pct"/>
            <w:tcBorders>
              <w:top w:val="single" w:sz="6" w:space="0" w:color="auto"/>
              <w:bottom w:val="single" w:sz="6" w:space="0" w:color="auto"/>
            </w:tcBorders>
            <w:vAlign w:val="center"/>
          </w:tcPr>
          <w:p w:rsidR="00FA3478" w:rsidRPr="00FE3F73" w:rsidRDefault="00FA3478" w:rsidP="00C8665E">
            <w:pPr>
              <w:pStyle w:val="TableColHeadings"/>
              <w:rPr>
                <w:rFonts w:cstheme="minorHAnsi"/>
              </w:rPr>
            </w:pPr>
            <w:r w:rsidRPr="00FE3F73">
              <w:rPr>
                <w:rFonts w:cstheme="minorHAnsi"/>
              </w:rPr>
              <w:t>NSW</w:t>
            </w:r>
          </w:p>
        </w:tc>
        <w:tc>
          <w:tcPr>
            <w:tcW w:w="405" w:type="pct"/>
            <w:tcBorders>
              <w:top w:val="single" w:sz="6" w:space="0" w:color="auto"/>
              <w:bottom w:val="single" w:sz="6" w:space="0" w:color="auto"/>
            </w:tcBorders>
            <w:vAlign w:val="center"/>
          </w:tcPr>
          <w:p w:rsidR="00FA3478" w:rsidRPr="00FE3F73" w:rsidRDefault="00FA3478" w:rsidP="00C8665E">
            <w:pPr>
              <w:pStyle w:val="TableColHeadings"/>
              <w:rPr>
                <w:rFonts w:cstheme="minorHAnsi"/>
              </w:rPr>
            </w:pPr>
            <w:r w:rsidRPr="00FE3F73">
              <w:rPr>
                <w:rFonts w:cstheme="minorHAnsi"/>
              </w:rPr>
              <w:t>Vic</w:t>
            </w:r>
          </w:p>
        </w:tc>
        <w:tc>
          <w:tcPr>
            <w:tcW w:w="405" w:type="pct"/>
            <w:tcBorders>
              <w:top w:val="single" w:sz="6" w:space="0" w:color="auto"/>
              <w:bottom w:val="single" w:sz="6" w:space="0" w:color="auto"/>
            </w:tcBorders>
            <w:vAlign w:val="center"/>
          </w:tcPr>
          <w:p w:rsidR="00FA3478" w:rsidRPr="00FE3F73" w:rsidRDefault="00FA3478" w:rsidP="00C8665E">
            <w:pPr>
              <w:pStyle w:val="TableColHeadings"/>
              <w:rPr>
                <w:rFonts w:cstheme="minorHAnsi"/>
              </w:rPr>
            </w:pPr>
            <w:r w:rsidRPr="00FE3F73">
              <w:rPr>
                <w:rFonts w:cstheme="minorHAnsi"/>
              </w:rPr>
              <w:t>Qld</w:t>
            </w:r>
          </w:p>
        </w:tc>
        <w:tc>
          <w:tcPr>
            <w:tcW w:w="405" w:type="pct"/>
            <w:tcBorders>
              <w:top w:val="single" w:sz="6" w:space="0" w:color="auto"/>
              <w:bottom w:val="single" w:sz="6" w:space="0" w:color="auto"/>
            </w:tcBorders>
            <w:vAlign w:val="center"/>
          </w:tcPr>
          <w:p w:rsidR="00FA3478" w:rsidRPr="00FE3F73" w:rsidRDefault="00FA3478" w:rsidP="00C8665E">
            <w:pPr>
              <w:pStyle w:val="TableColHeadings"/>
              <w:rPr>
                <w:rFonts w:cstheme="minorHAnsi"/>
              </w:rPr>
            </w:pPr>
            <w:r w:rsidRPr="00FE3F73">
              <w:rPr>
                <w:rFonts w:cstheme="minorHAnsi"/>
              </w:rPr>
              <w:t>WA</w:t>
            </w:r>
          </w:p>
        </w:tc>
        <w:tc>
          <w:tcPr>
            <w:tcW w:w="405" w:type="pct"/>
            <w:tcBorders>
              <w:top w:val="single" w:sz="6" w:space="0" w:color="auto"/>
              <w:bottom w:val="single" w:sz="6" w:space="0" w:color="auto"/>
            </w:tcBorders>
            <w:vAlign w:val="center"/>
          </w:tcPr>
          <w:p w:rsidR="00FA3478" w:rsidRPr="00FE3F73" w:rsidRDefault="00FA3478" w:rsidP="00C8665E">
            <w:pPr>
              <w:pStyle w:val="TableColHeadings"/>
              <w:rPr>
                <w:rFonts w:cstheme="minorHAnsi"/>
              </w:rPr>
            </w:pPr>
            <w:r w:rsidRPr="00FE3F73">
              <w:rPr>
                <w:rFonts w:cstheme="minorHAnsi"/>
              </w:rPr>
              <w:t>SA</w:t>
            </w:r>
          </w:p>
        </w:tc>
        <w:tc>
          <w:tcPr>
            <w:tcW w:w="405" w:type="pct"/>
            <w:tcBorders>
              <w:top w:val="single" w:sz="6" w:space="0" w:color="auto"/>
              <w:bottom w:val="single" w:sz="6" w:space="0" w:color="auto"/>
            </w:tcBorders>
            <w:vAlign w:val="center"/>
          </w:tcPr>
          <w:p w:rsidR="00FA3478" w:rsidRPr="00FE3F73" w:rsidRDefault="00FA3478" w:rsidP="00C8665E">
            <w:pPr>
              <w:pStyle w:val="TableColHeadings"/>
              <w:rPr>
                <w:rFonts w:cstheme="minorHAnsi"/>
              </w:rPr>
            </w:pPr>
            <w:proofErr w:type="spellStart"/>
            <w:r w:rsidRPr="00FE3F73">
              <w:rPr>
                <w:rFonts w:cstheme="minorHAnsi"/>
              </w:rPr>
              <w:t>Tas</w:t>
            </w:r>
            <w:proofErr w:type="spellEnd"/>
          </w:p>
        </w:tc>
        <w:tc>
          <w:tcPr>
            <w:tcW w:w="405" w:type="pct"/>
            <w:tcBorders>
              <w:top w:val="single" w:sz="6" w:space="0" w:color="auto"/>
              <w:bottom w:val="single" w:sz="6" w:space="0" w:color="auto"/>
            </w:tcBorders>
            <w:vAlign w:val="center"/>
          </w:tcPr>
          <w:p w:rsidR="00FA3478" w:rsidRPr="00FE3F73" w:rsidRDefault="00FA3478" w:rsidP="00C8665E">
            <w:pPr>
              <w:pStyle w:val="TableColHeadings"/>
              <w:rPr>
                <w:rFonts w:cstheme="minorHAnsi"/>
              </w:rPr>
            </w:pPr>
            <w:r w:rsidRPr="00FE3F73">
              <w:rPr>
                <w:rFonts w:cstheme="minorHAnsi"/>
              </w:rPr>
              <w:t>ACT</w:t>
            </w:r>
          </w:p>
        </w:tc>
        <w:tc>
          <w:tcPr>
            <w:tcW w:w="405" w:type="pct"/>
            <w:tcBorders>
              <w:top w:val="single" w:sz="6" w:space="0" w:color="auto"/>
              <w:bottom w:val="single" w:sz="6" w:space="0" w:color="auto"/>
            </w:tcBorders>
            <w:vAlign w:val="center"/>
          </w:tcPr>
          <w:p w:rsidR="00FA3478" w:rsidRPr="00FE3F73" w:rsidRDefault="00FA3478" w:rsidP="00C8665E">
            <w:pPr>
              <w:pStyle w:val="TableColHeadings"/>
              <w:rPr>
                <w:rFonts w:cstheme="minorHAnsi"/>
              </w:rPr>
            </w:pPr>
            <w:r w:rsidRPr="00FE3F73">
              <w:rPr>
                <w:rFonts w:cstheme="minorHAnsi"/>
              </w:rPr>
              <w:t>NT</w:t>
            </w:r>
          </w:p>
        </w:tc>
        <w:tc>
          <w:tcPr>
            <w:tcW w:w="404" w:type="pct"/>
            <w:tcBorders>
              <w:top w:val="single" w:sz="6" w:space="0" w:color="auto"/>
              <w:bottom w:val="single" w:sz="6" w:space="0" w:color="auto"/>
            </w:tcBorders>
            <w:vAlign w:val="center"/>
          </w:tcPr>
          <w:p w:rsidR="00FA3478" w:rsidRPr="00FE3F73" w:rsidRDefault="00FA3478" w:rsidP="00C8665E">
            <w:pPr>
              <w:pStyle w:val="TableColHeadings"/>
              <w:rPr>
                <w:rFonts w:cstheme="minorHAnsi"/>
              </w:rPr>
            </w:pPr>
            <w:r>
              <w:rPr>
                <w:rFonts w:cstheme="minorHAnsi"/>
              </w:rPr>
              <w:t>Total</w:t>
            </w:r>
          </w:p>
        </w:tc>
      </w:tr>
      <w:tr w:rsidR="00FA3478" w:rsidRPr="00FE3F73" w:rsidTr="00C8665E">
        <w:tc>
          <w:tcPr>
            <w:tcW w:w="1102" w:type="pct"/>
            <w:vAlign w:val="bottom"/>
          </w:tcPr>
          <w:p w:rsidR="00FA3478" w:rsidRPr="00FE3F73" w:rsidRDefault="00FA3478" w:rsidP="00C8665E">
            <w:pPr>
              <w:pStyle w:val="CGCTableStub"/>
              <w:tabs>
                <w:tab w:val="left" w:pos="142"/>
                <w:tab w:val="left" w:pos="425"/>
                <w:tab w:val="left" w:pos="709"/>
                <w:tab w:val="left" w:pos="851"/>
              </w:tabs>
              <w:ind w:left="193" w:hanging="142"/>
              <w:rPr>
                <w:rFonts w:cstheme="minorHAnsi"/>
              </w:rPr>
            </w:pPr>
            <w:r>
              <w:rPr>
                <w:rFonts w:cstheme="minorHAnsi"/>
              </w:rPr>
              <w:t>Value of vehicle transferred</w:t>
            </w:r>
          </w:p>
        </w:tc>
        <w:tc>
          <w:tcPr>
            <w:tcW w:w="254" w:type="pct"/>
            <w:vAlign w:val="bottom"/>
          </w:tcPr>
          <w:p w:rsidR="00FA3478" w:rsidRPr="00FE3F73" w:rsidRDefault="00FA3478" w:rsidP="00C8665E">
            <w:pPr>
              <w:pStyle w:val="CGCTableStub"/>
              <w:tabs>
                <w:tab w:val="left" w:pos="142"/>
                <w:tab w:val="left" w:pos="425"/>
                <w:tab w:val="left" w:pos="709"/>
                <w:tab w:val="left" w:pos="851"/>
              </w:tabs>
              <w:ind w:left="142" w:hanging="142"/>
              <w:jc w:val="center"/>
              <w:rPr>
                <w:rFonts w:cstheme="minorHAnsi"/>
              </w:rPr>
            </w:pPr>
            <w:r>
              <w:rPr>
                <w:rFonts w:cstheme="minorHAnsi"/>
              </w:rPr>
              <w:t>$b</w:t>
            </w:r>
          </w:p>
        </w:tc>
        <w:tc>
          <w:tcPr>
            <w:tcW w:w="405" w:type="pct"/>
            <w:vAlign w:val="bottom"/>
          </w:tcPr>
          <w:p w:rsidR="00FA3478" w:rsidRPr="000167E7" w:rsidRDefault="00FA3478" w:rsidP="00C8665E">
            <w:pPr>
              <w:pStyle w:val="TableRowNormal"/>
              <w:ind w:left="0" w:firstLine="0"/>
              <w:rPr>
                <w:rFonts w:cstheme="minorHAnsi"/>
              </w:rPr>
            </w:pPr>
            <w:r w:rsidRPr="000167E7">
              <w:rPr>
                <w:rFonts w:cstheme="minorHAnsi"/>
              </w:rPr>
              <w:t>25</w:t>
            </w:r>
          </w:p>
        </w:tc>
        <w:tc>
          <w:tcPr>
            <w:tcW w:w="405" w:type="pct"/>
            <w:vAlign w:val="bottom"/>
          </w:tcPr>
          <w:p w:rsidR="00FA3478" w:rsidRPr="000167E7" w:rsidRDefault="00FA3478" w:rsidP="00C8665E">
            <w:pPr>
              <w:pStyle w:val="TableRowNormal"/>
              <w:ind w:left="0" w:firstLine="0"/>
              <w:rPr>
                <w:rFonts w:cstheme="minorHAnsi"/>
              </w:rPr>
            </w:pPr>
            <w:r w:rsidRPr="000167E7">
              <w:rPr>
                <w:rFonts w:cstheme="minorHAnsi"/>
              </w:rPr>
              <w:t>20</w:t>
            </w:r>
          </w:p>
        </w:tc>
        <w:tc>
          <w:tcPr>
            <w:tcW w:w="405" w:type="pct"/>
            <w:vAlign w:val="bottom"/>
          </w:tcPr>
          <w:p w:rsidR="00FA3478" w:rsidRPr="000167E7" w:rsidRDefault="00FA3478" w:rsidP="00C8665E">
            <w:pPr>
              <w:pStyle w:val="TableRowNormal"/>
              <w:ind w:left="0" w:firstLine="0"/>
              <w:rPr>
                <w:rFonts w:cstheme="minorHAnsi"/>
              </w:rPr>
            </w:pPr>
            <w:r w:rsidRPr="000167E7">
              <w:rPr>
                <w:rFonts w:cstheme="minorHAnsi"/>
              </w:rPr>
              <w:t>17</w:t>
            </w:r>
          </w:p>
        </w:tc>
        <w:tc>
          <w:tcPr>
            <w:tcW w:w="405" w:type="pct"/>
            <w:vAlign w:val="bottom"/>
          </w:tcPr>
          <w:p w:rsidR="00FA3478" w:rsidRPr="000167E7" w:rsidRDefault="00FA3478" w:rsidP="00C8665E">
            <w:pPr>
              <w:pStyle w:val="TableRowNormal"/>
              <w:ind w:left="0" w:firstLine="0"/>
              <w:rPr>
                <w:rFonts w:cstheme="minorHAnsi"/>
              </w:rPr>
            </w:pPr>
            <w:r w:rsidRPr="000167E7">
              <w:rPr>
                <w:rFonts w:cstheme="minorHAnsi"/>
              </w:rPr>
              <w:t>10</w:t>
            </w:r>
          </w:p>
        </w:tc>
        <w:tc>
          <w:tcPr>
            <w:tcW w:w="405" w:type="pct"/>
            <w:vAlign w:val="bottom"/>
          </w:tcPr>
          <w:p w:rsidR="00FA3478" w:rsidRPr="000167E7" w:rsidRDefault="00FA3478" w:rsidP="00C8665E">
            <w:pPr>
              <w:pStyle w:val="TableRowNormal"/>
              <w:ind w:left="0" w:firstLine="0"/>
              <w:rPr>
                <w:rFonts w:cstheme="minorHAnsi"/>
              </w:rPr>
            </w:pPr>
            <w:r w:rsidRPr="000167E7">
              <w:rPr>
                <w:rFonts w:cstheme="minorHAnsi"/>
              </w:rPr>
              <w:t>5</w:t>
            </w:r>
          </w:p>
        </w:tc>
        <w:tc>
          <w:tcPr>
            <w:tcW w:w="405" w:type="pct"/>
            <w:vAlign w:val="bottom"/>
          </w:tcPr>
          <w:p w:rsidR="00FA3478" w:rsidRPr="000167E7" w:rsidRDefault="00FA3478" w:rsidP="00C8665E">
            <w:pPr>
              <w:pStyle w:val="TableRowNormal"/>
              <w:ind w:left="0" w:firstLine="0"/>
              <w:rPr>
                <w:rFonts w:cstheme="minorHAnsi"/>
              </w:rPr>
            </w:pPr>
            <w:r w:rsidRPr="000167E7">
              <w:rPr>
                <w:rFonts w:cstheme="minorHAnsi"/>
              </w:rPr>
              <w:t>2</w:t>
            </w:r>
          </w:p>
        </w:tc>
        <w:tc>
          <w:tcPr>
            <w:tcW w:w="405" w:type="pct"/>
            <w:vAlign w:val="bottom"/>
          </w:tcPr>
          <w:p w:rsidR="00FA3478" w:rsidRPr="000167E7" w:rsidRDefault="00FA3478" w:rsidP="00C8665E">
            <w:pPr>
              <w:pStyle w:val="TableRowNormal"/>
              <w:ind w:left="0" w:firstLine="0"/>
              <w:rPr>
                <w:rFonts w:cstheme="minorHAnsi"/>
              </w:rPr>
            </w:pPr>
            <w:r w:rsidRPr="000167E7">
              <w:rPr>
                <w:rFonts w:cstheme="minorHAnsi"/>
              </w:rPr>
              <w:t>1</w:t>
            </w:r>
          </w:p>
        </w:tc>
        <w:tc>
          <w:tcPr>
            <w:tcW w:w="405" w:type="pct"/>
            <w:vAlign w:val="bottom"/>
          </w:tcPr>
          <w:p w:rsidR="00FA3478" w:rsidRPr="000167E7" w:rsidRDefault="00FA3478" w:rsidP="00C8665E">
            <w:pPr>
              <w:pStyle w:val="TableRowNormal"/>
              <w:ind w:left="0" w:firstLine="0"/>
              <w:rPr>
                <w:rFonts w:cstheme="minorHAnsi"/>
              </w:rPr>
            </w:pPr>
            <w:r w:rsidRPr="000167E7">
              <w:rPr>
                <w:rFonts w:cstheme="minorHAnsi"/>
              </w:rPr>
              <w:t>1</w:t>
            </w:r>
          </w:p>
        </w:tc>
        <w:tc>
          <w:tcPr>
            <w:tcW w:w="404" w:type="pct"/>
            <w:vAlign w:val="bottom"/>
          </w:tcPr>
          <w:p w:rsidR="00FA3478" w:rsidRPr="000167E7" w:rsidRDefault="00FA3478" w:rsidP="00C8665E">
            <w:pPr>
              <w:pStyle w:val="TableRowNormal"/>
              <w:ind w:left="0" w:firstLine="0"/>
              <w:rPr>
                <w:rFonts w:cstheme="minorHAnsi"/>
              </w:rPr>
            </w:pPr>
            <w:r w:rsidRPr="000167E7">
              <w:rPr>
                <w:rFonts w:cstheme="minorHAnsi"/>
              </w:rPr>
              <w:t>80</w:t>
            </w:r>
          </w:p>
        </w:tc>
      </w:tr>
      <w:tr w:rsidR="00FA3478" w:rsidRPr="00FE3F73" w:rsidTr="00C8665E">
        <w:tc>
          <w:tcPr>
            <w:tcW w:w="1102" w:type="pct"/>
            <w:vAlign w:val="bottom"/>
          </w:tcPr>
          <w:p w:rsidR="00FA3478" w:rsidRPr="00FE3F73" w:rsidRDefault="00FA3478" w:rsidP="00C8665E">
            <w:pPr>
              <w:pStyle w:val="CGCTableStub"/>
              <w:tabs>
                <w:tab w:val="left" w:pos="142"/>
                <w:tab w:val="left" w:pos="425"/>
                <w:tab w:val="left" w:pos="709"/>
                <w:tab w:val="left" w:pos="851"/>
              </w:tabs>
              <w:ind w:left="193" w:hanging="142"/>
              <w:rPr>
                <w:rFonts w:cstheme="minorHAnsi"/>
              </w:rPr>
            </w:pPr>
            <w:r>
              <w:rPr>
                <w:rFonts w:cstheme="minorHAnsi"/>
              </w:rPr>
              <w:t>Value of property transferred per capita</w:t>
            </w:r>
          </w:p>
        </w:tc>
        <w:tc>
          <w:tcPr>
            <w:tcW w:w="254" w:type="pct"/>
            <w:vAlign w:val="bottom"/>
          </w:tcPr>
          <w:p w:rsidR="00FA3478" w:rsidRPr="00FE3F73" w:rsidRDefault="00FA3478" w:rsidP="00C8665E">
            <w:pPr>
              <w:pStyle w:val="CGCTableStub"/>
              <w:tabs>
                <w:tab w:val="left" w:pos="142"/>
                <w:tab w:val="left" w:pos="425"/>
                <w:tab w:val="left" w:pos="709"/>
                <w:tab w:val="left" w:pos="851"/>
              </w:tabs>
              <w:ind w:left="142" w:hanging="142"/>
              <w:jc w:val="center"/>
              <w:rPr>
                <w:rFonts w:cstheme="minorHAnsi"/>
              </w:rPr>
            </w:pPr>
            <w:r>
              <w:rPr>
                <w:rFonts w:cstheme="minorHAnsi"/>
              </w:rPr>
              <w:t>$pc</w:t>
            </w:r>
          </w:p>
        </w:tc>
        <w:tc>
          <w:tcPr>
            <w:tcW w:w="405" w:type="pct"/>
            <w:vAlign w:val="bottom"/>
          </w:tcPr>
          <w:p w:rsidR="00FA3478" w:rsidRPr="000167E7" w:rsidRDefault="00FA3478" w:rsidP="00C8665E">
            <w:pPr>
              <w:pStyle w:val="TableRowNormal"/>
              <w:ind w:left="0" w:firstLine="0"/>
              <w:rPr>
                <w:rFonts w:cstheme="minorHAnsi"/>
              </w:rPr>
            </w:pPr>
            <w:r w:rsidRPr="000167E7">
              <w:rPr>
                <w:rFonts w:cstheme="minorHAnsi"/>
              </w:rPr>
              <w:t>3 232</w:t>
            </w:r>
          </w:p>
        </w:tc>
        <w:tc>
          <w:tcPr>
            <w:tcW w:w="405" w:type="pct"/>
            <w:vAlign w:val="bottom"/>
          </w:tcPr>
          <w:p w:rsidR="00FA3478" w:rsidRPr="000167E7" w:rsidRDefault="00FA3478" w:rsidP="00C8665E">
            <w:pPr>
              <w:pStyle w:val="TableRowNormal"/>
              <w:ind w:left="0" w:firstLine="0"/>
              <w:rPr>
                <w:rFonts w:cstheme="minorHAnsi"/>
              </w:rPr>
            </w:pPr>
            <w:r w:rsidRPr="000167E7">
              <w:rPr>
                <w:rFonts w:cstheme="minorHAnsi"/>
              </w:rPr>
              <w:t>3 269</w:t>
            </w:r>
          </w:p>
        </w:tc>
        <w:tc>
          <w:tcPr>
            <w:tcW w:w="405" w:type="pct"/>
            <w:vAlign w:val="bottom"/>
          </w:tcPr>
          <w:p w:rsidR="00FA3478" w:rsidRPr="000167E7" w:rsidRDefault="00FA3478" w:rsidP="00C8665E">
            <w:pPr>
              <w:pStyle w:val="TableRowNormal"/>
              <w:ind w:left="0" w:firstLine="0"/>
              <w:rPr>
                <w:rFonts w:cstheme="minorHAnsi"/>
              </w:rPr>
            </w:pPr>
            <w:r w:rsidRPr="000167E7">
              <w:rPr>
                <w:rFonts w:cstheme="minorHAnsi"/>
              </w:rPr>
              <w:t>3 381</w:t>
            </w:r>
          </w:p>
        </w:tc>
        <w:tc>
          <w:tcPr>
            <w:tcW w:w="405" w:type="pct"/>
            <w:vAlign w:val="bottom"/>
          </w:tcPr>
          <w:p w:rsidR="00FA3478" w:rsidRPr="000167E7" w:rsidRDefault="00FA3478" w:rsidP="00C8665E">
            <w:pPr>
              <w:pStyle w:val="TableRowNormal"/>
              <w:ind w:left="0" w:firstLine="0"/>
              <w:rPr>
                <w:rFonts w:cstheme="minorHAnsi"/>
              </w:rPr>
            </w:pPr>
            <w:r w:rsidRPr="000167E7">
              <w:rPr>
                <w:rFonts w:cstheme="minorHAnsi"/>
              </w:rPr>
              <w:t>3 831</w:t>
            </w:r>
          </w:p>
        </w:tc>
        <w:tc>
          <w:tcPr>
            <w:tcW w:w="405" w:type="pct"/>
            <w:vAlign w:val="bottom"/>
          </w:tcPr>
          <w:p w:rsidR="00FA3478" w:rsidRPr="000167E7" w:rsidRDefault="00FA3478" w:rsidP="00C8665E">
            <w:pPr>
              <w:pStyle w:val="TableRowNormal"/>
              <w:ind w:left="0" w:firstLine="0"/>
              <w:rPr>
                <w:rFonts w:cstheme="minorHAnsi"/>
              </w:rPr>
            </w:pPr>
            <w:r w:rsidRPr="000167E7">
              <w:rPr>
                <w:rFonts w:cstheme="minorHAnsi"/>
              </w:rPr>
              <w:t>2 858</w:t>
            </w:r>
          </w:p>
        </w:tc>
        <w:tc>
          <w:tcPr>
            <w:tcW w:w="405" w:type="pct"/>
            <w:vAlign w:val="bottom"/>
          </w:tcPr>
          <w:p w:rsidR="00FA3478" w:rsidRPr="000167E7" w:rsidRDefault="00FA3478" w:rsidP="00C8665E">
            <w:pPr>
              <w:pStyle w:val="TableRowNormal"/>
              <w:ind w:left="0" w:firstLine="0"/>
              <w:rPr>
                <w:rFonts w:cstheme="minorHAnsi"/>
              </w:rPr>
            </w:pPr>
            <w:r w:rsidRPr="000167E7">
              <w:rPr>
                <w:rFonts w:cstheme="minorHAnsi"/>
              </w:rPr>
              <w:t>2 941</w:t>
            </w:r>
          </w:p>
        </w:tc>
        <w:tc>
          <w:tcPr>
            <w:tcW w:w="405" w:type="pct"/>
            <w:vAlign w:val="bottom"/>
          </w:tcPr>
          <w:p w:rsidR="00FA3478" w:rsidRPr="000167E7" w:rsidRDefault="00FA3478" w:rsidP="00C8665E">
            <w:pPr>
              <w:pStyle w:val="TableRowNormal"/>
              <w:ind w:left="0" w:firstLine="0"/>
              <w:rPr>
                <w:rFonts w:cstheme="minorHAnsi"/>
              </w:rPr>
            </w:pPr>
            <w:r w:rsidRPr="000167E7">
              <w:rPr>
                <w:rFonts w:cstheme="minorHAnsi"/>
              </w:rPr>
              <w:t>2 864</w:t>
            </w:r>
          </w:p>
        </w:tc>
        <w:tc>
          <w:tcPr>
            <w:tcW w:w="405" w:type="pct"/>
            <w:vAlign w:val="bottom"/>
          </w:tcPr>
          <w:p w:rsidR="00FA3478" w:rsidRPr="000167E7" w:rsidRDefault="00FA3478" w:rsidP="00C8665E">
            <w:pPr>
              <w:pStyle w:val="TableRowNormal"/>
              <w:ind w:left="0" w:firstLine="0"/>
              <w:rPr>
                <w:rFonts w:cstheme="minorHAnsi"/>
              </w:rPr>
            </w:pPr>
            <w:r w:rsidRPr="000167E7">
              <w:rPr>
                <w:rFonts w:cstheme="minorHAnsi"/>
              </w:rPr>
              <w:t>2 993</w:t>
            </w:r>
          </w:p>
        </w:tc>
        <w:tc>
          <w:tcPr>
            <w:tcW w:w="404" w:type="pct"/>
            <w:vAlign w:val="bottom"/>
          </w:tcPr>
          <w:p w:rsidR="00FA3478" w:rsidRPr="000167E7" w:rsidRDefault="00FA3478" w:rsidP="00C8665E">
            <w:pPr>
              <w:pStyle w:val="TableRowNormal"/>
              <w:ind w:left="0" w:firstLine="0"/>
              <w:rPr>
                <w:rFonts w:cstheme="minorHAnsi"/>
              </w:rPr>
            </w:pPr>
            <w:r w:rsidRPr="000167E7">
              <w:rPr>
                <w:rFonts w:cstheme="minorHAnsi"/>
              </w:rPr>
              <w:t>3 293</w:t>
            </w:r>
          </w:p>
        </w:tc>
      </w:tr>
      <w:tr w:rsidR="00FA3478" w:rsidRPr="00FE3F73" w:rsidTr="00C8665E">
        <w:tc>
          <w:tcPr>
            <w:tcW w:w="1102" w:type="pct"/>
            <w:tcBorders>
              <w:bottom w:val="single" w:sz="4" w:space="0" w:color="auto"/>
            </w:tcBorders>
            <w:vAlign w:val="bottom"/>
          </w:tcPr>
          <w:p w:rsidR="00FA3478" w:rsidRPr="00FE3F73" w:rsidRDefault="00FA3478" w:rsidP="00C8665E">
            <w:pPr>
              <w:pStyle w:val="CGCTableStub"/>
              <w:tabs>
                <w:tab w:val="left" w:pos="142"/>
                <w:tab w:val="left" w:pos="425"/>
                <w:tab w:val="left" w:pos="709"/>
                <w:tab w:val="left" w:pos="851"/>
              </w:tabs>
              <w:ind w:left="193" w:hanging="142"/>
              <w:rPr>
                <w:rFonts w:cstheme="minorHAnsi"/>
              </w:rPr>
            </w:pPr>
            <w:r>
              <w:rPr>
                <w:rFonts w:cstheme="minorHAnsi"/>
              </w:rPr>
              <w:t>Component factor (a)</w:t>
            </w:r>
          </w:p>
        </w:tc>
        <w:tc>
          <w:tcPr>
            <w:tcW w:w="254" w:type="pct"/>
            <w:tcBorders>
              <w:bottom w:val="single" w:sz="4" w:space="0" w:color="auto"/>
            </w:tcBorders>
            <w:vAlign w:val="bottom"/>
          </w:tcPr>
          <w:p w:rsidR="00FA3478" w:rsidRPr="00FE3F73" w:rsidRDefault="00FA3478" w:rsidP="00C8665E">
            <w:pPr>
              <w:pStyle w:val="CGCTableStub"/>
              <w:tabs>
                <w:tab w:val="left" w:pos="142"/>
                <w:tab w:val="left" w:pos="425"/>
                <w:tab w:val="left" w:pos="709"/>
                <w:tab w:val="left" w:pos="851"/>
              </w:tabs>
              <w:ind w:left="142" w:hanging="142"/>
              <w:jc w:val="center"/>
              <w:rPr>
                <w:rFonts w:cstheme="minorHAnsi"/>
              </w:rPr>
            </w:pPr>
          </w:p>
        </w:tc>
        <w:tc>
          <w:tcPr>
            <w:tcW w:w="405" w:type="pct"/>
            <w:tcBorders>
              <w:bottom w:val="single" w:sz="4" w:space="0" w:color="auto"/>
            </w:tcBorders>
            <w:vAlign w:val="bottom"/>
          </w:tcPr>
          <w:p w:rsidR="00FA3478" w:rsidRPr="000167E7" w:rsidRDefault="00FA3478" w:rsidP="00C8665E">
            <w:pPr>
              <w:pStyle w:val="TableRowNormal"/>
              <w:ind w:left="0" w:firstLine="0"/>
              <w:rPr>
                <w:rFonts w:cstheme="minorHAnsi"/>
              </w:rPr>
            </w:pPr>
            <w:r w:rsidRPr="000167E7">
              <w:rPr>
                <w:rFonts w:cstheme="minorHAnsi"/>
              </w:rPr>
              <w:t>0.982</w:t>
            </w:r>
          </w:p>
        </w:tc>
        <w:tc>
          <w:tcPr>
            <w:tcW w:w="405" w:type="pct"/>
            <w:tcBorders>
              <w:bottom w:val="single" w:sz="4" w:space="0" w:color="auto"/>
            </w:tcBorders>
            <w:vAlign w:val="bottom"/>
          </w:tcPr>
          <w:p w:rsidR="00FA3478" w:rsidRPr="000167E7" w:rsidRDefault="00FA3478" w:rsidP="00C8665E">
            <w:pPr>
              <w:pStyle w:val="TableRowNormal"/>
              <w:ind w:left="0" w:firstLine="0"/>
              <w:rPr>
                <w:rFonts w:cstheme="minorHAnsi"/>
              </w:rPr>
            </w:pPr>
            <w:r w:rsidRPr="000167E7">
              <w:rPr>
                <w:rFonts w:cstheme="minorHAnsi"/>
              </w:rPr>
              <w:t>0.993</w:t>
            </w:r>
          </w:p>
        </w:tc>
        <w:tc>
          <w:tcPr>
            <w:tcW w:w="405" w:type="pct"/>
            <w:tcBorders>
              <w:bottom w:val="single" w:sz="4" w:space="0" w:color="auto"/>
            </w:tcBorders>
            <w:vAlign w:val="bottom"/>
          </w:tcPr>
          <w:p w:rsidR="00FA3478" w:rsidRPr="000167E7" w:rsidRDefault="00FA3478" w:rsidP="00C8665E">
            <w:pPr>
              <w:pStyle w:val="TableRowNormal"/>
              <w:ind w:left="0" w:firstLine="0"/>
              <w:rPr>
                <w:rFonts w:cstheme="minorHAnsi"/>
              </w:rPr>
            </w:pPr>
            <w:r w:rsidRPr="000167E7">
              <w:rPr>
                <w:rFonts w:cstheme="minorHAnsi"/>
              </w:rPr>
              <w:t>1.026</w:t>
            </w:r>
          </w:p>
        </w:tc>
        <w:tc>
          <w:tcPr>
            <w:tcW w:w="405" w:type="pct"/>
            <w:tcBorders>
              <w:bottom w:val="single" w:sz="4" w:space="0" w:color="auto"/>
            </w:tcBorders>
            <w:vAlign w:val="bottom"/>
          </w:tcPr>
          <w:p w:rsidR="00FA3478" w:rsidRPr="000167E7" w:rsidRDefault="00FA3478" w:rsidP="00C8665E">
            <w:pPr>
              <w:pStyle w:val="TableRowNormal"/>
              <w:ind w:left="0" w:firstLine="0"/>
              <w:rPr>
                <w:rFonts w:cstheme="minorHAnsi"/>
              </w:rPr>
            </w:pPr>
            <w:r w:rsidRPr="000167E7">
              <w:rPr>
                <w:rFonts w:cstheme="minorHAnsi"/>
              </w:rPr>
              <w:t>1.163</w:t>
            </w:r>
          </w:p>
        </w:tc>
        <w:tc>
          <w:tcPr>
            <w:tcW w:w="405" w:type="pct"/>
            <w:tcBorders>
              <w:bottom w:val="single" w:sz="4" w:space="0" w:color="auto"/>
            </w:tcBorders>
            <w:vAlign w:val="bottom"/>
          </w:tcPr>
          <w:p w:rsidR="00FA3478" w:rsidRPr="000167E7" w:rsidRDefault="00FA3478" w:rsidP="00C8665E">
            <w:pPr>
              <w:pStyle w:val="TableRowNormal"/>
              <w:ind w:left="0" w:firstLine="0"/>
              <w:rPr>
                <w:rFonts w:cstheme="minorHAnsi"/>
              </w:rPr>
            </w:pPr>
            <w:r w:rsidRPr="000167E7">
              <w:rPr>
                <w:rFonts w:cstheme="minorHAnsi"/>
              </w:rPr>
              <w:t>0.868</w:t>
            </w:r>
          </w:p>
        </w:tc>
        <w:tc>
          <w:tcPr>
            <w:tcW w:w="405" w:type="pct"/>
            <w:tcBorders>
              <w:bottom w:val="single" w:sz="4" w:space="0" w:color="auto"/>
            </w:tcBorders>
            <w:vAlign w:val="bottom"/>
          </w:tcPr>
          <w:p w:rsidR="00FA3478" w:rsidRPr="000167E7" w:rsidRDefault="00FA3478" w:rsidP="00C8665E">
            <w:pPr>
              <w:pStyle w:val="TableRowNormal"/>
              <w:ind w:left="0" w:firstLine="0"/>
              <w:rPr>
                <w:rFonts w:cstheme="minorHAnsi"/>
              </w:rPr>
            </w:pPr>
            <w:r w:rsidRPr="000167E7">
              <w:rPr>
                <w:rFonts w:cstheme="minorHAnsi"/>
              </w:rPr>
              <w:t>0.893</w:t>
            </w:r>
          </w:p>
        </w:tc>
        <w:tc>
          <w:tcPr>
            <w:tcW w:w="405" w:type="pct"/>
            <w:tcBorders>
              <w:bottom w:val="single" w:sz="4" w:space="0" w:color="auto"/>
            </w:tcBorders>
            <w:vAlign w:val="bottom"/>
          </w:tcPr>
          <w:p w:rsidR="00FA3478" w:rsidRPr="000167E7" w:rsidRDefault="00FA3478" w:rsidP="00C8665E">
            <w:pPr>
              <w:pStyle w:val="TableRowNormal"/>
              <w:ind w:left="0" w:firstLine="0"/>
              <w:rPr>
                <w:rFonts w:cstheme="minorHAnsi"/>
              </w:rPr>
            </w:pPr>
            <w:r w:rsidRPr="000167E7">
              <w:rPr>
                <w:rFonts w:cstheme="minorHAnsi"/>
              </w:rPr>
              <w:t>0.870</w:t>
            </w:r>
          </w:p>
        </w:tc>
        <w:tc>
          <w:tcPr>
            <w:tcW w:w="405" w:type="pct"/>
            <w:tcBorders>
              <w:bottom w:val="single" w:sz="4" w:space="0" w:color="auto"/>
            </w:tcBorders>
            <w:vAlign w:val="bottom"/>
          </w:tcPr>
          <w:p w:rsidR="00FA3478" w:rsidRPr="000167E7" w:rsidRDefault="00FA3478" w:rsidP="00C8665E">
            <w:pPr>
              <w:pStyle w:val="TableRowNormal"/>
              <w:ind w:left="0" w:firstLine="0"/>
              <w:rPr>
                <w:rFonts w:cstheme="minorHAnsi"/>
              </w:rPr>
            </w:pPr>
            <w:r w:rsidRPr="000167E7">
              <w:rPr>
                <w:rFonts w:cstheme="minorHAnsi"/>
              </w:rPr>
              <w:t>0.909</w:t>
            </w:r>
          </w:p>
        </w:tc>
        <w:tc>
          <w:tcPr>
            <w:tcW w:w="404" w:type="pct"/>
            <w:tcBorders>
              <w:bottom w:val="single" w:sz="4" w:space="0" w:color="auto"/>
            </w:tcBorders>
            <w:vAlign w:val="bottom"/>
          </w:tcPr>
          <w:p w:rsidR="00FA3478" w:rsidRPr="000167E7" w:rsidRDefault="00FA3478" w:rsidP="00C8665E">
            <w:pPr>
              <w:pStyle w:val="TableRowNormal"/>
              <w:ind w:left="0" w:firstLine="0"/>
              <w:rPr>
                <w:rFonts w:cstheme="minorHAnsi"/>
              </w:rPr>
            </w:pPr>
            <w:r w:rsidRPr="000167E7">
              <w:rPr>
                <w:rFonts w:cstheme="minorHAnsi"/>
              </w:rPr>
              <w:t>1.000</w:t>
            </w:r>
          </w:p>
        </w:tc>
      </w:tr>
    </w:tbl>
    <w:p w:rsidR="00FA3478" w:rsidRDefault="00FA3478" w:rsidP="00FA3478">
      <w:pPr>
        <w:pStyle w:val="CGCTableFootnote"/>
      </w:pPr>
      <w:r>
        <w:t>(a)</w:t>
      </w:r>
      <w:r>
        <w:tab/>
        <w:t>A State’s component factor is its per capita value of vehicles transferred divided by the average per capita value of vehicles transferred.</w:t>
      </w:r>
    </w:p>
    <w:p w:rsidR="00FA3478" w:rsidRDefault="00FA3478" w:rsidP="00FA3478">
      <w:pPr>
        <w:pStyle w:val="CGCTableFootnote"/>
      </w:pPr>
      <w:r>
        <w:t>Source:</w:t>
      </w:r>
      <w:r>
        <w:tab/>
        <w:t>State data returns</w:t>
      </w:r>
      <w:r w:rsidR="00C00F10">
        <w:t>, 2018 Update</w:t>
      </w:r>
      <w:r>
        <w:t>.</w:t>
      </w:r>
    </w:p>
    <w:p w:rsidR="00FA3478" w:rsidRDefault="00FA3478" w:rsidP="00FA3478">
      <w:pPr>
        <w:pStyle w:val="Heading4"/>
      </w:pPr>
      <w:bookmarkStart w:id="19" w:name="_Toc511824699"/>
      <w:r>
        <w:t xml:space="preserve">GST </w:t>
      </w:r>
      <w:r w:rsidR="0032497D">
        <w:t>re</w:t>
      </w:r>
      <w:r>
        <w:t>distribution</w:t>
      </w:r>
      <w:bookmarkEnd w:id="19"/>
    </w:p>
    <w:p w:rsidR="00FA3478" w:rsidRDefault="00FA3478" w:rsidP="00FA3478">
      <w:pPr>
        <w:pStyle w:val="CGCNumberedPara"/>
        <w:numPr>
          <w:ilvl w:val="1"/>
          <w:numId w:val="3"/>
        </w:numPr>
      </w:pPr>
      <w:r>
        <w:rPr>
          <w:szCs w:val="22"/>
        </w:rPr>
        <w:fldChar w:fldCharType="begin"/>
      </w:r>
      <w:r>
        <w:instrText xml:space="preserve"> REF _Ref499713909 \h </w:instrText>
      </w:r>
      <w:r>
        <w:rPr>
          <w:szCs w:val="22"/>
        </w:rPr>
      </w:r>
      <w:r>
        <w:rPr>
          <w:szCs w:val="22"/>
        </w:rPr>
        <w:fldChar w:fldCharType="separate"/>
      </w:r>
      <w:r w:rsidR="00865709">
        <w:t>Table </w:t>
      </w:r>
      <w:r w:rsidR="00865709">
        <w:rPr>
          <w:noProof/>
        </w:rPr>
        <w:t>6</w:t>
      </w:r>
      <w:r>
        <w:rPr>
          <w:szCs w:val="22"/>
        </w:rPr>
        <w:fldChar w:fldCharType="end"/>
      </w:r>
      <w:r>
        <w:rPr>
          <w:szCs w:val="22"/>
        </w:rPr>
        <w:t xml:space="preserve"> shows the extent to which the assessment moves the GST distribution away from an EPC distribution in 2018-19. It shows GST revenue is redistributed from States with an above average revenue raising capacity (New South Wales and Victoria) to States with a below average revenue capacity</w:t>
      </w:r>
      <w:r>
        <w:t>.</w:t>
      </w:r>
    </w:p>
    <w:p w:rsidR="00FA3478" w:rsidRDefault="00FA3478" w:rsidP="00FA3478">
      <w:pPr>
        <w:pStyle w:val="CGCTableHeading"/>
      </w:pPr>
      <w:bookmarkStart w:id="20" w:name="_Ref499713909"/>
      <w:r>
        <w:t>Table </w:t>
      </w:r>
      <w:fldSimple w:instr=" SEQ Table \* ARABIC ">
        <w:r w:rsidR="00865709">
          <w:rPr>
            <w:noProof/>
          </w:rPr>
          <w:t>6</w:t>
        </w:r>
      </w:fldSimple>
      <w:bookmarkEnd w:id="20"/>
      <w:r>
        <w:tab/>
        <w:t>GST distribution, Stamp duty, 2018 Update</w:t>
      </w:r>
    </w:p>
    <w:tbl>
      <w:tblPr>
        <w:tblW w:w="5000" w:type="pct"/>
        <w:tblCellMar>
          <w:left w:w="85" w:type="dxa"/>
          <w:right w:w="85" w:type="dxa"/>
        </w:tblCellMar>
        <w:tblLook w:val="0000" w:firstRow="0" w:lastRow="0" w:firstColumn="0" w:lastColumn="0" w:noHBand="0" w:noVBand="0"/>
      </w:tblPr>
      <w:tblGrid>
        <w:gridCol w:w="2470"/>
        <w:gridCol w:w="739"/>
        <w:gridCol w:w="739"/>
        <w:gridCol w:w="739"/>
        <w:gridCol w:w="739"/>
        <w:gridCol w:w="739"/>
        <w:gridCol w:w="739"/>
        <w:gridCol w:w="739"/>
        <w:gridCol w:w="739"/>
        <w:gridCol w:w="739"/>
      </w:tblGrid>
      <w:tr w:rsidR="00FA3478" w:rsidRPr="00FE3F73" w:rsidTr="00C8665E">
        <w:tc>
          <w:tcPr>
            <w:tcW w:w="1354" w:type="pct"/>
            <w:tcBorders>
              <w:top w:val="single" w:sz="6" w:space="0" w:color="auto"/>
              <w:bottom w:val="single" w:sz="6" w:space="0" w:color="auto"/>
            </w:tcBorders>
            <w:vAlign w:val="bottom"/>
          </w:tcPr>
          <w:p w:rsidR="00FA3478" w:rsidRPr="00FE3F73" w:rsidRDefault="00FA3478" w:rsidP="00C8665E">
            <w:pPr>
              <w:pStyle w:val="CGCTableStub"/>
              <w:spacing w:line="240" w:lineRule="auto"/>
              <w:ind w:left="142" w:hanging="142"/>
              <w:rPr>
                <w:rFonts w:cstheme="minorHAnsi"/>
              </w:rPr>
            </w:pPr>
          </w:p>
        </w:tc>
        <w:tc>
          <w:tcPr>
            <w:tcW w:w="405" w:type="pct"/>
            <w:tcBorders>
              <w:top w:val="single" w:sz="6" w:space="0" w:color="auto"/>
              <w:bottom w:val="single" w:sz="6" w:space="0" w:color="auto"/>
            </w:tcBorders>
            <w:vAlign w:val="bottom"/>
          </w:tcPr>
          <w:p w:rsidR="00FA3478" w:rsidRPr="00FE3F73" w:rsidRDefault="00FA3478" w:rsidP="00C8665E">
            <w:pPr>
              <w:pStyle w:val="TableColHeadings"/>
              <w:rPr>
                <w:rFonts w:cstheme="minorHAnsi"/>
              </w:rPr>
            </w:pPr>
            <w:r w:rsidRPr="00FE3F73">
              <w:rPr>
                <w:rFonts w:cstheme="minorHAnsi"/>
              </w:rPr>
              <w:t>NSW</w:t>
            </w:r>
          </w:p>
        </w:tc>
        <w:tc>
          <w:tcPr>
            <w:tcW w:w="405" w:type="pct"/>
            <w:tcBorders>
              <w:top w:val="single" w:sz="6" w:space="0" w:color="auto"/>
              <w:bottom w:val="single" w:sz="6" w:space="0" w:color="auto"/>
            </w:tcBorders>
            <w:vAlign w:val="bottom"/>
          </w:tcPr>
          <w:p w:rsidR="00FA3478" w:rsidRPr="00FE3F73" w:rsidRDefault="00FA3478" w:rsidP="00C8665E">
            <w:pPr>
              <w:pStyle w:val="TableColHeadings"/>
              <w:rPr>
                <w:rFonts w:cstheme="minorHAnsi"/>
              </w:rPr>
            </w:pPr>
            <w:r w:rsidRPr="00FE3F73">
              <w:rPr>
                <w:rFonts w:cstheme="minorHAnsi"/>
              </w:rPr>
              <w:t>Vic</w:t>
            </w:r>
          </w:p>
        </w:tc>
        <w:tc>
          <w:tcPr>
            <w:tcW w:w="405" w:type="pct"/>
            <w:tcBorders>
              <w:top w:val="single" w:sz="6" w:space="0" w:color="auto"/>
              <w:bottom w:val="single" w:sz="6" w:space="0" w:color="auto"/>
            </w:tcBorders>
            <w:vAlign w:val="bottom"/>
          </w:tcPr>
          <w:p w:rsidR="00FA3478" w:rsidRPr="00FE3F73" w:rsidRDefault="00FA3478" w:rsidP="00C8665E">
            <w:pPr>
              <w:pStyle w:val="TableColHeadings"/>
              <w:rPr>
                <w:rFonts w:cstheme="minorHAnsi"/>
              </w:rPr>
            </w:pPr>
            <w:r w:rsidRPr="00FE3F73">
              <w:rPr>
                <w:rFonts w:cstheme="minorHAnsi"/>
              </w:rPr>
              <w:t>Qld</w:t>
            </w:r>
          </w:p>
        </w:tc>
        <w:tc>
          <w:tcPr>
            <w:tcW w:w="405" w:type="pct"/>
            <w:tcBorders>
              <w:top w:val="single" w:sz="6" w:space="0" w:color="auto"/>
              <w:bottom w:val="single" w:sz="6" w:space="0" w:color="auto"/>
            </w:tcBorders>
            <w:vAlign w:val="bottom"/>
          </w:tcPr>
          <w:p w:rsidR="00FA3478" w:rsidRPr="00FE3F73" w:rsidRDefault="00FA3478" w:rsidP="00C8665E">
            <w:pPr>
              <w:pStyle w:val="TableColHeadings"/>
              <w:rPr>
                <w:rFonts w:cstheme="minorHAnsi"/>
              </w:rPr>
            </w:pPr>
            <w:r w:rsidRPr="00FE3F73">
              <w:rPr>
                <w:rFonts w:cstheme="minorHAnsi"/>
              </w:rPr>
              <w:t>WA</w:t>
            </w:r>
          </w:p>
        </w:tc>
        <w:tc>
          <w:tcPr>
            <w:tcW w:w="405" w:type="pct"/>
            <w:tcBorders>
              <w:top w:val="single" w:sz="6" w:space="0" w:color="auto"/>
              <w:bottom w:val="single" w:sz="6" w:space="0" w:color="auto"/>
            </w:tcBorders>
            <w:vAlign w:val="bottom"/>
          </w:tcPr>
          <w:p w:rsidR="00FA3478" w:rsidRPr="00FE3F73" w:rsidRDefault="00FA3478" w:rsidP="00C8665E">
            <w:pPr>
              <w:pStyle w:val="TableColHeadings"/>
              <w:rPr>
                <w:rFonts w:cstheme="minorHAnsi"/>
              </w:rPr>
            </w:pPr>
            <w:r w:rsidRPr="00FE3F73">
              <w:rPr>
                <w:rFonts w:cstheme="minorHAnsi"/>
              </w:rPr>
              <w:t>SA</w:t>
            </w:r>
          </w:p>
        </w:tc>
        <w:tc>
          <w:tcPr>
            <w:tcW w:w="405" w:type="pct"/>
            <w:tcBorders>
              <w:top w:val="single" w:sz="6" w:space="0" w:color="auto"/>
              <w:bottom w:val="single" w:sz="6" w:space="0" w:color="auto"/>
            </w:tcBorders>
            <w:vAlign w:val="bottom"/>
          </w:tcPr>
          <w:p w:rsidR="00FA3478" w:rsidRPr="00FE3F73" w:rsidRDefault="00FA3478" w:rsidP="00C8665E">
            <w:pPr>
              <w:pStyle w:val="TableColHeadings"/>
              <w:rPr>
                <w:rFonts w:cstheme="minorHAnsi"/>
              </w:rPr>
            </w:pPr>
            <w:proofErr w:type="spellStart"/>
            <w:r w:rsidRPr="00FE3F73">
              <w:rPr>
                <w:rFonts w:cstheme="minorHAnsi"/>
              </w:rPr>
              <w:t>Tas</w:t>
            </w:r>
            <w:proofErr w:type="spellEnd"/>
          </w:p>
        </w:tc>
        <w:tc>
          <w:tcPr>
            <w:tcW w:w="405" w:type="pct"/>
            <w:tcBorders>
              <w:top w:val="single" w:sz="6" w:space="0" w:color="auto"/>
              <w:bottom w:val="single" w:sz="6" w:space="0" w:color="auto"/>
            </w:tcBorders>
            <w:vAlign w:val="bottom"/>
          </w:tcPr>
          <w:p w:rsidR="00FA3478" w:rsidRPr="00FE3F73" w:rsidRDefault="00FA3478" w:rsidP="00C8665E">
            <w:pPr>
              <w:pStyle w:val="TableColHeadings"/>
              <w:rPr>
                <w:rFonts w:cstheme="minorHAnsi"/>
              </w:rPr>
            </w:pPr>
            <w:r w:rsidRPr="00FE3F73">
              <w:rPr>
                <w:rFonts w:cstheme="minorHAnsi"/>
              </w:rPr>
              <w:t>ACT</w:t>
            </w:r>
          </w:p>
        </w:tc>
        <w:tc>
          <w:tcPr>
            <w:tcW w:w="405" w:type="pct"/>
            <w:tcBorders>
              <w:top w:val="single" w:sz="6" w:space="0" w:color="auto"/>
              <w:bottom w:val="single" w:sz="6" w:space="0" w:color="auto"/>
            </w:tcBorders>
            <w:vAlign w:val="bottom"/>
          </w:tcPr>
          <w:p w:rsidR="00FA3478" w:rsidRPr="00FE3F73" w:rsidRDefault="00FA3478" w:rsidP="00C8665E">
            <w:pPr>
              <w:pStyle w:val="TableColHeadings"/>
              <w:rPr>
                <w:rFonts w:cstheme="minorHAnsi"/>
              </w:rPr>
            </w:pPr>
            <w:r w:rsidRPr="00FE3F73">
              <w:rPr>
                <w:rFonts w:cstheme="minorHAnsi"/>
              </w:rPr>
              <w:t>NT</w:t>
            </w:r>
          </w:p>
        </w:tc>
        <w:tc>
          <w:tcPr>
            <w:tcW w:w="405" w:type="pct"/>
            <w:tcBorders>
              <w:top w:val="single" w:sz="6" w:space="0" w:color="auto"/>
              <w:bottom w:val="single" w:sz="6" w:space="0" w:color="auto"/>
            </w:tcBorders>
            <w:vAlign w:val="bottom"/>
          </w:tcPr>
          <w:p w:rsidR="00FA3478" w:rsidRPr="00FE3F73" w:rsidRDefault="00FA3478" w:rsidP="00C8665E">
            <w:pPr>
              <w:pStyle w:val="TableColHeadings"/>
              <w:rPr>
                <w:rFonts w:cstheme="minorHAnsi"/>
              </w:rPr>
            </w:pPr>
            <w:proofErr w:type="spellStart"/>
            <w:r>
              <w:rPr>
                <w:rFonts w:cstheme="minorHAnsi"/>
              </w:rPr>
              <w:t>Redist</w:t>
            </w:r>
            <w:proofErr w:type="spellEnd"/>
          </w:p>
        </w:tc>
      </w:tr>
      <w:tr w:rsidR="00FA3478" w:rsidRPr="00FE3F73" w:rsidTr="00C8665E">
        <w:tc>
          <w:tcPr>
            <w:tcW w:w="1354" w:type="pct"/>
            <w:tcMar>
              <w:top w:w="0" w:type="dxa"/>
              <w:bottom w:w="0" w:type="dxa"/>
            </w:tcMar>
            <w:vAlign w:val="bottom"/>
          </w:tcPr>
          <w:p w:rsidR="00FA3478" w:rsidRPr="00FE3F73" w:rsidRDefault="00FA3478" w:rsidP="00C8665E">
            <w:pPr>
              <w:pStyle w:val="CGCTableStub"/>
              <w:spacing w:before="0" w:after="0" w:line="240" w:lineRule="auto"/>
              <w:jc w:val="right"/>
              <w:rPr>
                <w:rFonts w:cstheme="minorHAnsi"/>
              </w:rPr>
            </w:pPr>
          </w:p>
        </w:tc>
        <w:tc>
          <w:tcPr>
            <w:tcW w:w="405" w:type="pct"/>
            <w:tcMar>
              <w:top w:w="0" w:type="dxa"/>
              <w:bottom w:w="0" w:type="dxa"/>
            </w:tcMar>
            <w:vAlign w:val="bottom"/>
          </w:tcPr>
          <w:p w:rsidR="00FA3478" w:rsidRPr="00FE3F73" w:rsidRDefault="00FA3478" w:rsidP="00C8665E">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rsidR="00FA3478" w:rsidRPr="00FE3F73" w:rsidRDefault="00FA3478" w:rsidP="00C8665E">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rsidR="00FA3478" w:rsidRPr="00FE3F73" w:rsidRDefault="00FA3478" w:rsidP="00C8665E">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rsidR="00FA3478" w:rsidRPr="00FE3F73" w:rsidRDefault="00FA3478" w:rsidP="00C8665E">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rsidR="00FA3478" w:rsidRPr="00FE3F73" w:rsidRDefault="00FA3478" w:rsidP="00C8665E">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rsidR="00FA3478" w:rsidRPr="00FE3F73" w:rsidRDefault="00FA3478" w:rsidP="00C8665E">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rsidR="00FA3478" w:rsidRPr="00FE3F73" w:rsidRDefault="00FA3478" w:rsidP="00C8665E">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rsidR="00FA3478" w:rsidRPr="00FE3F73" w:rsidRDefault="00FA3478" w:rsidP="00C8665E">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rsidR="00FA3478" w:rsidRPr="00FE3F73" w:rsidRDefault="00FA3478" w:rsidP="00C8665E">
            <w:pPr>
              <w:pStyle w:val="TableRowNormal"/>
              <w:spacing w:before="0" w:after="0" w:line="240" w:lineRule="auto"/>
              <w:ind w:left="0" w:firstLine="0"/>
              <w:rPr>
                <w:rFonts w:cstheme="minorHAnsi"/>
              </w:rPr>
            </w:pPr>
            <w:r>
              <w:rPr>
                <w:rFonts w:cstheme="minorHAnsi"/>
              </w:rPr>
              <w:t>$m</w:t>
            </w:r>
          </w:p>
        </w:tc>
      </w:tr>
      <w:tr w:rsidR="00FA3478" w:rsidRPr="00FE3F73" w:rsidTr="00C8665E">
        <w:tc>
          <w:tcPr>
            <w:tcW w:w="1354" w:type="pct"/>
            <w:vAlign w:val="bottom"/>
          </w:tcPr>
          <w:p w:rsidR="00FA3478" w:rsidRPr="004537EA" w:rsidRDefault="00FA3478" w:rsidP="00C8665E">
            <w:pPr>
              <w:pStyle w:val="CGCTableStub"/>
              <w:ind w:left="193" w:hanging="142"/>
              <w:rPr>
                <w:rFonts w:cstheme="minorHAnsi"/>
              </w:rPr>
            </w:pPr>
            <w:r>
              <w:rPr>
                <w:rFonts w:cstheme="minorHAnsi"/>
              </w:rPr>
              <w:t xml:space="preserve">EPC component </w:t>
            </w:r>
          </w:p>
        </w:tc>
        <w:tc>
          <w:tcPr>
            <w:tcW w:w="405" w:type="pct"/>
            <w:vAlign w:val="bottom"/>
          </w:tcPr>
          <w:p w:rsidR="00FA3478" w:rsidRPr="005255FB" w:rsidRDefault="00FA3478" w:rsidP="00C8665E">
            <w:pPr>
              <w:pStyle w:val="TableRowNormal"/>
              <w:ind w:left="0" w:firstLine="0"/>
              <w:rPr>
                <w:rFonts w:cstheme="minorHAnsi"/>
              </w:rPr>
            </w:pPr>
            <w:r w:rsidRPr="005255FB">
              <w:rPr>
                <w:rFonts w:cstheme="minorHAnsi"/>
              </w:rPr>
              <w:t>0</w:t>
            </w:r>
          </w:p>
        </w:tc>
        <w:tc>
          <w:tcPr>
            <w:tcW w:w="405" w:type="pct"/>
            <w:vAlign w:val="bottom"/>
          </w:tcPr>
          <w:p w:rsidR="00FA3478" w:rsidRPr="005255FB" w:rsidRDefault="00FA3478" w:rsidP="00C8665E">
            <w:pPr>
              <w:pStyle w:val="TableRowNormal"/>
              <w:ind w:left="0" w:firstLine="0"/>
              <w:rPr>
                <w:rFonts w:cstheme="minorHAnsi"/>
              </w:rPr>
            </w:pPr>
            <w:r w:rsidRPr="005255FB">
              <w:rPr>
                <w:rFonts w:cstheme="minorHAnsi"/>
              </w:rPr>
              <w:t>0</w:t>
            </w:r>
          </w:p>
        </w:tc>
        <w:tc>
          <w:tcPr>
            <w:tcW w:w="405" w:type="pct"/>
            <w:vAlign w:val="bottom"/>
          </w:tcPr>
          <w:p w:rsidR="00FA3478" w:rsidRPr="005255FB" w:rsidRDefault="00FA3478" w:rsidP="00C8665E">
            <w:pPr>
              <w:pStyle w:val="TableRowNormal"/>
              <w:ind w:left="0" w:firstLine="0"/>
              <w:rPr>
                <w:rFonts w:cstheme="minorHAnsi"/>
              </w:rPr>
            </w:pPr>
            <w:r w:rsidRPr="005255FB">
              <w:rPr>
                <w:rFonts w:cstheme="minorHAnsi"/>
              </w:rPr>
              <w:t>0</w:t>
            </w:r>
          </w:p>
        </w:tc>
        <w:tc>
          <w:tcPr>
            <w:tcW w:w="405" w:type="pct"/>
            <w:vAlign w:val="bottom"/>
          </w:tcPr>
          <w:p w:rsidR="00FA3478" w:rsidRPr="005255FB" w:rsidRDefault="00FA3478" w:rsidP="00C8665E">
            <w:pPr>
              <w:pStyle w:val="TableRowNormal"/>
              <w:ind w:left="0" w:firstLine="0"/>
              <w:rPr>
                <w:rFonts w:cstheme="minorHAnsi"/>
              </w:rPr>
            </w:pPr>
            <w:r w:rsidRPr="005255FB">
              <w:rPr>
                <w:rFonts w:cstheme="minorHAnsi"/>
              </w:rPr>
              <w:t>0</w:t>
            </w:r>
          </w:p>
        </w:tc>
        <w:tc>
          <w:tcPr>
            <w:tcW w:w="405" w:type="pct"/>
            <w:vAlign w:val="bottom"/>
          </w:tcPr>
          <w:p w:rsidR="00FA3478" w:rsidRPr="005255FB" w:rsidRDefault="00FA3478" w:rsidP="00C8665E">
            <w:pPr>
              <w:pStyle w:val="TableRowNormal"/>
              <w:ind w:left="0" w:firstLine="0"/>
              <w:rPr>
                <w:rFonts w:cstheme="minorHAnsi"/>
              </w:rPr>
            </w:pPr>
            <w:r w:rsidRPr="005255FB">
              <w:rPr>
                <w:rFonts w:cstheme="minorHAnsi"/>
              </w:rPr>
              <w:t>0</w:t>
            </w:r>
          </w:p>
        </w:tc>
        <w:tc>
          <w:tcPr>
            <w:tcW w:w="405" w:type="pct"/>
            <w:vAlign w:val="bottom"/>
          </w:tcPr>
          <w:p w:rsidR="00FA3478" w:rsidRPr="005255FB" w:rsidRDefault="00FA3478" w:rsidP="00C8665E">
            <w:pPr>
              <w:pStyle w:val="TableRowNormal"/>
              <w:ind w:left="0" w:firstLine="0"/>
              <w:rPr>
                <w:rFonts w:cstheme="minorHAnsi"/>
              </w:rPr>
            </w:pPr>
            <w:r w:rsidRPr="005255FB">
              <w:rPr>
                <w:rFonts w:cstheme="minorHAnsi"/>
              </w:rPr>
              <w:t>0</w:t>
            </w:r>
          </w:p>
        </w:tc>
        <w:tc>
          <w:tcPr>
            <w:tcW w:w="405" w:type="pct"/>
            <w:vAlign w:val="bottom"/>
          </w:tcPr>
          <w:p w:rsidR="00FA3478" w:rsidRPr="005255FB" w:rsidRDefault="00FA3478" w:rsidP="00C8665E">
            <w:pPr>
              <w:pStyle w:val="TableRowNormal"/>
              <w:ind w:left="0" w:firstLine="0"/>
              <w:rPr>
                <w:rFonts w:cstheme="minorHAnsi"/>
              </w:rPr>
            </w:pPr>
            <w:r w:rsidRPr="005255FB">
              <w:rPr>
                <w:rFonts w:cstheme="minorHAnsi"/>
              </w:rPr>
              <w:t>0</w:t>
            </w:r>
          </w:p>
        </w:tc>
        <w:tc>
          <w:tcPr>
            <w:tcW w:w="405" w:type="pct"/>
            <w:vAlign w:val="bottom"/>
          </w:tcPr>
          <w:p w:rsidR="00FA3478" w:rsidRPr="005255FB" w:rsidRDefault="00FA3478" w:rsidP="00C8665E">
            <w:pPr>
              <w:pStyle w:val="TableRowNormal"/>
              <w:ind w:left="0" w:firstLine="0"/>
              <w:rPr>
                <w:rFonts w:cstheme="minorHAnsi"/>
              </w:rPr>
            </w:pPr>
            <w:r w:rsidRPr="005255FB">
              <w:rPr>
                <w:rFonts w:cstheme="minorHAnsi"/>
              </w:rPr>
              <w:t>0</w:t>
            </w:r>
          </w:p>
        </w:tc>
        <w:tc>
          <w:tcPr>
            <w:tcW w:w="405" w:type="pct"/>
            <w:vAlign w:val="bottom"/>
          </w:tcPr>
          <w:p w:rsidR="00FA3478" w:rsidRPr="005255FB" w:rsidRDefault="00FA3478" w:rsidP="00C8665E">
            <w:pPr>
              <w:pStyle w:val="TableRowNormal"/>
              <w:ind w:left="0" w:firstLine="0"/>
              <w:rPr>
                <w:rFonts w:cstheme="minorHAnsi"/>
              </w:rPr>
            </w:pPr>
            <w:r w:rsidRPr="005255FB">
              <w:rPr>
                <w:rFonts w:cstheme="minorHAnsi"/>
              </w:rPr>
              <w:t>0</w:t>
            </w:r>
          </w:p>
        </w:tc>
      </w:tr>
      <w:tr w:rsidR="00FA3478" w:rsidRPr="00FE3F73" w:rsidTr="00C8665E">
        <w:tc>
          <w:tcPr>
            <w:tcW w:w="1354" w:type="pct"/>
            <w:vAlign w:val="bottom"/>
          </w:tcPr>
          <w:p w:rsidR="00FA3478" w:rsidRDefault="00FA3478" w:rsidP="00C8665E">
            <w:pPr>
              <w:pStyle w:val="CGCTableStub"/>
              <w:ind w:left="193" w:hanging="142"/>
              <w:rPr>
                <w:rFonts w:cstheme="minorHAnsi"/>
              </w:rPr>
            </w:pPr>
            <w:r>
              <w:rPr>
                <w:rFonts w:cstheme="minorHAnsi"/>
              </w:rPr>
              <w:t>Property component</w:t>
            </w:r>
          </w:p>
        </w:tc>
        <w:tc>
          <w:tcPr>
            <w:tcW w:w="405" w:type="pct"/>
            <w:vAlign w:val="bottom"/>
          </w:tcPr>
          <w:p w:rsidR="00FA3478" w:rsidRPr="005255FB" w:rsidRDefault="00FA3478" w:rsidP="00C8665E">
            <w:pPr>
              <w:pStyle w:val="TableRowNormal"/>
              <w:ind w:left="0" w:firstLine="0"/>
              <w:rPr>
                <w:rFonts w:cstheme="minorHAnsi"/>
              </w:rPr>
            </w:pPr>
            <w:r w:rsidRPr="005255FB">
              <w:rPr>
                <w:rFonts w:cstheme="minorHAnsi"/>
              </w:rPr>
              <w:t>-2 130</w:t>
            </w:r>
          </w:p>
        </w:tc>
        <w:tc>
          <w:tcPr>
            <w:tcW w:w="405" w:type="pct"/>
            <w:vAlign w:val="bottom"/>
          </w:tcPr>
          <w:p w:rsidR="00FA3478" w:rsidRPr="005255FB" w:rsidRDefault="00FA3478" w:rsidP="00C8665E">
            <w:pPr>
              <w:pStyle w:val="TableRowNormal"/>
              <w:ind w:left="0" w:firstLine="0"/>
              <w:rPr>
                <w:rFonts w:cstheme="minorHAnsi"/>
              </w:rPr>
            </w:pPr>
            <w:r w:rsidRPr="005255FB">
              <w:rPr>
                <w:rFonts w:cstheme="minorHAnsi"/>
              </w:rPr>
              <w:t>-252</w:t>
            </w:r>
          </w:p>
        </w:tc>
        <w:tc>
          <w:tcPr>
            <w:tcW w:w="405" w:type="pct"/>
            <w:vAlign w:val="bottom"/>
          </w:tcPr>
          <w:p w:rsidR="00FA3478" w:rsidRPr="005255FB" w:rsidRDefault="00FA3478" w:rsidP="00C8665E">
            <w:pPr>
              <w:pStyle w:val="TableRowNormal"/>
              <w:ind w:left="0" w:firstLine="0"/>
              <w:rPr>
                <w:rFonts w:cstheme="minorHAnsi"/>
              </w:rPr>
            </w:pPr>
            <w:r w:rsidRPr="005255FB">
              <w:rPr>
                <w:rFonts w:cstheme="minorHAnsi"/>
              </w:rPr>
              <w:t>436</w:t>
            </w:r>
          </w:p>
        </w:tc>
        <w:tc>
          <w:tcPr>
            <w:tcW w:w="405" w:type="pct"/>
            <w:vAlign w:val="bottom"/>
          </w:tcPr>
          <w:p w:rsidR="00FA3478" w:rsidRPr="005255FB" w:rsidRDefault="00FA3478" w:rsidP="00C8665E">
            <w:pPr>
              <w:pStyle w:val="TableRowNormal"/>
              <w:ind w:left="0" w:firstLine="0"/>
              <w:rPr>
                <w:rFonts w:cstheme="minorHAnsi"/>
              </w:rPr>
            </w:pPr>
            <w:r w:rsidRPr="005255FB">
              <w:rPr>
                <w:rFonts w:cstheme="minorHAnsi"/>
              </w:rPr>
              <w:t>792</w:t>
            </w:r>
          </w:p>
        </w:tc>
        <w:tc>
          <w:tcPr>
            <w:tcW w:w="405" w:type="pct"/>
            <w:vAlign w:val="bottom"/>
          </w:tcPr>
          <w:p w:rsidR="00FA3478" w:rsidRPr="005255FB" w:rsidRDefault="00FA3478" w:rsidP="00C8665E">
            <w:pPr>
              <w:pStyle w:val="TableRowNormal"/>
              <w:ind w:left="0" w:firstLine="0"/>
              <w:rPr>
                <w:rFonts w:cstheme="minorHAnsi"/>
              </w:rPr>
            </w:pPr>
            <w:r w:rsidRPr="005255FB">
              <w:rPr>
                <w:rFonts w:cstheme="minorHAnsi"/>
              </w:rPr>
              <w:t>759</w:t>
            </w:r>
          </w:p>
        </w:tc>
        <w:tc>
          <w:tcPr>
            <w:tcW w:w="405" w:type="pct"/>
            <w:vAlign w:val="bottom"/>
          </w:tcPr>
          <w:p w:rsidR="00FA3478" w:rsidRPr="005255FB" w:rsidRDefault="00FA3478" w:rsidP="00C8665E">
            <w:pPr>
              <w:pStyle w:val="TableRowNormal"/>
              <w:ind w:left="0" w:firstLine="0"/>
              <w:rPr>
                <w:rFonts w:cstheme="minorHAnsi"/>
              </w:rPr>
            </w:pPr>
            <w:r w:rsidRPr="005255FB">
              <w:rPr>
                <w:rFonts w:cstheme="minorHAnsi"/>
              </w:rPr>
              <w:t>239</w:t>
            </w:r>
          </w:p>
        </w:tc>
        <w:tc>
          <w:tcPr>
            <w:tcW w:w="405" w:type="pct"/>
            <w:vAlign w:val="bottom"/>
          </w:tcPr>
          <w:p w:rsidR="00FA3478" w:rsidRPr="005255FB" w:rsidRDefault="00FA3478" w:rsidP="00C8665E">
            <w:pPr>
              <w:pStyle w:val="TableRowNormal"/>
              <w:ind w:left="0" w:firstLine="0"/>
              <w:rPr>
                <w:rFonts w:cstheme="minorHAnsi"/>
              </w:rPr>
            </w:pPr>
            <w:r w:rsidRPr="005255FB">
              <w:rPr>
                <w:rFonts w:cstheme="minorHAnsi"/>
              </w:rPr>
              <w:t>48</w:t>
            </w:r>
          </w:p>
        </w:tc>
        <w:tc>
          <w:tcPr>
            <w:tcW w:w="405" w:type="pct"/>
            <w:vAlign w:val="bottom"/>
          </w:tcPr>
          <w:p w:rsidR="00FA3478" w:rsidRPr="005255FB" w:rsidRDefault="00FA3478" w:rsidP="00C8665E">
            <w:pPr>
              <w:pStyle w:val="TableRowNormal"/>
              <w:ind w:left="0" w:firstLine="0"/>
              <w:rPr>
                <w:rFonts w:cstheme="minorHAnsi"/>
              </w:rPr>
            </w:pPr>
            <w:r w:rsidRPr="005255FB">
              <w:rPr>
                <w:rFonts w:cstheme="minorHAnsi"/>
              </w:rPr>
              <w:t>108</w:t>
            </w:r>
          </w:p>
        </w:tc>
        <w:tc>
          <w:tcPr>
            <w:tcW w:w="405" w:type="pct"/>
            <w:vAlign w:val="bottom"/>
          </w:tcPr>
          <w:p w:rsidR="00FA3478" w:rsidRPr="005255FB" w:rsidRDefault="00FA3478" w:rsidP="00C8665E">
            <w:pPr>
              <w:pStyle w:val="TableRowNormal"/>
              <w:ind w:left="0" w:firstLine="0"/>
              <w:rPr>
                <w:rFonts w:cstheme="minorHAnsi"/>
              </w:rPr>
            </w:pPr>
            <w:r w:rsidRPr="005255FB">
              <w:rPr>
                <w:rFonts w:cstheme="minorHAnsi"/>
              </w:rPr>
              <w:t>2 383</w:t>
            </w:r>
          </w:p>
        </w:tc>
      </w:tr>
      <w:tr w:rsidR="00FA3478" w:rsidRPr="00FE3F73" w:rsidTr="00C8665E">
        <w:tc>
          <w:tcPr>
            <w:tcW w:w="1354" w:type="pct"/>
            <w:vAlign w:val="bottom"/>
          </w:tcPr>
          <w:p w:rsidR="00FA3478" w:rsidRPr="004537EA" w:rsidRDefault="00FA3478" w:rsidP="00C8665E">
            <w:pPr>
              <w:pStyle w:val="CGCTableStub"/>
              <w:ind w:left="193" w:hanging="142"/>
              <w:rPr>
                <w:rFonts w:cstheme="minorHAnsi"/>
              </w:rPr>
            </w:pPr>
            <w:r>
              <w:rPr>
                <w:rFonts w:cstheme="minorHAnsi"/>
              </w:rPr>
              <w:t>Vehicle component</w:t>
            </w:r>
          </w:p>
        </w:tc>
        <w:tc>
          <w:tcPr>
            <w:tcW w:w="405" w:type="pct"/>
            <w:vAlign w:val="bottom"/>
          </w:tcPr>
          <w:p w:rsidR="00FA3478" w:rsidRPr="005255FB" w:rsidRDefault="00FA3478" w:rsidP="00C8665E">
            <w:pPr>
              <w:pStyle w:val="TableRowNormal"/>
              <w:ind w:left="0" w:firstLine="0"/>
              <w:rPr>
                <w:rFonts w:cstheme="minorHAnsi"/>
              </w:rPr>
            </w:pPr>
            <w:r w:rsidRPr="005255FB">
              <w:rPr>
                <w:rFonts w:cstheme="minorHAnsi"/>
              </w:rPr>
              <w:t>44</w:t>
            </w:r>
          </w:p>
        </w:tc>
        <w:tc>
          <w:tcPr>
            <w:tcW w:w="405" w:type="pct"/>
            <w:vAlign w:val="bottom"/>
          </w:tcPr>
          <w:p w:rsidR="00FA3478" w:rsidRPr="005255FB" w:rsidRDefault="00FA3478" w:rsidP="00C8665E">
            <w:pPr>
              <w:pStyle w:val="TableRowNormal"/>
              <w:ind w:left="0" w:firstLine="0"/>
              <w:rPr>
                <w:rFonts w:cstheme="minorHAnsi"/>
              </w:rPr>
            </w:pPr>
            <w:r w:rsidRPr="005255FB">
              <w:rPr>
                <w:rFonts w:cstheme="minorHAnsi"/>
              </w:rPr>
              <w:t>13</w:t>
            </w:r>
          </w:p>
        </w:tc>
        <w:tc>
          <w:tcPr>
            <w:tcW w:w="405" w:type="pct"/>
            <w:vAlign w:val="bottom"/>
          </w:tcPr>
          <w:p w:rsidR="00FA3478" w:rsidRPr="005255FB" w:rsidRDefault="00FA3478" w:rsidP="00C8665E">
            <w:pPr>
              <w:pStyle w:val="TableRowNormal"/>
              <w:ind w:left="0" w:firstLine="0"/>
              <w:rPr>
                <w:rFonts w:cstheme="minorHAnsi"/>
              </w:rPr>
            </w:pPr>
            <w:r w:rsidRPr="005255FB">
              <w:rPr>
                <w:rFonts w:cstheme="minorHAnsi"/>
              </w:rPr>
              <w:t>-25</w:t>
            </w:r>
          </w:p>
        </w:tc>
        <w:tc>
          <w:tcPr>
            <w:tcW w:w="405" w:type="pct"/>
            <w:vAlign w:val="bottom"/>
          </w:tcPr>
          <w:p w:rsidR="00FA3478" w:rsidRPr="005255FB" w:rsidRDefault="00FA3478" w:rsidP="00C8665E">
            <w:pPr>
              <w:pStyle w:val="TableRowNormal"/>
              <w:ind w:left="0" w:firstLine="0"/>
              <w:rPr>
                <w:rFonts w:cstheme="minorHAnsi"/>
              </w:rPr>
            </w:pPr>
            <w:r w:rsidRPr="005255FB">
              <w:rPr>
                <w:rFonts w:cstheme="minorHAnsi"/>
              </w:rPr>
              <w:t>-79</w:t>
            </w:r>
          </w:p>
        </w:tc>
        <w:tc>
          <w:tcPr>
            <w:tcW w:w="405" w:type="pct"/>
            <w:vAlign w:val="bottom"/>
          </w:tcPr>
          <w:p w:rsidR="00FA3478" w:rsidRPr="005255FB" w:rsidRDefault="00FA3478" w:rsidP="00C8665E">
            <w:pPr>
              <w:pStyle w:val="TableRowNormal"/>
              <w:ind w:left="0" w:firstLine="0"/>
              <w:rPr>
                <w:rFonts w:cstheme="minorHAnsi"/>
              </w:rPr>
            </w:pPr>
            <w:r w:rsidRPr="005255FB">
              <w:rPr>
                <w:rFonts w:cstheme="minorHAnsi"/>
              </w:rPr>
              <w:t>31</w:t>
            </w:r>
          </w:p>
        </w:tc>
        <w:tc>
          <w:tcPr>
            <w:tcW w:w="405" w:type="pct"/>
            <w:vAlign w:val="bottom"/>
          </w:tcPr>
          <w:p w:rsidR="00FA3478" w:rsidRPr="005255FB" w:rsidRDefault="00FA3478" w:rsidP="00C8665E">
            <w:pPr>
              <w:pStyle w:val="TableRowNormal"/>
              <w:ind w:left="0" w:firstLine="0"/>
              <w:rPr>
                <w:rFonts w:cstheme="minorHAnsi"/>
              </w:rPr>
            </w:pPr>
            <w:r w:rsidRPr="005255FB">
              <w:rPr>
                <w:rFonts w:cstheme="minorHAnsi"/>
              </w:rPr>
              <w:t>8</w:t>
            </w:r>
          </w:p>
        </w:tc>
        <w:tc>
          <w:tcPr>
            <w:tcW w:w="405" w:type="pct"/>
            <w:vAlign w:val="bottom"/>
          </w:tcPr>
          <w:p w:rsidR="00FA3478" w:rsidRPr="005255FB" w:rsidRDefault="00FA3478" w:rsidP="00C8665E">
            <w:pPr>
              <w:pStyle w:val="TableRowNormal"/>
              <w:ind w:left="0" w:firstLine="0"/>
              <w:rPr>
                <w:rFonts w:cstheme="minorHAnsi"/>
              </w:rPr>
            </w:pPr>
            <w:r w:rsidRPr="005255FB">
              <w:rPr>
                <w:rFonts w:cstheme="minorHAnsi"/>
              </w:rPr>
              <w:t>7</w:t>
            </w:r>
          </w:p>
        </w:tc>
        <w:tc>
          <w:tcPr>
            <w:tcW w:w="405" w:type="pct"/>
            <w:vAlign w:val="bottom"/>
          </w:tcPr>
          <w:p w:rsidR="00FA3478" w:rsidRPr="005255FB" w:rsidRDefault="00FA3478" w:rsidP="00C8665E">
            <w:pPr>
              <w:pStyle w:val="TableRowNormal"/>
              <w:ind w:left="0" w:firstLine="0"/>
              <w:rPr>
                <w:rFonts w:cstheme="minorHAnsi"/>
              </w:rPr>
            </w:pPr>
            <w:r w:rsidRPr="005255FB">
              <w:rPr>
                <w:rFonts w:cstheme="minorHAnsi"/>
              </w:rPr>
              <w:t>1</w:t>
            </w:r>
          </w:p>
        </w:tc>
        <w:tc>
          <w:tcPr>
            <w:tcW w:w="405" w:type="pct"/>
            <w:vAlign w:val="bottom"/>
          </w:tcPr>
          <w:p w:rsidR="00FA3478" w:rsidRPr="005255FB" w:rsidRDefault="00FA3478" w:rsidP="00C8665E">
            <w:pPr>
              <w:pStyle w:val="TableRowNormal"/>
              <w:ind w:left="0" w:firstLine="0"/>
              <w:rPr>
                <w:rFonts w:cstheme="minorHAnsi"/>
              </w:rPr>
            </w:pPr>
            <w:r w:rsidRPr="005255FB">
              <w:rPr>
                <w:rFonts w:cstheme="minorHAnsi"/>
              </w:rPr>
              <w:t>104</w:t>
            </w:r>
          </w:p>
        </w:tc>
      </w:tr>
      <w:tr w:rsidR="00FA3478" w:rsidRPr="00FE3F73" w:rsidTr="00C8665E">
        <w:tc>
          <w:tcPr>
            <w:tcW w:w="1354" w:type="pct"/>
            <w:vAlign w:val="bottom"/>
          </w:tcPr>
          <w:p w:rsidR="00FA3478" w:rsidRPr="004537EA" w:rsidRDefault="00FA3478" w:rsidP="00C8665E">
            <w:pPr>
              <w:pStyle w:val="CGCTableStub"/>
              <w:ind w:left="193" w:hanging="142"/>
              <w:rPr>
                <w:rFonts w:cstheme="minorHAnsi"/>
              </w:rPr>
            </w:pPr>
            <w:r>
              <w:rPr>
                <w:rFonts w:cstheme="minorHAnsi"/>
              </w:rPr>
              <w:t>Total</w:t>
            </w:r>
          </w:p>
        </w:tc>
        <w:tc>
          <w:tcPr>
            <w:tcW w:w="405" w:type="pct"/>
            <w:tcBorders>
              <w:bottom w:val="single" w:sz="4" w:space="0" w:color="auto"/>
            </w:tcBorders>
            <w:vAlign w:val="bottom"/>
          </w:tcPr>
          <w:p w:rsidR="00FA3478" w:rsidRPr="005255FB" w:rsidRDefault="00FA3478" w:rsidP="00C8665E">
            <w:pPr>
              <w:pStyle w:val="TableRowNormal"/>
              <w:ind w:left="0" w:firstLine="0"/>
              <w:rPr>
                <w:rFonts w:cstheme="minorHAnsi"/>
              </w:rPr>
            </w:pPr>
            <w:r w:rsidRPr="005255FB">
              <w:rPr>
                <w:rFonts w:cstheme="minorHAnsi"/>
              </w:rPr>
              <w:t>-2 086</w:t>
            </w:r>
          </w:p>
        </w:tc>
        <w:tc>
          <w:tcPr>
            <w:tcW w:w="405" w:type="pct"/>
            <w:tcBorders>
              <w:bottom w:val="single" w:sz="4" w:space="0" w:color="auto"/>
            </w:tcBorders>
            <w:vAlign w:val="bottom"/>
          </w:tcPr>
          <w:p w:rsidR="00FA3478" w:rsidRPr="005255FB" w:rsidRDefault="00FA3478" w:rsidP="00C8665E">
            <w:pPr>
              <w:pStyle w:val="TableRowNormal"/>
              <w:ind w:left="0" w:firstLine="0"/>
              <w:rPr>
                <w:rFonts w:cstheme="minorHAnsi"/>
              </w:rPr>
            </w:pPr>
            <w:r w:rsidRPr="005255FB">
              <w:rPr>
                <w:rFonts w:cstheme="minorHAnsi"/>
              </w:rPr>
              <w:t>-239</w:t>
            </w:r>
          </w:p>
        </w:tc>
        <w:tc>
          <w:tcPr>
            <w:tcW w:w="405" w:type="pct"/>
            <w:tcBorders>
              <w:bottom w:val="single" w:sz="4" w:space="0" w:color="auto"/>
            </w:tcBorders>
            <w:vAlign w:val="bottom"/>
          </w:tcPr>
          <w:p w:rsidR="00FA3478" w:rsidRPr="005255FB" w:rsidRDefault="00FA3478" w:rsidP="00C8665E">
            <w:pPr>
              <w:pStyle w:val="TableRowNormal"/>
              <w:ind w:left="0" w:firstLine="0"/>
              <w:rPr>
                <w:rFonts w:cstheme="minorHAnsi"/>
              </w:rPr>
            </w:pPr>
            <w:r w:rsidRPr="005255FB">
              <w:rPr>
                <w:rFonts w:cstheme="minorHAnsi"/>
              </w:rPr>
              <w:t>411</w:t>
            </w:r>
          </w:p>
        </w:tc>
        <w:tc>
          <w:tcPr>
            <w:tcW w:w="405" w:type="pct"/>
            <w:tcBorders>
              <w:bottom w:val="single" w:sz="4" w:space="0" w:color="auto"/>
            </w:tcBorders>
            <w:vAlign w:val="bottom"/>
          </w:tcPr>
          <w:p w:rsidR="00FA3478" w:rsidRPr="005255FB" w:rsidRDefault="00FA3478" w:rsidP="00C8665E">
            <w:pPr>
              <w:pStyle w:val="TableRowNormal"/>
              <w:ind w:left="0" w:firstLine="0"/>
              <w:rPr>
                <w:rFonts w:cstheme="minorHAnsi"/>
              </w:rPr>
            </w:pPr>
            <w:r w:rsidRPr="005255FB">
              <w:rPr>
                <w:rFonts w:cstheme="minorHAnsi"/>
              </w:rPr>
              <w:t>713</w:t>
            </w:r>
          </w:p>
        </w:tc>
        <w:tc>
          <w:tcPr>
            <w:tcW w:w="405" w:type="pct"/>
            <w:tcBorders>
              <w:bottom w:val="single" w:sz="4" w:space="0" w:color="auto"/>
            </w:tcBorders>
            <w:vAlign w:val="bottom"/>
          </w:tcPr>
          <w:p w:rsidR="00FA3478" w:rsidRPr="005255FB" w:rsidRDefault="00FA3478" w:rsidP="00C8665E">
            <w:pPr>
              <w:pStyle w:val="TableRowNormal"/>
              <w:ind w:left="0" w:firstLine="0"/>
              <w:rPr>
                <w:rFonts w:cstheme="minorHAnsi"/>
              </w:rPr>
            </w:pPr>
            <w:r w:rsidRPr="005255FB">
              <w:rPr>
                <w:rFonts w:cstheme="minorHAnsi"/>
              </w:rPr>
              <w:t>789</w:t>
            </w:r>
          </w:p>
        </w:tc>
        <w:tc>
          <w:tcPr>
            <w:tcW w:w="405" w:type="pct"/>
            <w:tcBorders>
              <w:bottom w:val="single" w:sz="4" w:space="0" w:color="auto"/>
            </w:tcBorders>
            <w:vAlign w:val="bottom"/>
          </w:tcPr>
          <w:p w:rsidR="00FA3478" w:rsidRPr="005255FB" w:rsidRDefault="00FA3478" w:rsidP="00C8665E">
            <w:pPr>
              <w:pStyle w:val="TableRowNormal"/>
              <w:ind w:left="0" w:firstLine="0"/>
              <w:rPr>
                <w:rFonts w:cstheme="minorHAnsi"/>
              </w:rPr>
            </w:pPr>
            <w:r w:rsidRPr="005255FB">
              <w:rPr>
                <w:rFonts w:cstheme="minorHAnsi"/>
              </w:rPr>
              <w:t>247</w:t>
            </w:r>
          </w:p>
        </w:tc>
        <w:tc>
          <w:tcPr>
            <w:tcW w:w="405" w:type="pct"/>
            <w:tcBorders>
              <w:bottom w:val="single" w:sz="4" w:space="0" w:color="auto"/>
            </w:tcBorders>
            <w:vAlign w:val="bottom"/>
          </w:tcPr>
          <w:p w:rsidR="00FA3478" w:rsidRPr="005255FB" w:rsidRDefault="00FA3478" w:rsidP="00C8665E">
            <w:pPr>
              <w:pStyle w:val="TableRowNormal"/>
              <w:ind w:left="0" w:firstLine="0"/>
              <w:rPr>
                <w:rFonts w:cstheme="minorHAnsi"/>
              </w:rPr>
            </w:pPr>
            <w:r w:rsidRPr="005255FB">
              <w:rPr>
                <w:rFonts w:cstheme="minorHAnsi"/>
              </w:rPr>
              <w:t>56</w:t>
            </w:r>
          </w:p>
        </w:tc>
        <w:tc>
          <w:tcPr>
            <w:tcW w:w="405" w:type="pct"/>
            <w:tcBorders>
              <w:bottom w:val="single" w:sz="4" w:space="0" w:color="auto"/>
            </w:tcBorders>
            <w:vAlign w:val="bottom"/>
          </w:tcPr>
          <w:p w:rsidR="00FA3478" w:rsidRPr="005255FB" w:rsidRDefault="00FA3478" w:rsidP="00C8665E">
            <w:pPr>
              <w:pStyle w:val="TableRowNormal"/>
              <w:ind w:left="0" w:firstLine="0"/>
              <w:rPr>
                <w:rFonts w:cstheme="minorHAnsi"/>
              </w:rPr>
            </w:pPr>
            <w:r w:rsidRPr="005255FB">
              <w:rPr>
                <w:rFonts w:cstheme="minorHAnsi"/>
              </w:rPr>
              <w:t>109</w:t>
            </w:r>
          </w:p>
        </w:tc>
        <w:tc>
          <w:tcPr>
            <w:tcW w:w="405" w:type="pct"/>
            <w:tcBorders>
              <w:bottom w:val="single" w:sz="4" w:space="0" w:color="auto"/>
            </w:tcBorders>
            <w:vAlign w:val="bottom"/>
          </w:tcPr>
          <w:p w:rsidR="00FA3478" w:rsidRPr="005255FB" w:rsidRDefault="00FA3478" w:rsidP="00C8665E">
            <w:pPr>
              <w:pStyle w:val="TableRowNormal"/>
              <w:ind w:left="0" w:firstLine="0"/>
              <w:rPr>
                <w:rFonts w:cstheme="minorHAnsi"/>
              </w:rPr>
            </w:pPr>
            <w:r w:rsidRPr="005255FB">
              <w:rPr>
                <w:rFonts w:cstheme="minorHAnsi"/>
              </w:rPr>
              <w:t>2 326</w:t>
            </w:r>
          </w:p>
        </w:tc>
      </w:tr>
      <w:tr w:rsidR="00FA3478" w:rsidRPr="00FE3F73" w:rsidTr="00C8665E">
        <w:tc>
          <w:tcPr>
            <w:tcW w:w="1354" w:type="pct"/>
            <w:tcBorders>
              <w:bottom w:val="single" w:sz="4" w:space="0" w:color="auto"/>
            </w:tcBorders>
            <w:vAlign w:val="bottom"/>
          </w:tcPr>
          <w:p w:rsidR="00FA3478" w:rsidRDefault="00FA3478" w:rsidP="00C8665E">
            <w:pPr>
              <w:pStyle w:val="CGCTableStub"/>
              <w:ind w:left="193" w:hanging="142"/>
              <w:rPr>
                <w:rFonts w:cstheme="minorHAnsi"/>
              </w:rPr>
            </w:pPr>
            <w:r>
              <w:rPr>
                <w:rFonts w:cstheme="minorHAnsi"/>
              </w:rPr>
              <w:t>Total ($pc)</w:t>
            </w:r>
          </w:p>
        </w:tc>
        <w:tc>
          <w:tcPr>
            <w:tcW w:w="405" w:type="pct"/>
            <w:tcBorders>
              <w:top w:val="single" w:sz="4" w:space="0" w:color="auto"/>
              <w:bottom w:val="single" w:sz="4" w:space="0" w:color="auto"/>
            </w:tcBorders>
            <w:vAlign w:val="bottom"/>
          </w:tcPr>
          <w:p w:rsidR="00FA3478" w:rsidRPr="005255FB" w:rsidRDefault="00FA3478" w:rsidP="00C8665E">
            <w:pPr>
              <w:pStyle w:val="TableRowNormal"/>
              <w:ind w:left="0" w:firstLine="0"/>
              <w:rPr>
                <w:rFonts w:cstheme="minorHAnsi"/>
              </w:rPr>
            </w:pPr>
            <w:r w:rsidRPr="005255FB">
              <w:rPr>
                <w:rFonts w:cstheme="minorHAnsi"/>
              </w:rPr>
              <w:t>-260</w:t>
            </w:r>
          </w:p>
        </w:tc>
        <w:tc>
          <w:tcPr>
            <w:tcW w:w="405" w:type="pct"/>
            <w:tcBorders>
              <w:top w:val="single" w:sz="4" w:space="0" w:color="auto"/>
              <w:bottom w:val="single" w:sz="4" w:space="0" w:color="auto"/>
            </w:tcBorders>
            <w:vAlign w:val="bottom"/>
          </w:tcPr>
          <w:p w:rsidR="00FA3478" w:rsidRPr="005255FB" w:rsidRDefault="00FA3478" w:rsidP="00C8665E">
            <w:pPr>
              <w:pStyle w:val="TableRowNormal"/>
              <w:ind w:left="0" w:firstLine="0"/>
              <w:rPr>
                <w:rFonts w:cstheme="minorHAnsi"/>
              </w:rPr>
            </w:pPr>
            <w:r w:rsidRPr="005255FB">
              <w:rPr>
                <w:rFonts w:cstheme="minorHAnsi"/>
              </w:rPr>
              <w:t>-37</w:t>
            </w:r>
          </w:p>
        </w:tc>
        <w:tc>
          <w:tcPr>
            <w:tcW w:w="405" w:type="pct"/>
            <w:tcBorders>
              <w:top w:val="single" w:sz="4" w:space="0" w:color="auto"/>
              <w:bottom w:val="single" w:sz="4" w:space="0" w:color="auto"/>
            </w:tcBorders>
            <w:vAlign w:val="bottom"/>
          </w:tcPr>
          <w:p w:rsidR="00FA3478" w:rsidRPr="005255FB" w:rsidRDefault="00FA3478" w:rsidP="00C8665E">
            <w:pPr>
              <w:pStyle w:val="TableRowNormal"/>
              <w:ind w:left="0" w:firstLine="0"/>
              <w:rPr>
                <w:rFonts w:cstheme="minorHAnsi"/>
              </w:rPr>
            </w:pPr>
            <w:r w:rsidRPr="005255FB">
              <w:rPr>
                <w:rFonts w:cstheme="minorHAnsi"/>
              </w:rPr>
              <w:t>82</w:t>
            </w:r>
          </w:p>
        </w:tc>
        <w:tc>
          <w:tcPr>
            <w:tcW w:w="405" w:type="pct"/>
            <w:tcBorders>
              <w:top w:val="single" w:sz="4" w:space="0" w:color="auto"/>
              <w:bottom w:val="single" w:sz="4" w:space="0" w:color="auto"/>
            </w:tcBorders>
            <w:vAlign w:val="bottom"/>
          </w:tcPr>
          <w:p w:rsidR="00FA3478" w:rsidRPr="005255FB" w:rsidRDefault="00FA3478" w:rsidP="00C8665E">
            <w:pPr>
              <w:pStyle w:val="TableRowNormal"/>
              <w:ind w:left="0" w:firstLine="0"/>
              <w:rPr>
                <w:rFonts w:cstheme="minorHAnsi"/>
              </w:rPr>
            </w:pPr>
            <w:r w:rsidRPr="005255FB">
              <w:rPr>
                <w:rFonts w:cstheme="minorHAnsi"/>
              </w:rPr>
              <w:t>272</w:t>
            </w:r>
          </w:p>
        </w:tc>
        <w:tc>
          <w:tcPr>
            <w:tcW w:w="405" w:type="pct"/>
            <w:tcBorders>
              <w:top w:val="single" w:sz="4" w:space="0" w:color="auto"/>
              <w:bottom w:val="single" w:sz="4" w:space="0" w:color="auto"/>
            </w:tcBorders>
            <w:vAlign w:val="bottom"/>
          </w:tcPr>
          <w:p w:rsidR="00FA3478" w:rsidRPr="005255FB" w:rsidRDefault="00FA3478" w:rsidP="00C8665E">
            <w:pPr>
              <w:pStyle w:val="TableRowNormal"/>
              <w:ind w:left="0" w:firstLine="0"/>
              <w:rPr>
                <w:rFonts w:cstheme="minorHAnsi"/>
              </w:rPr>
            </w:pPr>
            <w:r w:rsidRPr="005255FB">
              <w:rPr>
                <w:rFonts w:cstheme="minorHAnsi"/>
              </w:rPr>
              <w:t>454</w:t>
            </w:r>
          </w:p>
        </w:tc>
        <w:tc>
          <w:tcPr>
            <w:tcW w:w="405" w:type="pct"/>
            <w:tcBorders>
              <w:top w:val="single" w:sz="4" w:space="0" w:color="auto"/>
              <w:bottom w:val="single" w:sz="4" w:space="0" w:color="auto"/>
            </w:tcBorders>
            <w:vAlign w:val="bottom"/>
          </w:tcPr>
          <w:p w:rsidR="00FA3478" w:rsidRPr="005255FB" w:rsidRDefault="00FA3478" w:rsidP="00C8665E">
            <w:pPr>
              <w:pStyle w:val="TableRowNormal"/>
              <w:ind w:left="0" w:firstLine="0"/>
              <w:rPr>
                <w:rFonts w:cstheme="minorHAnsi"/>
              </w:rPr>
            </w:pPr>
            <w:r w:rsidRPr="005255FB">
              <w:rPr>
                <w:rFonts w:cstheme="minorHAnsi"/>
              </w:rPr>
              <w:t>471</w:t>
            </w:r>
          </w:p>
        </w:tc>
        <w:tc>
          <w:tcPr>
            <w:tcW w:w="405" w:type="pct"/>
            <w:tcBorders>
              <w:top w:val="single" w:sz="4" w:space="0" w:color="auto"/>
              <w:bottom w:val="single" w:sz="4" w:space="0" w:color="auto"/>
            </w:tcBorders>
            <w:vAlign w:val="bottom"/>
          </w:tcPr>
          <w:p w:rsidR="00FA3478" w:rsidRPr="005255FB" w:rsidRDefault="00FA3478" w:rsidP="00C8665E">
            <w:pPr>
              <w:pStyle w:val="TableRowNormal"/>
              <w:ind w:left="0" w:firstLine="0"/>
              <w:rPr>
                <w:rFonts w:cstheme="minorHAnsi"/>
              </w:rPr>
            </w:pPr>
            <w:r w:rsidRPr="005255FB">
              <w:rPr>
                <w:rFonts w:cstheme="minorHAnsi"/>
              </w:rPr>
              <w:t>133</w:t>
            </w:r>
          </w:p>
        </w:tc>
        <w:tc>
          <w:tcPr>
            <w:tcW w:w="405" w:type="pct"/>
            <w:tcBorders>
              <w:top w:val="single" w:sz="4" w:space="0" w:color="auto"/>
              <w:bottom w:val="single" w:sz="4" w:space="0" w:color="auto"/>
            </w:tcBorders>
            <w:vAlign w:val="bottom"/>
          </w:tcPr>
          <w:p w:rsidR="00FA3478" w:rsidRPr="005255FB" w:rsidRDefault="00FA3478" w:rsidP="00C8665E">
            <w:pPr>
              <w:pStyle w:val="TableRowNormal"/>
              <w:ind w:left="0" w:firstLine="0"/>
              <w:rPr>
                <w:rFonts w:cstheme="minorHAnsi"/>
              </w:rPr>
            </w:pPr>
            <w:r w:rsidRPr="005255FB">
              <w:rPr>
                <w:rFonts w:cstheme="minorHAnsi"/>
              </w:rPr>
              <w:t>443</w:t>
            </w:r>
          </w:p>
        </w:tc>
        <w:tc>
          <w:tcPr>
            <w:tcW w:w="405" w:type="pct"/>
            <w:tcBorders>
              <w:top w:val="single" w:sz="4" w:space="0" w:color="auto"/>
              <w:bottom w:val="single" w:sz="4" w:space="0" w:color="auto"/>
            </w:tcBorders>
            <w:vAlign w:val="bottom"/>
          </w:tcPr>
          <w:p w:rsidR="00FA3478" w:rsidRPr="004D3B24" w:rsidRDefault="00FA3478" w:rsidP="00C8665E">
            <w:pPr>
              <w:pStyle w:val="TableRowNormal"/>
              <w:ind w:left="0" w:firstLine="0"/>
              <w:rPr>
                <w:rFonts w:cstheme="minorHAnsi"/>
              </w:rPr>
            </w:pPr>
            <w:r>
              <w:rPr>
                <w:rFonts w:cstheme="minorHAnsi"/>
              </w:rPr>
              <w:t>9</w:t>
            </w:r>
            <w:r w:rsidRPr="004D3B24">
              <w:rPr>
                <w:rFonts w:cstheme="minorHAnsi"/>
              </w:rPr>
              <w:t>3</w:t>
            </w:r>
          </w:p>
        </w:tc>
      </w:tr>
    </w:tbl>
    <w:p w:rsidR="00FA3478" w:rsidRDefault="00FA3478" w:rsidP="00FA3478">
      <w:pPr>
        <w:pStyle w:val="CGCTableFootnote"/>
      </w:pPr>
      <w:r>
        <w:t>Source:</w:t>
      </w:r>
      <w:r>
        <w:tab/>
      </w:r>
      <w:r w:rsidR="00C00F10">
        <w:t xml:space="preserve">Commission calculation, </w:t>
      </w:r>
      <w:r>
        <w:t>2018 </w:t>
      </w:r>
      <w:proofErr w:type="gramStart"/>
      <w:r>
        <w:t>Update</w:t>
      </w:r>
      <w:proofErr w:type="gramEnd"/>
      <w:r>
        <w:t>.</w:t>
      </w:r>
    </w:p>
    <w:p w:rsidR="00FA3478" w:rsidRDefault="00FA3478" w:rsidP="00FA3478">
      <w:pPr>
        <w:pStyle w:val="Heading3"/>
      </w:pPr>
      <w:bookmarkStart w:id="21" w:name="_Toc511824700"/>
      <w:r>
        <w:lastRenderedPageBreak/>
        <w:t>Issues and analysis</w:t>
      </w:r>
      <w:bookmarkEnd w:id="21"/>
    </w:p>
    <w:p w:rsidR="00FA3478" w:rsidRPr="00DB1AD5" w:rsidRDefault="00FA3478" w:rsidP="00FA3478">
      <w:pPr>
        <w:pStyle w:val="CGCNumberedPara"/>
        <w:numPr>
          <w:ilvl w:val="1"/>
          <w:numId w:val="3"/>
        </w:numPr>
      </w:pPr>
      <w:r>
        <w:t>There are two assessment issues to be resolved for the 2020 Review</w:t>
      </w:r>
      <w:r>
        <w:rPr>
          <w:szCs w:val="22"/>
        </w:rPr>
        <w:t>. They are:</w:t>
      </w:r>
    </w:p>
    <w:p w:rsidR="00FA3478" w:rsidRDefault="00FA3478" w:rsidP="00FA3478">
      <w:pPr>
        <w:pStyle w:val="CGCBulletlist"/>
        <w:numPr>
          <w:ilvl w:val="0"/>
          <w:numId w:val="1"/>
        </w:numPr>
        <w:tabs>
          <w:tab w:val="clear" w:pos="927"/>
        </w:tabs>
        <w:ind w:left="1134" w:hanging="567"/>
      </w:pPr>
      <w:proofErr w:type="gramStart"/>
      <w:r>
        <w:t>which</w:t>
      </w:r>
      <w:proofErr w:type="gramEnd"/>
      <w:r>
        <w:t xml:space="preserve"> revenues should be included in the category?</w:t>
      </w:r>
    </w:p>
    <w:p w:rsidR="00FA3478" w:rsidRDefault="00FA3478" w:rsidP="00FA3478">
      <w:pPr>
        <w:pStyle w:val="CGCBulletlist"/>
        <w:numPr>
          <w:ilvl w:val="0"/>
          <w:numId w:val="1"/>
        </w:numPr>
        <w:tabs>
          <w:tab w:val="clear" w:pos="927"/>
        </w:tabs>
        <w:ind w:left="1134" w:hanging="567"/>
      </w:pPr>
      <w:proofErr w:type="gramStart"/>
      <w:r>
        <w:t>what</w:t>
      </w:r>
      <w:proofErr w:type="gramEnd"/>
      <w:r>
        <w:t xml:space="preserve"> are the drivers of revenue capacity?</w:t>
      </w:r>
    </w:p>
    <w:p w:rsidR="00FA3478" w:rsidRDefault="00FA3478" w:rsidP="00FA3478">
      <w:pPr>
        <w:pStyle w:val="Heading4"/>
      </w:pPr>
      <w:bookmarkStart w:id="22" w:name="_Toc511824701"/>
      <w:r>
        <w:t>Which revenues should be included in the category?</w:t>
      </w:r>
      <w:bookmarkEnd w:id="22"/>
    </w:p>
    <w:p w:rsidR="00FA3478" w:rsidRDefault="00FA3478" w:rsidP="00FA3478">
      <w:pPr>
        <w:pStyle w:val="CGCNumberedPara"/>
        <w:numPr>
          <w:ilvl w:val="1"/>
          <w:numId w:val="3"/>
        </w:numPr>
      </w:pPr>
      <w:r>
        <w:t xml:space="preserve">The Commission has yet to consider whether taxes on the transfer of vehicle ownership should be assessed and reported in a Stamp duty category (as they were in the 2015 Review) or in a Motor taxes category (as they were prior to the 2015 Review). </w:t>
      </w:r>
      <w:r w:rsidR="00C70202">
        <w:t>This issue is</w:t>
      </w:r>
      <w:r>
        <w:t xml:space="preserve"> discussed in </w:t>
      </w:r>
      <w:r w:rsidR="00D5599E">
        <w:t xml:space="preserve">Staff Draft Assessment Paper </w:t>
      </w:r>
      <w:proofErr w:type="spellStart"/>
      <w:r w:rsidR="00D5599E" w:rsidRPr="00D5599E">
        <w:rPr>
          <w:i/>
        </w:rPr>
        <w:t>CGC</w:t>
      </w:r>
      <w:proofErr w:type="spellEnd"/>
      <w:r w:rsidR="00D5599E">
        <w:rPr>
          <w:i/>
        </w:rPr>
        <w:t> </w:t>
      </w:r>
      <w:r w:rsidR="00D5599E" w:rsidRPr="00D5599E">
        <w:rPr>
          <w:i/>
        </w:rPr>
        <w:t>2018</w:t>
      </w:r>
      <w:r w:rsidR="00D5599E">
        <w:rPr>
          <w:i/>
        </w:rPr>
        <w:noBreakHyphen/>
      </w:r>
      <w:r w:rsidR="00D5599E" w:rsidRPr="00D5599E">
        <w:rPr>
          <w:i/>
        </w:rPr>
        <w:t xml:space="preserve">01/06-S </w:t>
      </w:r>
      <w:r w:rsidRPr="00D5599E">
        <w:rPr>
          <w:i/>
        </w:rPr>
        <w:t>Motor taxes</w:t>
      </w:r>
      <w:r>
        <w:t>.</w:t>
      </w:r>
    </w:p>
    <w:p w:rsidR="00FA3478" w:rsidRDefault="00FA3478" w:rsidP="00FA3478">
      <w:pPr>
        <w:pStyle w:val="CGCNumberedPara"/>
        <w:numPr>
          <w:ilvl w:val="1"/>
          <w:numId w:val="3"/>
        </w:numPr>
      </w:pPr>
      <w:r>
        <w:t>As a starting point, the Commission would include all revenue raised from taxes on the transfer of property ownership, both real and non</w:t>
      </w:r>
      <w:r>
        <w:noBreakHyphen/>
        <w:t>real property. Taxes on real property include duty on the sale of major State assets, corporate reconstructions, land rich/land holder transfer duty and foreign investor transfer duty surcharges.</w:t>
      </w:r>
    </w:p>
    <w:p w:rsidR="00FA3478" w:rsidRDefault="00FA3478" w:rsidP="00FA3478">
      <w:pPr>
        <w:pStyle w:val="CGCNumberedPara"/>
        <w:numPr>
          <w:ilvl w:val="1"/>
          <w:numId w:val="3"/>
        </w:numPr>
      </w:pPr>
      <w:r>
        <w:t xml:space="preserve">From this starting point, there may be reasons for including other revenue. In the 2015 Review, the Commission treated concessional duty for first home buyers as an expense. This had the effect of increasing the category size of both the Stamp duty and Housing categories. This treatment ensured assistance provided to first home owners was assessed in the same way, regardless of whether it was provided in the form of a grant or in the form of a concessional rate of duty. This adjustment was material. Commission </w:t>
      </w:r>
      <w:proofErr w:type="gramStart"/>
      <w:r>
        <w:t>staff propose</w:t>
      </w:r>
      <w:proofErr w:type="gramEnd"/>
      <w:r>
        <w:t xml:space="preserve"> to recommend the Commission continue this treatment in the 2020 Review. Therefore, the Stamp duty on conveyance category will include the concessional duties provided to first home buyers. As a result, the revenue in this category may exceed the revenue States report as conveyance duty — States report concessional duties as lower collections.</w:t>
      </w:r>
    </w:p>
    <w:p w:rsidR="00FA3478" w:rsidRDefault="00FA3478" w:rsidP="00FA3478">
      <w:pPr>
        <w:pStyle w:val="CGCNumberedPara"/>
        <w:numPr>
          <w:ilvl w:val="1"/>
          <w:numId w:val="3"/>
        </w:numPr>
      </w:pPr>
      <w:r>
        <w:t xml:space="preserve">Since the 2015 Review, it has become more common for States to impose a surcharge on the duty for foreign purchasers. Five States have a surcharge on residential property purchases by foreign buyers — New South Wales (4%), Victoria (7%), Queensland (3%), Western Australia (4%) and South Australia (3%). A separate assessment of this revenue stream would require the Commission to </w:t>
      </w:r>
      <w:r w:rsidR="00C8665E">
        <w:t xml:space="preserve">separately </w:t>
      </w:r>
      <w:r>
        <w:t xml:space="preserve">collect information on the properties purchased by foreign owners. Alternatively, the Commission could treat the surcharges like a progressive rate of tax. </w:t>
      </w:r>
      <w:r w:rsidR="00C8665E">
        <w:t xml:space="preserve">On practicality grounds, </w:t>
      </w:r>
      <w:r>
        <w:t xml:space="preserve">Commission </w:t>
      </w:r>
      <w:proofErr w:type="gramStart"/>
      <w:r>
        <w:t>staff propose</w:t>
      </w:r>
      <w:proofErr w:type="gramEnd"/>
      <w:r>
        <w:t xml:space="preserve"> to recommend the Commission not undertake a separate foreign owner surcharge assessment</w:t>
      </w:r>
      <w:r w:rsidR="009E4AA3" w:rsidRPr="009E4AA3">
        <w:t xml:space="preserve"> </w:t>
      </w:r>
      <w:r w:rsidR="009E4AA3">
        <w:t>in the 2020 Review</w:t>
      </w:r>
      <w:r>
        <w:t>. Thus, the surcharges will affect the assessment through higher effective rates of duty.</w:t>
      </w:r>
    </w:p>
    <w:p w:rsidR="00FA3478" w:rsidRDefault="00FA3478" w:rsidP="00FA3478">
      <w:pPr>
        <w:pStyle w:val="CGCNumberedPara"/>
        <w:numPr>
          <w:ilvl w:val="0"/>
          <w:numId w:val="0"/>
        </w:numPr>
        <w:ind w:left="567" w:hanging="567"/>
      </w:pPr>
    </w:p>
    <w:p w:rsidR="00C70202" w:rsidRDefault="00C70202" w:rsidP="00FA3478">
      <w:pPr>
        <w:pStyle w:val="CGCNumberedPara"/>
        <w:numPr>
          <w:ilvl w:val="0"/>
          <w:numId w:val="0"/>
        </w:numPr>
        <w:ind w:left="567" w:hanging="567"/>
      </w:pPr>
    </w:p>
    <w:tbl>
      <w:tblPr>
        <w:tblW w:w="0" w:type="auto"/>
        <w:tblInd w:w="108" w:type="dxa"/>
        <w:shd w:val="clear" w:color="auto" w:fill="D9F3E6"/>
        <w:tblLook w:val="04A0" w:firstRow="1" w:lastRow="0" w:firstColumn="1" w:lastColumn="0" w:noHBand="0" w:noVBand="1"/>
      </w:tblPr>
      <w:tblGrid>
        <w:gridCol w:w="8931"/>
      </w:tblGrid>
      <w:tr w:rsidR="00FA3478" w:rsidRPr="00E674AF" w:rsidTr="00C8665E">
        <w:tc>
          <w:tcPr>
            <w:tcW w:w="8931" w:type="dxa"/>
            <w:shd w:val="clear" w:color="auto" w:fill="D9F3E6"/>
          </w:tcPr>
          <w:p w:rsidR="00FA3478" w:rsidRPr="00E674AF" w:rsidRDefault="00FA3478" w:rsidP="00C8665E">
            <w:r w:rsidRPr="00B7517F">
              <w:lastRenderedPageBreak/>
              <w:t>Staff propose to recommend the Commission</w:t>
            </w:r>
            <w:r>
              <w:t xml:space="preserve"> include in the category</w:t>
            </w:r>
            <w:r w:rsidRPr="00B7517F">
              <w:t>:</w:t>
            </w:r>
          </w:p>
          <w:p w:rsidR="00FA3478" w:rsidRDefault="00FA3478" w:rsidP="00C8665E">
            <w:pPr>
              <w:pStyle w:val="CGCBulletlist"/>
              <w:numPr>
                <w:ilvl w:val="0"/>
                <w:numId w:val="1"/>
              </w:numPr>
              <w:tabs>
                <w:tab w:val="clear" w:pos="927"/>
                <w:tab w:val="clear" w:pos="1134"/>
              </w:tabs>
              <w:ind w:left="1134" w:hanging="567"/>
            </w:pPr>
            <w:r>
              <w:t>revenue from duties on the transfer of real and non-real property, including foreign owner surcharges</w:t>
            </w:r>
          </w:p>
          <w:p w:rsidR="00FA3478" w:rsidRPr="00E674AF" w:rsidRDefault="00FA3478" w:rsidP="00C8665E">
            <w:pPr>
              <w:pStyle w:val="CGCBulletlist"/>
              <w:numPr>
                <w:ilvl w:val="0"/>
                <w:numId w:val="1"/>
              </w:numPr>
              <w:tabs>
                <w:tab w:val="clear" w:pos="927"/>
                <w:tab w:val="clear" w:pos="1134"/>
              </w:tabs>
              <w:ind w:left="1134" w:hanging="567"/>
            </w:pPr>
            <w:proofErr w:type="gramStart"/>
            <w:r>
              <w:t>an</w:t>
            </w:r>
            <w:proofErr w:type="gramEnd"/>
            <w:r>
              <w:t xml:space="preserve"> amount equal to the concessional duty provided to first home owners.</w:t>
            </w:r>
          </w:p>
        </w:tc>
      </w:tr>
    </w:tbl>
    <w:p w:rsidR="00FA3478" w:rsidRDefault="00FA3478" w:rsidP="00FA3478">
      <w:pPr>
        <w:pStyle w:val="CGCNumberedPara"/>
        <w:numPr>
          <w:ilvl w:val="0"/>
          <w:numId w:val="0"/>
        </w:numPr>
        <w:ind w:left="567" w:hanging="567"/>
      </w:pPr>
    </w:p>
    <w:p w:rsidR="00FA3478" w:rsidRDefault="00FA3478" w:rsidP="00FA3478">
      <w:pPr>
        <w:pStyle w:val="Heading4"/>
      </w:pPr>
      <w:bookmarkStart w:id="23" w:name="_Toc511824702"/>
      <w:r>
        <w:t>What are the drivers of revenue capacity?</w:t>
      </w:r>
      <w:bookmarkEnd w:id="23"/>
    </w:p>
    <w:p w:rsidR="00FA3478" w:rsidRDefault="00FA3478" w:rsidP="00FA3478">
      <w:pPr>
        <w:pStyle w:val="CGCNumberedPara"/>
        <w:numPr>
          <w:ilvl w:val="1"/>
          <w:numId w:val="3"/>
        </w:numPr>
      </w:pPr>
      <w:r>
        <w:t>Under a tax approach, revenue capacity should be measured using the tax base States use to impose conveyance duty — the value of property transferred.</w:t>
      </w:r>
    </w:p>
    <w:p w:rsidR="00FA3478" w:rsidRDefault="00FA3478" w:rsidP="00FA3478">
      <w:pPr>
        <w:pStyle w:val="CGCNumberedPara"/>
        <w:numPr>
          <w:ilvl w:val="1"/>
          <w:numId w:val="3"/>
        </w:numPr>
      </w:pPr>
      <w:r>
        <w:t xml:space="preserve">The value of property transferred is a direct </w:t>
      </w:r>
      <w:proofErr w:type="gramStart"/>
      <w:r>
        <w:t>measure</w:t>
      </w:r>
      <w:proofErr w:type="gramEnd"/>
      <w:r>
        <w:t xml:space="preserve"> of the activity that States tax. Commission </w:t>
      </w:r>
      <w:proofErr w:type="gramStart"/>
      <w:r>
        <w:t>staff have</w:t>
      </w:r>
      <w:proofErr w:type="gramEnd"/>
      <w:r>
        <w:t xml:space="preserve"> not found an alternative capacity measure that captures differences in States’ revenue raising capacities and is less policy influenced. Commission </w:t>
      </w:r>
      <w:proofErr w:type="gramStart"/>
      <w:r>
        <w:t>staff propose</w:t>
      </w:r>
      <w:proofErr w:type="gramEnd"/>
      <w:r>
        <w:t xml:space="preserve"> to recommend the Commission continue to use the value of property transferred as its capacity measure. SROs are the sole source of these data.</w:t>
      </w:r>
    </w:p>
    <w:p w:rsidR="00FA3478" w:rsidRDefault="00FA3478" w:rsidP="00FA3478">
      <w:pPr>
        <w:pStyle w:val="CGCNumberedPara"/>
        <w:numPr>
          <w:ilvl w:val="1"/>
          <w:numId w:val="3"/>
        </w:numPr>
      </w:pPr>
      <w:r>
        <w:t>As in the 2015 Review, Commission staff propose to assess revenue in two components:</w:t>
      </w:r>
    </w:p>
    <w:p w:rsidR="00FA3478" w:rsidRDefault="00FA3478" w:rsidP="00FA3478">
      <w:pPr>
        <w:pStyle w:val="CGCBulletlist"/>
        <w:numPr>
          <w:ilvl w:val="0"/>
          <w:numId w:val="1"/>
        </w:numPr>
        <w:tabs>
          <w:tab w:val="clear" w:pos="927"/>
        </w:tabs>
        <w:ind w:left="1134" w:hanging="567"/>
      </w:pPr>
      <w:proofErr w:type="gramStart"/>
      <w:r>
        <w:t>a</w:t>
      </w:r>
      <w:proofErr w:type="gramEnd"/>
      <w:r>
        <w:t xml:space="preserve"> property component.</w:t>
      </w:r>
    </w:p>
    <w:p w:rsidR="00FA3478" w:rsidRDefault="00FA3478" w:rsidP="00FA3478">
      <w:pPr>
        <w:pStyle w:val="CGCBulletlist"/>
        <w:numPr>
          <w:ilvl w:val="0"/>
          <w:numId w:val="1"/>
        </w:numPr>
        <w:tabs>
          <w:tab w:val="clear" w:pos="927"/>
        </w:tabs>
        <w:ind w:left="1134" w:hanging="567"/>
      </w:pPr>
      <w:r>
        <w:t>an EPC component</w:t>
      </w:r>
    </w:p>
    <w:p w:rsidR="00FA3478" w:rsidRDefault="00FA3478" w:rsidP="00FA3478">
      <w:pPr>
        <w:pStyle w:val="Heading5"/>
      </w:pPr>
      <w:r>
        <w:t>The property component</w:t>
      </w:r>
    </w:p>
    <w:p w:rsidR="00FA3478" w:rsidRDefault="00FA3478" w:rsidP="00FA3478">
      <w:pPr>
        <w:pStyle w:val="CGCNumberedPara"/>
        <w:numPr>
          <w:ilvl w:val="1"/>
          <w:numId w:val="3"/>
        </w:numPr>
      </w:pPr>
      <w:r>
        <w:t>Since SRO data reflect the policies of the individual States, adjustments may be required to account for differences in:</w:t>
      </w:r>
    </w:p>
    <w:p w:rsidR="00FA3478" w:rsidRDefault="00FA3478" w:rsidP="00FA3478">
      <w:pPr>
        <w:pStyle w:val="CGCBulletlist"/>
        <w:numPr>
          <w:ilvl w:val="0"/>
          <w:numId w:val="1"/>
        </w:numPr>
        <w:tabs>
          <w:tab w:val="clear" w:pos="927"/>
        </w:tabs>
        <w:ind w:left="1134" w:hanging="567"/>
      </w:pPr>
      <w:r>
        <w:t>States’ progressive rates of duty</w:t>
      </w:r>
    </w:p>
    <w:p w:rsidR="00FA3478" w:rsidRDefault="00FA3478" w:rsidP="00FA3478">
      <w:pPr>
        <w:pStyle w:val="CGCBulletlist"/>
        <w:numPr>
          <w:ilvl w:val="0"/>
          <w:numId w:val="1"/>
        </w:numPr>
        <w:tabs>
          <w:tab w:val="clear" w:pos="927"/>
        </w:tabs>
        <w:ind w:left="1134" w:hanging="567"/>
      </w:pPr>
      <w:proofErr w:type="gramStart"/>
      <w:r>
        <w:t>the</w:t>
      </w:r>
      <w:proofErr w:type="gramEnd"/>
      <w:r>
        <w:t xml:space="preserve"> range of transactions subject to duty.</w:t>
      </w:r>
    </w:p>
    <w:p w:rsidR="00FA3478" w:rsidRDefault="00FA3478" w:rsidP="00FA3478">
      <w:pPr>
        <w:pStyle w:val="CGCNumberedPara"/>
        <w:numPr>
          <w:ilvl w:val="1"/>
          <w:numId w:val="3"/>
        </w:numPr>
      </w:pPr>
      <w:r w:rsidRPr="00416BF8">
        <w:rPr>
          <w:rStyle w:val="Heading6Char"/>
        </w:rPr>
        <w:t>Adjustment for progressive rates of duty.</w:t>
      </w:r>
      <w:r>
        <w:t xml:space="preserve"> States impose stamp duty on conveyance progressively (see </w:t>
      </w:r>
      <w:r>
        <w:fldChar w:fldCharType="begin"/>
      </w:r>
      <w:r>
        <w:instrText xml:space="preserve"> REF _Ref505175673 \h </w:instrText>
      </w:r>
      <w:r>
        <w:fldChar w:fldCharType="separate"/>
      </w:r>
      <w:r w:rsidR="00865709">
        <w:t xml:space="preserve">Figure </w:t>
      </w:r>
      <w:r w:rsidR="00865709">
        <w:rPr>
          <w:noProof/>
        </w:rPr>
        <w:t>1</w:t>
      </w:r>
      <w:r>
        <w:fldChar w:fldCharType="end"/>
      </w:r>
      <w:r>
        <w:t xml:space="preserve"> and </w:t>
      </w:r>
      <w:r>
        <w:fldChar w:fldCharType="begin"/>
      </w:r>
      <w:r>
        <w:instrText xml:space="preserve"> REF _Ref505176010 \h </w:instrText>
      </w:r>
      <w:r>
        <w:fldChar w:fldCharType="separate"/>
      </w:r>
      <w:r w:rsidR="00865709">
        <w:t>Table </w:t>
      </w:r>
      <w:r w:rsidR="00865709">
        <w:rPr>
          <w:noProof/>
        </w:rPr>
        <w:t>7</w:t>
      </w:r>
      <w:r>
        <w:fldChar w:fldCharType="end"/>
      </w:r>
      <w:r>
        <w:t>), with the rate increasing as the value of taxable land holdings increases.</w:t>
      </w:r>
    </w:p>
    <w:p w:rsidR="00FA3478" w:rsidRDefault="00FA3478" w:rsidP="00FA3478">
      <w:pPr>
        <w:pStyle w:val="Caption"/>
      </w:pPr>
      <w:bookmarkStart w:id="24" w:name="_Ref505175673"/>
      <w:r>
        <w:lastRenderedPageBreak/>
        <w:t xml:space="preserve">Figure </w:t>
      </w:r>
      <w:fldSimple w:instr=" SEQ Figure \* ARABIC ">
        <w:r w:rsidR="00865709">
          <w:rPr>
            <w:noProof/>
          </w:rPr>
          <w:t>1</w:t>
        </w:r>
      </w:fldSimple>
      <w:bookmarkEnd w:id="24"/>
      <w:r>
        <w:tab/>
        <w:t>Progressive rate of conveyance duty, 2016-17</w:t>
      </w:r>
    </w:p>
    <w:p w:rsidR="00FA3478" w:rsidRDefault="00FA3478" w:rsidP="00FA3478">
      <w:pPr>
        <w:pStyle w:val="CGCTableFootnote"/>
      </w:pPr>
      <w:r w:rsidRPr="00354651">
        <w:rPr>
          <w:noProof/>
          <w:lang w:eastAsia="en-AU"/>
        </w:rPr>
        <w:drawing>
          <wp:inline distT="0" distB="0" distL="0" distR="0" wp14:anchorId="7F5D7174" wp14:editId="3ED6598A">
            <wp:extent cx="5657850" cy="3562350"/>
            <wp:effectExtent l="0" t="0" r="0" b="0"/>
            <wp:docPr id="2" name="Picture 2" descr="This picture shows that high rates of duty apply to higher value proper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57850" cy="3562350"/>
                    </a:xfrm>
                    <a:prstGeom prst="rect">
                      <a:avLst/>
                    </a:prstGeom>
                    <a:noFill/>
                    <a:ln>
                      <a:noFill/>
                    </a:ln>
                  </pic:spPr>
                </pic:pic>
              </a:graphicData>
            </a:graphic>
          </wp:inline>
        </w:drawing>
      </w:r>
    </w:p>
    <w:p w:rsidR="00FA3478" w:rsidRDefault="00FA3478" w:rsidP="00FA3478">
      <w:pPr>
        <w:pStyle w:val="CGCTableFootnote"/>
      </w:pPr>
      <w:r>
        <w:t>Source:</w:t>
      </w:r>
      <w:r>
        <w:tab/>
        <w:t>State Revenue Office data, 2016-17.</w:t>
      </w:r>
    </w:p>
    <w:p w:rsidR="00FA3478" w:rsidRDefault="00FA3478" w:rsidP="00FA3478">
      <w:pPr>
        <w:pStyle w:val="CGCNumberedPara"/>
        <w:numPr>
          <w:ilvl w:val="0"/>
          <w:numId w:val="0"/>
        </w:numPr>
        <w:ind w:left="567" w:hanging="567"/>
      </w:pPr>
    </w:p>
    <w:p w:rsidR="00FA3478" w:rsidRDefault="00FA3478" w:rsidP="00FA3478">
      <w:pPr>
        <w:pStyle w:val="CGCTableHeading"/>
      </w:pPr>
      <w:bookmarkStart w:id="25" w:name="_Ref505176010"/>
      <w:r>
        <w:t>Table </w:t>
      </w:r>
      <w:fldSimple w:instr=" SEQ Table \* ARABIC ">
        <w:r w:rsidR="00865709">
          <w:rPr>
            <w:noProof/>
          </w:rPr>
          <w:t>7</w:t>
        </w:r>
      </w:fldSimple>
      <w:bookmarkEnd w:id="25"/>
      <w:r>
        <w:tab/>
        <w:t>Stamp duty regimes</w:t>
      </w:r>
    </w:p>
    <w:tbl>
      <w:tblPr>
        <w:tblW w:w="5000" w:type="pct"/>
        <w:tblCellMar>
          <w:left w:w="85" w:type="dxa"/>
          <w:right w:w="85" w:type="dxa"/>
        </w:tblCellMar>
        <w:tblLook w:val="0000" w:firstRow="0" w:lastRow="0" w:firstColumn="0" w:lastColumn="0" w:noHBand="0" w:noVBand="0"/>
      </w:tblPr>
      <w:tblGrid>
        <w:gridCol w:w="1645"/>
        <w:gridCol w:w="934"/>
        <w:gridCol w:w="934"/>
        <w:gridCol w:w="936"/>
        <w:gridCol w:w="934"/>
        <w:gridCol w:w="934"/>
        <w:gridCol w:w="936"/>
        <w:gridCol w:w="934"/>
        <w:gridCol w:w="934"/>
      </w:tblGrid>
      <w:tr w:rsidR="00FA3478" w:rsidRPr="00802AC1" w:rsidTr="00C8665E">
        <w:tc>
          <w:tcPr>
            <w:tcW w:w="902" w:type="pct"/>
            <w:tcBorders>
              <w:top w:val="single" w:sz="6" w:space="0" w:color="auto"/>
              <w:bottom w:val="single" w:sz="6" w:space="0" w:color="auto"/>
            </w:tcBorders>
            <w:vAlign w:val="bottom"/>
          </w:tcPr>
          <w:p w:rsidR="00FA3478" w:rsidRPr="00802AC1" w:rsidRDefault="00FA3478" w:rsidP="00C8665E">
            <w:pPr>
              <w:pStyle w:val="CGCTableStub"/>
              <w:rPr>
                <w:rFonts w:cstheme="minorHAnsi"/>
              </w:rPr>
            </w:pPr>
          </w:p>
        </w:tc>
        <w:tc>
          <w:tcPr>
            <w:tcW w:w="512" w:type="pct"/>
            <w:tcBorders>
              <w:top w:val="single" w:sz="6" w:space="0" w:color="auto"/>
              <w:bottom w:val="single" w:sz="6" w:space="0" w:color="auto"/>
            </w:tcBorders>
            <w:vAlign w:val="bottom"/>
          </w:tcPr>
          <w:p w:rsidR="00FA3478" w:rsidRPr="00802AC1" w:rsidRDefault="00FA3478" w:rsidP="00C8665E">
            <w:pPr>
              <w:pStyle w:val="TableColHeadings"/>
              <w:rPr>
                <w:rFonts w:cstheme="minorHAnsi"/>
              </w:rPr>
            </w:pPr>
            <w:r w:rsidRPr="00802AC1">
              <w:rPr>
                <w:rFonts w:cstheme="minorHAnsi"/>
              </w:rPr>
              <w:t>NSW</w:t>
            </w:r>
          </w:p>
        </w:tc>
        <w:tc>
          <w:tcPr>
            <w:tcW w:w="512" w:type="pct"/>
            <w:tcBorders>
              <w:top w:val="single" w:sz="6" w:space="0" w:color="auto"/>
              <w:bottom w:val="single" w:sz="6" w:space="0" w:color="auto"/>
            </w:tcBorders>
            <w:vAlign w:val="bottom"/>
          </w:tcPr>
          <w:p w:rsidR="00FA3478" w:rsidRPr="00802AC1" w:rsidRDefault="00FA3478" w:rsidP="00C8665E">
            <w:pPr>
              <w:pStyle w:val="TableColHeadings"/>
              <w:rPr>
                <w:rFonts w:cstheme="minorHAnsi"/>
              </w:rPr>
            </w:pPr>
            <w:r w:rsidRPr="00802AC1">
              <w:rPr>
                <w:rFonts w:cstheme="minorHAnsi"/>
              </w:rPr>
              <w:t>Vic</w:t>
            </w:r>
          </w:p>
        </w:tc>
        <w:tc>
          <w:tcPr>
            <w:tcW w:w="513" w:type="pct"/>
            <w:tcBorders>
              <w:top w:val="single" w:sz="6" w:space="0" w:color="auto"/>
              <w:bottom w:val="single" w:sz="6" w:space="0" w:color="auto"/>
            </w:tcBorders>
            <w:vAlign w:val="bottom"/>
          </w:tcPr>
          <w:p w:rsidR="00FA3478" w:rsidRPr="00802AC1" w:rsidRDefault="00FA3478" w:rsidP="00C8665E">
            <w:pPr>
              <w:pStyle w:val="TableColHeadings"/>
              <w:rPr>
                <w:rFonts w:cstheme="minorHAnsi"/>
              </w:rPr>
            </w:pPr>
            <w:r w:rsidRPr="00802AC1">
              <w:rPr>
                <w:rFonts w:cstheme="minorHAnsi"/>
              </w:rPr>
              <w:t>Qld</w:t>
            </w:r>
          </w:p>
        </w:tc>
        <w:tc>
          <w:tcPr>
            <w:tcW w:w="512" w:type="pct"/>
            <w:tcBorders>
              <w:top w:val="single" w:sz="6" w:space="0" w:color="auto"/>
              <w:bottom w:val="single" w:sz="6" w:space="0" w:color="auto"/>
            </w:tcBorders>
            <w:vAlign w:val="bottom"/>
          </w:tcPr>
          <w:p w:rsidR="00FA3478" w:rsidRPr="00802AC1" w:rsidRDefault="00FA3478" w:rsidP="00C8665E">
            <w:pPr>
              <w:pStyle w:val="TableColHeadings"/>
              <w:rPr>
                <w:rFonts w:cstheme="minorHAnsi"/>
              </w:rPr>
            </w:pPr>
            <w:r w:rsidRPr="00802AC1">
              <w:rPr>
                <w:rFonts w:cstheme="minorHAnsi"/>
              </w:rPr>
              <w:t>WA</w:t>
            </w:r>
          </w:p>
        </w:tc>
        <w:tc>
          <w:tcPr>
            <w:tcW w:w="512" w:type="pct"/>
            <w:tcBorders>
              <w:top w:val="single" w:sz="6" w:space="0" w:color="auto"/>
              <w:bottom w:val="single" w:sz="6" w:space="0" w:color="auto"/>
            </w:tcBorders>
            <w:vAlign w:val="bottom"/>
          </w:tcPr>
          <w:p w:rsidR="00FA3478" w:rsidRPr="00802AC1" w:rsidRDefault="00FA3478" w:rsidP="00C8665E">
            <w:pPr>
              <w:pStyle w:val="TableColHeadings"/>
              <w:rPr>
                <w:rFonts w:cstheme="minorHAnsi"/>
              </w:rPr>
            </w:pPr>
            <w:r w:rsidRPr="00802AC1">
              <w:rPr>
                <w:rFonts w:cstheme="minorHAnsi"/>
              </w:rPr>
              <w:t>SA</w:t>
            </w:r>
          </w:p>
        </w:tc>
        <w:tc>
          <w:tcPr>
            <w:tcW w:w="513" w:type="pct"/>
            <w:tcBorders>
              <w:top w:val="single" w:sz="6" w:space="0" w:color="auto"/>
              <w:bottom w:val="single" w:sz="6" w:space="0" w:color="auto"/>
            </w:tcBorders>
            <w:vAlign w:val="bottom"/>
          </w:tcPr>
          <w:p w:rsidR="00FA3478" w:rsidRPr="00802AC1" w:rsidRDefault="00FA3478" w:rsidP="00C8665E">
            <w:pPr>
              <w:pStyle w:val="TableColHeadings"/>
              <w:rPr>
                <w:rFonts w:cstheme="minorHAnsi"/>
              </w:rPr>
            </w:pPr>
            <w:proofErr w:type="spellStart"/>
            <w:r w:rsidRPr="00802AC1">
              <w:rPr>
                <w:rFonts w:cstheme="minorHAnsi"/>
              </w:rPr>
              <w:t>Tas</w:t>
            </w:r>
            <w:proofErr w:type="spellEnd"/>
          </w:p>
        </w:tc>
        <w:tc>
          <w:tcPr>
            <w:tcW w:w="512" w:type="pct"/>
            <w:tcBorders>
              <w:top w:val="single" w:sz="6" w:space="0" w:color="auto"/>
              <w:bottom w:val="single" w:sz="6" w:space="0" w:color="auto"/>
            </w:tcBorders>
            <w:vAlign w:val="bottom"/>
          </w:tcPr>
          <w:p w:rsidR="00FA3478" w:rsidRPr="00802AC1" w:rsidRDefault="00FA3478" w:rsidP="00C8665E">
            <w:pPr>
              <w:pStyle w:val="TableColHeadings"/>
              <w:rPr>
                <w:rFonts w:cstheme="minorHAnsi"/>
              </w:rPr>
            </w:pPr>
            <w:r w:rsidRPr="00802AC1">
              <w:rPr>
                <w:rFonts w:cstheme="minorHAnsi"/>
              </w:rPr>
              <w:t>ACT</w:t>
            </w:r>
          </w:p>
        </w:tc>
        <w:tc>
          <w:tcPr>
            <w:tcW w:w="513" w:type="pct"/>
            <w:tcBorders>
              <w:top w:val="single" w:sz="6" w:space="0" w:color="auto"/>
              <w:bottom w:val="single" w:sz="6" w:space="0" w:color="auto"/>
            </w:tcBorders>
            <w:vAlign w:val="bottom"/>
          </w:tcPr>
          <w:p w:rsidR="00FA3478" w:rsidRPr="00802AC1" w:rsidRDefault="00FA3478" w:rsidP="00C8665E">
            <w:pPr>
              <w:pStyle w:val="TableColHeadings"/>
              <w:rPr>
                <w:rFonts w:cstheme="minorHAnsi"/>
              </w:rPr>
            </w:pPr>
            <w:r w:rsidRPr="00802AC1">
              <w:rPr>
                <w:rFonts w:cstheme="minorHAnsi"/>
              </w:rPr>
              <w:t>NT</w:t>
            </w:r>
          </w:p>
        </w:tc>
      </w:tr>
      <w:tr w:rsidR="00FA3478" w:rsidRPr="00802AC1" w:rsidTr="00C8665E">
        <w:tc>
          <w:tcPr>
            <w:tcW w:w="902" w:type="pct"/>
            <w:tcMar>
              <w:top w:w="0" w:type="dxa"/>
              <w:bottom w:w="0" w:type="dxa"/>
            </w:tcMar>
            <w:vAlign w:val="bottom"/>
          </w:tcPr>
          <w:p w:rsidR="00FA3478" w:rsidRPr="00802AC1" w:rsidRDefault="00FA3478" w:rsidP="00C8665E">
            <w:pPr>
              <w:pStyle w:val="TableRowUnits"/>
              <w:rPr>
                <w:rFonts w:cstheme="minorHAnsi"/>
              </w:rPr>
            </w:pPr>
          </w:p>
        </w:tc>
        <w:tc>
          <w:tcPr>
            <w:tcW w:w="512" w:type="pct"/>
            <w:tcMar>
              <w:top w:w="0" w:type="dxa"/>
              <w:bottom w:w="0" w:type="dxa"/>
            </w:tcMar>
            <w:vAlign w:val="bottom"/>
          </w:tcPr>
          <w:p w:rsidR="00FA3478" w:rsidRPr="00802AC1" w:rsidRDefault="00FA3478" w:rsidP="00C8665E">
            <w:pPr>
              <w:pStyle w:val="TableRowUnits"/>
              <w:rPr>
                <w:rFonts w:cstheme="minorHAnsi"/>
              </w:rPr>
            </w:pPr>
            <w:r>
              <w:rPr>
                <w:rFonts w:cstheme="minorHAnsi"/>
              </w:rPr>
              <w:t>%</w:t>
            </w:r>
          </w:p>
        </w:tc>
        <w:tc>
          <w:tcPr>
            <w:tcW w:w="512" w:type="pct"/>
            <w:tcMar>
              <w:top w:w="0" w:type="dxa"/>
              <w:bottom w:w="0" w:type="dxa"/>
            </w:tcMar>
            <w:vAlign w:val="bottom"/>
          </w:tcPr>
          <w:p w:rsidR="00FA3478" w:rsidRPr="00802AC1" w:rsidRDefault="00FA3478" w:rsidP="00C8665E">
            <w:pPr>
              <w:pStyle w:val="TableRowUnits"/>
              <w:rPr>
                <w:rFonts w:cstheme="minorHAnsi"/>
              </w:rPr>
            </w:pPr>
            <w:r>
              <w:rPr>
                <w:rFonts w:cstheme="minorHAnsi"/>
              </w:rPr>
              <w:t>%</w:t>
            </w:r>
          </w:p>
        </w:tc>
        <w:tc>
          <w:tcPr>
            <w:tcW w:w="513" w:type="pct"/>
            <w:tcMar>
              <w:top w:w="0" w:type="dxa"/>
              <w:bottom w:w="0" w:type="dxa"/>
            </w:tcMar>
            <w:vAlign w:val="bottom"/>
          </w:tcPr>
          <w:p w:rsidR="00FA3478" w:rsidRPr="00802AC1" w:rsidRDefault="00FA3478" w:rsidP="00C8665E">
            <w:pPr>
              <w:pStyle w:val="TableRowUnits"/>
              <w:rPr>
                <w:rFonts w:cstheme="minorHAnsi"/>
              </w:rPr>
            </w:pPr>
            <w:r>
              <w:rPr>
                <w:rFonts w:cstheme="minorHAnsi"/>
              </w:rPr>
              <w:t>%</w:t>
            </w:r>
          </w:p>
        </w:tc>
        <w:tc>
          <w:tcPr>
            <w:tcW w:w="512" w:type="pct"/>
            <w:tcMar>
              <w:top w:w="0" w:type="dxa"/>
              <w:bottom w:w="0" w:type="dxa"/>
            </w:tcMar>
            <w:vAlign w:val="bottom"/>
          </w:tcPr>
          <w:p w:rsidR="00FA3478" w:rsidRPr="00802AC1" w:rsidRDefault="00FA3478" w:rsidP="00C8665E">
            <w:pPr>
              <w:pStyle w:val="TableRowUnits"/>
              <w:rPr>
                <w:rFonts w:cstheme="minorHAnsi"/>
              </w:rPr>
            </w:pPr>
            <w:r>
              <w:rPr>
                <w:rFonts w:cstheme="minorHAnsi"/>
              </w:rPr>
              <w:t>%</w:t>
            </w:r>
          </w:p>
        </w:tc>
        <w:tc>
          <w:tcPr>
            <w:tcW w:w="512" w:type="pct"/>
            <w:tcMar>
              <w:top w:w="0" w:type="dxa"/>
              <w:bottom w:w="0" w:type="dxa"/>
            </w:tcMar>
            <w:vAlign w:val="bottom"/>
          </w:tcPr>
          <w:p w:rsidR="00FA3478" w:rsidRPr="00802AC1" w:rsidRDefault="00FA3478" w:rsidP="00C8665E">
            <w:pPr>
              <w:pStyle w:val="TableRowUnits"/>
              <w:rPr>
                <w:rFonts w:cstheme="minorHAnsi"/>
              </w:rPr>
            </w:pPr>
            <w:r>
              <w:rPr>
                <w:rFonts w:cstheme="minorHAnsi"/>
              </w:rPr>
              <w:t>%</w:t>
            </w:r>
          </w:p>
        </w:tc>
        <w:tc>
          <w:tcPr>
            <w:tcW w:w="513" w:type="pct"/>
            <w:tcMar>
              <w:top w:w="0" w:type="dxa"/>
              <w:bottom w:w="0" w:type="dxa"/>
            </w:tcMar>
            <w:vAlign w:val="bottom"/>
          </w:tcPr>
          <w:p w:rsidR="00FA3478" w:rsidRPr="00802AC1" w:rsidRDefault="00FA3478" w:rsidP="00C8665E">
            <w:pPr>
              <w:pStyle w:val="TableRowUnits"/>
              <w:rPr>
                <w:rFonts w:cstheme="minorHAnsi"/>
              </w:rPr>
            </w:pPr>
            <w:r>
              <w:rPr>
                <w:rFonts w:cstheme="minorHAnsi"/>
              </w:rPr>
              <w:t>%</w:t>
            </w:r>
          </w:p>
        </w:tc>
        <w:tc>
          <w:tcPr>
            <w:tcW w:w="512" w:type="pct"/>
            <w:tcMar>
              <w:top w:w="0" w:type="dxa"/>
              <w:bottom w:w="0" w:type="dxa"/>
            </w:tcMar>
            <w:vAlign w:val="bottom"/>
          </w:tcPr>
          <w:p w:rsidR="00FA3478" w:rsidRPr="00802AC1" w:rsidRDefault="00FA3478" w:rsidP="00C8665E">
            <w:pPr>
              <w:pStyle w:val="TableRowUnits"/>
              <w:rPr>
                <w:rFonts w:cstheme="minorHAnsi"/>
              </w:rPr>
            </w:pPr>
            <w:r>
              <w:rPr>
                <w:rFonts w:cstheme="minorHAnsi"/>
              </w:rPr>
              <w:t>%</w:t>
            </w:r>
          </w:p>
        </w:tc>
        <w:tc>
          <w:tcPr>
            <w:tcW w:w="513" w:type="pct"/>
            <w:tcMar>
              <w:top w:w="0" w:type="dxa"/>
              <w:bottom w:w="0" w:type="dxa"/>
            </w:tcMar>
            <w:vAlign w:val="bottom"/>
          </w:tcPr>
          <w:p w:rsidR="00FA3478" w:rsidRPr="00802AC1" w:rsidRDefault="00FA3478" w:rsidP="00C8665E">
            <w:pPr>
              <w:pStyle w:val="TableRowUnits"/>
              <w:rPr>
                <w:rFonts w:cstheme="minorHAnsi"/>
              </w:rPr>
            </w:pPr>
            <w:r>
              <w:rPr>
                <w:rFonts w:cstheme="minorHAnsi"/>
              </w:rPr>
              <w:t>%</w:t>
            </w:r>
          </w:p>
        </w:tc>
      </w:tr>
      <w:tr w:rsidR="00FA3478" w:rsidRPr="00802AC1" w:rsidTr="00C8665E">
        <w:tc>
          <w:tcPr>
            <w:tcW w:w="902" w:type="pct"/>
            <w:vAlign w:val="bottom"/>
          </w:tcPr>
          <w:p w:rsidR="00FA3478" w:rsidRPr="00802AC1" w:rsidRDefault="00FA3478" w:rsidP="00C8665E">
            <w:pPr>
              <w:pStyle w:val="CGCTableStub"/>
              <w:tabs>
                <w:tab w:val="left" w:pos="142"/>
                <w:tab w:val="left" w:pos="425"/>
                <w:tab w:val="left" w:pos="709"/>
                <w:tab w:val="left" w:pos="851"/>
              </w:tabs>
              <w:ind w:left="142" w:hanging="142"/>
              <w:rPr>
                <w:rFonts w:cstheme="minorHAnsi"/>
              </w:rPr>
            </w:pPr>
            <w:r>
              <w:rPr>
                <w:rFonts w:cstheme="minorHAnsi"/>
              </w:rPr>
              <w:t>Minimum rate (a)</w:t>
            </w:r>
          </w:p>
        </w:tc>
        <w:tc>
          <w:tcPr>
            <w:tcW w:w="512" w:type="pct"/>
            <w:vAlign w:val="bottom"/>
          </w:tcPr>
          <w:p w:rsidR="00FA3478" w:rsidRPr="00802AC1" w:rsidRDefault="00FA3478" w:rsidP="00C8665E">
            <w:pPr>
              <w:pStyle w:val="TableRowNormal"/>
              <w:ind w:left="0" w:firstLine="0"/>
              <w:rPr>
                <w:rFonts w:cstheme="minorHAnsi"/>
              </w:rPr>
            </w:pPr>
            <w:r>
              <w:rPr>
                <w:rFonts w:cstheme="minorHAnsi"/>
              </w:rPr>
              <w:t>1.25</w:t>
            </w:r>
          </w:p>
        </w:tc>
        <w:tc>
          <w:tcPr>
            <w:tcW w:w="512" w:type="pct"/>
            <w:vAlign w:val="bottom"/>
          </w:tcPr>
          <w:p w:rsidR="00FA3478" w:rsidRPr="00802AC1" w:rsidRDefault="00FA3478" w:rsidP="00C8665E">
            <w:pPr>
              <w:pStyle w:val="TableRowNormal"/>
              <w:ind w:left="0" w:firstLine="0"/>
              <w:rPr>
                <w:rFonts w:cstheme="minorHAnsi"/>
              </w:rPr>
            </w:pPr>
            <w:r>
              <w:rPr>
                <w:rFonts w:cstheme="minorHAnsi"/>
              </w:rPr>
              <w:t>1.40</w:t>
            </w:r>
          </w:p>
        </w:tc>
        <w:tc>
          <w:tcPr>
            <w:tcW w:w="513" w:type="pct"/>
            <w:vAlign w:val="bottom"/>
          </w:tcPr>
          <w:p w:rsidR="00FA3478" w:rsidRPr="00802AC1" w:rsidRDefault="00FA3478" w:rsidP="00C8665E">
            <w:pPr>
              <w:pStyle w:val="TableRowNormal"/>
              <w:ind w:left="0" w:firstLine="0"/>
              <w:rPr>
                <w:rFonts w:cstheme="minorHAnsi"/>
              </w:rPr>
            </w:pPr>
            <w:r>
              <w:rPr>
                <w:rFonts w:cstheme="minorHAnsi"/>
              </w:rPr>
              <w:t>1.50</w:t>
            </w:r>
          </w:p>
        </w:tc>
        <w:tc>
          <w:tcPr>
            <w:tcW w:w="512" w:type="pct"/>
            <w:vAlign w:val="bottom"/>
          </w:tcPr>
          <w:p w:rsidR="00FA3478" w:rsidRPr="00802AC1" w:rsidRDefault="00FA3478" w:rsidP="00C8665E">
            <w:pPr>
              <w:pStyle w:val="TableRowNormal"/>
              <w:ind w:left="0" w:firstLine="0"/>
              <w:rPr>
                <w:rFonts w:cstheme="minorHAnsi"/>
              </w:rPr>
            </w:pPr>
            <w:r>
              <w:rPr>
                <w:rFonts w:cstheme="minorHAnsi"/>
              </w:rPr>
              <w:t>1.90</w:t>
            </w:r>
          </w:p>
        </w:tc>
        <w:tc>
          <w:tcPr>
            <w:tcW w:w="512" w:type="pct"/>
            <w:vAlign w:val="bottom"/>
          </w:tcPr>
          <w:p w:rsidR="00FA3478" w:rsidRPr="00802AC1" w:rsidRDefault="00FA3478" w:rsidP="00C8665E">
            <w:pPr>
              <w:pStyle w:val="TableRowNormal"/>
              <w:ind w:left="0" w:firstLine="0"/>
              <w:rPr>
                <w:rFonts w:cstheme="minorHAnsi"/>
              </w:rPr>
            </w:pPr>
            <w:r>
              <w:rPr>
                <w:rFonts w:cstheme="minorHAnsi"/>
              </w:rPr>
              <w:t>1.00</w:t>
            </w:r>
          </w:p>
        </w:tc>
        <w:tc>
          <w:tcPr>
            <w:tcW w:w="513" w:type="pct"/>
            <w:vAlign w:val="bottom"/>
          </w:tcPr>
          <w:p w:rsidR="00FA3478" w:rsidRPr="00802AC1" w:rsidRDefault="00FA3478" w:rsidP="00C8665E">
            <w:pPr>
              <w:pStyle w:val="TableRowNormal"/>
              <w:ind w:left="0" w:firstLine="0"/>
              <w:rPr>
                <w:rFonts w:cstheme="minorHAnsi"/>
              </w:rPr>
            </w:pPr>
            <w:r>
              <w:rPr>
                <w:rFonts w:cstheme="minorHAnsi"/>
              </w:rPr>
              <w:t>1.75</w:t>
            </w:r>
          </w:p>
        </w:tc>
        <w:tc>
          <w:tcPr>
            <w:tcW w:w="512" w:type="pct"/>
            <w:vAlign w:val="bottom"/>
          </w:tcPr>
          <w:p w:rsidR="00FA3478" w:rsidRPr="00802AC1" w:rsidRDefault="00FA3478" w:rsidP="00C8665E">
            <w:pPr>
              <w:pStyle w:val="TableRowNormal"/>
              <w:ind w:left="0" w:firstLine="0"/>
              <w:rPr>
                <w:rFonts w:cstheme="minorHAnsi"/>
              </w:rPr>
            </w:pPr>
            <w:r>
              <w:rPr>
                <w:rFonts w:cstheme="minorHAnsi"/>
              </w:rPr>
              <w:t>1.48</w:t>
            </w:r>
          </w:p>
        </w:tc>
        <w:tc>
          <w:tcPr>
            <w:tcW w:w="513" w:type="pct"/>
            <w:vAlign w:val="bottom"/>
          </w:tcPr>
          <w:p w:rsidR="00FA3478" w:rsidRPr="00802AC1" w:rsidRDefault="00FA3478" w:rsidP="00C8665E">
            <w:pPr>
              <w:pStyle w:val="TableRowNormal"/>
              <w:ind w:left="0" w:firstLine="0"/>
              <w:rPr>
                <w:rFonts w:cstheme="minorHAnsi"/>
              </w:rPr>
            </w:pPr>
            <w:r>
              <w:rPr>
                <w:rFonts w:cstheme="minorHAnsi"/>
              </w:rPr>
              <w:t>1.50</w:t>
            </w:r>
          </w:p>
        </w:tc>
      </w:tr>
      <w:tr w:rsidR="00FA3478" w:rsidRPr="00802AC1" w:rsidTr="00C8665E">
        <w:tc>
          <w:tcPr>
            <w:tcW w:w="902" w:type="pct"/>
            <w:tcBorders>
              <w:bottom w:val="single" w:sz="6" w:space="0" w:color="auto"/>
            </w:tcBorders>
            <w:vAlign w:val="bottom"/>
          </w:tcPr>
          <w:p w:rsidR="00FA3478" w:rsidRPr="00802AC1" w:rsidRDefault="00FA3478" w:rsidP="00C8665E">
            <w:pPr>
              <w:pStyle w:val="CGCTableStub"/>
              <w:tabs>
                <w:tab w:val="left" w:pos="142"/>
                <w:tab w:val="left" w:pos="425"/>
                <w:tab w:val="left" w:pos="709"/>
                <w:tab w:val="left" w:pos="851"/>
              </w:tabs>
              <w:ind w:left="142" w:hanging="142"/>
              <w:rPr>
                <w:rFonts w:cstheme="minorHAnsi"/>
              </w:rPr>
            </w:pPr>
            <w:r>
              <w:rPr>
                <w:rFonts w:cstheme="minorHAnsi"/>
              </w:rPr>
              <w:t>Maximum rate</w:t>
            </w:r>
          </w:p>
        </w:tc>
        <w:tc>
          <w:tcPr>
            <w:tcW w:w="512" w:type="pct"/>
            <w:tcBorders>
              <w:bottom w:val="single" w:sz="6" w:space="0" w:color="auto"/>
            </w:tcBorders>
            <w:vAlign w:val="bottom"/>
          </w:tcPr>
          <w:p w:rsidR="00FA3478" w:rsidRPr="00802AC1" w:rsidRDefault="00FA3478" w:rsidP="00C8665E">
            <w:pPr>
              <w:pStyle w:val="TableRowNormal"/>
              <w:ind w:left="0" w:firstLine="0"/>
              <w:rPr>
                <w:rFonts w:cstheme="minorHAnsi"/>
              </w:rPr>
            </w:pPr>
            <w:r>
              <w:rPr>
                <w:rFonts w:cstheme="minorHAnsi"/>
              </w:rPr>
              <w:t>5.50</w:t>
            </w:r>
          </w:p>
        </w:tc>
        <w:tc>
          <w:tcPr>
            <w:tcW w:w="512" w:type="pct"/>
            <w:tcBorders>
              <w:bottom w:val="single" w:sz="6" w:space="0" w:color="auto"/>
            </w:tcBorders>
            <w:vAlign w:val="bottom"/>
          </w:tcPr>
          <w:p w:rsidR="00FA3478" w:rsidRPr="00802AC1" w:rsidRDefault="00FA3478" w:rsidP="00C8665E">
            <w:pPr>
              <w:pStyle w:val="TableRowNormal"/>
              <w:ind w:left="0" w:firstLine="0"/>
              <w:rPr>
                <w:rFonts w:cstheme="minorHAnsi"/>
              </w:rPr>
            </w:pPr>
            <w:r>
              <w:rPr>
                <w:rFonts w:cstheme="minorHAnsi"/>
              </w:rPr>
              <w:t>5.50</w:t>
            </w:r>
          </w:p>
        </w:tc>
        <w:tc>
          <w:tcPr>
            <w:tcW w:w="513" w:type="pct"/>
            <w:tcBorders>
              <w:bottom w:val="single" w:sz="6" w:space="0" w:color="auto"/>
            </w:tcBorders>
            <w:vAlign w:val="bottom"/>
          </w:tcPr>
          <w:p w:rsidR="00FA3478" w:rsidRPr="00802AC1" w:rsidRDefault="00FA3478" w:rsidP="00C8665E">
            <w:pPr>
              <w:pStyle w:val="TableRowNormal"/>
              <w:ind w:left="0" w:firstLine="0"/>
              <w:rPr>
                <w:rFonts w:cstheme="minorHAnsi"/>
              </w:rPr>
            </w:pPr>
            <w:r>
              <w:rPr>
                <w:rFonts w:cstheme="minorHAnsi"/>
              </w:rPr>
              <w:t>5.75</w:t>
            </w:r>
          </w:p>
        </w:tc>
        <w:tc>
          <w:tcPr>
            <w:tcW w:w="512" w:type="pct"/>
            <w:tcBorders>
              <w:bottom w:val="single" w:sz="6" w:space="0" w:color="auto"/>
            </w:tcBorders>
            <w:vAlign w:val="bottom"/>
          </w:tcPr>
          <w:p w:rsidR="00FA3478" w:rsidRPr="00802AC1" w:rsidRDefault="00FA3478" w:rsidP="00C8665E">
            <w:pPr>
              <w:pStyle w:val="TableRowNormal"/>
              <w:ind w:left="0" w:firstLine="0"/>
              <w:rPr>
                <w:rFonts w:cstheme="minorHAnsi"/>
              </w:rPr>
            </w:pPr>
            <w:r>
              <w:rPr>
                <w:rFonts w:cstheme="minorHAnsi"/>
              </w:rPr>
              <w:t>5.15</w:t>
            </w:r>
          </w:p>
        </w:tc>
        <w:tc>
          <w:tcPr>
            <w:tcW w:w="512" w:type="pct"/>
            <w:tcBorders>
              <w:bottom w:val="single" w:sz="6" w:space="0" w:color="auto"/>
            </w:tcBorders>
            <w:vAlign w:val="bottom"/>
          </w:tcPr>
          <w:p w:rsidR="00FA3478" w:rsidRPr="00802AC1" w:rsidRDefault="00FA3478" w:rsidP="00C8665E">
            <w:pPr>
              <w:pStyle w:val="TableRowNormal"/>
              <w:ind w:left="0" w:firstLine="0"/>
              <w:rPr>
                <w:rFonts w:cstheme="minorHAnsi"/>
              </w:rPr>
            </w:pPr>
            <w:r>
              <w:rPr>
                <w:rFonts w:cstheme="minorHAnsi"/>
              </w:rPr>
              <w:t>5.50</w:t>
            </w:r>
          </w:p>
        </w:tc>
        <w:tc>
          <w:tcPr>
            <w:tcW w:w="513" w:type="pct"/>
            <w:tcBorders>
              <w:bottom w:val="single" w:sz="6" w:space="0" w:color="auto"/>
            </w:tcBorders>
            <w:vAlign w:val="bottom"/>
          </w:tcPr>
          <w:p w:rsidR="00FA3478" w:rsidRPr="00802AC1" w:rsidRDefault="00FA3478" w:rsidP="00C8665E">
            <w:pPr>
              <w:pStyle w:val="TableRowNormal"/>
              <w:ind w:left="0" w:firstLine="0"/>
              <w:rPr>
                <w:rFonts w:cstheme="minorHAnsi"/>
              </w:rPr>
            </w:pPr>
            <w:r>
              <w:rPr>
                <w:rFonts w:cstheme="minorHAnsi"/>
              </w:rPr>
              <w:t>4.50</w:t>
            </w:r>
          </w:p>
        </w:tc>
        <w:tc>
          <w:tcPr>
            <w:tcW w:w="512" w:type="pct"/>
            <w:tcBorders>
              <w:bottom w:val="single" w:sz="6" w:space="0" w:color="auto"/>
            </w:tcBorders>
            <w:vAlign w:val="bottom"/>
          </w:tcPr>
          <w:p w:rsidR="00FA3478" w:rsidRPr="00802AC1" w:rsidRDefault="00FA3478" w:rsidP="00C8665E">
            <w:pPr>
              <w:pStyle w:val="TableRowNormal"/>
              <w:ind w:left="0" w:firstLine="0"/>
              <w:rPr>
                <w:rFonts w:cstheme="minorHAnsi"/>
              </w:rPr>
            </w:pPr>
            <w:r>
              <w:rPr>
                <w:rFonts w:cstheme="minorHAnsi"/>
              </w:rPr>
              <w:t>5.09 (b)</w:t>
            </w:r>
          </w:p>
        </w:tc>
        <w:tc>
          <w:tcPr>
            <w:tcW w:w="513" w:type="pct"/>
            <w:tcBorders>
              <w:bottom w:val="single" w:sz="6" w:space="0" w:color="auto"/>
            </w:tcBorders>
            <w:vAlign w:val="bottom"/>
          </w:tcPr>
          <w:p w:rsidR="00FA3478" w:rsidRPr="00802AC1" w:rsidRDefault="00FA3478" w:rsidP="00C8665E">
            <w:pPr>
              <w:pStyle w:val="TableRowNormal"/>
              <w:ind w:left="0" w:firstLine="0"/>
              <w:rPr>
                <w:rFonts w:cstheme="minorHAnsi"/>
              </w:rPr>
            </w:pPr>
            <w:r>
              <w:rPr>
                <w:rFonts w:cstheme="minorHAnsi"/>
              </w:rPr>
              <w:t>5.45</w:t>
            </w:r>
          </w:p>
        </w:tc>
      </w:tr>
    </w:tbl>
    <w:p w:rsidR="00FA3478" w:rsidRDefault="00FA3478" w:rsidP="00FA3478">
      <w:pPr>
        <w:pStyle w:val="CGCTableFootnote"/>
      </w:pPr>
      <w:r>
        <w:t>(a)</w:t>
      </w:r>
      <w:r>
        <w:tab/>
        <w:t>Some States have concession rates for very low property values.</w:t>
      </w:r>
    </w:p>
    <w:p w:rsidR="00FA3478" w:rsidRDefault="00FA3478" w:rsidP="00FA3478">
      <w:pPr>
        <w:pStyle w:val="CGCTableFootnote"/>
      </w:pPr>
      <w:r>
        <w:t>(b)</w:t>
      </w:r>
      <w:r>
        <w:tab/>
        <w:t>A higher marginal transfer duty rate applies for properties valued between $0.750 million and $1.455 million. A flat rate of 5.09% applies for properties valued $1.455 million and above.</w:t>
      </w:r>
    </w:p>
    <w:p w:rsidR="00FA3478" w:rsidRDefault="00FA3478" w:rsidP="00FA3478">
      <w:pPr>
        <w:pStyle w:val="CGCTableFootnote"/>
      </w:pPr>
      <w:r>
        <w:t>Source:</w:t>
      </w:r>
      <w:r>
        <w:tab/>
        <w:t>New South Wales Treasury, Interstate comparison of taxes, 2016-17, page 16.</w:t>
      </w:r>
    </w:p>
    <w:p w:rsidR="00FA3478" w:rsidRDefault="00FA3478" w:rsidP="00FA3478">
      <w:pPr>
        <w:pStyle w:val="CGCNumberedPara"/>
        <w:numPr>
          <w:ilvl w:val="1"/>
          <w:numId w:val="3"/>
        </w:numPr>
      </w:pPr>
      <w:r>
        <w:fldChar w:fldCharType="begin"/>
      </w:r>
      <w:r>
        <w:instrText xml:space="preserve"> REF _Ref507748043 \h </w:instrText>
      </w:r>
      <w:r>
        <w:fldChar w:fldCharType="separate"/>
      </w:r>
      <w:r w:rsidR="00865709">
        <w:t xml:space="preserve">Table </w:t>
      </w:r>
      <w:r w:rsidR="00865709">
        <w:rPr>
          <w:noProof/>
        </w:rPr>
        <w:t>8</w:t>
      </w:r>
      <w:r>
        <w:fldChar w:fldCharType="end"/>
      </w:r>
      <w:r>
        <w:t xml:space="preserve"> shows the materiality of the adjustment in the 20</w:t>
      </w:r>
      <w:r w:rsidR="008E4BA7">
        <w:t>1</w:t>
      </w:r>
      <w:r>
        <w:t>8 Update.</w:t>
      </w:r>
    </w:p>
    <w:p w:rsidR="00FA3478" w:rsidRDefault="00FA3478" w:rsidP="00FA3478">
      <w:pPr>
        <w:pStyle w:val="CGCTableHeading"/>
      </w:pPr>
      <w:bookmarkStart w:id="26" w:name="_Ref507748043"/>
      <w:r>
        <w:t xml:space="preserve">Table </w:t>
      </w:r>
      <w:fldSimple w:instr=" SEQ Table \* ARABIC ">
        <w:r w:rsidR="00865709">
          <w:rPr>
            <w:noProof/>
          </w:rPr>
          <w:t>8</w:t>
        </w:r>
      </w:fldSimple>
      <w:bookmarkEnd w:id="26"/>
      <w:r>
        <w:tab/>
        <w:t>Effect of adjustment for progressive rates of tax, 2018 Update</w:t>
      </w:r>
    </w:p>
    <w:tbl>
      <w:tblPr>
        <w:tblW w:w="5000" w:type="pct"/>
        <w:tblCellMar>
          <w:left w:w="85" w:type="dxa"/>
          <w:right w:w="85" w:type="dxa"/>
        </w:tblCellMar>
        <w:tblLook w:val="0000" w:firstRow="0" w:lastRow="0" w:firstColumn="0" w:lastColumn="0" w:noHBand="0" w:noVBand="0"/>
      </w:tblPr>
      <w:tblGrid>
        <w:gridCol w:w="1789"/>
        <w:gridCol w:w="816"/>
        <w:gridCol w:w="816"/>
        <w:gridCol w:w="815"/>
        <w:gridCol w:w="815"/>
        <w:gridCol w:w="815"/>
        <w:gridCol w:w="815"/>
        <w:gridCol w:w="815"/>
        <w:gridCol w:w="815"/>
        <w:gridCol w:w="810"/>
      </w:tblGrid>
      <w:tr w:rsidR="00FA3478" w:rsidRPr="00FE3F73" w:rsidTr="00C8665E">
        <w:tc>
          <w:tcPr>
            <w:tcW w:w="980" w:type="pct"/>
            <w:tcBorders>
              <w:top w:val="single" w:sz="6" w:space="0" w:color="auto"/>
              <w:bottom w:val="single" w:sz="6" w:space="0" w:color="auto"/>
            </w:tcBorders>
            <w:vAlign w:val="bottom"/>
          </w:tcPr>
          <w:p w:rsidR="00FA3478" w:rsidRPr="00FE3F73" w:rsidRDefault="00FA3478" w:rsidP="00C8665E">
            <w:pPr>
              <w:pStyle w:val="CGCTableStub"/>
              <w:spacing w:line="240" w:lineRule="auto"/>
              <w:ind w:left="142" w:hanging="142"/>
              <w:rPr>
                <w:rFonts w:cstheme="minorHAnsi"/>
              </w:rPr>
            </w:pPr>
          </w:p>
        </w:tc>
        <w:tc>
          <w:tcPr>
            <w:tcW w:w="447" w:type="pct"/>
            <w:tcBorders>
              <w:top w:val="single" w:sz="6" w:space="0" w:color="auto"/>
              <w:bottom w:val="single" w:sz="6" w:space="0" w:color="auto"/>
            </w:tcBorders>
            <w:vAlign w:val="bottom"/>
          </w:tcPr>
          <w:p w:rsidR="00FA3478" w:rsidRPr="00FE3F73" w:rsidRDefault="00FA3478" w:rsidP="00C8665E">
            <w:pPr>
              <w:pStyle w:val="TableColHeadings"/>
              <w:rPr>
                <w:rFonts w:cstheme="minorHAnsi"/>
              </w:rPr>
            </w:pPr>
            <w:r w:rsidRPr="00FE3F73">
              <w:rPr>
                <w:rFonts w:cstheme="minorHAnsi"/>
              </w:rPr>
              <w:t>NSW</w:t>
            </w:r>
          </w:p>
        </w:tc>
        <w:tc>
          <w:tcPr>
            <w:tcW w:w="447" w:type="pct"/>
            <w:tcBorders>
              <w:top w:val="single" w:sz="6" w:space="0" w:color="auto"/>
              <w:bottom w:val="single" w:sz="6" w:space="0" w:color="auto"/>
            </w:tcBorders>
            <w:vAlign w:val="bottom"/>
          </w:tcPr>
          <w:p w:rsidR="00FA3478" w:rsidRPr="00FE3F73" w:rsidRDefault="00FA3478" w:rsidP="00C8665E">
            <w:pPr>
              <w:pStyle w:val="TableColHeadings"/>
              <w:rPr>
                <w:rFonts w:cstheme="minorHAnsi"/>
              </w:rPr>
            </w:pPr>
            <w:r w:rsidRPr="00FE3F73">
              <w:rPr>
                <w:rFonts w:cstheme="minorHAnsi"/>
              </w:rPr>
              <w:t>Vic</w:t>
            </w:r>
          </w:p>
        </w:tc>
        <w:tc>
          <w:tcPr>
            <w:tcW w:w="447" w:type="pct"/>
            <w:tcBorders>
              <w:top w:val="single" w:sz="6" w:space="0" w:color="auto"/>
              <w:bottom w:val="single" w:sz="6" w:space="0" w:color="auto"/>
            </w:tcBorders>
            <w:vAlign w:val="bottom"/>
          </w:tcPr>
          <w:p w:rsidR="00FA3478" w:rsidRPr="00FE3F73" w:rsidRDefault="00FA3478" w:rsidP="00C8665E">
            <w:pPr>
              <w:pStyle w:val="TableColHeadings"/>
              <w:rPr>
                <w:rFonts w:cstheme="minorHAnsi"/>
              </w:rPr>
            </w:pPr>
            <w:r w:rsidRPr="00FE3F73">
              <w:rPr>
                <w:rFonts w:cstheme="minorHAnsi"/>
              </w:rPr>
              <w:t>Qld</w:t>
            </w:r>
          </w:p>
        </w:tc>
        <w:tc>
          <w:tcPr>
            <w:tcW w:w="447" w:type="pct"/>
            <w:tcBorders>
              <w:top w:val="single" w:sz="6" w:space="0" w:color="auto"/>
              <w:bottom w:val="single" w:sz="6" w:space="0" w:color="auto"/>
            </w:tcBorders>
            <w:vAlign w:val="bottom"/>
          </w:tcPr>
          <w:p w:rsidR="00FA3478" w:rsidRPr="00FE3F73" w:rsidRDefault="00FA3478" w:rsidP="00C8665E">
            <w:pPr>
              <w:pStyle w:val="TableColHeadings"/>
              <w:rPr>
                <w:rFonts w:cstheme="minorHAnsi"/>
              </w:rPr>
            </w:pPr>
            <w:r w:rsidRPr="00FE3F73">
              <w:rPr>
                <w:rFonts w:cstheme="minorHAnsi"/>
              </w:rPr>
              <w:t>WA</w:t>
            </w:r>
          </w:p>
        </w:tc>
        <w:tc>
          <w:tcPr>
            <w:tcW w:w="447" w:type="pct"/>
            <w:tcBorders>
              <w:top w:val="single" w:sz="6" w:space="0" w:color="auto"/>
              <w:bottom w:val="single" w:sz="6" w:space="0" w:color="auto"/>
            </w:tcBorders>
            <w:vAlign w:val="bottom"/>
          </w:tcPr>
          <w:p w:rsidR="00FA3478" w:rsidRPr="00FE3F73" w:rsidRDefault="00FA3478" w:rsidP="00C8665E">
            <w:pPr>
              <w:pStyle w:val="TableColHeadings"/>
              <w:rPr>
                <w:rFonts w:cstheme="minorHAnsi"/>
              </w:rPr>
            </w:pPr>
            <w:r w:rsidRPr="00FE3F73">
              <w:rPr>
                <w:rFonts w:cstheme="minorHAnsi"/>
              </w:rPr>
              <w:t>SA</w:t>
            </w:r>
          </w:p>
        </w:tc>
        <w:tc>
          <w:tcPr>
            <w:tcW w:w="447" w:type="pct"/>
            <w:tcBorders>
              <w:top w:val="single" w:sz="6" w:space="0" w:color="auto"/>
              <w:bottom w:val="single" w:sz="6" w:space="0" w:color="auto"/>
            </w:tcBorders>
            <w:vAlign w:val="bottom"/>
          </w:tcPr>
          <w:p w:rsidR="00FA3478" w:rsidRPr="00FE3F73" w:rsidRDefault="00FA3478" w:rsidP="00C8665E">
            <w:pPr>
              <w:pStyle w:val="TableColHeadings"/>
              <w:rPr>
                <w:rFonts w:cstheme="minorHAnsi"/>
              </w:rPr>
            </w:pPr>
            <w:proofErr w:type="spellStart"/>
            <w:r w:rsidRPr="00FE3F73">
              <w:rPr>
                <w:rFonts w:cstheme="minorHAnsi"/>
              </w:rPr>
              <w:t>Tas</w:t>
            </w:r>
            <w:proofErr w:type="spellEnd"/>
          </w:p>
        </w:tc>
        <w:tc>
          <w:tcPr>
            <w:tcW w:w="447" w:type="pct"/>
            <w:tcBorders>
              <w:top w:val="single" w:sz="6" w:space="0" w:color="auto"/>
              <w:bottom w:val="single" w:sz="6" w:space="0" w:color="auto"/>
            </w:tcBorders>
            <w:vAlign w:val="bottom"/>
          </w:tcPr>
          <w:p w:rsidR="00FA3478" w:rsidRPr="00FE3F73" w:rsidRDefault="00FA3478" w:rsidP="00C8665E">
            <w:pPr>
              <w:pStyle w:val="TableColHeadings"/>
              <w:rPr>
                <w:rFonts w:cstheme="minorHAnsi"/>
              </w:rPr>
            </w:pPr>
            <w:r w:rsidRPr="00FE3F73">
              <w:rPr>
                <w:rFonts w:cstheme="minorHAnsi"/>
              </w:rPr>
              <w:t>ACT</w:t>
            </w:r>
          </w:p>
        </w:tc>
        <w:tc>
          <w:tcPr>
            <w:tcW w:w="447" w:type="pct"/>
            <w:tcBorders>
              <w:top w:val="single" w:sz="6" w:space="0" w:color="auto"/>
              <w:bottom w:val="single" w:sz="6" w:space="0" w:color="auto"/>
            </w:tcBorders>
            <w:vAlign w:val="bottom"/>
          </w:tcPr>
          <w:p w:rsidR="00FA3478" w:rsidRPr="00FE3F73" w:rsidRDefault="00FA3478" w:rsidP="00C8665E">
            <w:pPr>
              <w:pStyle w:val="TableColHeadings"/>
              <w:rPr>
                <w:rFonts w:cstheme="minorHAnsi"/>
              </w:rPr>
            </w:pPr>
            <w:r w:rsidRPr="00FE3F73">
              <w:rPr>
                <w:rFonts w:cstheme="minorHAnsi"/>
              </w:rPr>
              <w:t>NT</w:t>
            </w:r>
          </w:p>
        </w:tc>
        <w:tc>
          <w:tcPr>
            <w:tcW w:w="445" w:type="pct"/>
            <w:tcBorders>
              <w:top w:val="single" w:sz="6" w:space="0" w:color="auto"/>
              <w:bottom w:val="single" w:sz="6" w:space="0" w:color="auto"/>
            </w:tcBorders>
            <w:vAlign w:val="bottom"/>
          </w:tcPr>
          <w:p w:rsidR="00FA3478" w:rsidRPr="00FE3F73" w:rsidRDefault="00FA3478" w:rsidP="00C8665E">
            <w:pPr>
              <w:pStyle w:val="TableColHeadings"/>
              <w:rPr>
                <w:rFonts w:cstheme="minorHAnsi"/>
              </w:rPr>
            </w:pPr>
            <w:proofErr w:type="spellStart"/>
            <w:r>
              <w:rPr>
                <w:rFonts w:cstheme="minorHAnsi"/>
              </w:rPr>
              <w:t>Redist</w:t>
            </w:r>
            <w:proofErr w:type="spellEnd"/>
          </w:p>
        </w:tc>
      </w:tr>
      <w:tr w:rsidR="00FA3478" w:rsidRPr="00FE3F73" w:rsidTr="00C8665E">
        <w:tc>
          <w:tcPr>
            <w:tcW w:w="980" w:type="pct"/>
            <w:vAlign w:val="bottom"/>
          </w:tcPr>
          <w:p w:rsidR="00FA3478" w:rsidRPr="00FE3F73" w:rsidRDefault="00FA3478" w:rsidP="00C8665E">
            <w:pPr>
              <w:pStyle w:val="CGCTableStub"/>
              <w:tabs>
                <w:tab w:val="left" w:pos="142"/>
                <w:tab w:val="left" w:pos="425"/>
                <w:tab w:val="left" w:pos="709"/>
                <w:tab w:val="left" w:pos="851"/>
              </w:tabs>
              <w:ind w:left="142" w:hanging="142"/>
              <w:rPr>
                <w:rFonts w:cstheme="minorHAnsi"/>
              </w:rPr>
            </w:pPr>
            <w:r>
              <w:rPr>
                <w:rFonts w:cstheme="minorHAnsi"/>
              </w:rPr>
              <w:t>Dollars million</w:t>
            </w:r>
          </w:p>
        </w:tc>
        <w:tc>
          <w:tcPr>
            <w:tcW w:w="447" w:type="pct"/>
            <w:vAlign w:val="bottom"/>
          </w:tcPr>
          <w:p w:rsidR="00FA3478" w:rsidRPr="002A7B9E" w:rsidRDefault="00FA3478" w:rsidP="00C8665E">
            <w:pPr>
              <w:pStyle w:val="TableRowNormal"/>
              <w:ind w:left="0" w:firstLine="0"/>
              <w:rPr>
                <w:rFonts w:cstheme="minorHAnsi"/>
              </w:rPr>
            </w:pPr>
            <w:r w:rsidRPr="002A7B9E">
              <w:rPr>
                <w:rFonts w:cstheme="minorHAnsi"/>
              </w:rPr>
              <w:t>-457</w:t>
            </w:r>
          </w:p>
        </w:tc>
        <w:tc>
          <w:tcPr>
            <w:tcW w:w="447" w:type="pct"/>
            <w:vAlign w:val="bottom"/>
          </w:tcPr>
          <w:p w:rsidR="00FA3478" w:rsidRPr="002A7B9E" w:rsidRDefault="00FA3478" w:rsidP="00C8665E">
            <w:pPr>
              <w:pStyle w:val="TableRowNormal"/>
              <w:ind w:left="0" w:firstLine="0"/>
              <w:rPr>
                <w:rFonts w:cstheme="minorHAnsi"/>
              </w:rPr>
            </w:pPr>
            <w:r w:rsidRPr="002A7B9E">
              <w:rPr>
                <w:rFonts w:cstheme="minorHAnsi"/>
              </w:rPr>
              <w:t>90</w:t>
            </w:r>
          </w:p>
        </w:tc>
        <w:tc>
          <w:tcPr>
            <w:tcW w:w="447" w:type="pct"/>
            <w:vAlign w:val="bottom"/>
          </w:tcPr>
          <w:p w:rsidR="00FA3478" w:rsidRPr="002A7B9E" w:rsidRDefault="00FA3478" w:rsidP="00C8665E">
            <w:pPr>
              <w:pStyle w:val="TableRowNormal"/>
              <w:ind w:left="0" w:firstLine="0"/>
              <w:rPr>
                <w:rFonts w:cstheme="minorHAnsi"/>
              </w:rPr>
            </w:pPr>
            <w:r w:rsidRPr="002A7B9E">
              <w:rPr>
                <w:rFonts w:cstheme="minorHAnsi"/>
              </w:rPr>
              <w:t>189</w:t>
            </w:r>
          </w:p>
        </w:tc>
        <w:tc>
          <w:tcPr>
            <w:tcW w:w="447" w:type="pct"/>
            <w:vAlign w:val="bottom"/>
          </w:tcPr>
          <w:p w:rsidR="00FA3478" w:rsidRPr="002A7B9E" w:rsidRDefault="00FA3478" w:rsidP="00C8665E">
            <w:pPr>
              <w:pStyle w:val="TableRowNormal"/>
              <w:ind w:left="0" w:firstLine="0"/>
              <w:rPr>
                <w:rFonts w:cstheme="minorHAnsi"/>
              </w:rPr>
            </w:pPr>
            <w:r w:rsidRPr="002A7B9E">
              <w:rPr>
                <w:rFonts w:cstheme="minorHAnsi"/>
              </w:rPr>
              <w:t>51</w:t>
            </w:r>
          </w:p>
        </w:tc>
        <w:tc>
          <w:tcPr>
            <w:tcW w:w="447" w:type="pct"/>
            <w:vAlign w:val="bottom"/>
          </w:tcPr>
          <w:p w:rsidR="00FA3478" w:rsidRPr="002A7B9E" w:rsidRDefault="00FA3478" w:rsidP="00C8665E">
            <w:pPr>
              <w:pStyle w:val="TableRowNormal"/>
              <w:ind w:left="0" w:firstLine="0"/>
              <w:rPr>
                <w:rFonts w:cstheme="minorHAnsi"/>
              </w:rPr>
            </w:pPr>
            <w:r w:rsidRPr="002A7B9E">
              <w:rPr>
                <w:rFonts w:cstheme="minorHAnsi"/>
              </w:rPr>
              <w:t>76</w:t>
            </w:r>
          </w:p>
        </w:tc>
        <w:tc>
          <w:tcPr>
            <w:tcW w:w="447" w:type="pct"/>
            <w:vAlign w:val="bottom"/>
          </w:tcPr>
          <w:p w:rsidR="00FA3478" w:rsidRPr="002A7B9E" w:rsidRDefault="00FA3478" w:rsidP="00C8665E">
            <w:pPr>
              <w:pStyle w:val="TableRowNormal"/>
              <w:ind w:left="0" w:firstLine="0"/>
              <w:rPr>
                <w:rFonts w:cstheme="minorHAnsi"/>
              </w:rPr>
            </w:pPr>
            <w:r w:rsidRPr="002A7B9E">
              <w:rPr>
                <w:rFonts w:cstheme="minorHAnsi"/>
              </w:rPr>
              <w:t>33</w:t>
            </w:r>
          </w:p>
        </w:tc>
        <w:tc>
          <w:tcPr>
            <w:tcW w:w="447" w:type="pct"/>
            <w:vAlign w:val="bottom"/>
          </w:tcPr>
          <w:p w:rsidR="00FA3478" w:rsidRPr="002A7B9E" w:rsidRDefault="00FA3478" w:rsidP="00C8665E">
            <w:pPr>
              <w:pStyle w:val="TableRowNormal"/>
              <w:ind w:left="0" w:firstLine="0"/>
              <w:rPr>
                <w:rFonts w:cstheme="minorHAnsi"/>
              </w:rPr>
            </w:pPr>
            <w:r w:rsidRPr="002A7B9E">
              <w:rPr>
                <w:rFonts w:cstheme="minorHAnsi"/>
              </w:rPr>
              <w:t>16</w:t>
            </w:r>
          </w:p>
        </w:tc>
        <w:tc>
          <w:tcPr>
            <w:tcW w:w="447" w:type="pct"/>
            <w:vAlign w:val="bottom"/>
          </w:tcPr>
          <w:p w:rsidR="00FA3478" w:rsidRPr="002A7B9E" w:rsidRDefault="00FA3478" w:rsidP="00C8665E">
            <w:pPr>
              <w:pStyle w:val="TableRowNormal"/>
              <w:ind w:left="0" w:firstLine="0"/>
              <w:rPr>
                <w:rFonts w:cstheme="minorHAnsi"/>
              </w:rPr>
            </w:pPr>
            <w:r w:rsidRPr="002A7B9E">
              <w:rPr>
                <w:rFonts w:cstheme="minorHAnsi"/>
              </w:rPr>
              <w:t>2</w:t>
            </w:r>
          </w:p>
        </w:tc>
        <w:tc>
          <w:tcPr>
            <w:tcW w:w="445" w:type="pct"/>
            <w:vAlign w:val="bottom"/>
          </w:tcPr>
          <w:p w:rsidR="00FA3478" w:rsidRPr="002A7B9E" w:rsidRDefault="00FA3478" w:rsidP="00C8665E">
            <w:pPr>
              <w:pStyle w:val="TableRowNormal"/>
              <w:ind w:left="0" w:firstLine="0"/>
              <w:rPr>
                <w:rFonts w:cstheme="minorHAnsi"/>
              </w:rPr>
            </w:pPr>
            <w:r w:rsidRPr="002A7B9E">
              <w:rPr>
                <w:rFonts w:cstheme="minorHAnsi"/>
              </w:rPr>
              <w:t>457</w:t>
            </w:r>
          </w:p>
        </w:tc>
      </w:tr>
      <w:tr w:rsidR="00FA3478" w:rsidRPr="00FE3F73" w:rsidTr="00C8665E">
        <w:tc>
          <w:tcPr>
            <w:tcW w:w="980" w:type="pct"/>
            <w:tcBorders>
              <w:bottom w:val="single" w:sz="4" w:space="0" w:color="auto"/>
            </w:tcBorders>
            <w:vAlign w:val="bottom"/>
          </w:tcPr>
          <w:p w:rsidR="00FA3478" w:rsidRPr="00FE3F73" w:rsidRDefault="00FA3478" w:rsidP="00C8665E">
            <w:pPr>
              <w:pStyle w:val="CGCTableStub"/>
              <w:tabs>
                <w:tab w:val="left" w:pos="142"/>
                <w:tab w:val="left" w:pos="425"/>
                <w:tab w:val="left" w:pos="709"/>
                <w:tab w:val="left" w:pos="851"/>
              </w:tabs>
              <w:ind w:left="142" w:hanging="142"/>
              <w:rPr>
                <w:rFonts w:cstheme="minorHAnsi"/>
              </w:rPr>
            </w:pPr>
            <w:r>
              <w:rPr>
                <w:rFonts w:cstheme="minorHAnsi"/>
              </w:rPr>
              <w:t>Dollars per capita</w:t>
            </w:r>
          </w:p>
        </w:tc>
        <w:tc>
          <w:tcPr>
            <w:tcW w:w="447" w:type="pct"/>
            <w:tcBorders>
              <w:bottom w:val="single" w:sz="4" w:space="0" w:color="auto"/>
            </w:tcBorders>
            <w:vAlign w:val="bottom"/>
          </w:tcPr>
          <w:p w:rsidR="00FA3478" w:rsidRPr="002A7B9E" w:rsidRDefault="00FA3478" w:rsidP="00C8665E">
            <w:pPr>
              <w:pStyle w:val="TableRowNormal"/>
              <w:ind w:left="0" w:firstLine="0"/>
              <w:rPr>
                <w:rFonts w:cstheme="minorHAnsi"/>
              </w:rPr>
            </w:pPr>
            <w:r w:rsidRPr="002A7B9E">
              <w:rPr>
                <w:rFonts w:cstheme="minorHAnsi"/>
              </w:rPr>
              <w:t>-57</w:t>
            </w:r>
          </w:p>
        </w:tc>
        <w:tc>
          <w:tcPr>
            <w:tcW w:w="447" w:type="pct"/>
            <w:tcBorders>
              <w:bottom w:val="single" w:sz="4" w:space="0" w:color="auto"/>
            </w:tcBorders>
            <w:vAlign w:val="bottom"/>
          </w:tcPr>
          <w:p w:rsidR="00FA3478" w:rsidRPr="002A7B9E" w:rsidRDefault="00FA3478" w:rsidP="00C8665E">
            <w:pPr>
              <w:pStyle w:val="TableRowNormal"/>
              <w:ind w:left="0" w:firstLine="0"/>
              <w:rPr>
                <w:rFonts w:cstheme="minorHAnsi"/>
              </w:rPr>
            </w:pPr>
            <w:r w:rsidRPr="002A7B9E">
              <w:rPr>
                <w:rFonts w:cstheme="minorHAnsi"/>
              </w:rPr>
              <w:t>14</w:t>
            </w:r>
          </w:p>
        </w:tc>
        <w:tc>
          <w:tcPr>
            <w:tcW w:w="447" w:type="pct"/>
            <w:tcBorders>
              <w:bottom w:val="single" w:sz="4" w:space="0" w:color="auto"/>
            </w:tcBorders>
            <w:vAlign w:val="bottom"/>
          </w:tcPr>
          <w:p w:rsidR="00FA3478" w:rsidRPr="002A7B9E" w:rsidRDefault="00FA3478" w:rsidP="00C8665E">
            <w:pPr>
              <w:pStyle w:val="TableRowNormal"/>
              <w:ind w:left="0" w:firstLine="0"/>
              <w:rPr>
                <w:rFonts w:cstheme="minorHAnsi"/>
              </w:rPr>
            </w:pPr>
            <w:r w:rsidRPr="002A7B9E">
              <w:rPr>
                <w:rFonts w:cstheme="minorHAnsi"/>
              </w:rPr>
              <w:t>38</w:t>
            </w:r>
          </w:p>
        </w:tc>
        <w:tc>
          <w:tcPr>
            <w:tcW w:w="447" w:type="pct"/>
            <w:tcBorders>
              <w:bottom w:val="single" w:sz="4" w:space="0" w:color="auto"/>
            </w:tcBorders>
            <w:vAlign w:val="bottom"/>
          </w:tcPr>
          <w:p w:rsidR="00FA3478" w:rsidRPr="002A7B9E" w:rsidRDefault="00FA3478" w:rsidP="00C8665E">
            <w:pPr>
              <w:pStyle w:val="TableRowNormal"/>
              <w:ind w:left="0" w:firstLine="0"/>
              <w:rPr>
                <w:rFonts w:cstheme="minorHAnsi"/>
              </w:rPr>
            </w:pPr>
            <w:r w:rsidRPr="002A7B9E">
              <w:rPr>
                <w:rFonts w:cstheme="minorHAnsi"/>
              </w:rPr>
              <w:t>20</w:t>
            </w:r>
          </w:p>
        </w:tc>
        <w:tc>
          <w:tcPr>
            <w:tcW w:w="447" w:type="pct"/>
            <w:tcBorders>
              <w:bottom w:val="single" w:sz="4" w:space="0" w:color="auto"/>
            </w:tcBorders>
            <w:vAlign w:val="bottom"/>
          </w:tcPr>
          <w:p w:rsidR="00FA3478" w:rsidRPr="002A7B9E" w:rsidRDefault="00FA3478" w:rsidP="00C8665E">
            <w:pPr>
              <w:pStyle w:val="TableRowNormal"/>
              <w:ind w:left="0" w:firstLine="0"/>
              <w:rPr>
                <w:rFonts w:cstheme="minorHAnsi"/>
              </w:rPr>
            </w:pPr>
            <w:r w:rsidRPr="002A7B9E">
              <w:rPr>
                <w:rFonts w:cstheme="minorHAnsi"/>
              </w:rPr>
              <w:t>44</w:t>
            </w:r>
          </w:p>
        </w:tc>
        <w:tc>
          <w:tcPr>
            <w:tcW w:w="447" w:type="pct"/>
            <w:tcBorders>
              <w:bottom w:val="single" w:sz="4" w:space="0" w:color="auto"/>
            </w:tcBorders>
            <w:vAlign w:val="bottom"/>
          </w:tcPr>
          <w:p w:rsidR="00FA3478" w:rsidRPr="002A7B9E" w:rsidRDefault="00FA3478" w:rsidP="00C8665E">
            <w:pPr>
              <w:pStyle w:val="TableRowNormal"/>
              <w:ind w:left="0" w:firstLine="0"/>
              <w:rPr>
                <w:rFonts w:cstheme="minorHAnsi"/>
              </w:rPr>
            </w:pPr>
            <w:r w:rsidRPr="002A7B9E">
              <w:rPr>
                <w:rFonts w:cstheme="minorHAnsi"/>
              </w:rPr>
              <w:t>62</w:t>
            </w:r>
          </w:p>
        </w:tc>
        <w:tc>
          <w:tcPr>
            <w:tcW w:w="447" w:type="pct"/>
            <w:tcBorders>
              <w:bottom w:val="single" w:sz="4" w:space="0" w:color="auto"/>
            </w:tcBorders>
            <w:vAlign w:val="bottom"/>
          </w:tcPr>
          <w:p w:rsidR="00FA3478" w:rsidRPr="002A7B9E" w:rsidRDefault="00FA3478" w:rsidP="00C8665E">
            <w:pPr>
              <w:pStyle w:val="TableRowNormal"/>
              <w:ind w:left="0" w:firstLine="0"/>
              <w:rPr>
                <w:rFonts w:cstheme="minorHAnsi"/>
              </w:rPr>
            </w:pPr>
            <w:r w:rsidRPr="002A7B9E">
              <w:rPr>
                <w:rFonts w:cstheme="minorHAnsi"/>
              </w:rPr>
              <w:t>39</w:t>
            </w:r>
          </w:p>
        </w:tc>
        <w:tc>
          <w:tcPr>
            <w:tcW w:w="447" w:type="pct"/>
            <w:tcBorders>
              <w:bottom w:val="single" w:sz="4" w:space="0" w:color="auto"/>
            </w:tcBorders>
            <w:vAlign w:val="bottom"/>
          </w:tcPr>
          <w:p w:rsidR="00FA3478" w:rsidRPr="002A7B9E" w:rsidRDefault="00FA3478" w:rsidP="00C8665E">
            <w:pPr>
              <w:pStyle w:val="TableRowNormal"/>
              <w:ind w:left="0" w:firstLine="0"/>
              <w:rPr>
                <w:rFonts w:cstheme="minorHAnsi"/>
              </w:rPr>
            </w:pPr>
            <w:r w:rsidRPr="002A7B9E">
              <w:rPr>
                <w:rFonts w:cstheme="minorHAnsi"/>
              </w:rPr>
              <w:t>10</w:t>
            </w:r>
          </w:p>
        </w:tc>
        <w:tc>
          <w:tcPr>
            <w:tcW w:w="445" w:type="pct"/>
            <w:tcBorders>
              <w:bottom w:val="single" w:sz="4" w:space="0" w:color="auto"/>
            </w:tcBorders>
            <w:vAlign w:val="bottom"/>
          </w:tcPr>
          <w:p w:rsidR="00FA3478" w:rsidRPr="002A7B9E" w:rsidRDefault="00FA3478" w:rsidP="00C8665E">
            <w:pPr>
              <w:pStyle w:val="TableRowNormal"/>
              <w:ind w:left="0" w:firstLine="0"/>
              <w:rPr>
                <w:rFonts w:cstheme="minorHAnsi"/>
              </w:rPr>
            </w:pPr>
            <w:r w:rsidRPr="002A7B9E">
              <w:rPr>
                <w:rFonts w:cstheme="minorHAnsi"/>
              </w:rPr>
              <w:t>18</w:t>
            </w:r>
          </w:p>
        </w:tc>
      </w:tr>
    </w:tbl>
    <w:p w:rsidR="00FA3478" w:rsidRDefault="00FA3478" w:rsidP="00FA3478">
      <w:pPr>
        <w:pStyle w:val="CGCTableFootnote"/>
      </w:pPr>
      <w:r>
        <w:t>Source:</w:t>
      </w:r>
      <w:r>
        <w:tab/>
        <w:t>Commission simulation.</w:t>
      </w:r>
    </w:p>
    <w:p w:rsidR="00FA3478" w:rsidRDefault="00FA3478" w:rsidP="00FA3478">
      <w:pPr>
        <w:pStyle w:val="CGCNumberedPara"/>
        <w:numPr>
          <w:ilvl w:val="1"/>
          <w:numId w:val="3"/>
        </w:numPr>
      </w:pPr>
      <w:r>
        <w:t xml:space="preserve">Commission </w:t>
      </w:r>
      <w:proofErr w:type="gramStart"/>
      <w:r>
        <w:t>staff propose</w:t>
      </w:r>
      <w:proofErr w:type="gramEnd"/>
      <w:r>
        <w:t xml:space="preserve"> to include an adjustment for the progressivity of conveyance duty using SRO data </w:t>
      </w:r>
      <w:r w:rsidR="00F5738F">
        <w:t>on</w:t>
      </w:r>
      <w:r>
        <w:t xml:space="preserve"> the value of property transferred and the duty raised, by value range.</w:t>
      </w:r>
    </w:p>
    <w:p w:rsidR="00FA3478" w:rsidRDefault="00FA3478" w:rsidP="00FA3478">
      <w:pPr>
        <w:pStyle w:val="CGCNumberedPara"/>
        <w:numPr>
          <w:ilvl w:val="1"/>
          <w:numId w:val="3"/>
        </w:numPr>
      </w:pPr>
      <w:r w:rsidRPr="00416BF8">
        <w:rPr>
          <w:rStyle w:val="Heading6Char"/>
        </w:rPr>
        <w:lastRenderedPageBreak/>
        <w:t>Adjustments for differences in the range of transactions subject to duty.</w:t>
      </w:r>
      <w:r w:rsidRPr="00132581">
        <w:rPr>
          <w:szCs w:val="22"/>
        </w:rPr>
        <w:t xml:space="preserve"> </w:t>
      </w:r>
      <w:r>
        <w:t>If a State does not tax a specific range of transaction</w:t>
      </w:r>
      <w:r w:rsidR="00C00F10">
        <w:t>s</w:t>
      </w:r>
      <w:r>
        <w:t>, then the value of transactions data provided by its SRO will be missing those transactions and so will not be comparable with data provided by other SROs. The purpose of these adjustments is to improve the comparability of SRO data.</w:t>
      </w:r>
    </w:p>
    <w:p w:rsidR="00FA3478" w:rsidRDefault="00FA3478" w:rsidP="00FA3478">
      <w:pPr>
        <w:pStyle w:val="CGCNumberedPara"/>
        <w:numPr>
          <w:ilvl w:val="1"/>
          <w:numId w:val="3"/>
        </w:numPr>
      </w:pPr>
      <w:r>
        <w:t xml:space="preserve">Commission </w:t>
      </w:r>
      <w:proofErr w:type="gramStart"/>
      <w:r>
        <w:t>staff propose</w:t>
      </w:r>
      <w:proofErr w:type="gramEnd"/>
      <w:r>
        <w:t xml:space="preserve"> a framework for dealing with missing transactions. Under this framework, one of three approaches would be applied:</w:t>
      </w:r>
    </w:p>
    <w:p w:rsidR="00FA3478" w:rsidRDefault="00FA3478" w:rsidP="00FA3478">
      <w:pPr>
        <w:pStyle w:val="CGCBulletlist"/>
        <w:numPr>
          <w:ilvl w:val="0"/>
          <w:numId w:val="1"/>
        </w:numPr>
        <w:tabs>
          <w:tab w:val="clear" w:pos="927"/>
        </w:tabs>
        <w:ind w:left="1134" w:hanging="567"/>
      </w:pPr>
      <w:r>
        <w:t>adjust the State’s SRO data</w:t>
      </w:r>
      <w:r w:rsidRPr="00FF0517">
        <w:t xml:space="preserve"> </w:t>
      </w:r>
      <w:r>
        <w:t>to impute the missing transactions</w:t>
      </w:r>
    </w:p>
    <w:p w:rsidR="00FA3478" w:rsidRDefault="00FA3478" w:rsidP="00FA3478">
      <w:pPr>
        <w:pStyle w:val="CGCBulletlist"/>
        <w:numPr>
          <w:ilvl w:val="0"/>
          <w:numId w:val="1"/>
        </w:numPr>
        <w:tabs>
          <w:tab w:val="clear" w:pos="927"/>
        </w:tabs>
        <w:ind w:left="1134" w:hanging="567"/>
      </w:pPr>
      <w:r>
        <w:t>adjust States’ SRO data to remove the transactions for all States, but continue to assess the duty collected in the property component</w:t>
      </w:r>
    </w:p>
    <w:p w:rsidR="00FA3478" w:rsidRDefault="00FA3478" w:rsidP="00FA3478">
      <w:pPr>
        <w:pStyle w:val="CGCBulletlist"/>
        <w:numPr>
          <w:ilvl w:val="0"/>
          <w:numId w:val="1"/>
        </w:numPr>
        <w:tabs>
          <w:tab w:val="clear" w:pos="927"/>
        </w:tabs>
        <w:ind w:left="1134" w:hanging="567"/>
      </w:pPr>
      <w:proofErr w:type="gramStart"/>
      <w:r>
        <w:t>assess</w:t>
      </w:r>
      <w:proofErr w:type="gramEnd"/>
      <w:r>
        <w:t xml:space="preserve"> the duty collected in the EPC component.</w:t>
      </w:r>
    </w:p>
    <w:p w:rsidR="00FA3478" w:rsidRDefault="00FA3478" w:rsidP="00FA3478">
      <w:pPr>
        <w:pStyle w:val="CGCNumberedPara"/>
        <w:numPr>
          <w:ilvl w:val="1"/>
          <w:numId w:val="3"/>
        </w:numPr>
      </w:pPr>
      <w:r>
        <w:t>Under the adjustment framework, the preferred option is to impute the missing transactions if this can be done reliably. If the missing transactions cannot be reliably imputed, then the next best option is to remove the range of transactions for all States. At this point there would be a choice to make. If it is appropriate to assess the duty raised using the property component’s capacity measure then the duty raised should be assessed in the property component, otherwise it should be assessed in the EPC component.</w:t>
      </w:r>
    </w:p>
    <w:p w:rsidR="00FA3478" w:rsidRDefault="00FA3478" w:rsidP="00FA3478">
      <w:pPr>
        <w:pStyle w:val="CGCNumberedPara"/>
        <w:numPr>
          <w:ilvl w:val="1"/>
          <w:numId w:val="3"/>
        </w:numPr>
      </w:pPr>
      <w:r>
        <w:t>For the 2020 Review, Commission staff propose to apply the adjustment framework to the adjustments made in the property component in the 2015 Review:</w:t>
      </w:r>
    </w:p>
    <w:p w:rsidR="00FA3478" w:rsidRDefault="00FA3478" w:rsidP="00FA3478">
      <w:pPr>
        <w:pStyle w:val="CGCBulletlist"/>
        <w:numPr>
          <w:ilvl w:val="0"/>
          <w:numId w:val="1"/>
        </w:numPr>
        <w:tabs>
          <w:tab w:val="clear" w:pos="927"/>
        </w:tabs>
        <w:ind w:left="1134" w:hanging="567"/>
      </w:pPr>
      <w:r>
        <w:t>non-real property</w:t>
      </w:r>
    </w:p>
    <w:p w:rsidR="00FA3478" w:rsidRDefault="00FA3478" w:rsidP="00FA3478">
      <w:pPr>
        <w:pStyle w:val="CGCBulletlist"/>
        <w:numPr>
          <w:ilvl w:val="0"/>
          <w:numId w:val="1"/>
        </w:numPr>
        <w:tabs>
          <w:tab w:val="clear" w:pos="927"/>
        </w:tabs>
        <w:ind w:left="1134" w:hanging="567"/>
      </w:pPr>
      <w:r>
        <w:t>off-the-plan concessions</w:t>
      </w:r>
    </w:p>
    <w:p w:rsidR="00FA3478" w:rsidRDefault="00FA3478" w:rsidP="00FA3478">
      <w:pPr>
        <w:pStyle w:val="CGCBulletlist"/>
        <w:numPr>
          <w:ilvl w:val="0"/>
          <w:numId w:val="1"/>
        </w:numPr>
        <w:tabs>
          <w:tab w:val="clear" w:pos="927"/>
        </w:tabs>
        <w:ind w:left="1134" w:hanging="567"/>
      </w:pPr>
      <w:proofErr w:type="gramStart"/>
      <w:r>
        <w:t>unit</w:t>
      </w:r>
      <w:proofErr w:type="gramEnd"/>
      <w:r>
        <w:t xml:space="preserve"> trusts</w:t>
      </w:r>
      <w:r w:rsidR="00F5738F">
        <w:t>.</w:t>
      </w:r>
    </w:p>
    <w:p w:rsidR="00FA3478" w:rsidRDefault="00FA3478" w:rsidP="00FA3478">
      <w:pPr>
        <w:pStyle w:val="CGCNumberedPara"/>
        <w:numPr>
          <w:ilvl w:val="1"/>
          <w:numId w:val="3"/>
        </w:numPr>
      </w:pPr>
      <w:r>
        <w:t xml:space="preserve">As part of the </w:t>
      </w:r>
      <w:r w:rsidRPr="00FA6B61">
        <w:rPr>
          <w:i/>
        </w:rPr>
        <w:t>Intergovernmental Agreement on Federal Financial Relations 1999</w:t>
      </w:r>
      <w:r w:rsidR="00A07122" w:rsidRPr="00A07122">
        <w:t>,</w:t>
      </w:r>
      <w:r>
        <w:t xml:space="preserve"> States agreed to abolish transfer duty on non-real property transactions, but they are purs</w:t>
      </w:r>
      <w:r w:rsidR="00F5738F">
        <w:t>u</w:t>
      </w:r>
      <w:r>
        <w:t xml:space="preserve">ing different timeframes for its abolition. From 2016-17, these transactions are exempt in five States — New South Wales, Victoria, South Australia, Tasmania and the ACT. Commission </w:t>
      </w:r>
      <w:proofErr w:type="gramStart"/>
      <w:r>
        <w:t>staff propose</w:t>
      </w:r>
      <w:proofErr w:type="gramEnd"/>
      <w:r>
        <w:t xml:space="preserve"> to remove non</w:t>
      </w:r>
      <w:r>
        <w:noBreakHyphen/>
        <w:t xml:space="preserve">real property transactions from all States’ SRO data. This change means the property component capacity measure will be the value of real property transferred. As the real and non-real property bases are different, it is unlikely that a real property capacity measure is an appropriate measure for assessing non-real property duty. Commission </w:t>
      </w:r>
      <w:proofErr w:type="gramStart"/>
      <w:r>
        <w:t>staff propose</w:t>
      </w:r>
      <w:proofErr w:type="gramEnd"/>
      <w:r>
        <w:t xml:space="preserve"> to recommend the Commission remove non-real property transactions from SRO data and assess non-real property duties in the EPC component.</w:t>
      </w:r>
    </w:p>
    <w:p w:rsidR="00FA3478" w:rsidRDefault="00FA3478" w:rsidP="00FA3478">
      <w:pPr>
        <w:pStyle w:val="CGCNumberedPara"/>
        <w:numPr>
          <w:ilvl w:val="1"/>
          <w:numId w:val="3"/>
        </w:numPr>
      </w:pPr>
      <w:r>
        <w:t xml:space="preserve">Victoria provides a concession to buyers </w:t>
      </w:r>
      <w:r w:rsidR="00F5738F">
        <w:t>of</w:t>
      </w:r>
      <w:r>
        <w:t xml:space="preserve"> off-the-plan apartments. From 1 July 2017, the concession is being retargeted and will only be available for principal places of residence. Victoria’s budget papers suggest that as a result of this change, the concession’s tax expenditure will fall from $342 million in 2017-18 to $92 million </w:t>
      </w:r>
      <w:r>
        <w:lastRenderedPageBreak/>
        <w:t>in 2020-21.</w:t>
      </w:r>
      <w:r>
        <w:rPr>
          <w:rStyle w:val="FootnoteReference"/>
        </w:rPr>
        <w:footnoteReference w:id="11"/>
      </w:r>
      <w:r>
        <w:t xml:space="preserve"> This would mean an adjustment would no longer be material. Commission </w:t>
      </w:r>
      <w:proofErr w:type="gramStart"/>
      <w:r>
        <w:t>staff propose</w:t>
      </w:r>
      <w:proofErr w:type="gramEnd"/>
      <w:r>
        <w:t xml:space="preserve"> to recommend the Commission discontinue the off</w:t>
      </w:r>
      <w:r w:rsidR="008E4BA7">
        <w:noBreakHyphen/>
      </w:r>
      <w:r>
        <w:t>the</w:t>
      </w:r>
      <w:r w:rsidR="008E4BA7">
        <w:noBreakHyphen/>
      </w:r>
      <w:r>
        <w:t>plan adjustment in the 2020 Review.</w:t>
      </w:r>
    </w:p>
    <w:p w:rsidR="00FA3478" w:rsidRDefault="00FA3478" w:rsidP="00FA3478">
      <w:pPr>
        <w:pStyle w:val="CGCNumberedPara"/>
        <w:numPr>
          <w:ilvl w:val="1"/>
          <w:numId w:val="3"/>
        </w:numPr>
      </w:pPr>
      <w:r>
        <w:t xml:space="preserve">Queensland, Western Australia and South Australia tax a wider range of unit trusts than other States. In the 2010 Review, Western Australia provided data that indicated the transactions caught by its wider unit trusts provision was equivalent to about 3% of its revenue base. This adjustment removes these transactions from all States. These transactions are real property transactions so it is appropriate to assess the duty </w:t>
      </w:r>
      <w:proofErr w:type="gramStart"/>
      <w:r>
        <w:t>raised</w:t>
      </w:r>
      <w:proofErr w:type="gramEnd"/>
      <w:r>
        <w:t xml:space="preserve"> using the property component capacity measure. Commission </w:t>
      </w:r>
      <w:proofErr w:type="gramStart"/>
      <w:r>
        <w:t>staff propose</w:t>
      </w:r>
      <w:proofErr w:type="gramEnd"/>
      <w:r>
        <w:t xml:space="preserve"> to recommend the Commission continue to remove wider unit trust transactions from SRO data and assess the duty raised in the property component.</w:t>
      </w:r>
    </w:p>
    <w:p w:rsidR="00FA3478" w:rsidRDefault="00FA3478" w:rsidP="00FA3478">
      <w:pPr>
        <w:pStyle w:val="CGCNumberedPara"/>
        <w:numPr>
          <w:ilvl w:val="1"/>
          <w:numId w:val="3"/>
        </w:numPr>
      </w:pPr>
      <w:r>
        <w:rPr>
          <w:rStyle w:val="Heading6Char"/>
        </w:rPr>
        <w:t>New adjustments</w:t>
      </w:r>
      <w:r w:rsidRPr="0081656D">
        <w:rPr>
          <w:rStyle w:val="Heading6Char"/>
        </w:rPr>
        <w:t>.</w:t>
      </w:r>
      <w:r>
        <w:t xml:space="preserve"> As States amend the scope of the transactions that are subject to conveyance duty, new adjustments may be required.</w:t>
      </w:r>
    </w:p>
    <w:p w:rsidR="00FA3478" w:rsidRDefault="00FA3478" w:rsidP="00FA3478">
      <w:pPr>
        <w:pStyle w:val="CGCNumberedPara"/>
        <w:numPr>
          <w:ilvl w:val="1"/>
          <w:numId w:val="3"/>
        </w:numPr>
      </w:pPr>
      <w:r>
        <w:t xml:space="preserve">Two States are phasing out commercial transfer duty. The ACT is phasing out the duty over 20 years, so its SRO data will continue to include these transactions. The duty will cease in South Australia from 1 July 2018. If, at that time, South Australia’s SRO data cease </w:t>
      </w:r>
      <w:r w:rsidR="00D41FCC">
        <w:t xml:space="preserve">to </w:t>
      </w:r>
      <w:r>
        <w:t>contain these transactions then an adjustment would be required. In its State Tax Review discussion paper, South Australia indicated non-residential land accounted for 12.7% of conveyance duty in 2013-14.</w:t>
      </w:r>
      <w:r>
        <w:rPr>
          <w:rStyle w:val="FootnoteReference"/>
        </w:rPr>
        <w:footnoteReference w:id="12"/>
      </w:r>
      <w:r>
        <w:t xml:space="preserve"> An adjustment could be made to impute the missing transactions using this information. Commission </w:t>
      </w:r>
      <w:proofErr w:type="gramStart"/>
      <w:r>
        <w:t>staff propose</w:t>
      </w:r>
      <w:proofErr w:type="gramEnd"/>
      <w:r>
        <w:t xml:space="preserve"> to recommend the Commission introduce a new adjustment for commercial property transactions in South Australia. This adjustment would increase its revenue base by 12.7%.</w:t>
      </w:r>
    </w:p>
    <w:p w:rsidR="00FA3478" w:rsidRDefault="00FA3478" w:rsidP="00FA3478">
      <w:pPr>
        <w:pStyle w:val="Heading5"/>
      </w:pPr>
      <w:r>
        <w:t>The equal per capita component</w:t>
      </w:r>
    </w:p>
    <w:p w:rsidR="00FA3478" w:rsidRDefault="00FA3478" w:rsidP="00FA3478">
      <w:pPr>
        <w:pStyle w:val="CGCNumberedPara"/>
        <w:numPr>
          <w:ilvl w:val="1"/>
          <w:numId w:val="3"/>
        </w:numPr>
      </w:pPr>
      <w:r>
        <w:t xml:space="preserve">For the 2020 Review, Commission </w:t>
      </w:r>
      <w:proofErr w:type="gramStart"/>
      <w:r>
        <w:t>staff propose</w:t>
      </w:r>
      <w:proofErr w:type="gramEnd"/>
      <w:r>
        <w:t xml:space="preserve"> to apply the adjustment framework to the duties assessed in the EPC component in the 2015 Review. They were duties on:</w:t>
      </w:r>
    </w:p>
    <w:p w:rsidR="00FA3478" w:rsidRDefault="00FA3478" w:rsidP="00FA3478">
      <w:pPr>
        <w:pStyle w:val="CGCBulletlist"/>
        <w:numPr>
          <w:ilvl w:val="0"/>
          <w:numId w:val="1"/>
        </w:numPr>
        <w:tabs>
          <w:tab w:val="clear" w:pos="927"/>
        </w:tabs>
        <w:ind w:left="1134" w:hanging="567"/>
      </w:pPr>
      <w:r>
        <w:t>land rich transactions by listed companies</w:t>
      </w:r>
    </w:p>
    <w:p w:rsidR="00FA3478" w:rsidRDefault="00FA3478" w:rsidP="00FA3478">
      <w:pPr>
        <w:pStyle w:val="CGCBulletlist"/>
        <w:numPr>
          <w:ilvl w:val="0"/>
          <w:numId w:val="1"/>
        </w:numPr>
        <w:tabs>
          <w:tab w:val="clear" w:pos="927"/>
        </w:tabs>
        <w:ind w:left="1134" w:hanging="567"/>
      </w:pPr>
      <w:r>
        <w:t>corporate reconstructions</w:t>
      </w:r>
    </w:p>
    <w:p w:rsidR="00FA3478" w:rsidRDefault="00FA3478" w:rsidP="00FA3478">
      <w:pPr>
        <w:pStyle w:val="CGCBulletlist"/>
        <w:numPr>
          <w:ilvl w:val="0"/>
          <w:numId w:val="1"/>
        </w:numPr>
        <w:tabs>
          <w:tab w:val="clear" w:pos="927"/>
        </w:tabs>
        <w:ind w:left="1134" w:hanging="567"/>
      </w:pPr>
      <w:proofErr w:type="gramStart"/>
      <w:r>
        <w:t>sales</w:t>
      </w:r>
      <w:proofErr w:type="gramEnd"/>
      <w:r>
        <w:t xml:space="preserve"> of major State assets.</w:t>
      </w:r>
    </w:p>
    <w:p w:rsidR="00FA3478" w:rsidRDefault="00FA3478" w:rsidP="00FA3478">
      <w:pPr>
        <w:pStyle w:val="CGCNumberedPara"/>
        <w:numPr>
          <w:ilvl w:val="1"/>
          <w:numId w:val="3"/>
        </w:numPr>
      </w:pPr>
      <w:r>
        <w:t xml:space="preserve">The land rich transactions by listed companies adjustment was introduced when only Western Australia applied duty to these transactions. Since then, </w:t>
      </w:r>
      <w:r w:rsidR="00D41FCC">
        <w:t xml:space="preserve">all </w:t>
      </w:r>
      <w:r>
        <w:t xml:space="preserve">States (other than Tasmania) have amended their legislation to apply duty to similar transactions. Commission </w:t>
      </w:r>
      <w:proofErr w:type="gramStart"/>
      <w:r>
        <w:t>staff propose</w:t>
      </w:r>
      <w:proofErr w:type="gramEnd"/>
      <w:r>
        <w:t xml:space="preserve"> to recommend to the Commission </w:t>
      </w:r>
      <w:r w:rsidR="00C70202">
        <w:t xml:space="preserve">to </w:t>
      </w:r>
      <w:r>
        <w:t>include land rich transactions by listed companies in the property revenue base.</w:t>
      </w:r>
      <w:r w:rsidRPr="00596F13">
        <w:t xml:space="preserve"> </w:t>
      </w:r>
      <w:r>
        <w:t xml:space="preserve">Under the adjustment </w:t>
      </w:r>
      <w:r>
        <w:lastRenderedPageBreak/>
        <w:t xml:space="preserve">framework, an adjustment would be required to impute the missing transactions for Tasmania. Over the last four years, States raised $697 million (about 1% of real property duties) in duties from these transactions. A 1% adjustment for Tasmania would not be </w:t>
      </w:r>
      <w:proofErr w:type="gramStart"/>
      <w:r>
        <w:t>material</w:t>
      </w:r>
      <w:r w:rsidR="00C70202">
        <w:t>,</w:t>
      </w:r>
      <w:proofErr w:type="gramEnd"/>
      <w:r w:rsidR="00C70202">
        <w:t xml:space="preserve"> it would fail the $10 data materiality threshold</w:t>
      </w:r>
      <w:r>
        <w:t>.</w:t>
      </w:r>
    </w:p>
    <w:p w:rsidR="00FA3478" w:rsidRDefault="00FA3478" w:rsidP="00FA3478">
      <w:pPr>
        <w:pStyle w:val="CGCNumberedPara"/>
        <w:numPr>
          <w:ilvl w:val="1"/>
          <w:numId w:val="3"/>
        </w:numPr>
      </w:pPr>
      <w:r>
        <w:t xml:space="preserve">Most States refund or exempt duty on corporate reconstructions to encourage economic reform. A corporate reconstruction arises when a corporate group reorganises its business structure by transferring assets between companies within the group. As these transactions are about reorganising assets rather than a disposal of those assets, Commission </w:t>
      </w:r>
      <w:proofErr w:type="gramStart"/>
      <w:r>
        <w:t>staff do</w:t>
      </w:r>
      <w:proofErr w:type="gramEnd"/>
      <w:r>
        <w:t xml:space="preserve"> not consider it appropriate to assess the duty raised using the property component capacity measure. Consequently, Commission </w:t>
      </w:r>
      <w:proofErr w:type="gramStart"/>
      <w:r>
        <w:t>staff propose</w:t>
      </w:r>
      <w:proofErr w:type="gramEnd"/>
      <w:r>
        <w:t xml:space="preserve"> to recommend the Commission continue to assess the duty from corporate reconstructions in the EPC component.</w:t>
      </w:r>
    </w:p>
    <w:p w:rsidR="00FA3478" w:rsidRDefault="00FA3478" w:rsidP="00FA3478">
      <w:pPr>
        <w:pStyle w:val="CGCNumberedPara"/>
        <w:numPr>
          <w:ilvl w:val="1"/>
          <w:numId w:val="3"/>
        </w:numPr>
      </w:pPr>
      <w:r>
        <w:t xml:space="preserve">States raise duty from the sale of major State assets. These transactions are about States divesting themselves of major assets. These transactions bear no connection to the real property transfers. Therefore, Commission </w:t>
      </w:r>
      <w:proofErr w:type="gramStart"/>
      <w:r>
        <w:t>staff do</w:t>
      </w:r>
      <w:proofErr w:type="gramEnd"/>
      <w:r>
        <w:t xml:space="preserve"> not consider it appropriate to assess the duty raised using the property component capacity measure. Consequently, Commission </w:t>
      </w:r>
      <w:proofErr w:type="gramStart"/>
      <w:r>
        <w:t>staff propose</w:t>
      </w:r>
      <w:proofErr w:type="gramEnd"/>
      <w:r>
        <w:t xml:space="preserve"> to recommend the Commission continue to assess the duty from these transactions in the EPC component.</w:t>
      </w:r>
    </w:p>
    <w:p w:rsidR="00FA3478" w:rsidRDefault="00FA3478" w:rsidP="00FA3478"/>
    <w:tbl>
      <w:tblPr>
        <w:tblW w:w="0" w:type="auto"/>
        <w:tblInd w:w="108" w:type="dxa"/>
        <w:shd w:val="clear" w:color="auto" w:fill="D9F3E6"/>
        <w:tblLook w:val="04A0" w:firstRow="1" w:lastRow="0" w:firstColumn="1" w:lastColumn="0" w:noHBand="0" w:noVBand="1"/>
      </w:tblPr>
      <w:tblGrid>
        <w:gridCol w:w="8931"/>
      </w:tblGrid>
      <w:tr w:rsidR="00FA3478" w:rsidRPr="00E674AF" w:rsidTr="00C8665E">
        <w:tc>
          <w:tcPr>
            <w:tcW w:w="8931" w:type="dxa"/>
            <w:shd w:val="clear" w:color="auto" w:fill="D9F3E6"/>
          </w:tcPr>
          <w:p w:rsidR="00FA3478" w:rsidRPr="00E674AF" w:rsidRDefault="00FA3478" w:rsidP="00C8665E">
            <w:r w:rsidRPr="00B7517F">
              <w:t>Staff propose to recommend the Commission:</w:t>
            </w:r>
          </w:p>
          <w:p w:rsidR="00FA3478" w:rsidRDefault="00FA3478" w:rsidP="00C8665E">
            <w:pPr>
              <w:pStyle w:val="CGCBulletlist"/>
              <w:numPr>
                <w:ilvl w:val="0"/>
                <w:numId w:val="1"/>
              </w:numPr>
              <w:tabs>
                <w:tab w:val="clear" w:pos="927"/>
                <w:tab w:val="clear" w:pos="1134"/>
              </w:tabs>
              <w:ind w:left="1134" w:hanging="567"/>
            </w:pPr>
            <w:r>
              <w:t>assess stamp duty on conveyances using the value of property transferred</w:t>
            </w:r>
          </w:p>
          <w:p w:rsidR="00FA3478" w:rsidRDefault="00FA3478" w:rsidP="00C8665E">
            <w:pPr>
              <w:pStyle w:val="CGCBulletlist"/>
              <w:numPr>
                <w:ilvl w:val="0"/>
                <w:numId w:val="1"/>
              </w:numPr>
              <w:tabs>
                <w:tab w:val="clear" w:pos="927"/>
                <w:tab w:val="clear" w:pos="1134"/>
              </w:tabs>
              <w:ind w:left="1134" w:hanging="567"/>
            </w:pPr>
            <w:r>
              <w:t>adjust the value of property transferred:</w:t>
            </w:r>
          </w:p>
          <w:p w:rsidR="00FA3478" w:rsidRDefault="00FA3478" w:rsidP="00FA3478">
            <w:pPr>
              <w:pStyle w:val="CGCSubbulletlist"/>
              <w:numPr>
                <w:ilvl w:val="0"/>
                <w:numId w:val="4"/>
              </w:numPr>
              <w:tabs>
                <w:tab w:val="clear" w:pos="927"/>
              </w:tabs>
              <w:ind w:left="1701" w:hanging="567"/>
            </w:pPr>
            <w:r>
              <w:t>to remove values relating to non-real property, corporate reconstructions and sales of major State assets</w:t>
            </w:r>
          </w:p>
          <w:p w:rsidR="00FA3478" w:rsidRDefault="00FA3478" w:rsidP="00FA3478">
            <w:pPr>
              <w:pStyle w:val="CGCSubbulletlist"/>
              <w:numPr>
                <w:ilvl w:val="0"/>
                <w:numId w:val="4"/>
              </w:numPr>
              <w:tabs>
                <w:tab w:val="clear" w:pos="927"/>
              </w:tabs>
              <w:ind w:left="1701" w:hanging="567"/>
            </w:pPr>
            <w:r>
              <w:t>for the wider scope of unit trusts and commercial real property in selected States</w:t>
            </w:r>
          </w:p>
          <w:p w:rsidR="00FA3478" w:rsidRDefault="00FA3478" w:rsidP="00FA3478">
            <w:pPr>
              <w:pStyle w:val="CGCSubbulletlist"/>
              <w:numPr>
                <w:ilvl w:val="0"/>
                <w:numId w:val="4"/>
              </w:numPr>
              <w:tabs>
                <w:tab w:val="clear" w:pos="927"/>
              </w:tabs>
              <w:ind w:left="1701" w:hanging="567"/>
            </w:pPr>
            <w:r>
              <w:t>for the progressivity of transfer duty</w:t>
            </w:r>
          </w:p>
          <w:p w:rsidR="00FA3478" w:rsidRPr="00E674AF" w:rsidRDefault="00FA3478" w:rsidP="00C8665E">
            <w:pPr>
              <w:pStyle w:val="CGCBulletlist"/>
              <w:numPr>
                <w:ilvl w:val="0"/>
                <w:numId w:val="1"/>
              </w:numPr>
              <w:tabs>
                <w:tab w:val="clear" w:pos="927"/>
                <w:tab w:val="clear" w:pos="1134"/>
              </w:tabs>
              <w:ind w:left="1134" w:hanging="567"/>
            </w:pPr>
            <w:proofErr w:type="gramStart"/>
            <w:r>
              <w:t>assess</w:t>
            </w:r>
            <w:proofErr w:type="gramEnd"/>
            <w:r>
              <w:t xml:space="preserve"> duty from transactions on non-real property, corporate reconstructions and sales of major State assets in the EPC component.</w:t>
            </w:r>
          </w:p>
        </w:tc>
      </w:tr>
    </w:tbl>
    <w:p w:rsidR="00FA3478" w:rsidRPr="00E674AF" w:rsidRDefault="00FA3478" w:rsidP="00FA3478">
      <w:pPr>
        <w:tabs>
          <w:tab w:val="clear" w:pos="567"/>
        </w:tabs>
      </w:pPr>
    </w:p>
    <w:p w:rsidR="00FA3478" w:rsidRDefault="00FA3478" w:rsidP="00FA3478">
      <w:pPr>
        <w:pStyle w:val="Heading4"/>
      </w:pPr>
      <w:bookmarkStart w:id="27" w:name="_Toc511824703"/>
      <w:r>
        <w:t>Other issues considered</w:t>
      </w:r>
      <w:bookmarkEnd w:id="27"/>
    </w:p>
    <w:p w:rsidR="00FA3478" w:rsidRPr="0071625C" w:rsidRDefault="00FA3478" w:rsidP="00FA3478">
      <w:pPr>
        <w:pStyle w:val="CGCNumberedPara"/>
        <w:numPr>
          <w:ilvl w:val="1"/>
          <w:numId w:val="3"/>
        </w:numPr>
      </w:pPr>
      <w:r>
        <w:rPr>
          <w:rStyle w:val="Heading6Char"/>
        </w:rPr>
        <w:t>Elasticity adjustment</w:t>
      </w:r>
      <w:r w:rsidRPr="00B7517F">
        <w:rPr>
          <w:rStyle w:val="Heading6Char"/>
        </w:rPr>
        <w:t>.</w:t>
      </w:r>
      <w:r>
        <w:t xml:space="preserve"> The Commission has engaged consultants to provide advice on whether it should consider reinstating elasticity adjustments and, if so, for which categories. </w:t>
      </w:r>
      <w:r w:rsidRPr="00B948BA">
        <w:rPr>
          <w:szCs w:val="22"/>
        </w:rPr>
        <w:t xml:space="preserve">The </w:t>
      </w:r>
      <w:r w:rsidR="00622AFE">
        <w:rPr>
          <w:szCs w:val="22"/>
        </w:rPr>
        <w:t xml:space="preserve">question </w:t>
      </w:r>
      <w:r w:rsidRPr="00B948BA">
        <w:rPr>
          <w:szCs w:val="22"/>
        </w:rPr>
        <w:t xml:space="preserve">whether an elasticity adjustment </w:t>
      </w:r>
      <w:r w:rsidR="00622AFE">
        <w:rPr>
          <w:szCs w:val="22"/>
        </w:rPr>
        <w:t>c</w:t>
      </w:r>
      <w:r w:rsidR="00D41FCC">
        <w:rPr>
          <w:szCs w:val="22"/>
        </w:rPr>
        <w:t>ould</w:t>
      </w:r>
      <w:r w:rsidRPr="00B948BA">
        <w:rPr>
          <w:szCs w:val="22"/>
        </w:rPr>
        <w:t xml:space="preserve"> be </w:t>
      </w:r>
      <w:r w:rsidR="00622AFE">
        <w:rPr>
          <w:szCs w:val="22"/>
        </w:rPr>
        <w:t xml:space="preserve">assessed in </w:t>
      </w:r>
      <w:r w:rsidRPr="00B948BA">
        <w:rPr>
          <w:szCs w:val="22"/>
        </w:rPr>
        <w:t xml:space="preserve">the </w:t>
      </w:r>
      <w:r>
        <w:rPr>
          <w:szCs w:val="22"/>
        </w:rPr>
        <w:t>Stamp duty on conveyances</w:t>
      </w:r>
      <w:r w:rsidRPr="00B948BA">
        <w:rPr>
          <w:szCs w:val="22"/>
        </w:rPr>
        <w:t xml:space="preserve"> </w:t>
      </w:r>
      <w:r w:rsidR="00D41FCC">
        <w:rPr>
          <w:szCs w:val="22"/>
        </w:rPr>
        <w:t>assessment</w:t>
      </w:r>
      <w:r w:rsidR="00622AFE">
        <w:rPr>
          <w:szCs w:val="22"/>
        </w:rPr>
        <w:t xml:space="preserve"> will be addressed by that consultancy</w:t>
      </w:r>
      <w:r w:rsidRPr="00B948BA">
        <w:rPr>
          <w:szCs w:val="22"/>
        </w:rPr>
        <w:t>.</w:t>
      </w:r>
    </w:p>
    <w:p w:rsidR="00FA3478" w:rsidRDefault="00FA3478" w:rsidP="00FA3478"/>
    <w:p w:rsidR="00C90197" w:rsidRDefault="00C90197" w:rsidP="00FA3478"/>
    <w:tbl>
      <w:tblPr>
        <w:tblW w:w="0" w:type="auto"/>
        <w:tblInd w:w="108" w:type="dxa"/>
        <w:shd w:val="clear" w:color="auto" w:fill="D9F3E6"/>
        <w:tblLook w:val="04A0" w:firstRow="1" w:lastRow="0" w:firstColumn="1" w:lastColumn="0" w:noHBand="0" w:noVBand="1"/>
      </w:tblPr>
      <w:tblGrid>
        <w:gridCol w:w="8931"/>
      </w:tblGrid>
      <w:tr w:rsidR="00FA3478" w:rsidRPr="00E674AF" w:rsidTr="00C8665E">
        <w:tc>
          <w:tcPr>
            <w:tcW w:w="8931" w:type="dxa"/>
            <w:shd w:val="clear" w:color="auto" w:fill="D9F3E6"/>
          </w:tcPr>
          <w:p w:rsidR="00FA3478" w:rsidRPr="00E674AF" w:rsidRDefault="00FA3478" w:rsidP="00C8665E">
            <w:r w:rsidRPr="00B7517F">
              <w:lastRenderedPageBreak/>
              <w:t>Staff propose to recommend the Commission</w:t>
            </w:r>
            <w:r>
              <w:t xml:space="preserve"> defer consideration of</w:t>
            </w:r>
            <w:r w:rsidRPr="00B7517F">
              <w:t>:</w:t>
            </w:r>
          </w:p>
          <w:p w:rsidR="00FA3478" w:rsidRPr="00E674AF" w:rsidRDefault="00FA3478" w:rsidP="00C8665E">
            <w:pPr>
              <w:pStyle w:val="CGCBulletlist"/>
              <w:numPr>
                <w:ilvl w:val="0"/>
                <w:numId w:val="1"/>
              </w:numPr>
              <w:tabs>
                <w:tab w:val="clear" w:pos="927"/>
                <w:tab w:val="clear" w:pos="1134"/>
              </w:tabs>
              <w:ind w:left="1134" w:hanging="567"/>
            </w:pPr>
            <w:proofErr w:type="gramStart"/>
            <w:r>
              <w:t>an</w:t>
            </w:r>
            <w:proofErr w:type="gramEnd"/>
            <w:r>
              <w:t xml:space="preserve"> elasticity adjustment until it has considered the consultant’s report on elasticities.</w:t>
            </w:r>
          </w:p>
        </w:tc>
      </w:tr>
    </w:tbl>
    <w:p w:rsidR="00FA3478" w:rsidRPr="00E674AF" w:rsidRDefault="00FA3478" w:rsidP="00FA3478">
      <w:pPr>
        <w:tabs>
          <w:tab w:val="clear" w:pos="567"/>
        </w:tabs>
      </w:pPr>
    </w:p>
    <w:p w:rsidR="00FA3478" w:rsidRDefault="00FA3478" w:rsidP="007A538B">
      <w:pPr>
        <w:pStyle w:val="Heading3"/>
      </w:pPr>
      <w:bookmarkStart w:id="28" w:name="_Toc511824704"/>
      <w:r>
        <w:t>Conclusion and way forward</w:t>
      </w:r>
      <w:bookmarkEnd w:id="28"/>
    </w:p>
    <w:p w:rsidR="00FA3478" w:rsidRDefault="00FA3478" w:rsidP="007A538B">
      <w:pPr>
        <w:pStyle w:val="Heading4"/>
      </w:pPr>
      <w:bookmarkStart w:id="29" w:name="_Toc511824705"/>
      <w:r>
        <w:t>Proposed assessment structure</w:t>
      </w:r>
      <w:bookmarkEnd w:id="29"/>
    </w:p>
    <w:p w:rsidR="00FA3478" w:rsidRDefault="00FA3478" w:rsidP="00FA3478">
      <w:pPr>
        <w:pStyle w:val="CGCNumberedPara"/>
        <w:numPr>
          <w:ilvl w:val="1"/>
          <w:numId w:val="3"/>
        </w:numPr>
      </w:pPr>
      <w:proofErr w:type="gramStart"/>
      <w:r>
        <w:t>Staff propose</w:t>
      </w:r>
      <w:proofErr w:type="gramEnd"/>
      <w:r>
        <w:t xml:space="preserve"> the following assessment structure for this category in the 2020 Review. </w:t>
      </w:r>
    </w:p>
    <w:p w:rsidR="00FA3478" w:rsidRDefault="00FA3478" w:rsidP="00FA3478">
      <w:pPr>
        <w:pStyle w:val="CGCTableHeading"/>
      </w:pPr>
      <w:r>
        <w:t xml:space="preserve">Table </w:t>
      </w:r>
      <w:fldSimple w:instr=" SEQ Table \* ARABIC ">
        <w:r w:rsidR="00865709">
          <w:rPr>
            <w:noProof/>
          </w:rPr>
          <w:t>9</w:t>
        </w:r>
      </w:fldSimple>
      <w:r>
        <w:tab/>
      </w:r>
      <w:r w:rsidRPr="00B7517F">
        <w:t xml:space="preserve">Proposed </w:t>
      </w:r>
      <w:r w:rsidR="00F5738F">
        <w:t>Stamp duty on conveyances</w:t>
      </w:r>
      <w:r w:rsidRPr="00B7517F">
        <w:t xml:space="preserve"> category structure</w:t>
      </w:r>
    </w:p>
    <w:tbl>
      <w:tblPr>
        <w:tblW w:w="5000" w:type="pct"/>
        <w:tblCellMar>
          <w:left w:w="85" w:type="dxa"/>
          <w:right w:w="85" w:type="dxa"/>
        </w:tblCellMar>
        <w:tblLook w:val="0000" w:firstRow="0" w:lastRow="0" w:firstColumn="0" w:lastColumn="0" w:noHBand="0" w:noVBand="0"/>
      </w:tblPr>
      <w:tblGrid>
        <w:gridCol w:w="1361"/>
        <w:gridCol w:w="1985"/>
        <w:gridCol w:w="5775"/>
      </w:tblGrid>
      <w:tr w:rsidR="00FA3478" w:rsidRPr="004537EA" w:rsidTr="00C8665E">
        <w:tc>
          <w:tcPr>
            <w:tcW w:w="746" w:type="pct"/>
            <w:tcBorders>
              <w:top w:val="single" w:sz="6" w:space="0" w:color="auto"/>
              <w:bottom w:val="single" w:sz="6" w:space="0" w:color="auto"/>
            </w:tcBorders>
            <w:vAlign w:val="bottom"/>
          </w:tcPr>
          <w:p w:rsidR="00FA3478" w:rsidRPr="004537EA" w:rsidRDefault="00FA3478" w:rsidP="00C8665E">
            <w:pPr>
              <w:pStyle w:val="TableColHeadings"/>
              <w:jc w:val="left"/>
              <w:rPr>
                <w:rFonts w:cstheme="minorHAnsi"/>
              </w:rPr>
            </w:pPr>
            <w:r w:rsidRPr="00134594">
              <w:rPr>
                <w:rFonts w:cstheme="minorHAnsi"/>
              </w:rPr>
              <w:t>Component</w:t>
            </w:r>
          </w:p>
        </w:tc>
        <w:tc>
          <w:tcPr>
            <w:tcW w:w="1088" w:type="pct"/>
            <w:tcBorders>
              <w:top w:val="single" w:sz="6" w:space="0" w:color="auto"/>
              <w:bottom w:val="single" w:sz="6" w:space="0" w:color="auto"/>
            </w:tcBorders>
            <w:vAlign w:val="bottom"/>
          </w:tcPr>
          <w:p w:rsidR="00FA3478" w:rsidRPr="004537EA" w:rsidRDefault="00FA3478" w:rsidP="00C8665E">
            <w:pPr>
              <w:pStyle w:val="TableColHeadings"/>
              <w:jc w:val="left"/>
              <w:rPr>
                <w:rFonts w:cstheme="minorHAnsi"/>
              </w:rPr>
            </w:pPr>
            <w:r w:rsidRPr="00134594">
              <w:rPr>
                <w:rFonts w:cstheme="minorHAnsi"/>
              </w:rPr>
              <w:t>Disability</w:t>
            </w:r>
          </w:p>
        </w:tc>
        <w:tc>
          <w:tcPr>
            <w:tcW w:w="3166" w:type="pct"/>
            <w:tcBorders>
              <w:top w:val="single" w:sz="6" w:space="0" w:color="auto"/>
              <w:bottom w:val="single" w:sz="6" w:space="0" w:color="auto"/>
            </w:tcBorders>
            <w:vAlign w:val="bottom"/>
          </w:tcPr>
          <w:p w:rsidR="00FA3478" w:rsidRPr="004537EA" w:rsidRDefault="00FA3478" w:rsidP="00C8665E">
            <w:pPr>
              <w:pStyle w:val="TableColHeadings"/>
              <w:jc w:val="left"/>
              <w:rPr>
                <w:rFonts w:cstheme="minorHAnsi"/>
              </w:rPr>
            </w:pPr>
            <w:r w:rsidRPr="00134594">
              <w:rPr>
                <w:rFonts w:cstheme="minorHAnsi"/>
              </w:rPr>
              <w:t>Influence measured by disability</w:t>
            </w:r>
          </w:p>
        </w:tc>
      </w:tr>
      <w:tr w:rsidR="00FA3478" w:rsidRPr="008750C8" w:rsidTr="00363971">
        <w:tc>
          <w:tcPr>
            <w:tcW w:w="746" w:type="pct"/>
            <w:vAlign w:val="bottom"/>
          </w:tcPr>
          <w:p w:rsidR="00FA3478" w:rsidRPr="008750C8" w:rsidRDefault="00FA3478" w:rsidP="00C8665E">
            <w:pPr>
              <w:pStyle w:val="TableRowNormal"/>
              <w:jc w:val="left"/>
              <w:rPr>
                <w:rFonts w:ascii="Calibri" w:eastAsia="Times New Roman" w:hAnsi="Calibri" w:cs="Times New Roman"/>
                <w:color w:val="000000"/>
                <w:lang w:eastAsia="en-AU"/>
              </w:rPr>
            </w:pPr>
            <w:r w:rsidRPr="008750C8">
              <w:rPr>
                <w:rFonts w:ascii="Calibri" w:eastAsia="Times New Roman" w:hAnsi="Calibri" w:cs="Times New Roman"/>
                <w:color w:val="000000"/>
                <w:lang w:eastAsia="en-AU"/>
              </w:rPr>
              <w:t>EPC</w:t>
            </w:r>
          </w:p>
        </w:tc>
        <w:tc>
          <w:tcPr>
            <w:tcW w:w="1088" w:type="pct"/>
            <w:vAlign w:val="bottom"/>
          </w:tcPr>
          <w:p w:rsidR="00FA3478" w:rsidRPr="008750C8" w:rsidRDefault="00FA3478" w:rsidP="00C8665E">
            <w:pPr>
              <w:pStyle w:val="TableRowNormal"/>
              <w:jc w:val="left"/>
              <w:rPr>
                <w:rFonts w:ascii="Calibri" w:eastAsia="Times New Roman" w:hAnsi="Calibri" w:cs="Times New Roman"/>
                <w:color w:val="000000"/>
                <w:lang w:eastAsia="en-AU"/>
              </w:rPr>
            </w:pPr>
            <w:r>
              <w:rPr>
                <w:rFonts w:ascii="Calibri" w:eastAsia="Times New Roman" w:hAnsi="Calibri" w:cs="Times New Roman"/>
                <w:color w:val="000000"/>
                <w:lang w:eastAsia="en-AU"/>
              </w:rPr>
              <w:t>Population</w:t>
            </w:r>
          </w:p>
        </w:tc>
        <w:tc>
          <w:tcPr>
            <w:tcW w:w="3166" w:type="pct"/>
            <w:vAlign w:val="bottom"/>
          </w:tcPr>
          <w:p w:rsidR="00FA3478" w:rsidRPr="008750C8" w:rsidRDefault="00FA3478" w:rsidP="00C8665E">
            <w:pPr>
              <w:pStyle w:val="TableRowNormal"/>
              <w:jc w:val="left"/>
              <w:rPr>
                <w:rFonts w:ascii="Calibri" w:eastAsia="Times New Roman" w:hAnsi="Calibri" w:cs="Times New Roman"/>
                <w:color w:val="000000"/>
                <w:lang w:eastAsia="en-AU"/>
              </w:rPr>
            </w:pPr>
            <w:r>
              <w:rPr>
                <w:rFonts w:ascii="Calibri" w:eastAsia="Times New Roman" w:hAnsi="Calibri" w:cs="Times New Roman"/>
                <w:color w:val="000000"/>
                <w:lang w:eastAsia="en-AU"/>
              </w:rPr>
              <w:t>Assumes each State has the same per capita revenue capacity</w:t>
            </w:r>
            <w:r w:rsidRPr="008750C8">
              <w:rPr>
                <w:rFonts w:ascii="Calibri" w:eastAsia="Times New Roman" w:hAnsi="Calibri" w:cs="Times New Roman"/>
                <w:color w:val="000000"/>
                <w:lang w:eastAsia="en-AU"/>
              </w:rPr>
              <w:t>.</w:t>
            </w:r>
          </w:p>
        </w:tc>
      </w:tr>
      <w:tr w:rsidR="00FA3478" w:rsidRPr="008750C8" w:rsidTr="00C8665E">
        <w:tc>
          <w:tcPr>
            <w:tcW w:w="746" w:type="pct"/>
          </w:tcPr>
          <w:p w:rsidR="00FA3478" w:rsidRPr="008750C8" w:rsidRDefault="00FA3478" w:rsidP="00C8665E">
            <w:pPr>
              <w:pStyle w:val="TableRowNormal"/>
              <w:jc w:val="left"/>
              <w:rPr>
                <w:rFonts w:ascii="Calibri" w:eastAsia="Times New Roman" w:hAnsi="Calibri" w:cs="Times New Roman"/>
                <w:color w:val="000000"/>
                <w:lang w:eastAsia="en-AU"/>
              </w:rPr>
            </w:pPr>
            <w:r>
              <w:rPr>
                <w:rFonts w:ascii="Calibri" w:eastAsia="Times New Roman" w:hAnsi="Calibri" w:cs="Times New Roman"/>
                <w:color w:val="000000"/>
                <w:lang w:eastAsia="en-AU"/>
              </w:rPr>
              <w:t>Property</w:t>
            </w:r>
          </w:p>
        </w:tc>
        <w:tc>
          <w:tcPr>
            <w:tcW w:w="1088" w:type="pct"/>
            <w:vAlign w:val="bottom"/>
          </w:tcPr>
          <w:p w:rsidR="00FA3478" w:rsidRPr="00B57879" w:rsidRDefault="00FA3478" w:rsidP="00C8665E">
            <w:pPr>
              <w:pStyle w:val="TableRowNormal"/>
              <w:jc w:val="left"/>
              <w:rPr>
                <w:rFonts w:ascii="Calibri" w:eastAsia="Times New Roman" w:hAnsi="Calibri" w:cs="Times New Roman"/>
                <w:color w:val="000000"/>
                <w:lang w:eastAsia="en-AU"/>
              </w:rPr>
            </w:pPr>
            <w:r>
              <w:rPr>
                <w:rFonts w:ascii="Calibri" w:eastAsia="Times New Roman" w:hAnsi="Calibri" w:cs="Times New Roman"/>
                <w:color w:val="000000"/>
                <w:lang w:eastAsia="en-AU"/>
              </w:rPr>
              <w:t>Value of land transferred</w:t>
            </w:r>
          </w:p>
        </w:tc>
        <w:tc>
          <w:tcPr>
            <w:tcW w:w="3166" w:type="pct"/>
            <w:vAlign w:val="bottom"/>
          </w:tcPr>
          <w:p w:rsidR="00FA3478" w:rsidRPr="00B57879" w:rsidRDefault="00FA3478" w:rsidP="00C8665E">
            <w:pPr>
              <w:pStyle w:val="TableRowNormal"/>
              <w:jc w:val="left"/>
              <w:rPr>
                <w:rFonts w:ascii="Calibri" w:eastAsia="Times New Roman" w:hAnsi="Calibri" w:cs="Times New Roman"/>
                <w:color w:val="000000"/>
                <w:lang w:eastAsia="en-AU"/>
              </w:rPr>
            </w:pPr>
            <w:r w:rsidRPr="00B57879">
              <w:rPr>
                <w:rFonts w:ascii="Calibri" w:eastAsia="Times New Roman" w:hAnsi="Calibri" w:cs="Times New Roman"/>
                <w:color w:val="000000"/>
                <w:lang w:eastAsia="en-AU"/>
              </w:rPr>
              <w:t xml:space="preserve">Recognises the additional revenue capacity of States with a greater number of properties </w:t>
            </w:r>
            <w:r>
              <w:rPr>
                <w:rFonts w:ascii="Calibri" w:eastAsia="Times New Roman" w:hAnsi="Calibri" w:cs="Times New Roman"/>
                <w:color w:val="000000"/>
                <w:lang w:eastAsia="en-AU"/>
              </w:rPr>
              <w:t xml:space="preserve">transferred </w:t>
            </w:r>
            <w:r w:rsidRPr="00B57879">
              <w:rPr>
                <w:rFonts w:ascii="Calibri" w:eastAsia="Times New Roman" w:hAnsi="Calibri" w:cs="Times New Roman"/>
                <w:color w:val="000000"/>
                <w:lang w:eastAsia="en-AU"/>
              </w:rPr>
              <w:t>and a greater land value</w:t>
            </w:r>
          </w:p>
        </w:tc>
      </w:tr>
      <w:tr w:rsidR="00FA3478" w:rsidRPr="008750C8" w:rsidTr="00C8665E">
        <w:tc>
          <w:tcPr>
            <w:tcW w:w="746" w:type="pct"/>
            <w:vAlign w:val="bottom"/>
          </w:tcPr>
          <w:p w:rsidR="00FA3478" w:rsidRDefault="00FA3478" w:rsidP="00C8665E">
            <w:pPr>
              <w:pStyle w:val="TableRowNormal"/>
              <w:jc w:val="left"/>
              <w:rPr>
                <w:rFonts w:ascii="Calibri" w:eastAsia="Times New Roman" w:hAnsi="Calibri" w:cs="Times New Roman"/>
                <w:color w:val="000000"/>
                <w:lang w:eastAsia="en-AU"/>
              </w:rPr>
            </w:pPr>
          </w:p>
        </w:tc>
        <w:tc>
          <w:tcPr>
            <w:tcW w:w="1088" w:type="pct"/>
            <w:vAlign w:val="bottom"/>
          </w:tcPr>
          <w:p w:rsidR="00FA3478" w:rsidRPr="008750C8" w:rsidRDefault="00FA3478" w:rsidP="00C8665E">
            <w:pPr>
              <w:pStyle w:val="TableRowNormal"/>
              <w:jc w:val="left"/>
              <w:rPr>
                <w:rFonts w:ascii="Calibri" w:eastAsia="Times New Roman" w:hAnsi="Calibri" w:cs="Times New Roman"/>
                <w:color w:val="000000"/>
                <w:lang w:eastAsia="en-AU"/>
              </w:rPr>
            </w:pPr>
            <w:r>
              <w:rPr>
                <w:rFonts w:ascii="Calibri" w:eastAsia="Times New Roman" w:hAnsi="Calibri" w:cs="Times New Roman"/>
                <w:color w:val="000000"/>
                <w:lang w:eastAsia="en-AU"/>
              </w:rPr>
              <w:t>Progressive rates of duty</w:t>
            </w:r>
          </w:p>
        </w:tc>
        <w:tc>
          <w:tcPr>
            <w:tcW w:w="3166" w:type="pct"/>
            <w:vAlign w:val="bottom"/>
          </w:tcPr>
          <w:p w:rsidR="00FA3478" w:rsidRPr="008750C8" w:rsidRDefault="00FA3478" w:rsidP="00C8665E">
            <w:pPr>
              <w:pStyle w:val="TableRowNormal"/>
              <w:jc w:val="left"/>
              <w:rPr>
                <w:rFonts w:ascii="Calibri" w:eastAsia="Times New Roman" w:hAnsi="Calibri" w:cs="Times New Roman"/>
                <w:color w:val="000000"/>
                <w:lang w:eastAsia="en-AU"/>
              </w:rPr>
            </w:pPr>
            <w:r w:rsidRPr="00A66AD0">
              <w:rPr>
                <w:rFonts w:ascii="Calibri" w:eastAsia="Times New Roman" w:hAnsi="Calibri" w:cs="Times New Roman"/>
                <w:lang w:eastAsia="en-AU"/>
              </w:rPr>
              <w:t>Recognises the additional revenue capacity of States with proportionally more properties in higher value ranges</w:t>
            </w:r>
            <w:r w:rsidRPr="008750C8">
              <w:rPr>
                <w:rFonts w:ascii="Calibri" w:eastAsia="Times New Roman" w:hAnsi="Calibri" w:cs="Times New Roman"/>
                <w:color w:val="000000"/>
                <w:lang w:eastAsia="en-AU"/>
              </w:rPr>
              <w:t>.</w:t>
            </w:r>
          </w:p>
        </w:tc>
      </w:tr>
      <w:tr w:rsidR="00FA3478" w:rsidRPr="008750C8" w:rsidTr="00C8665E">
        <w:tc>
          <w:tcPr>
            <w:tcW w:w="746" w:type="pct"/>
            <w:tcBorders>
              <w:bottom w:val="single" w:sz="6" w:space="0" w:color="auto"/>
            </w:tcBorders>
            <w:vAlign w:val="bottom"/>
          </w:tcPr>
          <w:p w:rsidR="00FA3478" w:rsidRDefault="00FA3478" w:rsidP="00C8665E">
            <w:pPr>
              <w:pStyle w:val="TableRowNormal"/>
              <w:jc w:val="left"/>
              <w:rPr>
                <w:rFonts w:ascii="Calibri" w:eastAsia="Times New Roman" w:hAnsi="Calibri" w:cs="Times New Roman"/>
                <w:color w:val="000000"/>
                <w:lang w:eastAsia="en-AU"/>
              </w:rPr>
            </w:pPr>
          </w:p>
        </w:tc>
        <w:tc>
          <w:tcPr>
            <w:tcW w:w="1088" w:type="pct"/>
            <w:tcBorders>
              <w:bottom w:val="single" w:sz="6" w:space="0" w:color="auto"/>
            </w:tcBorders>
            <w:vAlign w:val="bottom"/>
          </w:tcPr>
          <w:p w:rsidR="00FA3478" w:rsidRDefault="00FA3478" w:rsidP="00C8665E">
            <w:pPr>
              <w:pStyle w:val="TableRowNormal"/>
              <w:jc w:val="left"/>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Range of transactions subject to duty </w:t>
            </w:r>
          </w:p>
        </w:tc>
        <w:tc>
          <w:tcPr>
            <w:tcW w:w="3166" w:type="pct"/>
            <w:tcBorders>
              <w:bottom w:val="single" w:sz="6" w:space="0" w:color="auto"/>
            </w:tcBorders>
            <w:vAlign w:val="bottom"/>
          </w:tcPr>
          <w:p w:rsidR="00FA3478" w:rsidRPr="00A66AD0" w:rsidRDefault="00FA3478" w:rsidP="00C8665E">
            <w:pPr>
              <w:pStyle w:val="TableRowNormal"/>
              <w:jc w:val="left"/>
              <w:rPr>
                <w:rFonts w:ascii="Calibri" w:eastAsia="Times New Roman" w:hAnsi="Calibri" w:cs="Times New Roman"/>
                <w:lang w:eastAsia="en-AU"/>
              </w:rPr>
            </w:pPr>
            <w:r>
              <w:rPr>
                <w:rFonts w:ascii="Calibri" w:eastAsia="Times New Roman" w:hAnsi="Calibri" w:cs="Times New Roman"/>
                <w:lang w:eastAsia="en-AU"/>
              </w:rPr>
              <w:t>Recognises that there are differences in the type of transactions that are taxed in each State.</w:t>
            </w:r>
          </w:p>
        </w:tc>
      </w:tr>
    </w:tbl>
    <w:p w:rsidR="00FA3478" w:rsidRDefault="00FA3478" w:rsidP="00FA3478">
      <w:pPr>
        <w:pStyle w:val="CGCNumberedPara"/>
        <w:numPr>
          <w:ilvl w:val="0"/>
          <w:numId w:val="0"/>
        </w:numPr>
        <w:ind w:left="567" w:hanging="567"/>
      </w:pPr>
    </w:p>
    <w:p w:rsidR="00FA3478" w:rsidRDefault="00FA3478" w:rsidP="00FA3478">
      <w:pPr>
        <w:pStyle w:val="CGCNumberedPara"/>
        <w:numPr>
          <w:ilvl w:val="0"/>
          <w:numId w:val="0"/>
        </w:numPr>
        <w:ind w:left="567" w:hanging="567"/>
      </w:pPr>
    </w:p>
    <w:p w:rsidR="00FA3478" w:rsidRDefault="00FA3478" w:rsidP="00FA3478">
      <w:pPr>
        <w:pStyle w:val="CGCNumberedPara"/>
        <w:numPr>
          <w:ilvl w:val="0"/>
          <w:numId w:val="0"/>
        </w:numPr>
        <w:ind w:left="567" w:hanging="567"/>
      </w:pPr>
    </w:p>
    <w:bookmarkEnd w:id="1"/>
    <w:bookmarkEnd w:id="2"/>
    <w:bookmarkEnd w:id="3"/>
    <w:bookmarkEnd w:id="4"/>
    <w:bookmarkEnd w:id="5"/>
    <w:bookmarkEnd w:id="6"/>
    <w:bookmarkEnd w:id="7"/>
    <w:bookmarkEnd w:id="8"/>
    <w:p w:rsidR="00FA3478" w:rsidRDefault="00FA3478" w:rsidP="00FA3478">
      <w:pPr>
        <w:pStyle w:val="CGCNumberedPara"/>
        <w:numPr>
          <w:ilvl w:val="0"/>
          <w:numId w:val="0"/>
        </w:numPr>
        <w:ind w:left="567" w:hanging="567"/>
      </w:pPr>
    </w:p>
    <w:p w:rsidR="00BF757F" w:rsidRDefault="00BF757F" w:rsidP="00BF757F">
      <w:pPr>
        <w:pStyle w:val="CGCNumberedPara"/>
        <w:numPr>
          <w:ilvl w:val="0"/>
          <w:numId w:val="0"/>
        </w:numPr>
        <w:ind w:left="567" w:hanging="567"/>
      </w:pPr>
    </w:p>
    <w:p w:rsidR="00BF757F" w:rsidRDefault="00BF757F" w:rsidP="00BF757F">
      <w:pPr>
        <w:pStyle w:val="CGCNumberedPara"/>
        <w:numPr>
          <w:ilvl w:val="0"/>
          <w:numId w:val="0"/>
        </w:numPr>
        <w:ind w:left="567" w:hanging="567"/>
        <w:sectPr w:rsidR="00BF757F" w:rsidSect="00BF757F">
          <w:footerReference w:type="first" r:id="rId18"/>
          <w:pgSz w:w="11899" w:h="16838" w:code="9"/>
          <w:pgMar w:top="1701" w:right="1474" w:bottom="1701" w:left="1474" w:header="709" w:footer="709" w:gutter="0"/>
          <w:pgNumType w:start="1"/>
          <w:cols w:space="708"/>
          <w:titlePg/>
          <w:docGrid w:linePitch="299"/>
        </w:sectPr>
      </w:pPr>
    </w:p>
    <w:p w:rsidR="00BF757F" w:rsidRDefault="00BF757F" w:rsidP="00BF757F">
      <w:pPr>
        <w:pStyle w:val="Heading2"/>
      </w:pPr>
      <w:bookmarkStart w:id="30" w:name="_Toc507676522"/>
      <w:bookmarkStart w:id="31" w:name="_Toc511824706"/>
      <w:r>
        <w:lastRenderedPageBreak/>
        <w:t xml:space="preserve">Attachment A: The Commission’s treatment of State land </w:t>
      </w:r>
      <w:bookmarkEnd w:id="30"/>
      <w:r>
        <w:t>rich/landholder provisions</w:t>
      </w:r>
      <w:bookmarkEnd w:id="31"/>
    </w:p>
    <w:p w:rsidR="00BF757F" w:rsidRDefault="00BF757F" w:rsidP="00BF757F">
      <w:pPr>
        <w:pStyle w:val="CGCNumberedPara"/>
        <w:numPr>
          <w:ilvl w:val="1"/>
          <w:numId w:val="41"/>
        </w:numPr>
      </w:pPr>
      <w:r>
        <w:t>This attachment sets out the Commission’s treatment of State land rich and landholder provisions.</w:t>
      </w:r>
    </w:p>
    <w:p w:rsidR="00BF757F" w:rsidRDefault="00BF757F" w:rsidP="003C017B">
      <w:pPr>
        <w:pStyle w:val="Heading4"/>
      </w:pPr>
      <w:bookmarkStart w:id="32" w:name="_Toc511824707"/>
      <w:r>
        <w:t>Land rich provisions</w:t>
      </w:r>
      <w:bookmarkEnd w:id="32"/>
    </w:p>
    <w:p w:rsidR="00BF757F" w:rsidRDefault="00BF757F" w:rsidP="00BF757F">
      <w:pPr>
        <w:pStyle w:val="CGCNumberedPara"/>
        <w:numPr>
          <w:ilvl w:val="1"/>
          <w:numId w:val="41"/>
        </w:numPr>
      </w:pPr>
      <w:r>
        <w:t>States introduced land rich provisions to deal with a situation where purchasers sought to avoid stamp duty on the transfer of land. They did this by holding the land asset in a company and purchasing shares in the company.</w:t>
      </w:r>
    </w:p>
    <w:p w:rsidR="00BF757F" w:rsidRDefault="00BF757F" w:rsidP="00BF757F">
      <w:pPr>
        <w:pStyle w:val="CGCNumberedPara"/>
        <w:numPr>
          <w:ilvl w:val="1"/>
          <w:numId w:val="41"/>
        </w:numPr>
      </w:pPr>
      <w:r>
        <w:t>Before the introduction of land rich duty, share purchases were subject to a duty of around 0.6% compared with rates of stamp duty of up to 5.5% on the transfer of</w:t>
      </w:r>
      <w:r w:rsidRPr="00BF757F">
        <w:t xml:space="preserve"> </w:t>
      </w:r>
      <w:r>
        <w:t>land. The l</w:t>
      </w:r>
      <w:r w:rsidRPr="00323009">
        <w:t xml:space="preserve">and rich duty </w:t>
      </w:r>
      <w:r>
        <w:t xml:space="preserve">provisions </w:t>
      </w:r>
      <w:r w:rsidRPr="00323009">
        <w:t>impose</w:t>
      </w:r>
      <w:r>
        <w:t>d</w:t>
      </w:r>
      <w:r w:rsidRPr="00323009">
        <w:t xml:space="preserve"> the same </w:t>
      </w:r>
      <w:r>
        <w:t xml:space="preserve">rate of </w:t>
      </w:r>
      <w:r w:rsidRPr="00323009">
        <w:t xml:space="preserve">duty on </w:t>
      </w:r>
      <w:r>
        <w:t>the</w:t>
      </w:r>
      <w:r w:rsidRPr="00323009">
        <w:t xml:space="preserve"> </w:t>
      </w:r>
      <w:r>
        <w:t xml:space="preserve">share purchase </w:t>
      </w:r>
      <w:r w:rsidRPr="00323009">
        <w:t xml:space="preserve">as on the </w:t>
      </w:r>
      <w:r>
        <w:t xml:space="preserve">land </w:t>
      </w:r>
      <w:r w:rsidRPr="00323009">
        <w:t>transfer</w:t>
      </w:r>
      <w:r w:rsidRPr="00071B5C">
        <w:t>.</w:t>
      </w:r>
    </w:p>
    <w:p w:rsidR="00BF757F" w:rsidRDefault="00BF757F" w:rsidP="00BF757F">
      <w:pPr>
        <w:pStyle w:val="CGCNumberedPara"/>
        <w:numPr>
          <w:ilvl w:val="1"/>
          <w:numId w:val="41"/>
        </w:numPr>
      </w:pPr>
      <w:r>
        <w:t xml:space="preserve">State’s land rich provisions comprised </w:t>
      </w:r>
      <w:r w:rsidR="00C503B9">
        <w:t>two thresholds — the</w:t>
      </w:r>
      <w:r>
        <w:t xml:space="preserve"> value of land and </w:t>
      </w:r>
      <w:r w:rsidR="00C503B9">
        <w:t>the proportion that the land comprised of the company’s total property (referred to as a land rich test).</w:t>
      </w:r>
    </w:p>
    <w:p w:rsidR="00BF757F" w:rsidRDefault="00BF757F" w:rsidP="003C017B">
      <w:pPr>
        <w:pStyle w:val="Heading4"/>
      </w:pPr>
      <w:bookmarkStart w:id="33" w:name="_Toc511824708"/>
      <w:r>
        <w:t>Land holder provisions</w:t>
      </w:r>
      <w:bookmarkEnd w:id="33"/>
    </w:p>
    <w:p w:rsidR="00BF757F" w:rsidRDefault="00BF757F" w:rsidP="00BF757F">
      <w:pPr>
        <w:pStyle w:val="CGCNumberedPara"/>
        <w:numPr>
          <w:ilvl w:val="1"/>
          <w:numId w:val="41"/>
        </w:numPr>
      </w:pPr>
      <w:r>
        <w:t>After initially introducing land rich provisions, States progressively moved to landholder provisions</w:t>
      </w:r>
      <w:r w:rsidRPr="00323009">
        <w:t>.</w:t>
      </w:r>
      <w:r>
        <w:t xml:space="preserve"> </w:t>
      </w:r>
      <w:r w:rsidRPr="00323009">
        <w:t>Landholder duty broaden</w:t>
      </w:r>
      <w:r>
        <w:t>ed</w:t>
      </w:r>
      <w:r w:rsidRPr="00323009">
        <w:t xml:space="preserve"> the </w:t>
      </w:r>
      <w:r w:rsidR="00C503B9">
        <w:t>tax</w:t>
      </w:r>
      <w:r w:rsidRPr="00323009">
        <w:t xml:space="preserve"> base. It d</w:t>
      </w:r>
      <w:r>
        <w:t>id this</w:t>
      </w:r>
      <w:r w:rsidRPr="00323009">
        <w:t xml:space="preserve"> by doing away with the land rich </w:t>
      </w:r>
      <w:r w:rsidR="005B1D00">
        <w:t>test</w:t>
      </w:r>
      <w:r w:rsidRPr="00323009">
        <w:t xml:space="preserve"> and replacing it with a simple land value threshold</w:t>
      </w:r>
      <w:r>
        <w:t>.</w:t>
      </w:r>
    </w:p>
    <w:p w:rsidR="00BF757F" w:rsidRDefault="00C503B9" w:rsidP="00BF757F">
      <w:pPr>
        <w:pStyle w:val="CGCNumberedPara"/>
        <w:numPr>
          <w:ilvl w:val="1"/>
          <w:numId w:val="41"/>
        </w:numPr>
      </w:pPr>
      <w:r>
        <w:t>For</w:t>
      </w:r>
      <w:r w:rsidR="00BF757F">
        <w:t xml:space="preserve"> </w:t>
      </w:r>
      <w:r w:rsidR="00BF757F" w:rsidRPr="00323009">
        <w:t xml:space="preserve">example, Victoria's land rich provisions applied to </w:t>
      </w:r>
      <w:r w:rsidR="00BF757F">
        <w:t>companies</w:t>
      </w:r>
      <w:r w:rsidR="00BF757F" w:rsidRPr="00323009">
        <w:t xml:space="preserve"> that had $1 million or more of land in Victoria and had 60% or more of their assets (worldwide) in land</w:t>
      </w:r>
      <w:r w:rsidR="00BF757F" w:rsidRPr="006C3710">
        <w:t xml:space="preserve">. </w:t>
      </w:r>
      <w:r w:rsidR="00BF757F" w:rsidRPr="00323009">
        <w:t xml:space="preserve">Its landholder model removed the 60% land rich threshold. So, </w:t>
      </w:r>
      <w:r w:rsidR="00BF757F">
        <w:t>a company</w:t>
      </w:r>
      <w:r w:rsidR="00BF757F" w:rsidRPr="00323009">
        <w:t xml:space="preserve"> is liable for duty if it has $1 million or more of </w:t>
      </w:r>
      <w:r w:rsidR="00BF757F">
        <w:t xml:space="preserve">land in </w:t>
      </w:r>
      <w:r w:rsidR="00BF757F" w:rsidRPr="00323009">
        <w:t>Victoria</w:t>
      </w:r>
      <w:r w:rsidR="00BF757F" w:rsidRPr="006C3710">
        <w:t xml:space="preserve">. </w:t>
      </w:r>
      <w:r>
        <w:t>Almost</w:t>
      </w:r>
      <w:r w:rsidR="00BF757F" w:rsidRPr="00323009">
        <w:t xml:space="preserve"> any land holding is </w:t>
      </w:r>
      <w:r w:rsidR="00BF757F">
        <w:t>potentially</w:t>
      </w:r>
      <w:r w:rsidR="00BF757F" w:rsidRPr="00323009">
        <w:t xml:space="preserve"> </w:t>
      </w:r>
      <w:r w:rsidR="00BF757F">
        <w:t xml:space="preserve">large </w:t>
      </w:r>
      <w:r w:rsidR="00BF757F" w:rsidRPr="00323009">
        <w:t xml:space="preserve">enough to trigger </w:t>
      </w:r>
      <w:r w:rsidR="00BF757F">
        <w:t xml:space="preserve">the provision when shares are purchased in </w:t>
      </w:r>
      <w:r w:rsidR="00BF757F" w:rsidRPr="00323009">
        <w:t xml:space="preserve">the </w:t>
      </w:r>
      <w:r w:rsidR="00BF757F">
        <w:t>company</w:t>
      </w:r>
      <w:r w:rsidR="00BF757F" w:rsidRPr="00323009">
        <w:t xml:space="preserve"> </w:t>
      </w:r>
      <w:r w:rsidR="00BF757F">
        <w:t xml:space="preserve">holding </w:t>
      </w:r>
      <w:r>
        <w:t>a</w:t>
      </w:r>
      <w:r w:rsidR="00BF757F" w:rsidRPr="00323009">
        <w:t xml:space="preserve"> land</w:t>
      </w:r>
      <w:r w:rsidR="00BF757F">
        <w:t xml:space="preserve"> asset.</w:t>
      </w:r>
    </w:p>
    <w:p w:rsidR="00BF757F" w:rsidRDefault="00BF757F" w:rsidP="00BF757F">
      <w:pPr>
        <w:pStyle w:val="CGCNumberedPara"/>
        <w:numPr>
          <w:ilvl w:val="1"/>
          <w:numId w:val="41"/>
        </w:numPr>
      </w:pPr>
      <w:r w:rsidRPr="00323009">
        <w:t xml:space="preserve">Western Australia provided </w:t>
      </w:r>
      <w:r>
        <w:t xml:space="preserve">data </w:t>
      </w:r>
      <w:r w:rsidRPr="00323009">
        <w:t>in the 2010</w:t>
      </w:r>
      <w:r w:rsidR="00C503B9">
        <w:t> R</w:t>
      </w:r>
      <w:r w:rsidRPr="00323009">
        <w:t xml:space="preserve">eview </w:t>
      </w:r>
      <w:r>
        <w:t xml:space="preserve">that </w:t>
      </w:r>
      <w:r w:rsidRPr="00323009">
        <w:t>indicated landholder duty increased its revenue base by about 2%.</w:t>
      </w:r>
      <w:r w:rsidRPr="006C3710">
        <w:t xml:space="preserve"> </w:t>
      </w:r>
      <w:r w:rsidRPr="00323009">
        <w:t xml:space="preserve">The Commission </w:t>
      </w:r>
      <w:r>
        <w:t xml:space="preserve">used this information to make an adjustment to the revenue bases of States that had land rich provisions rather than land holder provisions. </w:t>
      </w:r>
      <w:r w:rsidR="00C503B9">
        <w:t>As</w:t>
      </w:r>
      <w:r>
        <w:t xml:space="preserve"> more States adopt</w:t>
      </w:r>
      <w:r w:rsidR="00C503B9">
        <w:t>ed</w:t>
      </w:r>
      <w:r>
        <w:t xml:space="preserve"> land holder provisions, the materiality of this adjustment declined and it was </w:t>
      </w:r>
      <w:r w:rsidRPr="00323009">
        <w:t xml:space="preserve">discontinued </w:t>
      </w:r>
      <w:r>
        <w:t>when it fell below the</w:t>
      </w:r>
      <w:r w:rsidR="00C503B9">
        <w:t xml:space="preserve"> Commission’s</w:t>
      </w:r>
      <w:r>
        <w:t xml:space="preserve"> </w:t>
      </w:r>
      <w:r w:rsidRPr="00323009">
        <w:t xml:space="preserve">$10 </w:t>
      </w:r>
      <w:r w:rsidR="00C503B9">
        <w:t xml:space="preserve">materiality </w:t>
      </w:r>
      <w:r w:rsidRPr="00323009">
        <w:t>threshold</w:t>
      </w:r>
      <w:r w:rsidRPr="006C3710">
        <w:t xml:space="preserve">. </w:t>
      </w:r>
      <w:r>
        <w:t>Tasmania was the last State to adopt a landholder model. It did so in December 2016.</w:t>
      </w:r>
    </w:p>
    <w:p w:rsidR="00BF757F" w:rsidRDefault="00BF757F" w:rsidP="003C017B">
      <w:pPr>
        <w:pStyle w:val="Heading4"/>
      </w:pPr>
      <w:bookmarkStart w:id="34" w:name="_Toc511824709"/>
      <w:r>
        <w:lastRenderedPageBreak/>
        <w:t>Land rich provisions in listed companies</w:t>
      </w:r>
      <w:bookmarkEnd w:id="34"/>
    </w:p>
    <w:p w:rsidR="00BF757F" w:rsidRDefault="00C503B9" w:rsidP="00BF757F">
      <w:pPr>
        <w:pStyle w:val="CGCNumberedPara"/>
        <w:numPr>
          <w:ilvl w:val="1"/>
          <w:numId w:val="41"/>
        </w:numPr>
      </w:pPr>
      <w:r w:rsidRPr="00323009">
        <w:t xml:space="preserve">While land rich transactions involving </w:t>
      </w:r>
      <w:r>
        <w:t>companies</w:t>
      </w:r>
      <w:r w:rsidRPr="00323009">
        <w:t xml:space="preserve"> </w:t>
      </w:r>
      <w:r>
        <w:t xml:space="preserve">listed on the stock exchange </w:t>
      </w:r>
      <w:r w:rsidRPr="00323009">
        <w:t>are not common, they can be large</w:t>
      </w:r>
      <w:r w:rsidRPr="00B2102F">
        <w:t xml:space="preserve"> </w:t>
      </w:r>
      <w:r>
        <w:t>when they occur</w:t>
      </w:r>
      <w:r w:rsidRPr="006C3710">
        <w:t xml:space="preserve">. </w:t>
      </w:r>
      <w:r>
        <w:t>Western Australia was the first State to introduce this provision</w:t>
      </w:r>
      <w:r w:rsidR="00BF757F">
        <w:t>.</w:t>
      </w:r>
    </w:p>
    <w:p w:rsidR="00BF757F" w:rsidRDefault="00BF757F" w:rsidP="00BF757F">
      <w:pPr>
        <w:pStyle w:val="CGCNumberedPara"/>
        <w:numPr>
          <w:ilvl w:val="1"/>
          <w:numId w:val="41"/>
        </w:numPr>
      </w:pPr>
      <w:r>
        <w:t>Initially, t</w:t>
      </w:r>
      <w:r w:rsidRPr="00323009">
        <w:t xml:space="preserve">he </w:t>
      </w:r>
      <w:r>
        <w:t>C</w:t>
      </w:r>
      <w:r w:rsidRPr="00323009">
        <w:t xml:space="preserve">ommission </w:t>
      </w:r>
      <w:r>
        <w:t>chose</w:t>
      </w:r>
      <w:r w:rsidRPr="00323009">
        <w:t xml:space="preserve"> not </w:t>
      </w:r>
      <w:r>
        <w:t>assess these</w:t>
      </w:r>
      <w:r w:rsidRPr="00323009">
        <w:t xml:space="preserve"> transactions </w:t>
      </w:r>
      <w:r>
        <w:t>on practical</w:t>
      </w:r>
      <w:r w:rsidR="00C00F10">
        <w:t>it</w:t>
      </w:r>
      <w:r>
        <w:t>y grounds.</w:t>
      </w:r>
    </w:p>
    <w:p w:rsidR="00BF757F" w:rsidRDefault="00BF757F" w:rsidP="00BF757F">
      <w:pPr>
        <w:pStyle w:val="CGCBulletlist"/>
      </w:pPr>
      <w:r>
        <w:t>While only Western Australia imposed duty on such transactions, a</w:t>
      </w:r>
      <w:r w:rsidRPr="00323009">
        <w:t xml:space="preserve">n assessment </w:t>
      </w:r>
      <w:r>
        <w:t>was</w:t>
      </w:r>
      <w:r w:rsidRPr="00323009">
        <w:t xml:space="preserve"> </w:t>
      </w:r>
      <w:r>
        <w:t>not</w:t>
      </w:r>
      <w:r w:rsidRPr="00323009">
        <w:t xml:space="preserve"> material</w:t>
      </w:r>
      <w:r w:rsidR="00C503B9">
        <w:t>. T</w:t>
      </w:r>
      <w:r w:rsidRPr="00323009">
        <w:t>he transactions represented</w:t>
      </w:r>
      <w:r>
        <w:t xml:space="preserve"> only</w:t>
      </w:r>
      <w:r w:rsidRPr="00323009">
        <w:t xml:space="preserve"> a minor source of du</w:t>
      </w:r>
      <w:r w:rsidR="00C503B9">
        <w:t>ty.</w:t>
      </w:r>
    </w:p>
    <w:p w:rsidR="00BF757F" w:rsidRDefault="00BF757F" w:rsidP="00BF757F">
      <w:pPr>
        <w:pStyle w:val="CGCBulletlist"/>
      </w:pPr>
      <w:r>
        <w:t>A</w:t>
      </w:r>
      <w:r w:rsidRPr="00323009">
        <w:t xml:space="preserve"> reliable assessment could not be made for States that did not </w:t>
      </w:r>
      <w:r>
        <w:t>impose</w:t>
      </w:r>
      <w:r w:rsidRPr="00323009">
        <w:t xml:space="preserve"> duty. The volatility </w:t>
      </w:r>
      <w:r>
        <w:t>of</w:t>
      </w:r>
      <w:r w:rsidRPr="00323009">
        <w:t xml:space="preserve"> th</w:t>
      </w:r>
      <w:r>
        <w:t>es</w:t>
      </w:r>
      <w:r w:rsidRPr="00323009">
        <w:t xml:space="preserve">e transactions meant </w:t>
      </w:r>
      <w:r>
        <w:t>it was difficult to develop</w:t>
      </w:r>
      <w:r w:rsidRPr="00323009">
        <w:t xml:space="preserve"> a reliable</w:t>
      </w:r>
      <w:r w:rsidRPr="006C3710">
        <w:t xml:space="preserve"> </w:t>
      </w:r>
      <w:r>
        <w:t>assessment</w:t>
      </w:r>
      <w:r w:rsidRPr="00323009">
        <w:t xml:space="preserve"> for States that did not</w:t>
      </w:r>
      <w:r>
        <w:t xml:space="preserve"> impose duty.</w:t>
      </w:r>
    </w:p>
    <w:p w:rsidR="00BF757F" w:rsidRDefault="00C503B9" w:rsidP="00BF757F">
      <w:pPr>
        <w:pStyle w:val="CGCNumberedPara"/>
        <w:numPr>
          <w:ilvl w:val="1"/>
          <w:numId w:val="41"/>
        </w:numPr>
      </w:pPr>
      <w:r>
        <w:t>The</w:t>
      </w:r>
      <w:r w:rsidR="00BF757F">
        <w:t xml:space="preserve"> Commission </w:t>
      </w:r>
      <w:r>
        <w:t xml:space="preserve">implemented its treatment by </w:t>
      </w:r>
      <w:r w:rsidR="00BF757F">
        <w:t>ask</w:t>
      </w:r>
      <w:r>
        <w:t xml:space="preserve">ing </w:t>
      </w:r>
      <w:r w:rsidR="00BF757F">
        <w:t>States to</w:t>
      </w:r>
      <w:r w:rsidR="00BF757F" w:rsidRPr="00323009">
        <w:t xml:space="preserve"> </w:t>
      </w:r>
      <w:r>
        <w:t>separately identify</w:t>
      </w:r>
      <w:r w:rsidR="00BF757F" w:rsidRPr="00323009">
        <w:t xml:space="preserve"> </w:t>
      </w:r>
      <w:r w:rsidR="00BF757F">
        <w:t xml:space="preserve">any </w:t>
      </w:r>
      <w:r w:rsidR="00BF757F" w:rsidRPr="00323009">
        <w:t xml:space="preserve">land rich transactions </w:t>
      </w:r>
      <w:r w:rsidR="00BF757F">
        <w:t>on</w:t>
      </w:r>
      <w:r w:rsidR="00BF757F" w:rsidRPr="00323009">
        <w:t xml:space="preserve"> listed </w:t>
      </w:r>
      <w:r w:rsidR="00BF757F">
        <w:t xml:space="preserve">companies. </w:t>
      </w:r>
      <w:r>
        <w:t>The Commission assessed the</w:t>
      </w:r>
      <w:r w:rsidR="00BF757F">
        <w:t xml:space="preserve"> revenue raised in the EPC component.</w:t>
      </w:r>
    </w:p>
    <w:p w:rsidR="00BF757F" w:rsidRDefault="00BF757F" w:rsidP="00BF757F">
      <w:pPr>
        <w:pStyle w:val="CGCNumberedPara"/>
        <w:numPr>
          <w:ilvl w:val="1"/>
          <w:numId w:val="41"/>
        </w:numPr>
      </w:pPr>
      <w:r>
        <w:t xml:space="preserve">Other than Tasmania, all States now impose duty on these transactions. In the last four years, each of the seven States raised </w:t>
      </w:r>
      <w:r w:rsidR="00C503B9">
        <w:t>revenue</w:t>
      </w:r>
      <w:r>
        <w:t xml:space="preserve"> from this source. </w:t>
      </w:r>
      <w:r w:rsidR="00C503B9">
        <w:t xml:space="preserve">These revenues accounted for around 1%, on average, of all conveyance revenues. An adjustment of this size </w:t>
      </w:r>
      <w:r w:rsidR="00305CBF">
        <w:t>is</w:t>
      </w:r>
      <w:r w:rsidR="00C503B9">
        <w:t xml:space="preserve"> not material for Tasmania</w:t>
      </w:r>
      <w:r w:rsidR="00305CBF">
        <w:t>. It</w:t>
      </w:r>
      <w:r w:rsidR="00C503B9">
        <w:t xml:space="preserve"> fail</w:t>
      </w:r>
      <w:r w:rsidR="00305CBF">
        <w:t>s</w:t>
      </w:r>
      <w:r w:rsidR="00C503B9">
        <w:t xml:space="preserve"> the $10 per ca</w:t>
      </w:r>
      <w:r w:rsidR="00305CBF">
        <w:t>pita data materiality threshold</w:t>
      </w:r>
      <w:r w:rsidR="00C503B9">
        <w:t>.</w:t>
      </w:r>
    </w:p>
    <w:p w:rsidR="00DC0F02" w:rsidRPr="00C21EF9" w:rsidRDefault="00DC0F02" w:rsidP="00C21EF9"/>
    <w:sectPr w:rsidR="00DC0F02" w:rsidRPr="00C21EF9" w:rsidSect="00643DBC">
      <w:footerReference w:type="default" r:id="rId19"/>
      <w:footerReference w:type="first" r:id="rId20"/>
      <w:pgSz w:w="11899" w:h="16838" w:code="9"/>
      <w:pgMar w:top="1701" w:right="1474" w:bottom="1701" w:left="1474"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99E" w:rsidRDefault="00D5599E">
      <w:r>
        <w:separator/>
      </w:r>
    </w:p>
  </w:endnote>
  <w:endnote w:type="continuationSeparator" w:id="0">
    <w:p w:rsidR="00D5599E" w:rsidRDefault="00D55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99E" w:rsidRPr="00875C0F" w:rsidRDefault="00D5599E" w:rsidP="00C8665E">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759981329"/>
      <w:docPartObj>
        <w:docPartGallery w:val="Page Numbers (Bottom of Page)"/>
        <w:docPartUnique/>
      </w:docPartObj>
    </w:sdtPr>
    <w:sdtEndPr/>
    <w:sdtContent>
      <w:p w:rsidR="00D5599E" w:rsidRDefault="00D5599E" w:rsidP="00C8665E">
        <w:pPr>
          <w:pStyle w:val="Footer"/>
          <w:jc w:val="right"/>
          <w:rPr>
            <w:b/>
          </w:rPr>
        </w:pPr>
        <w:r w:rsidRPr="00AE702F">
          <w:fldChar w:fldCharType="begin"/>
        </w:r>
        <w:r w:rsidRPr="00AE702F">
          <w:instrText xml:space="preserve"> PAGE  \* Arabic  \* MERGEFORMAT </w:instrText>
        </w:r>
        <w:r w:rsidRPr="00AE702F">
          <w:fldChar w:fldCharType="separate"/>
        </w:r>
        <w:r w:rsidR="00C00F10">
          <w:rPr>
            <w:noProof/>
          </w:rPr>
          <w:t>3</w:t>
        </w:r>
        <w:r w:rsidRPr="00AE702F">
          <w:fldChar w:fldCharType="end"/>
        </w:r>
      </w:p>
    </w:sdtContent>
  </w:sdt>
  <w:p w:rsidR="00D5599E" w:rsidRDefault="00D5599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99E" w:rsidRDefault="00D5599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99E" w:rsidRDefault="00D5599E" w:rsidP="00643DBC">
    <w:pPr>
      <w:pStyle w:val="Footer"/>
      <w:jc w:val="right"/>
      <w:rPr>
        <w:b/>
      </w:rPr>
    </w:pPr>
  </w:p>
  <w:p w:rsidR="00D5599E" w:rsidRDefault="00D5599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908884305"/>
      <w:docPartObj>
        <w:docPartGallery w:val="Page Numbers (Bottom of Page)"/>
        <w:docPartUnique/>
      </w:docPartObj>
    </w:sdtPr>
    <w:sdtEndPr/>
    <w:sdtContent>
      <w:p w:rsidR="00D5599E" w:rsidRDefault="00D5599E" w:rsidP="00643DBC">
        <w:pPr>
          <w:pStyle w:val="Footer"/>
          <w:jc w:val="right"/>
          <w:rPr>
            <w:b/>
          </w:rPr>
        </w:pPr>
        <w:r w:rsidRPr="00AE702F">
          <w:fldChar w:fldCharType="begin"/>
        </w:r>
        <w:r w:rsidRPr="00AE702F">
          <w:instrText xml:space="preserve"> PAGE  \* Arabic  \* MERGEFORMAT </w:instrText>
        </w:r>
        <w:r w:rsidRPr="00AE702F">
          <w:fldChar w:fldCharType="separate"/>
        </w:r>
        <w:r w:rsidR="00C00F10">
          <w:rPr>
            <w:noProof/>
          </w:rPr>
          <w:t>1</w:t>
        </w:r>
        <w:r w:rsidRPr="00AE702F">
          <w:fldChar w:fldCharType="end"/>
        </w:r>
      </w:p>
    </w:sdtContent>
  </w:sdt>
  <w:p w:rsidR="00D5599E" w:rsidRDefault="00D5599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99E" w:rsidRPr="0011178C" w:rsidRDefault="00D5599E" w:rsidP="003929D2">
    <w:pPr>
      <w:pStyle w:val="Footer"/>
      <w:jc w:val="right"/>
    </w:pPr>
    <w:r>
      <w:fldChar w:fldCharType="begin"/>
    </w:r>
    <w:r>
      <w:instrText xml:space="preserve"> PAGE  \* Arabic  \* MERGEFORMAT </w:instrText>
    </w:r>
    <w:r>
      <w:fldChar w:fldCharType="separate"/>
    </w:r>
    <w:r w:rsidR="00C00F10">
      <w:rPr>
        <w:noProof/>
      </w:rPr>
      <w:t>15</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347399397"/>
      <w:docPartObj>
        <w:docPartGallery w:val="Page Numbers (Bottom of Page)"/>
        <w:docPartUnique/>
      </w:docPartObj>
    </w:sdtPr>
    <w:sdtEndPr/>
    <w:sdtContent>
      <w:p w:rsidR="00D5599E" w:rsidRPr="003929D2" w:rsidRDefault="00D5599E" w:rsidP="00BF757F">
        <w:pPr>
          <w:pStyle w:val="Footer"/>
          <w:jc w:val="right"/>
          <w:rPr>
            <w:b/>
          </w:rPr>
        </w:pPr>
        <w:r w:rsidRPr="00121475">
          <w:fldChar w:fldCharType="begin"/>
        </w:r>
        <w:r w:rsidRPr="00121475">
          <w:instrText xml:space="preserve"> PAGE  \* Arabic  \* MERGEFORMAT </w:instrText>
        </w:r>
        <w:r w:rsidRPr="00121475">
          <w:fldChar w:fldCharType="separate"/>
        </w:r>
        <w:r w:rsidR="00C00F10">
          <w:rPr>
            <w:noProof/>
          </w:rPr>
          <w:t>14</w:t>
        </w:r>
        <w:r w:rsidRPr="00121475">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99E" w:rsidRDefault="00D5599E">
      <w:r>
        <w:separator/>
      </w:r>
    </w:p>
  </w:footnote>
  <w:footnote w:type="continuationSeparator" w:id="0">
    <w:p w:rsidR="00D5599E" w:rsidRDefault="00D5599E">
      <w:r>
        <w:continuationSeparator/>
      </w:r>
    </w:p>
  </w:footnote>
  <w:footnote w:id="1">
    <w:p w:rsidR="00D5599E" w:rsidRDefault="00D5599E" w:rsidP="00FA3478">
      <w:pPr>
        <w:pStyle w:val="FootnoteText"/>
      </w:pPr>
      <w:r>
        <w:rPr>
          <w:rStyle w:val="FootnoteReference"/>
        </w:rPr>
        <w:footnoteRef/>
      </w:r>
      <w:r>
        <w:t xml:space="preserve"> </w:t>
      </w:r>
      <w:r>
        <w:tab/>
        <w:t xml:space="preserve">Real property is land and buildings (including houses, apartments, shops and factories). </w:t>
      </w:r>
      <w:r w:rsidRPr="008F59F6">
        <w:rPr>
          <w:szCs w:val="22"/>
        </w:rPr>
        <w:t>Non-real property comprises property that is not land or buildings. Examples include non-fixed plant and equipment, receivables, goodwill, business assets, statutory licences, intellectual property</w:t>
      </w:r>
      <w:r>
        <w:rPr>
          <w:szCs w:val="22"/>
        </w:rPr>
        <w:t>,</w:t>
      </w:r>
      <w:r w:rsidRPr="008F59F6">
        <w:rPr>
          <w:szCs w:val="22"/>
        </w:rPr>
        <w:t xml:space="preserve"> aquaculture leases</w:t>
      </w:r>
      <w:r>
        <w:rPr>
          <w:szCs w:val="22"/>
        </w:rPr>
        <w:t>, copyright, patents, partnership interests and options to purchase.</w:t>
      </w:r>
    </w:p>
  </w:footnote>
  <w:footnote w:id="2">
    <w:p w:rsidR="00D5599E" w:rsidRDefault="00D5599E" w:rsidP="00FA3478">
      <w:pPr>
        <w:pStyle w:val="FootnoteText"/>
      </w:pPr>
      <w:r>
        <w:rPr>
          <w:rStyle w:val="FootnoteReference"/>
        </w:rPr>
        <w:footnoteRef/>
      </w:r>
      <w:r>
        <w:t xml:space="preserve"> </w:t>
      </w:r>
      <w:r>
        <w:tab/>
        <w:t xml:space="preserve">At the time, only New South Wales and South Australia raised duty on the transfer of marketable securities and an assessment of their duties was not material. Consequently, they were included in the </w:t>
      </w:r>
      <w:proofErr w:type="gramStart"/>
      <w:r>
        <w:t>Other</w:t>
      </w:r>
      <w:proofErr w:type="gramEnd"/>
      <w:r>
        <w:t xml:space="preserve"> revenue category.</w:t>
      </w:r>
    </w:p>
  </w:footnote>
  <w:footnote w:id="3">
    <w:p w:rsidR="00D5599E" w:rsidRDefault="00D5599E" w:rsidP="00FA3478">
      <w:pPr>
        <w:pStyle w:val="FootnoteText"/>
      </w:pPr>
      <w:r>
        <w:rPr>
          <w:rStyle w:val="FootnoteReference"/>
        </w:rPr>
        <w:footnoteRef/>
      </w:r>
      <w:r>
        <w:t xml:space="preserve"> </w:t>
      </w:r>
      <w:r>
        <w:tab/>
        <w:t>While States report concessional duties as lower collections, the Commission treated them as an expense. This had the effect of increasing the category size for both the Stamp duty and Housing categories.</w:t>
      </w:r>
    </w:p>
  </w:footnote>
  <w:footnote w:id="4">
    <w:p w:rsidR="00D5599E" w:rsidRDefault="00D5599E" w:rsidP="00FA3478">
      <w:pPr>
        <w:pStyle w:val="FootnoteText"/>
      </w:pPr>
      <w:r>
        <w:rPr>
          <w:rStyle w:val="FootnoteReference"/>
        </w:rPr>
        <w:footnoteRef/>
      </w:r>
      <w:r>
        <w:t xml:space="preserve"> </w:t>
      </w:r>
      <w:r>
        <w:tab/>
        <w:t>Most States refund or exempt duty on corporate reconstructions to encourage economic reform. Terms of reference in previous reviews instructed the Commission not to allow these transactions to affect States’ GST shares. This was achieved by assessing them EPC.</w:t>
      </w:r>
    </w:p>
  </w:footnote>
  <w:footnote w:id="5">
    <w:p w:rsidR="00D5599E" w:rsidRDefault="00D5599E" w:rsidP="00FA3478">
      <w:pPr>
        <w:pStyle w:val="FootnoteText"/>
      </w:pPr>
      <w:r>
        <w:rPr>
          <w:rStyle w:val="FootnoteReference"/>
        </w:rPr>
        <w:footnoteRef/>
      </w:r>
      <w:r>
        <w:t xml:space="preserve"> </w:t>
      </w:r>
      <w:r>
        <w:tab/>
        <w:t>States introduced land rich duty provisions to deal with the avoidance of duty. This occurred when owners transferred their interest in land rich entities instead of transferring the land itself. States progressively replaced land rich duty with landholder duty. Landholder duty broadened the tax base</w:t>
      </w:r>
      <w:r w:rsidRPr="00EB3977">
        <w:t xml:space="preserve"> by doing away with the land rich percentage thres</w:t>
      </w:r>
      <w:r>
        <w:t>h</w:t>
      </w:r>
      <w:r w:rsidRPr="00EB3977">
        <w:t>old and replacing it with a simple land value threshold</w:t>
      </w:r>
      <w:r>
        <w:t>.</w:t>
      </w:r>
    </w:p>
  </w:footnote>
  <w:footnote w:id="6">
    <w:p w:rsidR="00D5599E" w:rsidRDefault="00D5599E" w:rsidP="00FA3478">
      <w:pPr>
        <w:pStyle w:val="FootnoteText"/>
      </w:pPr>
      <w:r>
        <w:rPr>
          <w:rStyle w:val="FootnoteReference"/>
        </w:rPr>
        <w:footnoteRef/>
      </w:r>
      <w:r>
        <w:t xml:space="preserve"> </w:t>
      </w:r>
      <w:r>
        <w:tab/>
        <w:t>These adjustments were recommended as part of a consultancy by Blake Dawson for the 2010 Review.</w:t>
      </w:r>
    </w:p>
  </w:footnote>
  <w:footnote w:id="7">
    <w:p w:rsidR="00D5599E" w:rsidRDefault="00D5599E" w:rsidP="00FA3478">
      <w:pPr>
        <w:pStyle w:val="FootnoteText"/>
      </w:pPr>
      <w:r>
        <w:rPr>
          <w:rStyle w:val="FootnoteReference"/>
        </w:rPr>
        <w:footnoteRef/>
      </w:r>
      <w:r>
        <w:t xml:space="preserve"> </w:t>
      </w:r>
      <w:r>
        <w:tab/>
        <w:t>The ACT provided data, covering the years before it abolished the duty, that indicated that non-real property transactions were a smaller proportion than other States and a smaller adjustment was applied to the ACT’s revenue base.</w:t>
      </w:r>
    </w:p>
  </w:footnote>
  <w:footnote w:id="8">
    <w:p w:rsidR="00D5599E" w:rsidRDefault="00D5599E" w:rsidP="00FA3478">
      <w:pPr>
        <w:pStyle w:val="FootnoteText"/>
      </w:pPr>
      <w:r>
        <w:rPr>
          <w:rStyle w:val="FootnoteReference"/>
        </w:rPr>
        <w:footnoteRef/>
      </w:r>
      <w:r>
        <w:t xml:space="preserve"> </w:t>
      </w:r>
      <w:r>
        <w:tab/>
        <w:t>South Australia introduced a similar concession in May 2012 for inner-metropolitan areas of Adelaide. It forecast it would lose around 0.2% of revenue. An adjustment of this size would not have been material and so it was not made. The eligibility area was expanded to the whole of the State for contracts entered into between 20 June 2016 and 30 June 2017.</w:t>
      </w:r>
    </w:p>
  </w:footnote>
  <w:footnote w:id="9">
    <w:p w:rsidR="00D5599E" w:rsidRDefault="00D5599E" w:rsidP="00FA3478">
      <w:pPr>
        <w:pStyle w:val="FootnoteText"/>
      </w:pPr>
      <w:r>
        <w:rPr>
          <w:rStyle w:val="FootnoteReference"/>
        </w:rPr>
        <w:footnoteRef/>
      </w:r>
      <w:r>
        <w:t xml:space="preserve"> </w:t>
      </w:r>
      <w:r>
        <w:tab/>
        <w:t>Unit trusts are a device whereby the title to property can be held in a trust rather than directly. Ownership of units in the trust can be transferred at lower than conveyance rates of duty. To prevent or minimise this avoidance strategy, States adopted a combination of unit trust and land rich provisions that taxed land held by trusts.</w:t>
      </w:r>
    </w:p>
  </w:footnote>
  <w:footnote w:id="10">
    <w:p w:rsidR="00D5599E" w:rsidRDefault="00D5599E" w:rsidP="00FA3478">
      <w:pPr>
        <w:pStyle w:val="FootnoteText"/>
      </w:pPr>
      <w:r>
        <w:rPr>
          <w:rStyle w:val="FootnoteReference"/>
        </w:rPr>
        <w:footnoteRef/>
      </w:r>
      <w:r>
        <w:t xml:space="preserve"> </w:t>
      </w:r>
      <w:r>
        <w:tab/>
        <w:t>Most States imposed duty on the value of the vehicle. One State varied its rates of duty depending on the number of cylinders. Rates of duty could also vary according to the use of the vehicle and whether it is a new registration or a used vehicle transfer. A broadly common range of vehicles were exempt from duty across States (such as vehicles acquired for resale by used car dealers, transfers arising from settling estates and family law arrangements and vehicles acquired by benevolent institutions)</w:t>
      </w:r>
      <w:r>
        <w:rPr>
          <w:szCs w:val="22"/>
        </w:rPr>
        <w:t>.</w:t>
      </w:r>
    </w:p>
  </w:footnote>
  <w:footnote w:id="11">
    <w:p w:rsidR="00D5599E" w:rsidRDefault="00D5599E" w:rsidP="00FA3478">
      <w:pPr>
        <w:pStyle w:val="FootnoteText"/>
      </w:pPr>
      <w:r>
        <w:rPr>
          <w:rStyle w:val="FootnoteReference"/>
        </w:rPr>
        <w:footnoteRef/>
      </w:r>
      <w:r>
        <w:t xml:space="preserve"> </w:t>
      </w:r>
      <w:r>
        <w:tab/>
        <w:t>Victoria, Budget Paper No 5, Statement of Finances, 2017-18, Table 5.2, page 172.</w:t>
      </w:r>
    </w:p>
  </w:footnote>
  <w:footnote w:id="12">
    <w:p w:rsidR="00D5599E" w:rsidRDefault="00D5599E" w:rsidP="00FA3478">
      <w:pPr>
        <w:pStyle w:val="FootnoteText"/>
      </w:pPr>
      <w:r>
        <w:rPr>
          <w:rStyle w:val="FootnoteReference"/>
        </w:rPr>
        <w:footnoteRef/>
      </w:r>
      <w:r>
        <w:t xml:space="preserve"> </w:t>
      </w:r>
      <w:r>
        <w:tab/>
      </w:r>
      <w:proofErr w:type="gramStart"/>
      <w:r>
        <w:t>State Tax Review Discussion Paper, February 2015, page 38.</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679"/>
    <w:multiLevelType w:val="multilevel"/>
    <w:tmpl w:val="87ECD5DE"/>
    <w:lvl w:ilvl="0">
      <w:start w:val="1"/>
      <w:numFmt w:val="lowerRoman"/>
      <w:lvlText w:val="(%1)"/>
      <w:lvlJc w:val="right"/>
      <w:pPr>
        <w:tabs>
          <w:tab w:val="num" w:pos="1701"/>
        </w:tabs>
        <w:ind w:left="1701"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16C95DEC"/>
    <w:multiLevelType w:val="multilevel"/>
    <w:tmpl w:val="09E854D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1C66C66"/>
    <w:multiLevelType w:val="multilevel"/>
    <w:tmpl w:val="5B74CF8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nsid w:val="317A6023"/>
    <w:multiLevelType w:val="hybridMultilevel"/>
    <w:tmpl w:val="1262912E"/>
    <w:lvl w:ilvl="0" w:tplc="9B9083DC">
      <w:start w:val="1"/>
      <w:numFmt w:val="lowerRoman"/>
      <w:pStyle w:val="CGCNumeralList"/>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CB5609"/>
    <w:multiLevelType w:val="hybridMultilevel"/>
    <w:tmpl w:val="24484DBE"/>
    <w:lvl w:ilvl="0" w:tplc="A1CEF810">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D0A6680"/>
    <w:multiLevelType w:val="multilevel"/>
    <w:tmpl w:val="646E338E"/>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FE32354"/>
    <w:multiLevelType w:val="hybridMultilevel"/>
    <w:tmpl w:val="7D6053A6"/>
    <w:lvl w:ilvl="0" w:tplc="5FE44A6C">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5D124923"/>
    <w:multiLevelType w:val="multilevel"/>
    <w:tmpl w:val="DA6AC07E"/>
    <w:lvl w:ilvl="0">
      <w:start w:val="1"/>
      <w:numFmt w:val="bullet"/>
      <w:lvlText w:val=""/>
      <w:lvlJc w:val="left"/>
      <w:pPr>
        <w:tabs>
          <w:tab w:val="num" w:pos="1627"/>
        </w:tabs>
        <w:ind w:left="162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F120A6F"/>
    <w:multiLevelType w:val="multilevel"/>
    <w:tmpl w:val="EC6A24FE"/>
    <w:lvl w:ilvl="0">
      <w:start w:val="1"/>
      <w:numFmt w:val="bullet"/>
      <w:lvlText w:val=""/>
      <w:lvlJc w:val="left"/>
      <w:pPr>
        <w:tabs>
          <w:tab w:val="num" w:pos="927"/>
        </w:tabs>
        <w:ind w:left="1134"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0FE42A7"/>
    <w:multiLevelType w:val="hybridMultilevel"/>
    <w:tmpl w:val="E4B8FB9A"/>
    <w:lvl w:ilvl="0" w:tplc="18EA3C62">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9552687"/>
    <w:multiLevelType w:val="multilevel"/>
    <w:tmpl w:val="76E0CFF8"/>
    <w:lvl w:ilvl="0">
      <w:start w:val="1"/>
      <w:numFmt w:val="bullet"/>
      <w:lvlText w:val=""/>
      <w:lvlJc w:val="left"/>
      <w:pPr>
        <w:tabs>
          <w:tab w:val="num" w:pos="1503"/>
        </w:tabs>
        <w:ind w:left="171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5">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1"/>
  </w:num>
  <w:num w:numId="4">
    <w:abstractNumId w:val="15"/>
  </w:num>
  <w:num w:numId="5">
    <w:abstractNumId w:val="15"/>
  </w:num>
  <w:num w:numId="6">
    <w:abstractNumId w:val="4"/>
  </w:num>
  <w:num w:numId="7">
    <w:abstractNumId w:val="4"/>
  </w:num>
  <w:num w:numId="8">
    <w:abstractNumId w:val="4"/>
  </w:num>
  <w:num w:numId="9">
    <w:abstractNumId w:val="4"/>
  </w:num>
  <w:num w:numId="10">
    <w:abstractNumId w:val="14"/>
  </w:num>
  <w:num w:numId="11">
    <w:abstractNumId w:val="5"/>
  </w:num>
  <w:num w:numId="12">
    <w:abstractNumId w:val="1"/>
  </w:num>
  <w:num w:numId="13">
    <w:abstractNumId w:val="15"/>
  </w:num>
  <w:num w:numId="14">
    <w:abstractNumId w:val="4"/>
  </w:num>
  <w:num w:numId="15">
    <w:abstractNumId w:val="4"/>
  </w:num>
  <w:num w:numId="16">
    <w:abstractNumId w:val="4"/>
  </w:num>
  <w:num w:numId="17">
    <w:abstractNumId w:val="4"/>
  </w:num>
  <w:num w:numId="18">
    <w:abstractNumId w:val="0"/>
  </w:num>
  <w:num w:numId="19">
    <w:abstractNumId w:val="9"/>
  </w:num>
  <w:num w:numId="20">
    <w:abstractNumId w:val="10"/>
  </w:num>
  <w:num w:numId="21">
    <w:abstractNumId w:val="2"/>
  </w:num>
  <w:num w:numId="22">
    <w:abstractNumId w:val="7"/>
  </w:num>
  <w:num w:numId="23">
    <w:abstractNumId w:val="13"/>
  </w:num>
  <w:num w:numId="24">
    <w:abstractNumId w:val="3"/>
  </w:num>
  <w:num w:numId="25">
    <w:abstractNumId w:val="11"/>
  </w:num>
  <w:num w:numId="26">
    <w:abstractNumId w:val="1"/>
  </w:num>
  <w:num w:numId="27">
    <w:abstractNumId w:val="8"/>
  </w:num>
  <w:num w:numId="28">
    <w:abstractNumId w:val="12"/>
  </w:num>
  <w:num w:numId="29">
    <w:abstractNumId w:val="6"/>
  </w:num>
  <w:num w:numId="30">
    <w:abstractNumId w:val="5"/>
    <w:lvlOverride w:ilvl="0">
      <w:startOverride w:val="1"/>
    </w:lvlOverride>
  </w:num>
  <w:num w:numId="31">
    <w:abstractNumId w:val="14"/>
  </w:num>
  <w:num w:numId="32">
    <w:abstractNumId w:val="1"/>
  </w:num>
  <w:num w:numId="33">
    <w:abstractNumId w:val="5"/>
  </w:num>
  <w:num w:numId="34">
    <w:abstractNumId w:val="15"/>
  </w:num>
  <w:num w:numId="35">
    <w:abstractNumId w:val="9"/>
  </w:num>
  <w:num w:numId="36">
    <w:abstractNumId w:val="14"/>
  </w:num>
  <w:num w:numId="37">
    <w:abstractNumId w:val="1"/>
  </w:num>
  <w:num w:numId="38">
    <w:abstractNumId w:val="5"/>
  </w:num>
  <w:num w:numId="39">
    <w:abstractNumId w:val="15"/>
  </w:num>
  <w:num w:numId="40">
    <w:abstractNumId w:val="9"/>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30E"/>
    <w:rsid w:val="00016FE0"/>
    <w:rsid w:val="00022EA9"/>
    <w:rsid w:val="00024745"/>
    <w:rsid w:val="00025C10"/>
    <w:rsid w:val="00032F41"/>
    <w:rsid w:val="0004123E"/>
    <w:rsid w:val="00041748"/>
    <w:rsid w:val="00041E84"/>
    <w:rsid w:val="000424EA"/>
    <w:rsid w:val="00056373"/>
    <w:rsid w:val="00061111"/>
    <w:rsid w:val="000624BB"/>
    <w:rsid w:val="000648E8"/>
    <w:rsid w:val="00093796"/>
    <w:rsid w:val="00096136"/>
    <w:rsid w:val="000A3898"/>
    <w:rsid w:val="000A52A1"/>
    <w:rsid w:val="000B2942"/>
    <w:rsid w:val="000B3557"/>
    <w:rsid w:val="000B64E3"/>
    <w:rsid w:val="000D1354"/>
    <w:rsid w:val="000D7C54"/>
    <w:rsid w:val="000E0210"/>
    <w:rsid w:val="000E6AA5"/>
    <w:rsid w:val="000E7F56"/>
    <w:rsid w:val="000F1CDA"/>
    <w:rsid w:val="001039C2"/>
    <w:rsid w:val="001040AD"/>
    <w:rsid w:val="0011178C"/>
    <w:rsid w:val="00112CF0"/>
    <w:rsid w:val="001211AB"/>
    <w:rsid w:val="00121475"/>
    <w:rsid w:val="001218B8"/>
    <w:rsid w:val="00124ED1"/>
    <w:rsid w:val="00136497"/>
    <w:rsid w:val="00141BD1"/>
    <w:rsid w:val="0014418C"/>
    <w:rsid w:val="001441DA"/>
    <w:rsid w:val="00147115"/>
    <w:rsid w:val="001477CE"/>
    <w:rsid w:val="0016723A"/>
    <w:rsid w:val="00170DC9"/>
    <w:rsid w:val="00171A05"/>
    <w:rsid w:val="00172F3A"/>
    <w:rsid w:val="001730FD"/>
    <w:rsid w:val="00173798"/>
    <w:rsid w:val="00173BE6"/>
    <w:rsid w:val="00173E72"/>
    <w:rsid w:val="001807C0"/>
    <w:rsid w:val="001811DE"/>
    <w:rsid w:val="00187145"/>
    <w:rsid w:val="001A4336"/>
    <w:rsid w:val="001B0110"/>
    <w:rsid w:val="001B3048"/>
    <w:rsid w:val="001B696E"/>
    <w:rsid w:val="001B6A56"/>
    <w:rsid w:val="001C469B"/>
    <w:rsid w:val="001C6A71"/>
    <w:rsid w:val="001D537B"/>
    <w:rsid w:val="001D638B"/>
    <w:rsid w:val="001D6DFA"/>
    <w:rsid w:val="001E6180"/>
    <w:rsid w:val="001E674B"/>
    <w:rsid w:val="001E68FC"/>
    <w:rsid w:val="001E72B6"/>
    <w:rsid w:val="001F4F5A"/>
    <w:rsid w:val="00204026"/>
    <w:rsid w:val="00212948"/>
    <w:rsid w:val="00217839"/>
    <w:rsid w:val="00225A3B"/>
    <w:rsid w:val="0023081D"/>
    <w:rsid w:val="0023329C"/>
    <w:rsid w:val="00236DC0"/>
    <w:rsid w:val="002373A2"/>
    <w:rsid w:val="00242517"/>
    <w:rsid w:val="0024260B"/>
    <w:rsid w:val="0024401F"/>
    <w:rsid w:val="0024569B"/>
    <w:rsid w:val="00255B5A"/>
    <w:rsid w:val="002671A2"/>
    <w:rsid w:val="00267496"/>
    <w:rsid w:val="00275B68"/>
    <w:rsid w:val="002845EA"/>
    <w:rsid w:val="00286EBE"/>
    <w:rsid w:val="00295B70"/>
    <w:rsid w:val="002A2A08"/>
    <w:rsid w:val="002A2D93"/>
    <w:rsid w:val="002A4E42"/>
    <w:rsid w:val="002A77C3"/>
    <w:rsid w:val="002B10B0"/>
    <w:rsid w:val="002B169C"/>
    <w:rsid w:val="002B6EFD"/>
    <w:rsid w:val="002B6F33"/>
    <w:rsid w:val="002B79F0"/>
    <w:rsid w:val="002B7F3E"/>
    <w:rsid w:val="002C1D9C"/>
    <w:rsid w:val="002C366F"/>
    <w:rsid w:val="002C4CA9"/>
    <w:rsid w:val="002D2270"/>
    <w:rsid w:val="002E25A8"/>
    <w:rsid w:val="002F04DE"/>
    <w:rsid w:val="002F1CD3"/>
    <w:rsid w:val="002F6E28"/>
    <w:rsid w:val="002F7E68"/>
    <w:rsid w:val="00302E5E"/>
    <w:rsid w:val="00305CBF"/>
    <w:rsid w:val="00307DEF"/>
    <w:rsid w:val="00311D33"/>
    <w:rsid w:val="00313664"/>
    <w:rsid w:val="00314F90"/>
    <w:rsid w:val="0032497D"/>
    <w:rsid w:val="0033102E"/>
    <w:rsid w:val="00331401"/>
    <w:rsid w:val="003321E4"/>
    <w:rsid w:val="00333234"/>
    <w:rsid w:val="00335ED1"/>
    <w:rsid w:val="00337EF8"/>
    <w:rsid w:val="00342A60"/>
    <w:rsid w:val="0034379D"/>
    <w:rsid w:val="0034646D"/>
    <w:rsid w:val="00347BE5"/>
    <w:rsid w:val="003522E0"/>
    <w:rsid w:val="0035267F"/>
    <w:rsid w:val="0035580D"/>
    <w:rsid w:val="00363971"/>
    <w:rsid w:val="003639FB"/>
    <w:rsid w:val="00363BF7"/>
    <w:rsid w:val="00382AE5"/>
    <w:rsid w:val="003929D2"/>
    <w:rsid w:val="00393973"/>
    <w:rsid w:val="00393E3E"/>
    <w:rsid w:val="00393FA5"/>
    <w:rsid w:val="003A27BB"/>
    <w:rsid w:val="003B673D"/>
    <w:rsid w:val="003C017B"/>
    <w:rsid w:val="003C2577"/>
    <w:rsid w:val="003C4448"/>
    <w:rsid w:val="003C5FC3"/>
    <w:rsid w:val="003D22D2"/>
    <w:rsid w:val="003D3D91"/>
    <w:rsid w:val="003D4708"/>
    <w:rsid w:val="003D477A"/>
    <w:rsid w:val="003E6615"/>
    <w:rsid w:val="003E79F9"/>
    <w:rsid w:val="003F12E9"/>
    <w:rsid w:val="003F59F4"/>
    <w:rsid w:val="00404DCD"/>
    <w:rsid w:val="004077D6"/>
    <w:rsid w:val="004121E7"/>
    <w:rsid w:val="00414E51"/>
    <w:rsid w:val="00420F04"/>
    <w:rsid w:val="00423099"/>
    <w:rsid w:val="00424E79"/>
    <w:rsid w:val="0042661C"/>
    <w:rsid w:val="004274B3"/>
    <w:rsid w:val="00431E2C"/>
    <w:rsid w:val="00443EC1"/>
    <w:rsid w:val="00453264"/>
    <w:rsid w:val="00462B54"/>
    <w:rsid w:val="00463064"/>
    <w:rsid w:val="00472461"/>
    <w:rsid w:val="004809B8"/>
    <w:rsid w:val="004821B9"/>
    <w:rsid w:val="00491D88"/>
    <w:rsid w:val="0049605C"/>
    <w:rsid w:val="004965F7"/>
    <w:rsid w:val="004A7048"/>
    <w:rsid w:val="004B0A0A"/>
    <w:rsid w:val="004B1C4B"/>
    <w:rsid w:val="004B60CB"/>
    <w:rsid w:val="004C1CB5"/>
    <w:rsid w:val="004E769A"/>
    <w:rsid w:val="00500ACD"/>
    <w:rsid w:val="00504061"/>
    <w:rsid w:val="00505BAE"/>
    <w:rsid w:val="00506956"/>
    <w:rsid w:val="00515380"/>
    <w:rsid w:val="005176CA"/>
    <w:rsid w:val="00532D10"/>
    <w:rsid w:val="00537A77"/>
    <w:rsid w:val="00541A14"/>
    <w:rsid w:val="00543F9C"/>
    <w:rsid w:val="00546D39"/>
    <w:rsid w:val="00550E84"/>
    <w:rsid w:val="00551368"/>
    <w:rsid w:val="00551623"/>
    <w:rsid w:val="005577B0"/>
    <w:rsid w:val="00562084"/>
    <w:rsid w:val="00570EED"/>
    <w:rsid w:val="005716FC"/>
    <w:rsid w:val="00575DEF"/>
    <w:rsid w:val="00583A33"/>
    <w:rsid w:val="005867D2"/>
    <w:rsid w:val="00592B45"/>
    <w:rsid w:val="005963CC"/>
    <w:rsid w:val="00596E19"/>
    <w:rsid w:val="005A241E"/>
    <w:rsid w:val="005A6FED"/>
    <w:rsid w:val="005B1BC4"/>
    <w:rsid w:val="005B1D00"/>
    <w:rsid w:val="005B6894"/>
    <w:rsid w:val="005B7121"/>
    <w:rsid w:val="005C13B2"/>
    <w:rsid w:val="005C27E3"/>
    <w:rsid w:val="005C37CB"/>
    <w:rsid w:val="005C459C"/>
    <w:rsid w:val="005D1A9F"/>
    <w:rsid w:val="005D52FA"/>
    <w:rsid w:val="005E266F"/>
    <w:rsid w:val="005E5734"/>
    <w:rsid w:val="005E73CE"/>
    <w:rsid w:val="005F07DC"/>
    <w:rsid w:val="005F64FB"/>
    <w:rsid w:val="0060251E"/>
    <w:rsid w:val="00602DDE"/>
    <w:rsid w:val="00611737"/>
    <w:rsid w:val="00612904"/>
    <w:rsid w:val="00614DE8"/>
    <w:rsid w:val="00622388"/>
    <w:rsid w:val="00622669"/>
    <w:rsid w:val="00622AFE"/>
    <w:rsid w:val="00622FE1"/>
    <w:rsid w:val="00625CE5"/>
    <w:rsid w:val="00635027"/>
    <w:rsid w:val="00643DBC"/>
    <w:rsid w:val="00644A7B"/>
    <w:rsid w:val="006556D9"/>
    <w:rsid w:val="00661C46"/>
    <w:rsid w:val="006652D3"/>
    <w:rsid w:val="00667CF3"/>
    <w:rsid w:val="006769C4"/>
    <w:rsid w:val="00677627"/>
    <w:rsid w:val="00677BD5"/>
    <w:rsid w:val="0068025E"/>
    <w:rsid w:val="00693C87"/>
    <w:rsid w:val="006952CC"/>
    <w:rsid w:val="006A05C7"/>
    <w:rsid w:val="006A607B"/>
    <w:rsid w:val="006A6E27"/>
    <w:rsid w:val="006A72B0"/>
    <w:rsid w:val="006B3E4D"/>
    <w:rsid w:val="006C52B9"/>
    <w:rsid w:val="006D1DFE"/>
    <w:rsid w:val="006E6BC2"/>
    <w:rsid w:val="006E77BB"/>
    <w:rsid w:val="0070150E"/>
    <w:rsid w:val="00705DB8"/>
    <w:rsid w:val="00713225"/>
    <w:rsid w:val="0072512A"/>
    <w:rsid w:val="00731EE6"/>
    <w:rsid w:val="007355A6"/>
    <w:rsid w:val="00740A71"/>
    <w:rsid w:val="007477C5"/>
    <w:rsid w:val="00747938"/>
    <w:rsid w:val="00762AFB"/>
    <w:rsid w:val="00765BA8"/>
    <w:rsid w:val="00766007"/>
    <w:rsid w:val="00770A26"/>
    <w:rsid w:val="007724D2"/>
    <w:rsid w:val="007A1364"/>
    <w:rsid w:val="007A24A0"/>
    <w:rsid w:val="007A4AB2"/>
    <w:rsid w:val="007A538B"/>
    <w:rsid w:val="007A5E68"/>
    <w:rsid w:val="007B1BF7"/>
    <w:rsid w:val="007C404B"/>
    <w:rsid w:val="007C4BAE"/>
    <w:rsid w:val="007C6F2E"/>
    <w:rsid w:val="007D1D3B"/>
    <w:rsid w:val="007D5960"/>
    <w:rsid w:val="007E114E"/>
    <w:rsid w:val="007E487F"/>
    <w:rsid w:val="007E4B2D"/>
    <w:rsid w:val="007E587D"/>
    <w:rsid w:val="007E6757"/>
    <w:rsid w:val="007E71E9"/>
    <w:rsid w:val="007F1873"/>
    <w:rsid w:val="007F1D06"/>
    <w:rsid w:val="008010D7"/>
    <w:rsid w:val="00803443"/>
    <w:rsid w:val="0080680D"/>
    <w:rsid w:val="00812C05"/>
    <w:rsid w:val="0081322A"/>
    <w:rsid w:val="008162AB"/>
    <w:rsid w:val="00843E6F"/>
    <w:rsid w:val="00846E4A"/>
    <w:rsid w:val="00851AF5"/>
    <w:rsid w:val="00851FB5"/>
    <w:rsid w:val="00854DAA"/>
    <w:rsid w:val="008647DE"/>
    <w:rsid w:val="00864B95"/>
    <w:rsid w:val="00865709"/>
    <w:rsid w:val="008800D3"/>
    <w:rsid w:val="00886CDD"/>
    <w:rsid w:val="0089214D"/>
    <w:rsid w:val="00893C0D"/>
    <w:rsid w:val="008A20DA"/>
    <w:rsid w:val="008B5C8F"/>
    <w:rsid w:val="008B5F16"/>
    <w:rsid w:val="008B7722"/>
    <w:rsid w:val="008C0E5C"/>
    <w:rsid w:val="008D348B"/>
    <w:rsid w:val="008E2BE4"/>
    <w:rsid w:val="008E4BA7"/>
    <w:rsid w:val="008E6B4E"/>
    <w:rsid w:val="008E7970"/>
    <w:rsid w:val="008E7C34"/>
    <w:rsid w:val="008F0C36"/>
    <w:rsid w:val="008F377B"/>
    <w:rsid w:val="00915512"/>
    <w:rsid w:val="009233CC"/>
    <w:rsid w:val="009240D8"/>
    <w:rsid w:val="00924E84"/>
    <w:rsid w:val="0092523D"/>
    <w:rsid w:val="009360D7"/>
    <w:rsid w:val="009362C9"/>
    <w:rsid w:val="00942387"/>
    <w:rsid w:val="0094626F"/>
    <w:rsid w:val="009462D2"/>
    <w:rsid w:val="009652D5"/>
    <w:rsid w:val="009677F8"/>
    <w:rsid w:val="00971146"/>
    <w:rsid w:val="00972A9A"/>
    <w:rsid w:val="00991675"/>
    <w:rsid w:val="00992008"/>
    <w:rsid w:val="00996409"/>
    <w:rsid w:val="00996D00"/>
    <w:rsid w:val="009A03DC"/>
    <w:rsid w:val="009A6CF3"/>
    <w:rsid w:val="009B43BF"/>
    <w:rsid w:val="009B4A2D"/>
    <w:rsid w:val="009B5A07"/>
    <w:rsid w:val="009C1E0B"/>
    <w:rsid w:val="009D545A"/>
    <w:rsid w:val="009D5866"/>
    <w:rsid w:val="009D6D44"/>
    <w:rsid w:val="009E22FA"/>
    <w:rsid w:val="009E4744"/>
    <w:rsid w:val="009E4AA3"/>
    <w:rsid w:val="009E4EC9"/>
    <w:rsid w:val="009E5D5A"/>
    <w:rsid w:val="009F2262"/>
    <w:rsid w:val="009F4ADA"/>
    <w:rsid w:val="009F6A0D"/>
    <w:rsid w:val="00A07122"/>
    <w:rsid w:val="00A07991"/>
    <w:rsid w:val="00A10CDE"/>
    <w:rsid w:val="00A1680D"/>
    <w:rsid w:val="00A23AB0"/>
    <w:rsid w:val="00A266C5"/>
    <w:rsid w:val="00A309C6"/>
    <w:rsid w:val="00A32E4E"/>
    <w:rsid w:val="00A505DE"/>
    <w:rsid w:val="00A5327C"/>
    <w:rsid w:val="00A5721C"/>
    <w:rsid w:val="00A67913"/>
    <w:rsid w:val="00A81A94"/>
    <w:rsid w:val="00A85D0F"/>
    <w:rsid w:val="00A9681E"/>
    <w:rsid w:val="00AA007A"/>
    <w:rsid w:val="00AA35B4"/>
    <w:rsid w:val="00AB073E"/>
    <w:rsid w:val="00AB1A13"/>
    <w:rsid w:val="00AB4E9F"/>
    <w:rsid w:val="00AC210F"/>
    <w:rsid w:val="00AC319E"/>
    <w:rsid w:val="00AE3A1E"/>
    <w:rsid w:val="00AE734F"/>
    <w:rsid w:val="00AF2656"/>
    <w:rsid w:val="00AF6110"/>
    <w:rsid w:val="00AF6AC6"/>
    <w:rsid w:val="00B00611"/>
    <w:rsid w:val="00B04354"/>
    <w:rsid w:val="00B249FC"/>
    <w:rsid w:val="00B317E7"/>
    <w:rsid w:val="00B33A57"/>
    <w:rsid w:val="00B34083"/>
    <w:rsid w:val="00B37728"/>
    <w:rsid w:val="00B45C64"/>
    <w:rsid w:val="00B4630E"/>
    <w:rsid w:val="00B46A32"/>
    <w:rsid w:val="00B46B29"/>
    <w:rsid w:val="00B53547"/>
    <w:rsid w:val="00B53597"/>
    <w:rsid w:val="00B55D3E"/>
    <w:rsid w:val="00B62590"/>
    <w:rsid w:val="00B6729F"/>
    <w:rsid w:val="00B706E2"/>
    <w:rsid w:val="00B82627"/>
    <w:rsid w:val="00B90AA7"/>
    <w:rsid w:val="00B94335"/>
    <w:rsid w:val="00BA38F6"/>
    <w:rsid w:val="00BA65E5"/>
    <w:rsid w:val="00BB09DF"/>
    <w:rsid w:val="00BB3FC5"/>
    <w:rsid w:val="00BC2B3B"/>
    <w:rsid w:val="00BC4579"/>
    <w:rsid w:val="00BD3D24"/>
    <w:rsid w:val="00BE286F"/>
    <w:rsid w:val="00BF757F"/>
    <w:rsid w:val="00C0018A"/>
    <w:rsid w:val="00C00905"/>
    <w:rsid w:val="00C00F10"/>
    <w:rsid w:val="00C035B5"/>
    <w:rsid w:val="00C11ABD"/>
    <w:rsid w:val="00C14FB2"/>
    <w:rsid w:val="00C16724"/>
    <w:rsid w:val="00C176AC"/>
    <w:rsid w:val="00C21EF9"/>
    <w:rsid w:val="00C222F7"/>
    <w:rsid w:val="00C24839"/>
    <w:rsid w:val="00C27C23"/>
    <w:rsid w:val="00C41C84"/>
    <w:rsid w:val="00C503B9"/>
    <w:rsid w:val="00C554D4"/>
    <w:rsid w:val="00C61B02"/>
    <w:rsid w:val="00C61F1C"/>
    <w:rsid w:val="00C70202"/>
    <w:rsid w:val="00C719A2"/>
    <w:rsid w:val="00C72165"/>
    <w:rsid w:val="00C83041"/>
    <w:rsid w:val="00C8665E"/>
    <w:rsid w:val="00C90197"/>
    <w:rsid w:val="00C90B42"/>
    <w:rsid w:val="00C93BDF"/>
    <w:rsid w:val="00C9475D"/>
    <w:rsid w:val="00C95056"/>
    <w:rsid w:val="00C951FD"/>
    <w:rsid w:val="00CA7F28"/>
    <w:rsid w:val="00CB0768"/>
    <w:rsid w:val="00CB131F"/>
    <w:rsid w:val="00CB4DCD"/>
    <w:rsid w:val="00CB4F2D"/>
    <w:rsid w:val="00CC1690"/>
    <w:rsid w:val="00CC665A"/>
    <w:rsid w:val="00CE04A0"/>
    <w:rsid w:val="00CE34DC"/>
    <w:rsid w:val="00D07FB4"/>
    <w:rsid w:val="00D21FA8"/>
    <w:rsid w:val="00D236B7"/>
    <w:rsid w:val="00D23E48"/>
    <w:rsid w:val="00D244BE"/>
    <w:rsid w:val="00D36BA6"/>
    <w:rsid w:val="00D41FCC"/>
    <w:rsid w:val="00D43096"/>
    <w:rsid w:val="00D46AB2"/>
    <w:rsid w:val="00D47815"/>
    <w:rsid w:val="00D5599E"/>
    <w:rsid w:val="00D656EB"/>
    <w:rsid w:val="00D771FD"/>
    <w:rsid w:val="00D7796D"/>
    <w:rsid w:val="00D81B18"/>
    <w:rsid w:val="00D83541"/>
    <w:rsid w:val="00D938D3"/>
    <w:rsid w:val="00D93A16"/>
    <w:rsid w:val="00D9496D"/>
    <w:rsid w:val="00DA0768"/>
    <w:rsid w:val="00DA161A"/>
    <w:rsid w:val="00DA5A94"/>
    <w:rsid w:val="00DB2355"/>
    <w:rsid w:val="00DB3BB4"/>
    <w:rsid w:val="00DC0F02"/>
    <w:rsid w:val="00DC0F8D"/>
    <w:rsid w:val="00DC2284"/>
    <w:rsid w:val="00DC3CA4"/>
    <w:rsid w:val="00DE1C0E"/>
    <w:rsid w:val="00DE4578"/>
    <w:rsid w:val="00DF04EE"/>
    <w:rsid w:val="00DF3E35"/>
    <w:rsid w:val="00E03ED5"/>
    <w:rsid w:val="00E06243"/>
    <w:rsid w:val="00E07169"/>
    <w:rsid w:val="00E162A4"/>
    <w:rsid w:val="00E1688C"/>
    <w:rsid w:val="00E22665"/>
    <w:rsid w:val="00E30499"/>
    <w:rsid w:val="00E30B51"/>
    <w:rsid w:val="00E324BB"/>
    <w:rsid w:val="00E377E8"/>
    <w:rsid w:val="00E43464"/>
    <w:rsid w:val="00E47A69"/>
    <w:rsid w:val="00E571BB"/>
    <w:rsid w:val="00E74435"/>
    <w:rsid w:val="00E758AD"/>
    <w:rsid w:val="00E77D4E"/>
    <w:rsid w:val="00E91860"/>
    <w:rsid w:val="00E954B7"/>
    <w:rsid w:val="00E96FDB"/>
    <w:rsid w:val="00EA107B"/>
    <w:rsid w:val="00EB4A21"/>
    <w:rsid w:val="00EB6D31"/>
    <w:rsid w:val="00EC06CC"/>
    <w:rsid w:val="00EC16F1"/>
    <w:rsid w:val="00ED05D6"/>
    <w:rsid w:val="00ED0C6F"/>
    <w:rsid w:val="00ED2FCC"/>
    <w:rsid w:val="00EE5F75"/>
    <w:rsid w:val="00EF2722"/>
    <w:rsid w:val="00EF6805"/>
    <w:rsid w:val="00F00508"/>
    <w:rsid w:val="00F01E52"/>
    <w:rsid w:val="00F042DC"/>
    <w:rsid w:val="00F04309"/>
    <w:rsid w:val="00F07099"/>
    <w:rsid w:val="00F105EA"/>
    <w:rsid w:val="00F11117"/>
    <w:rsid w:val="00F12541"/>
    <w:rsid w:val="00F22035"/>
    <w:rsid w:val="00F22D18"/>
    <w:rsid w:val="00F36C87"/>
    <w:rsid w:val="00F46927"/>
    <w:rsid w:val="00F55854"/>
    <w:rsid w:val="00F56813"/>
    <w:rsid w:val="00F5738F"/>
    <w:rsid w:val="00F70110"/>
    <w:rsid w:val="00F711DA"/>
    <w:rsid w:val="00F72C93"/>
    <w:rsid w:val="00F80A88"/>
    <w:rsid w:val="00F823F5"/>
    <w:rsid w:val="00F9170D"/>
    <w:rsid w:val="00F94368"/>
    <w:rsid w:val="00F9494C"/>
    <w:rsid w:val="00FA15C8"/>
    <w:rsid w:val="00FA2D86"/>
    <w:rsid w:val="00FA3478"/>
    <w:rsid w:val="00FA348C"/>
    <w:rsid w:val="00FB0AD8"/>
    <w:rsid w:val="00FB4DBB"/>
    <w:rsid w:val="00FD10B1"/>
    <w:rsid w:val="00FE2C17"/>
    <w:rsid w:val="00FF0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toc 1" w:uiPriority="39"/>
    <w:lsdException w:name="toc 3" w:uiPriority="39"/>
    <w:lsdException w:name="header" w:uiPriority="99"/>
    <w:lsdException w:name="footer" w:uiPriority="99"/>
    <w:lsdException w:name="Default Paragraph Font" w:uiPriority="1"/>
    <w:lsdException w:name="Hyperlink"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32D10"/>
    <w:pPr>
      <w:tabs>
        <w:tab w:val="left" w:pos="567"/>
      </w:tabs>
      <w:spacing w:after="80" w:line="320" w:lineRule="atLeast"/>
    </w:pPr>
    <w:rPr>
      <w:sz w:val="24"/>
    </w:rPr>
  </w:style>
  <w:style w:type="paragraph" w:styleId="Heading1">
    <w:name w:val="heading 1"/>
    <w:basedOn w:val="Normal"/>
    <w:next w:val="Heading2"/>
    <w:link w:val="Heading1Char"/>
    <w:uiPriority w:val="9"/>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qFormat/>
    <w:rsid w:val="00DC0F02"/>
    <w:pPr>
      <w:numPr>
        <w:numId w:val="36"/>
      </w:numPr>
      <w:tabs>
        <w:tab w:val="clear" w:pos="567"/>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622669"/>
    <w:pPr>
      <w:numPr>
        <w:numId w:val="38"/>
      </w:numPr>
      <w:tabs>
        <w:tab w:val="clear" w:pos="567"/>
      </w:tabs>
      <w:spacing w:line="300" w:lineRule="atLeast"/>
    </w:pPr>
    <w:rPr>
      <w:szCs w:val="20"/>
    </w:rPr>
  </w:style>
  <w:style w:type="paragraph" w:customStyle="1" w:styleId="CGCNumberedPara">
    <w:name w:val="CGC Numbered Para"/>
    <w:aliases w:val="CGC Para No"/>
    <w:basedOn w:val="Normal"/>
    <w:qFormat/>
    <w:rsid w:val="00622669"/>
    <w:pPr>
      <w:numPr>
        <w:ilvl w:val="1"/>
        <w:numId w:val="37"/>
      </w:numPr>
      <w:spacing w:before="120"/>
    </w:pPr>
    <w:rPr>
      <w:szCs w:val="24"/>
    </w:rPr>
  </w:style>
  <w:style w:type="paragraph" w:customStyle="1" w:styleId="CGCQuotation">
    <w:name w:val="CGC Quotation"/>
    <w:basedOn w:val="Normal"/>
    <w:next w:val="CGCNumberedPara"/>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qFormat/>
    <w:rsid w:val="00C21EF9"/>
    <w:pPr>
      <w:numPr>
        <w:numId w:val="39"/>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40"/>
      </w:numPr>
      <w:ind w:right="1134"/>
    </w:pPr>
    <w:rPr>
      <w:sz w:val="22"/>
    </w:rPr>
  </w:style>
  <w:style w:type="paragraph" w:customStyle="1" w:styleId="CGCTableFootnote">
    <w:name w:val="CGC Table Footnote"/>
    <w:basedOn w:val="CGCNumberedPara"/>
    <w:next w:val="NoSpacing"/>
    <w:link w:val="CGCTableFootnoteChar"/>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link w:val="CGCTableHeadingChar"/>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link w:val="TableRowNormalChar"/>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link w:val="CGCTableStubChar"/>
    <w:qFormat/>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rsid w:val="00765BA8"/>
    <w:rPr>
      <w:vertAlign w:val="superscript"/>
    </w:rPr>
  </w:style>
  <w:style w:type="paragraph" w:styleId="FootnoteText">
    <w:name w:val="footnote text"/>
    <w:basedOn w:val="Normal"/>
    <w:link w:val="FootnoteTextChar"/>
    <w:rsid w:val="00622669"/>
    <w:pPr>
      <w:spacing w:after="0" w:line="240" w:lineRule="auto"/>
      <w:ind w:left="567" w:hanging="567"/>
    </w:pPr>
    <w:rPr>
      <w:sz w:val="20"/>
      <w:szCs w:val="20"/>
    </w:rPr>
  </w:style>
  <w:style w:type="paragraph" w:styleId="Header">
    <w:name w:val="header"/>
    <w:basedOn w:val="Normal"/>
    <w:link w:val="HeaderChar"/>
    <w:uiPriority w:val="99"/>
    <w:unhideWhenUsed/>
    <w:rsid w:val="00622669"/>
    <w:pPr>
      <w:tabs>
        <w:tab w:val="clear" w:pos="567"/>
        <w:tab w:val="center" w:pos="4513"/>
        <w:tab w:val="right" w:pos="9026"/>
      </w:tabs>
      <w:spacing w:after="0" w:line="240" w:lineRule="auto"/>
    </w:p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uiPriority w:val="39"/>
    <w:rsid w:val="00996409"/>
    <w:pPr>
      <w:tabs>
        <w:tab w:val="clear" w:pos="567"/>
        <w:tab w:val="right" w:pos="8942"/>
      </w:tabs>
      <w:spacing w:before="120" w:after="120"/>
    </w:pPr>
    <w:rPr>
      <w:b/>
      <w:bCs/>
      <w:caps/>
      <w:szCs w:val="20"/>
    </w:rPr>
  </w:style>
  <w:style w:type="paragraph" w:styleId="TOC2">
    <w:name w:val="toc 2"/>
    <w:basedOn w:val="Normal"/>
    <w:next w:val="Normal"/>
    <w:rsid w:val="00DE1C0E"/>
    <w:pPr>
      <w:tabs>
        <w:tab w:val="clear" w:pos="567"/>
        <w:tab w:val="right" w:pos="8942"/>
      </w:tabs>
      <w:spacing w:after="0"/>
      <w:ind w:left="284"/>
    </w:pPr>
    <w:rPr>
      <w:szCs w:val="20"/>
    </w:rPr>
  </w:style>
  <w:style w:type="paragraph" w:styleId="TOC3">
    <w:name w:val="toc 3"/>
    <w:basedOn w:val="Normal"/>
    <w:next w:val="Normal"/>
    <w:uiPriority w:val="39"/>
    <w:rsid w:val="00DE1C0E"/>
    <w:pPr>
      <w:tabs>
        <w:tab w:val="clear" w:pos="567"/>
        <w:tab w:val="right" w:pos="8942"/>
      </w:tabs>
      <w:spacing w:after="0"/>
      <w:ind w:left="567"/>
    </w:pPr>
    <w:rPr>
      <w:iCs/>
    </w:rPr>
  </w:style>
  <w:style w:type="paragraph" w:styleId="TOC4">
    <w:name w:val="toc 4"/>
    <w:basedOn w:val="Normal"/>
    <w:next w:val="Normal"/>
    <w:rsid w:val="00996409"/>
    <w:pPr>
      <w:tabs>
        <w:tab w:val="clear" w:pos="567"/>
        <w:tab w:val="right" w:pos="8942"/>
      </w:tabs>
      <w:spacing w:after="0"/>
      <w:ind w:left="1134"/>
    </w:p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basedOn w:val="DefaultParagraphFont"/>
    <w:link w:val="Heading1"/>
    <w:uiPriority w:val="9"/>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uiPriority w:val="99"/>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CGCTableFootnoteChar">
    <w:name w:val="CGC Table Footnote Char"/>
    <w:basedOn w:val="DefaultParagraphFont"/>
    <w:link w:val="CGCTableFootnote"/>
    <w:rsid w:val="00FA3478"/>
    <w:rPr>
      <w:sz w:val="20"/>
      <w:szCs w:val="24"/>
    </w:rPr>
  </w:style>
  <w:style w:type="character" w:customStyle="1" w:styleId="CGCTableHeadingChar">
    <w:name w:val="CGC Table Heading Char"/>
    <w:basedOn w:val="DefaultParagraphFont"/>
    <w:link w:val="CGCTableHeading"/>
    <w:rsid w:val="00FA3478"/>
    <w:rPr>
      <w:b/>
      <w:sz w:val="24"/>
      <w:szCs w:val="20"/>
    </w:rPr>
  </w:style>
  <w:style w:type="character" w:customStyle="1" w:styleId="CGCTableStubChar">
    <w:name w:val="CGC Table Stub Char"/>
    <w:basedOn w:val="DefaultParagraphFont"/>
    <w:link w:val="CGCTableStub"/>
    <w:rsid w:val="00FA3478"/>
    <w:rPr>
      <w:sz w:val="20"/>
      <w:szCs w:val="20"/>
    </w:rPr>
  </w:style>
  <w:style w:type="character" w:customStyle="1" w:styleId="TableRowNormalChar">
    <w:name w:val="TableRowNormal Char"/>
    <w:basedOn w:val="DefaultParagraphFont"/>
    <w:link w:val="TableRowNormal"/>
    <w:locked/>
    <w:rsid w:val="00FA347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toc 1" w:uiPriority="39"/>
    <w:lsdException w:name="toc 3" w:uiPriority="39"/>
    <w:lsdException w:name="header" w:uiPriority="99"/>
    <w:lsdException w:name="footer" w:uiPriority="99"/>
    <w:lsdException w:name="Default Paragraph Font" w:uiPriority="1"/>
    <w:lsdException w:name="Hyperlink"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32D10"/>
    <w:pPr>
      <w:tabs>
        <w:tab w:val="left" w:pos="567"/>
      </w:tabs>
      <w:spacing w:after="80" w:line="320" w:lineRule="atLeast"/>
    </w:pPr>
    <w:rPr>
      <w:sz w:val="24"/>
    </w:rPr>
  </w:style>
  <w:style w:type="paragraph" w:styleId="Heading1">
    <w:name w:val="heading 1"/>
    <w:basedOn w:val="Normal"/>
    <w:next w:val="Heading2"/>
    <w:link w:val="Heading1Char"/>
    <w:uiPriority w:val="9"/>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qFormat/>
    <w:rsid w:val="00DC0F02"/>
    <w:pPr>
      <w:numPr>
        <w:numId w:val="36"/>
      </w:numPr>
      <w:tabs>
        <w:tab w:val="clear" w:pos="567"/>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622669"/>
    <w:pPr>
      <w:numPr>
        <w:numId w:val="38"/>
      </w:numPr>
      <w:tabs>
        <w:tab w:val="clear" w:pos="567"/>
      </w:tabs>
      <w:spacing w:line="300" w:lineRule="atLeast"/>
    </w:pPr>
    <w:rPr>
      <w:szCs w:val="20"/>
    </w:rPr>
  </w:style>
  <w:style w:type="paragraph" w:customStyle="1" w:styleId="CGCNumberedPara">
    <w:name w:val="CGC Numbered Para"/>
    <w:aliases w:val="CGC Para No"/>
    <w:basedOn w:val="Normal"/>
    <w:qFormat/>
    <w:rsid w:val="00622669"/>
    <w:pPr>
      <w:numPr>
        <w:ilvl w:val="1"/>
        <w:numId w:val="37"/>
      </w:numPr>
      <w:spacing w:before="120"/>
    </w:pPr>
    <w:rPr>
      <w:szCs w:val="24"/>
    </w:rPr>
  </w:style>
  <w:style w:type="paragraph" w:customStyle="1" w:styleId="CGCQuotation">
    <w:name w:val="CGC Quotation"/>
    <w:basedOn w:val="Normal"/>
    <w:next w:val="CGCNumberedPara"/>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qFormat/>
    <w:rsid w:val="00C21EF9"/>
    <w:pPr>
      <w:numPr>
        <w:numId w:val="39"/>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40"/>
      </w:numPr>
      <w:ind w:right="1134"/>
    </w:pPr>
    <w:rPr>
      <w:sz w:val="22"/>
    </w:rPr>
  </w:style>
  <w:style w:type="paragraph" w:customStyle="1" w:styleId="CGCTableFootnote">
    <w:name w:val="CGC Table Footnote"/>
    <w:basedOn w:val="CGCNumberedPara"/>
    <w:next w:val="NoSpacing"/>
    <w:link w:val="CGCTableFootnoteChar"/>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link w:val="CGCTableHeadingChar"/>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link w:val="TableRowNormalChar"/>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link w:val="CGCTableStubChar"/>
    <w:qFormat/>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rsid w:val="00765BA8"/>
    <w:rPr>
      <w:vertAlign w:val="superscript"/>
    </w:rPr>
  </w:style>
  <w:style w:type="paragraph" w:styleId="FootnoteText">
    <w:name w:val="footnote text"/>
    <w:basedOn w:val="Normal"/>
    <w:link w:val="FootnoteTextChar"/>
    <w:rsid w:val="00622669"/>
    <w:pPr>
      <w:spacing w:after="0" w:line="240" w:lineRule="auto"/>
      <w:ind w:left="567" w:hanging="567"/>
    </w:pPr>
    <w:rPr>
      <w:sz w:val="20"/>
      <w:szCs w:val="20"/>
    </w:rPr>
  </w:style>
  <w:style w:type="paragraph" w:styleId="Header">
    <w:name w:val="header"/>
    <w:basedOn w:val="Normal"/>
    <w:link w:val="HeaderChar"/>
    <w:uiPriority w:val="99"/>
    <w:unhideWhenUsed/>
    <w:rsid w:val="00622669"/>
    <w:pPr>
      <w:tabs>
        <w:tab w:val="clear" w:pos="567"/>
        <w:tab w:val="center" w:pos="4513"/>
        <w:tab w:val="right" w:pos="9026"/>
      </w:tabs>
      <w:spacing w:after="0" w:line="240" w:lineRule="auto"/>
    </w:p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uiPriority w:val="39"/>
    <w:rsid w:val="00996409"/>
    <w:pPr>
      <w:tabs>
        <w:tab w:val="clear" w:pos="567"/>
        <w:tab w:val="right" w:pos="8942"/>
      </w:tabs>
      <w:spacing w:before="120" w:after="120"/>
    </w:pPr>
    <w:rPr>
      <w:b/>
      <w:bCs/>
      <w:caps/>
      <w:szCs w:val="20"/>
    </w:rPr>
  </w:style>
  <w:style w:type="paragraph" w:styleId="TOC2">
    <w:name w:val="toc 2"/>
    <w:basedOn w:val="Normal"/>
    <w:next w:val="Normal"/>
    <w:rsid w:val="00DE1C0E"/>
    <w:pPr>
      <w:tabs>
        <w:tab w:val="clear" w:pos="567"/>
        <w:tab w:val="right" w:pos="8942"/>
      </w:tabs>
      <w:spacing w:after="0"/>
      <w:ind w:left="284"/>
    </w:pPr>
    <w:rPr>
      <w:szCs w:val="20"/>
    </w:rPr>
  </w:style>
  <w:style w:type="paragraph" w:styleId="TOC3">
    <w:name w:val="toc 3"/>
    <w:basedOn w:val="Normal"/>
    <w:next w:val="Normal"/>
    <w:uiPriority w:val="39"/>
    <w:rsid w:val="00DE1C0E"/>
    <w:pPr>
      <w:tabs>
        <w:tab w:val="clear" w:pos="567"/>
        <w:tab w:val="right" w:pos="8942"/>
      </w:tabs>
      <w:spacing w:after="0"/>
      <w:ind w:left="567"/>
    </w:pPr>
    <w:rPr>
      <w:iCs/>
    </w:rPr>
  </w:style>
  <w:style w:type="paragraph" w:styleId="TOC4">
    <w:name w:val="toc 4"/>
    <w:basedOn w:val="Normal"/>
    <w:next w:val="Normal"/>
    <w:rsid w:val="00996409"/>
    <w:pPr>
      <w:tabs>
        <w:tab w:val="clear" w:pos="567"/>
        <w:tab w:val="right" w:pos="8942"/>
      </w:tabs>
      <w:spacing w:after="0"/>
      <w:ind w:left="1134"/>
    </w:p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basedOn w:val="DefaultParagraphFont"/>
    <w:link w:val="Heading1"/>
    <w:uiPriority w:val="9"/>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uiPriority w:val="99"/>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CGCTableFootnoteChar">
    <w:name w:val="CGC Table Footnote Char"/>
    <w:basedOn w:val="DefaultParagraphFont"/>
    <w:link w:val="CGCTableFootnote"/>
    <w:rsid w:val="00FA3478"/>
    <w:rPr>
      <w:sz w:val="20"/>
      <w:szCs w:val="24"/>
    </w:rPr>
  </w:style>
  <w:style w:type="character" w:customStyle="1" w:styleId="CGCTableHeadingChar">
    <w:name w:val="CGC Table Heading Char"/>
    <w:basedOn w:val="DefaultParagraphFont"/>
    <w:link w:val="CGCTableHeading"/>
    <w:rsid w:val="00FA3478"/>
    <w:rPr>
      <w:b/>
      <w:sz w:val="24"/>
      <w:szCs w:val="20"/>
    </w:rPr>
  </w:style>
  <w:style w:type="character" w:customStyle="1" w:styleId="CGCTableStubChar">
    <w:name w:val="CGC Table Stub Char"/>
    <w:basedOn w:val="DefaultParagraphFont"/>
    <w:link w:val="CGCTableStub"/>
    <w:rsid w:val="00FA3478"/>
    <w:rPr>
      <w:sz w:val="20"/>
      <w:szCs w:val="20"/>
    </w:rPr>
  </w:style>
  <w:style w:type="character" w:customStyle="1" w:styleId="TableRowNormalChar">
    <w:name w:val="TableRowNormal Char"/>
    <w:basedOn w:val="DefaultParagraphFont"/>
    <w:link w:val="TableRowNormal"/>
    <w:locked/>
    <w:rsid w:val="00FA347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reativecommons.org/licenses/by/3.0" TargetMode="Externa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ecretary@cgc.gov.a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Dermot.Doherty@cgc.gov.au"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4612</Words>
  <Characters>25466</Characters>
  <Application>Microsoft Office Word</Application>
  <DocSecurity>0</DocSecurity>
  <Lines>212</Lines>
  <Paragraphs>60</Paragraphs>
  <ScaleCrop>false</ScaleCrop>
  <Company/>
  <LinksUpToDate>false</LinksUpToDate>
  <CharactersWithSpaces>30018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2018-04-18T04:32:00Z</dcterms:created>
  <dcterms:modified xsi:type="dcterms:W3CDTF">2018-04-18T05:54:00Z</dcterms:modified>
</cp:coreProperties>
</file>