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711" w:rsidRPr="00970E6D" w:rsidRDefault="005D3711" w:rsidP="005D3711">
      <w:pPr>
        <w:tabs>
          <w:tab w:val="clear" w:pos="567"/>
        </w:tabs>
        <w:jc w:val="center"/>
        <w:rPr>
          <w:b/>
          <w:bCs/>
        </w:rPr>
      </w:pPr>
      <w:bookmarkStart w:id="0" w:name="_GoBack"/>
      <w:bookmarkEnd w:id="0"/>
      <w:r w:rsidRPr="00970E6D">
        <w:rPr>
          <w:noProof/>
          <w:lang w:eastAsia="en-AU"/>
        </w:rPr>
        <w:drawing>
          <wp:inline distT="0" distB="0" distL="0" distR="0" wp14:anchorId="159F97C6" wp14:editId="268E4439">
            <wp:extent cx="2933700" cy="1524600"/>
            <wp:effectExtent l="19050" t="0" r="0" b="0"/>
            <wp:docPr id="1" name="Picture 1" descr="Commonwealth Gran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C_stackedstrip"/>
                    <pic:cNvPicPr>
                      <a:picLocks noChangeAspect="1" noChangeArrowheads="1"/>
                    </pic:cNvPicPr>
                  </pic:nvPicPr>
                  <pic:blipFill>
                    <a:blip r:embed="rId9" cstate="print"/>
                    <a:srcRect/>
                    <a:stretch>
                      <a:fillRect/>
                    </a:stretch>
                  </pic:blipFill>
                  <pic:spPr bwMode="auto">
                    <a:xfrm>
                      <a:off x="0" y="0"/>
                      <a:ext cx="2933700" cy="1524600"/>
                    </a:xfrm>
                    <a:prstGeom prst="rect">
                      <a:avLst/>
                    </a:prstGeom>
                    <a:noFill/>
                    <a:ln w="9525">
                      <a:noFill/>
                      <a:miter lim="800000"/>
                      <a:headEnd/>
                      <a:tailEnd/>
                    </a:ln>
                  </pic:spPr>
                </pic:pic>
              </a:graphicData>
            </a:graphic>
          </wp:inline>
        </w:drawing>
      </w:r>
    </w:p>
    <w:p w:rsidR="005D3711" w:rsidRPr="00970E6D" w:rsidRDefault="005D3711" w:rsidP="005D3711">
      <w:pPr>
        <w:tabs>
          <w:tab w:val="clear" w:pos="567"/>
        </w:tabs>
        <w:jc w:val="center"/>
        <w:rPr>
          <w:b/>
          <w:sz w:val="40"/>
          <w:szCs w:val="40"/>
        </w:rPr>
      </w:pPr>
    </w:p>
    <w:p w:rsidR="005D3711" w:rsidRPr="00970E6D" w:rsidRDefault="005D3711" w:rsidP="005D3711">
      <w:pPr>
        <w:tabs>
          <w:tab w:val="clear" w:pos="567"/>
        </w:tabs>
        <w:jc w:val="center"/>
        <w:rPr>
          <w:b/>
          <w:sz w:val="40"/>
          <w:szCs w:val="40"/>
        </w:rPr>
      </w:pPr>
    </w:p>
    <w:p w:rsidR="005D3711" w:rsidRPr="00970E6D" w:rsidRDefault="005D3711" w:rsidP="005D3711">
      <w:pPr>
        <w:tabs>
          <w:tab w:val="clear" w:pos="567"/>
        </w:tabs>
        <w:jc w:val="center"/>
        <w:rPr>
          <w:b/>
          <w:sz w:val="40"/>
          <w:szCs w:val="40"/>
        </w:rPr>
      </w:pPr>
      <w:r w:rsidRPr="00970E6D">
        <w:rPr>
          <w:b/>
          <w:sz w:val="40"/>
          <w:szCs w:val="40"/>
        </w:rPr>
        <w:t>20</w:t>
      </w:r>
      <w:r>
        <w:rPr>
          <w:b/>
          <w:sz w:val="40"/>
          <w:szCs w:val="40"/>
        </w:rPr>
        <w:t>20</w:t>
      </w:r>
      <w:r w:rsidRPr="00970E6D">
        <w:rPr>
          <w:b/>
          <w:sz w:val="40"/>
          <w:szCs w:val="40"/>
        </w:rPr>
        <w:t xml:space="preserve"> REVIEW</w:t>
      </w:r>
    </w:p>
    <w:p w:rsidR="005D3711" w:rsidRPr="00970E6D" w:rsidRDefault="005D3711" w:rsidP="005D3711">
      <w:pPr>
        <w:tabs>
          <w:tab w:val="clear" w:pos="567"/>
        </w:tabs>
        <w:jc w:val="center"/>
        <w:rPr>
          <w:b/>
          <w:sz w:val="40"/>
          <w:szCs w:val="40"/>
        </w:rPr>
      </w:pPr>
    </w:p>
    <w:p w:rsidR="005D3711" w:rsidRPr="00970E6D" w:rsidRDefault="005D3711" w:rsidP="005D3711">
      <w:pPr>
        <w:tabs>
          <w:tab w:val="clear" w:pos="567"/>
        </w:tabs>
        <w:jc w:val="center"/>
        <w:rPr>
          <w:b/>
          <w:sz w:val="40"/>
          <w:szCs w:val="40"/>
        </w:rPr>
      </w:pPr>
    </w:p>
    <w:p w:rsidR="005D3711" w:rsidRPr="00970E6D" w:rsidRDefault="005D3711" w:rsidP="005D3711">
      <w:pPr>
        <w:tabs>
          <w:tab w:val="clear" w:pos="567"/>
        </w:tabs>
        <w:jc w:val="center"/>
        <w:rPr>
          <w:b/>
          <w:sz w:val="40"/>
          <w:szCs w:val="40"/>
        </w:rPr>
      </w:pPr>
    </w:p>
    <w:p w:rsidR="005D3711" w:rsidRPr="00970E6D" w:rsidRDefault="005D3711" w:rsidP="005D3711">
      <w:pPr>
        <w:tabs>
          <w:tab w:val="clear" w:pos="567"/>
        </w:tabs>
        <w:jc w:val="center"/>
        <w:rPr>
          <w:b/>
          <w:sz w:val="40"/>
          <w:szCs w:val="40"/>
        </w:rPr>
      </w:pPr>
    </w:p>
    <w:p w:rsidR="005D3711" w:rsidRPr="00970E6D" w:rsidRDefault="00251A62" w:rsidP="005D3711">
      <w:pPr>
        <w:tabs>
          <w:tab w:val="clear" w:pos="567"/>
        </w:tabs>
        <w:jc w:val="center"/>
        <w:rPr>
          <w:bCs/>
          <w:sz w:val="40"/>
          <w:szCs w:val="40"/>
        </w:rPr>
      </w:pPr>
      <w:r>
        <w:rPr>
          <w:b/>
          <w:sz w:val="40"/>
          <w:szCs w:val="40"/>
        </w:rPr>
        <w:t>INSURANCE TAX</w:t>
      </w:r>
    </w:p>
    <w:p w:rsidR="005D3711" w:rsidRPr="00970E6D" w:rsidRDefault="005D3711" w:rsidP="005D3711">
      <w:pPr>
        <w:tabs>
          <w:tab w:val="clear" w:pos="567"/>
        </w:tabs>
        <w:jc w:val="center"/>
        <w:rPr>
          <w:b/>
          <w:sz w:val="40"/>
          <w:szCs w:val="40"/>
        </w:rPr>
      </w:pPr>
    </w:p>
    <w:p w:rsidR="005D3711" w:rsidRPr="00970E6D" w:rsidRDefault="005D3711" w:rsidP="005D3711">
      <w:pPr>
        <w:tabs>
          <w:tab w:val="clear" w:pos="567"/>
        </w:tabs>
        <w:jc w:val="center"/>
        <w:rPr>
          <w:b/>
          <w:sz w:val="40"/>
          <w:szCs w:val="40"/>
        </w:rPr>
      </w:pPr>
    </w:p>
    <w:p w:rsidR="005D3711" w:rsidRPr="00970E6D" w:rsidRDefault="005D3711" w:rsidP="005D3711">
      <w:pPr>
        <w:tabs>
          <w:tab w:val="clear" w:pos="567"/>
        </w:tabs>
        <w:jc w:val="center"/>
        <w:rPr>
          <w:b/>
          <w:sz w:val="40"/>
          <w:szCs w:val="40"/>
        </w:rPr>
      </w:pPr>
    </w:p>
    <w:p w:rsidR="005D3711" w:rsidRPr="00970E6D" w:rsidRDefault="005D3711" w:rsidP="005D3711">
      <w:pPr>
        <w:tabs>
          <w:tab w:val="clear" w:pos="567"/>
        </w:tabs>
        <w:jc w:val="center"/>
        <w:rPr>
          <w:b/>
          <w:sz w:val="40"/>
          <w:szCs w:val="40"/>
        </w:rPr>
      </w:pPr>
    </w:p>
    <w:p w:rsidR="005D3711" w:rsidRPr="00970E6D" w:rsidRDefault="0052389C" w:rsidP="005D3711">
      <w:pPr>
        <w:tabs>
          <w:tab w:val="clear" w:pos="567"/>
        </w:tabs>
        <w:jc w:val="center"/>
        <w:rPr>
          <w:b/>
          <w:sz w:val="40"/>
          <w:szCs w:val="40"/>
        </w:rPr>
      </w:pPr>
      <w:r>
        <w:rPr>
          <w:b/>
          <w:sz w:val="40"/>
          <w:szCs w:val="40"/>
        </w:rPr>
        <w:t xml:space="preserve">STAFF </w:t>
      </w:r>
      <w:r w:rsidR="005D3711">
        <w:rPr>
          <w:b/>
          <w:sz w:val="40"/>
          <w:szCs w:val="40"/>
        </w:rPr>
        <w:t>DRAFT ASSESSMENT PAPER</w:t>
      </w:r>
      <w:r w:rsidR="005D3711">
        <w:rPr>
          <w:b/>
          <w:sz w:val="40"/>
          <w:szCs w:val="40"/>
        </w:rPr>
        <w:br/>
      </w:r>
      <w:proofErr w:type="spellStart"/>
      <w:r w:rsidR="005D3711">
        <w:rPr>
          <w:b/>
          <w:sz w:val="40"/>
          <w:szCs w:val="40"/>
        </w:rPr>
        <w:t>CGC</w:t>
      </w:r>
      <w:proofErr w:type="spellEnd"/>
      <w:r w:rsidR="005D3711">
        <w:rPr>
          <w:b/>
          <w:sz w:val="40"/>
          <w:szCs w:val="40"/>
        </w:rPr>
        <w:t xml:space="preserve"> 20</w:t>
      </w:r>
      <w:r w:rsidR="005D3711" w:rsidRPr="00970E6D">
        <w:rPr>
          <w:b/>
          <w:sz w:val="40"/>
          <w:szCs w:val="40"/>
        </w:rPr>
        <w:t>1</w:t>
      </w:r>
      <w:r w:rsidR="005D3711">
        <w:rPr>
          <w:b/>
          <w:sz w:val="40"/>
          <w:szCs w:val="40"/>
        </w:rPr>
        <w:t>8</w:t>
      </w:r>
      <w:r w:rsidR="005D3711" w:rsidRPr="00970E6D">
        <w:rPr>
          <w:b/>
          <w:sz w:val="40"/>
          <w:szCs w:val="40"/>
        </w:rPr>
        <w:t>-</w:t>
      </w:r>
      <w:r w:rsidR="005D3711">
        <w:rPr>
          <w:b/>
          <w:sz w:val="40"/>
          <w:szCs w:val="40"/>
        </w:rPr>
        <w:t>01/05</w:t>
      </w:r>
      <w:r w:rsidR="00A74291">
        <w:rPr>
          <w:b/>
          <w:sz w:val="40"/>
          <w:szCs w:val="40"/>
        </w:rPr>
        <w:t>-S</w:t>
      </w:r>
    </w:p>
    <w:p w:rsidR="005D3711" w:rsidRPr="00970E6D" w:rsidRDefault="005D3711" w:rsidP="005D3711">
      <w:pPr>
        <w:tabs>
          <w:tab w:val="clear" w:pos="567"/>
        </w:tabs>
        <w:jc w:val="center"/>
        <w:rPr>
          <w:b/>
          <w:sz w:val="40"/>
          <w:szCs w:val="40"/>
        </w:rPr>
      </w:pPr>
    </w:p>
    <w:p w:rsidR="005D3711" w:rsidRPr="00970E6D" w:rsidRDefault="005D3711" w:rsidP="005D3711">
      <w:pPr>
        <w:tabs>
          <w:tab w:val="clear" w:pos="567"/>
        </w:tabs>
        <w:jc w:val="center"/>
        <w:rPr>
          <w:b/>
          <w:sz w:val="40"/>
          <w:szCs w:val="40"/>
        </w:rPr>
      </w:pPr>
    </w:p>
    <w:p w:rsidR="005D3711" w:rsidRPr="00970E6D" w:rsidRDefault="005D3711" w:rsidP="005D3711">
      <w:pPr>
        <w:tabs>
          <w:tab w:val="clear" w:pos="567"/>
        </w:tabs>
        <w:jc w:val="center"/>
        <w:rPr>
          <w:b/>
          <w:sz w:val="40"/>
          <w:szCs w:val="40"/>
        </w:rPr>
      </w:pPr>
    </w:p>
    <w:p w:rsidR="005D3711" w:rsidRPr="00970E6D" w:rsidRDefault="005D3711" w:rsidP="005D3711">
      <w:pPr>
        <w:tabs>
          <w:tab w:val="clear" w:pos="567"/>
        </w:tabs>
        <w:jc w:val="center"/>
        <w:rPr>
          <w:sz w:val="40"/>
          <w:szCs w:val="40"/>
        </w:rPr>
      </w:pPr>
    </w:p>
    <w:p w:rsidR="005D3711" w:rsidRPr="00970E6D" w:rsidRDefault="005D3711" w:rsidP="005D3711">
      <w:pPr>
        <w:tabs>
          <w:tab w:val="clear" w:pos="567"/>
        </w:tabs>
        <w:jc w:val="right"/>
        <w:rPr>
          <w:b/>
          <w:sz w:val="28"/>
          <w:szCs w:val="28"/>
        </w:rPr>
      </w:pPr>
      <w:r>
        <w:rPr>
          <w:b/>
          <w:sz w:val="28"/>
          <w:szCs w:val="28"/>
        </w:rPr>
        <w:t>APRIL 2018</w:t>
      </w:r>
    </w:p>
    <w:p w:rsidR="005D3711" w:rsidRPr="00970E6D" w:rsidRDefault="005D3711" w:rsidP="005D3711">
      <w:pPr>
        <w:tabs>
          <w:tab w:val="clear" w:pos="567"/>
        </w:tabs>
      </w:pPr>
    </w:p>
    <w:p w:rsidR="005D3711" w:rsidRPr="00970E6D" w:rsidRDefault="005D3711" w:rsidP="005D3711">
      <w:pPr>
        <w:tabs>
          <w:tab w:val="clear" w:pos="567"/>
        </w:tabs>
        <w:sectPr w:rsidR="005D3711" w:rsidRPr="00970E6D" w:rsidSect="00BE7A02">
          <w:footerReference w:type="default" r:id="rId10"/>
          <w:footerReference w:type="first" r:id="rId11"/>
          <w:pgSz w:w="11899" w:h="16838" w:code="9"/>
          <w:pgMar w:top="1701" w:right="1474" w:bottom="1701" w:left="1474" w:header="709" w:footer="709" w:gutter="0"/>
          <w:cols w:space="708"/>
          <w:titlePg/>
          <w:docGrid w:linePitch="299"/>
        </w:sectPr>
      </w:pPr>
    </w:p>
    <w:p w:rsidR="005D3711" w:rsidRDefault="005D3711" w:rsidP="005D3711"/>
    <w:p w:rsidR="005D3711" w:rsidRDefault="005D3711" w:rsidP="005D3711"/>
    <w:p w:rsidR="005D3711" w:rsidRDefault="005D3711" w:rsidP="005D3711"/>
    <w:p w:rsidR="005D3711" w:rsidRDefault="005D3711" w:rsidP="005D3711"/>
    <w:p w:rsidR="005D3711" w:rsidRDefault="005D3711" w:rsidP="005D3711"/>
    <w:p w:rsidR="005D3711" w:rsidRDefault="005D3711" w:rsidP="005D3711"/>
    <w:p w:rsidR="005D3711" w:rsidRDefault="005D3711" w:rsidP="005D3711"/>
    <w:p w:rsidR="005D3711" w:rsidRDefault="005D3711" w:rsidP="005D3711"/>
    <w:p w:rsidR="005D3711" w:rsidRDefault="005D3711" w:rsidP="005D3711"/>
    <w:p w:rsidR="005D3711" w:rsidRDefault="005D3711" w:rsidP="005D3711"/>
    <w:p w:rsidR="005D3711" w:rsidRDefault="005D3711" w:rsidP="005D3711"/>
    <w:p w:rsidR="005D3711" w:rsidRDefault="005D3711" w:rsidP="005D3711"/>
    <w:p w:rsidR="005D3711" w:rsidRDefault="005D3711" w:rsidP="005D3711"/>
    <w:p w:rsidR="005D3711" w:rsidRDefault="005D3711" w:rsidP="005D3711"/>
    <w:p w:rsidR="005D3711" w:rsidRDefault="005D3711" w:rsidP="005D3711"/>
    <w:p w:rsidR="005D3711" w:rsidRDefault="005D3711" w:rsidP="005D3711"/>
    <w:p w:rsidR="005D3711" w:rsidRDefault="005D3711" w:rsidP="005D3711"/>
    <w:tbl>
      <w:tblPr>
        <w:tblStyle w:val="TableGrid"/>
        <w:tblW w:w="5000" w:type="pct"/>
        <w:tblLook w:val="04A0" w:firstRow="1" w:lastRow="0" w:firstColumn="1" w:lastColumn="0" w:noHBand="0" w:noVBand="1"/>
      </w:tblPr>
      <w:tblGrid>
        <w:gridCol w:w="2943"/>
        <w:gridCol w:w="6224"/>
      </w:tblGrid>
      <w:tr w:rsidR="005D3711" w:rsidRPr="00970E6D" w:rsidTr="00B04027">
        <w:tc>
          <w:tcPr>
            <w:tcW w:w="1605" w:type="pct"/>
          </w:tcPr>
          <w:p w:rsidR="005D3711" w:rsidRPr="00970E6D" w:rsidRDefault="005D3711" w:rsidP="00B04027">
            <w:pPr>
              <w:tabs>
                <w:tab w:val="clear" w:pos="567"/>
              </w:tabs>
            </w:pPr>
            <w:r w:rsidRPr="00970E6D">
              <w:t>Paper issued</w:t>
            </w:r>
          </w:p>
        </w:tc>
        <w:tc>
          <w:tcPr>
            <w:tcW w:w="3395" w:type="pct"/>
          </w:tcPr>
          <w:p w:rsidR="005D3711" w:rsidRPr="00970E6D" w:rsidRDefault="002D682B" w:rsidP="00B04027">
            <w:pPr>
              <w:tabs>
                <w:tab w:val="clear" w:pos="567"/>
              </w:tabs>
            </w:pPr>
            <w:r>
              <w:t>20</w:t>
            </w:r>
            <w:r w:rsidR="005D3711" w:rsidRPr="00970E6D">
              <w:t xml:space="preserve"> </w:t>
            </w:r>
            <w:r w:rsidR="005D3711">
              <w:t>April</w:t>
            </w:r>
            <w:r w:rsidR="005D3711" w:rsidRPr="00970E6D">
              <w:t xml:space="preserve"> 20</w:t>
            </w:r>
            <w:r w:rsidR="005D3711">
              <w:t>18</w:t>
            </w:r>
          </w:p>
        </w:tc>
      </w:tr>
      <w:tr w:rsidR="005D3711" w:rsidRPr="00970E6D" w:rsidTr="00B04027">
        <w:tc>
          <w:tcPr>
            <w:tcW w:w="1605" w:type="pct"/>
          </w:tcPr>
          <w:p w:rsidR="005D3711" w:rsidRPr="00970E6D" w:rsidRDefault="005D3711" w:rsidP="00B04027">
            <w:pPr>
              <w:tabs>
                <w:tab w:val="clear" w:pos="567"/>
              </w:tabs>
            </w:pPr>
            <w:r w:rsidRPr="00970E6D">
              <w:t>Commission contact officer</w:t>
            </w:r>
          </w:p>
        </w:tc>
        <w:tc>
          <w:tcPr>
            <w:tcW w:w="3395" w:type="pct"/>
          </w:tcPr>
          <w:p w:rsidR="005D3711" w:rsidRPr="00970E6D" w:rsidRDefault="005D3711" w:rsidP="005D3711">
            <w:pPr>
              <w:tabs>
                <w:tab w:val="clear" w:pos="567"/>
              </w:tabs>
            </w:pPr>
            <w:r>
              <w:t xml:space="preserve">Morgan Moa, 6229 8826, </w:t>
            </w:r>
            <w:hyperlink r:id="rId12" w:history="1">
              <w:r w:rsidRPr="005C34B1">
                <w:rPr>
                  <w:rStyle w:val="Hyperlink"/>
                </w:rPr>
                <w:t>morgan.moa@gmail.com</w:t>
              </w:r>
            </w:hyperlink>
            <w:r>
              <w:t xml:space="preserve"> </w:t>
            </w:r>
          </w:p>
        </w:tc>
      </w:tr>
      <w:tr w:rsidR="005D3711" w:rsidRPr="00970E6D" w:rsidTr="00B04027">
        <w:tc>
          <w:tcPr>
            <w:tcW w:w="1605" w:type="pct"/>
          </w:tcPr>
          <w:p w:rsidR="005D3711" w:rsidRPr="00970E6D" w:rsidRDefault="005D3711" w:rsidP="00B04027">
            <w:pPr>
              <w:tabs>
                <w:tab w:val="clear" w:pos="567"/>
              </w:tabs>
            </w:pPr>
            <w:r w:rsidRPr="00970E6D">
              <w:t>Submissions sought by</w:t>
            </w:r>
          </w:p>
        </w:tc>
        <w:tc>
          <w:tcPr>
            <w:tcW w:w="3395" w:type="pct"/>
          </w:tcPr>
          <w:p w:rsidR="002D682B" w:rsidRDefault="002D682B" w:rsidP="00B04027">
            <w:pPr>
              <w:tabs>
                <w:tab w:val="clear" w:pos="567"/>
              </w:tabs>
            </w:pPr>
            <w:r>
              <w:t>31 August 2018</w:t>
            </w:r>
            <w:r w:rsidR="005D3711" w:rsidRPr="00970E6D">
              <w:t xml:space="preserve"> </w:t>
            </w:r>
          </w:p>
          <w:p w:rsidR="005D3711" w:rsidRPr="00970E6D" w:rsidRDefault="005D3711" w:rsidP="00B04027">
            <w:pPr>
              <w:tabs>
                <w:tab w:val="clear" w:pos="567"/>
              </w:tabs>
            </w:pPr>
            <w:r w:rsidRPr="00970E6D">
              <w:t xml:space="preserve">Submissions should be emailed in Word format to </w:t>
            </w:r>
            <w:hyperlink r:id="rId13" w:history="1">
              <w:r w:rsidRPr="00970E6D">
                <w:rPr>
                  <w:rStyle w:val="Hyperlink"/>
                </w:rPr>
                <w:t>secretary@cgc.gov.au</w:t>
              </w:r>
            </w:hyperlink>
            <w:r w:rsidRPr="00970E6D">
              <w:t xml:space="preserve"> .</w:t>
            </w:r>
          </w:p>
          <w:p w:rsidR="005D3711" w:rsidRPr="00970E6D" w:rsidRDefault="005D3711" w:rsidP="00B04027">
            <w:pPr>
              <w:tabs>
                <w:tab w:val="clear" w:pos="567"/>
              </w:tabs>
            </w:pPr>
            <w:r w:rsidRPr="00970E6D">
              <w:t xml:space="preserve">Submissions of more than </w:t>
            </w:r>
            <w:r>
              <w:t>10</w:t>
            </w:r>
            <w:r w:rsidRPr="00970E6D">
              <w:t xml:space="preserve"> pages in length should include a summary section.</w:t>
            </w:r>
          </w:p>
        </w:tc>
      </w:tr>
      <w:tr w:rsidR="005D3711" w:rsidRPr="00970E6D" w:rsidTr="00B04027">
        <w:tblPrEx>
          <w:tblLook w:val="01E0" w:firstRow="1" w:lastRow="1" w:firstColumn="1" w:lastColumn="1" w:noHBand="0" w:noVBand="0"/>
        </w:tblPrEx>
        <w:tc>
          <w:tcPr>
            <w:tcW w:w="1605" w:type="pct"/>
            <w:tcBorders>
              <w:top w:val="single" w:sz="4" w:space="0" w:color="auto"/>
              <w:left w:val="single" w:sz="4" w:space="0" w:color="auto"/>
              <w:bottom w:val="single" w:sz="4" w:space="0" w:color="auto"/>
              <w:right w:val="single" w:sz="4" w:space="0" w:color="auto"/>
            </w:tcBorders>
          </w:tcPr>
          <w:p w:rsidR="005D3711" w:rsidRPr="00970E6D" w:rsidRDefault="005D3711" w:rsidP="00B04027">
            <w:pPr>
              <w:tabs>
                <w:tab w:val="clear" w:pos="567"/>
              </w:tabs>
            </w:pPr>
            <w:r w:rsidRPr="00970E6D">
              <w:t>Confidential material</w:t>
            </w:r>
          </w:p>
        </w:tc>
        <w:tc>
          <w:tcPr>
            <w:tcW w:w="3395" w:type="pct"/>
            <w:tcBorders>
              <w:top w:val="single" w:sz="4" w:space="0" w:color="auto"/>
              <w:left w:val="single" w:sz="4" w:space="0" w:color="auto"/>
              <w:bottom w:val="single" w:sz="4" w:space="0" w:color="auto"/>
              <w:right w:val="single" w:sz="4" w:space="0" w:color="auto"/>
            </w:tcBorders>
          </w:tcPr>
          <w:p w:rsidR="005D3711" w:rsidRPr="00CF1294" w:rsidRDefault="005D3711" w:rsidP="00B04027">
            <w:pPr>
              <w:tabs>
                <w:tab w:val="clear" w:pos="567"/>
              </w:tabs>
            </w:pPr>
            <w:r w:rsidRPr="00CF1294">
              <w:t xml:space="preserve">It is the </w:t>
            </w:r>
            <w:r w:rsidR="004654C5">
              <w:t>C</w:t>
            </w:r>
            <w:r w:rsidRPr="00CF1294">
              <w:t xml:space="preserve">ommission’s normal practice to make State submissions available on its website under the CC BY licence, allowing free use of content by third parties. </w:t>
            </w:r>
          </w:p>
          <w:p w:rsidR="005D3711" w:rsidRPr="00CF1294" w:rsidRDefault="005D3711" w:rsidP="00B04027">
            <w:pPr>
              <w:tabs>
                <w:tab w:val="clear" w:pos="567"/>
              </w:tabs>
            </w:pPr>
            <w:r w:rsidRPr="00CF1294">
              <w:rPr>
                <w:noProof/>
                <w:lang w:eastAsia="en-AU"/>
              </w:rPr>
              <w:drawing>
                <wp:inline distT="0" distB="0" distL="0" distR="0" wp14:anchorId="03F495AC" wp14:editId="591E88AD">
                  <wp:extent cx="828675" cy="295275"/>
                  <wp:effectExtent l="19050" t="0" r="9525" b="0"/>
                  <wp:docPr id="3" name="Picture 1" descr="Creative Commons - CC BY 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 Attribution"/>
                          <pic:cNvPicPr>
                            <a:picLocks noChangeAspect="1" noChangeArrowheads="1"/>
                          </pic:cNvPicPr>
                        </pic:nvPicPr>
                        <pic:blipFill>
                          <a:blip r:embed="rId14"/>
                          <a:srcRect/>
                          <a:stretch>
                            <a:fillRect/>
                          </a:stretch>
                        </pic:blipFill>
                        <pic:spPr bwMode="auto">
                          <a:xfrm>
                            <a:off x="0" y="0"/>
                            <a:ext cx="828675" cy="295275"/>
                          </a:xfrm>
                          <a:prstGeom prst="rect">
                            <a:avLst/>
                          </a:prstGeom>
                          <a:noFill/>
                          <a:ln w="9525">
                            <a:noFill/>
                            <a:miter lim="800000"/>
                            <a:headEnd/>
                            <a:tailEnd/>
                          </a:ln>
                        </pic:spPr>
                      </pic:pic>
                    </a:graphicData>
                  </a:graphic>
                </wp:inline>
              </w:drawing>
            </w:r>
          </w:p>
          <w:p w:rsidR="005D3711" w:rsidRPr="00CF1294" w:rsidRDefault="005D3711" w:rsidP="00B04027">
            <w:pPr>
              <w:tabs>
                <w:tab w:val="clear" w:pos="567"/>
              </w:tabs>
            </w:pPr>
            <w:r w:rsidRPr="00CF1294">
              <w:t xml:space="preserve">Further information on the CC BY licence can be found </w:t>
            </w:r>
            <w:r w:rsidRPr="00EC79CF">
              <w:t xml:space="preserve">on the </w:t>
            </w:r>
            <w:hyperlink r:id="rId15" w:history="1">
              <w:r w:rsidRPr="00841145">
                <w:rPr>
                  <w:rStyle w:val="Hyperlink"/>
                </w:rPr>
                <w:t>Creative Commons website</w:t>
              </w:r>
            </w:hyperlink>
            <w:r w:rsidRPr="00EC79CF">
              <w:t xml:space="preserve"> </w:t>
            </w:r>
            <w:r>
              <w:t>(</w:t>
            </w:r>
            <w:r w:rsidRPr="00841145">
              <w:t>http://creativecommons.org</w:t>
            </w:r>
            <w:r>
              <w:t>).</w:t>
            </w:r>
            <w:r w:rsidRPr="00CF1294">
              <w:t xml:space="preserve"> </w:t>
            </w:r>
          </w:p>
          <w:p w:rsidR="005D3711" w:rsidRPr="00970E6D" w:rsidRDefault="005D3711" w:rsidP="00AC64E2">
            <w:pPr>
              <w:tabs>
                <w:tab w:val="clear" w:pos="567"/>
              </w:tabs>
            </w:pPr>
            <w:r w:rsidRPr="00CF1294">
              <w:t xml:space="preserve">Confidential material contained in submissions must be clearly identified or included in separate attachment/s, and details provided in the covering email. Identified confidential material will not be published on the </w:t>
            </w:r>
            <w:r w:rsidR="00AC64E2">
              <w:t>C</w:t>
            </w:r>
            <w:r w:rsidRPr="00CF1294">
              <w:t>ommission’s website.</w:t>
            </w:r>
          </w:p>
        </w:tc>
      </w:tr>
    </w:tbl>
    <w:p w:rsidR="005D3711" w:rsidRDefault="005D3711" w:rsidP="005D3711"/>
    <w:p w:rsidR="005D3711" w:rsidRDefault="005D3711" w:rsidP="005D3711">
      <w:pPr>
        <w:pStyle w:val="Heading1"/>
      </w:pPr>
      <w:r>
        <w:t>Contents</w:t>
      </w:r>
    </w:p>
    <w:p w:rsidR="005D3711" w:rsidRDefault="005D3711" w:rsidP="005D3711"/>
    <w:p w:rsidR="002D682B" w:rsidRDefault="005D3711">
      <w:pPr>
        <w:pStyle w:val="TOC1"/>
        <w:rPr>
          <w:rFonts w:eastAsiaTheme="minorEastAsia"/>
          <w:b w:val="0"/>
          <w:bCs w:val="0"/>
          <w:caps w:val="0"/>
          <w:noProof/>
          <w:sz w:val="22"/>
          <w:szCs w:val="22"/>
          <w:lang w:eastAsia="en-AU"/>
        </w:rPr>
      </w:pPr>
      <w:r>
        <w:fldChar w:fldCharType="begin"/>
      </w:r>
      <w:r>
        <w:instrText xml:space="preserve"> TOC \f \h \z \u \t "Heading 2,1,Heading 3,1,Heading 4,3" </w:instrText>
      </w:r>
      <w:r>
        <w:fldChar w:fldCharType="separate"/>
      </w:r>
      <w:hyperlink w:anchor="_Toc511636037" w:history="1">
        <w:r w:rsidR="002D682B" w:rsidRPr="00AE3610">
          <w:rPr>
            <w:rStyle w:val="Hyperlink"/>
            <w:noProof/>
          </w:rPr>
          <w:t>2015 Review approach</w:t>
        </w:r>
        <w:r w:rsidR="002D682B">
          <w:rPr>
            <w:noProof/>
            <w:webHidden/>
          </w:rPr>
          <w:tab/>
        </w:r>
        <w:r w:rsidR="002D682B">
          <w:rPr>
            <w:noProof/>
            <w:webHidden/>
          </w:rPr>
          <w:fldChar w:fldCharType="begin"/>
        </w:r>
        <w:r w:rsidR="002D682B">
          <w:rPr>
            <w:noProof/>
            <w:webHidden/>
          </w:rPr>
          <w:instrText xml:space="preserve"> PAGEREF _Toc511636037 \h </w:instrText>
        </w:r>
        <w:r w:rsidR="002D682B">
          <w:rPr>
            <w:noProof/>
            <w:webHidden/>
          </w:rPr>
        </w:r>
        <w:r w:rsidR="002D682B">
          <w:rPr>
            <w:noProof/>
            <w:webHidden/>
          </w:rPr>
          <w:fldChar w:fldCharType="separate"/>
        </w:r>
        <w:r w:rsidR="002D682B">
          <w:rPr>
            <w:noProof/>
            <w:webHidden/>
          </w:rPr>
          <w:t>2</w:t>
        </w:r>
        <w:r w:rsidR="002D682B">
          <w:rPr>
            <w:noProof/>
            <w:webHidden/>
          </w:rPr>
          <w:fldChar w:fldCharType="end"/>
        </w:r>
      </w:hyperlink>
    </w:p>
    <w:p w:rsidR="002D682B" w:rsidRDefault="00963FE8">
      <w:pPr>
        <w:pStyle w:val="TOC3"/>
        <w:rPr>
          <w:rFonts w:eastAsiaTheme="minorEastAsia"/>
          <w:iCs w:val="0"/>
          <w:caps w:val="0"/>
          <w:noProof/>
          <w:sz w:val="22"/>
          <w:lang w:eastAsia="en-AU"/>
        </w:rPr>
      </w:pPr>
      <w:hyperlink w:anchor="_Toc511636038" w:history="1">
        <w:r w:rsidR="002D682B" w:rsidRPr="00AE3610">
          <w:rPr>
            <w:rStyle w:val="Hyperlink"/>
            <w:caps w:val="0"/>
            <w:noProof/>
          </w:rPr>
          <w:t>How was revenue capacity assessed?</w:t>
        </w:r>
        <w:r w:rsidR="002D682B">
          <w:rPr>
            <w:noProof/>
            <w:webHidden/>
          </w:rPr>
          <w:tab/>
        </w:r>
        <w:r w:rsidR="002D682B">
          <w:rPr>
            <w:noProof/>
            <w:webHidden/>
          </w:rPr>
          <w:fldChar w:fldCharType="begin"/>
        </w:r>
        <w:r w:rsidR="002D682B">
          <w:rPr>
            <w:noProof/>
            <w:webHidden/>
          </w:rPr>
          <w:instrText xml:space="preserve"> PAGEREF _Toc511636038 \h </w:instrText>
        </w:r>
        <w:r w:rsidR="002D682B">
          <w:rPr>
            <w:noProof/>
            <w:webHidden/>
          </w:rPr>
        </w:r>
        <w:r w:rsidR="002D682B">
          <w:rPr>
            <w:noProof/>
            <w:webHidden/>
          </w:rPr>
          <w:fldChar w:fldCharType="separate"/>
        </w:r>
        <w:r w:rsidR="002D682B">
          <w:rPr>
            <w:noProof/>
            <w:webHidden/>
          </w:rPr>
          <w:t>2</w:t>
        </w:r>
        <w:r w:rsidR="002D682B">
          <w:rPr>
            <w:noProof/>
            <w:webHidden/>
          </w:rPr>
          <w:fldChar w:fldCharType="end"/>
        </w:r>
      </w:hyperlink>
    </w:p>
    <w:p w:rsidR="002D682B" w:rsidRDefault="00963FE8">
      <w:pPr>
        <w:pStyle w:val="TOC3"/>
        <w:rPr>
          <w:rFonts w:eastAsiaTheme="minorEastAsia"/>
          <w:iCs w:val="0"/>
          <w:caps w:val="0"/>
          <w:noProof/>
          <w:sz w:val="22"/>
          <w:lang w:eastAsia="en-AU"/>
        </w:rPr>
      </w:pPr>
      <w:hyperlink w:anchor="_Toc511636039" w:history="1">
        <w:r w:rsidR="002D682B" w:rsidRPr="00AE3610">
          <w:rPr>
            <w:rStyle w:val="Hyperlink"/>
            <w:caps w:val="0"/>
            <w:noProof/>
          </w:rPr>
          <w:t>G</w:t>
        </w:r>
        <w:r w:rsidR="002D682B">
          <w:rPr>
            <w:rStyle w:val="Hyperlink"/>
            <w:caps w:val="0"/>
            <w:noProof/>
          </w:rPr>
          <w:t>ST</w:t>
        </w:r>
        <w:r w:rsidR="002D682B" w:rsidRPr="00AE3610">
          <w:rPr>
            <w:rStyle w:val="Hyperlink"/>
            <w:caps w:val="0"/>
            <w:noProof/>
          </w:rPr>
          <w:t xml:space="preserve"> redistribution</w:t>
        </w:r>
        <w:r w:rsidR="002D682B">
          <w:rPr>
            <w:noProof/>
            <w:webHidden/>
          </w:rPr>
          <w:tab/>
        </w:r>
        <w:r w:rsidR="002D682B">
          <w:rPr>
            <w:noProof/>
            <w:webHidden/>
          </w:rPr>
          <w:fldChar w:fldCharType="begin"/>
        </w:r>
        <w:r w:rsidR="002D682B">
          <w:rPr>
            <w:noProof/>
            <w:webHidden/>
          </w:rPr>
          <w:instrText xml:space="preserve"> PAGEREF _Toc511636039 \h </w:instrText>
        </w:r>
        <w:r w:rsidR="002D682B">
          <w:rPr>
            <w:noProof/>
            <w:webHidden/>
          </w:rPr>
        </w:r>
        <w:r w:rsidR="002D682B">
          <w:rPr>
            <w:noProof/>
            <w:webHidden/>
          </w:rPr>
          <w:fldChar w:fldCharType="separate"/>
        </w:r>
        <w:r w:rsidR="002D682B">
          <w:rPr>
            <w:noProof/>
            <w:webHidden/>
          </w:rPr>
          <w:t>5</w:t>
        </w:r>
        <w:r w:rsidR="002D682B">
          <w:rPr>
            <w:noProof/>
            <w:webHidden/>
          </w:rPr>
          <w:fldChar w:fldCharType="end"/>
        </w:r>
      </w:hyperlink>
    </w:p>
    <w:p w:rsidR="002D682B" w:rsidRDefault="00963FE8">
      <w:pPr>
        <w:pStyle w:val="TOC1"/>
        <w:rPr>
          <w:rFonts w:eastAsiaTheme="minorEastAsia"/>
          <w:b w:val="0"/>
          <w:bCs w:val="0"/>
          <w:caps w:val="0"/>
          <w:noProof/>
          <w:sz w:val="22"/>
          <w:szCs w:val="22"/>
          <w:lang w:eastAsia="en-AU"/>
        </w:rPr>
      </w:pPr>
      <w:hyperlink w:anchor="_Toc511636040" w:history="1">
        <w:r w:rsidR="002D682B" w:rsidRPr="00AE3610">
          <w:rPr>
            <w:rStyle w:val="Hyperlink"/>
            <w:noProof/>
          </w:rPr>
          <w:t>Issues and analysis</w:t>
        </w:r>
        <w:r w:rsidR="002D682B">
          <w:rPr>
            <w:noProof/>
            <w:webHidden/>
          </w:rPr>
          <w:tab/>
        </w:r>
        <w:r w:rsidR="002D682B">
          <w:rPr>
            <w:noProof/>
            <w:webHidden/>
          </w:rPr>
          <w:fldChar w:fldCharType="begin"/>
        </w:r>
        <w:r w:rsidR="002D682B">
          <w:rPr>
            <w:noProof/>
            <w:webHidden/>
          </w:rPr>
          <w:instrText xml:space="preserve"> PAGEREF _Toc511636040 \h </w:instrText>
        </w:r>
        <w:r w:rsidR="002D682B">
          <w:rPr>
            <w:noProof/>
            <w:webHidden/>
          </w:rPr>
        </w:r>
        <w:r w:rsidR="002D682B">
          <w:rPr>
            <w:noProof/>
            <w:webHidden/>
          </w:rPr>
          <w:fldChar w:fldCharType="separate"/>
        </w:r>
        <w:r w:rsidR="002D682B">
          <w:rPr>
            <w:noProof/>
            <w:webHidden/>
          </w:rPr>
          <w:t>5</w:t>
        </w:r>
        <w:r w:rsidR="002D682B">
          <w:rPr>
            <w:noProof/>
            <w:webHidden/>
          </w:rPr>
          <w:fldChar w:fldCharType="end"/>
        </w:r>
      </w:hyperlink>
    </w:p>
    <w:p w:rsidR="002D682B" w:rsidRDefault="00963FE8">
      <w:pPr>
        <w:pStyle w:val="TOC3"/>
        <w:rPr>
          <w:rFonts w:eastAsiaTheme="minorEastAsia"/>
          <w:iCs w:val="0"/>
          <w:caps w:val="0"/>
          <w:noProof/>
          <w:sz w:val="22"/>
          <w:lang w:eastAsia="en-AU"/>
        </w:rPr>
      </w:pPr>
      <w:hyperlink w:anchor="_Toc511636041" w:history="1">
        <w:r w:rsidR="002D682B" w:rsidRPr="00AE3610">
          <w:rPr>
            <w:rStyle w:val="Hyperlink"/>
            <w:caps w:val="0"/>
            <w:noProof/>
          </w:rPr>
          <w:t xml:space="preserve">Treatment of insurance based </w:t>
        </w:r>
        <w:r w:rsidR="002D682B">
          <w:rPr>
            <w:rStyle w:val="Hyperlink"/>
            <w:caps w:val="0"/>
            <w:noProof/>
          </w:rPr>
          <w:t>FESLS</w:t>
        </w:r>
        <w:r w:rsidR="002D682B">
          <w:rPr>
            <w:noProof/>
            <w:webHidden/>
          </w:rPr>
          <w:tab/>
        </w:r>
        <w:r w:rsidR="002D682B">
          <w:rPr>
            <w:noProof/>
            <w:webHidden/>
          </w:rPr>
          <w:fldChar w:fldCharType="begin"/>
        </w:r>
        <w:r w:rsidR="002D682B">
          <w:rPr>
            <w:noProof/>
            <w:webHidden/>
          </w:rPr>
          <w:instrText xml:space="preserve"> PAGEREF _Toc511636041 \h </w:instrText>
        </w:r>
        <w:r w:rsidR="002D682B">
          <w:rPr>
            <w:noProof/>
            <w:webHidden/>
          </w:rPr>
        </w:r>
        <w:r w:rsidR="002D682B">
          <w:rPr>
            <w:noProof/>
            <w:webHidden/>
          </w:rPr>
          <w:fldChar w:fldCharType="separate"/>
        </w:r>
        <w:r w:rsidR="002D682B">
          <w:rPr>
            <w:noProof/>
            <w:webHidden/>
          </w:rPr>
          <w:t>5</w:t>
        </w:r>
        <w:r w:rsidR="002D682B">
          <w:rPr>
            <w:noProof/>
            <w:webHidden/>
          </w:rPr>
          <w:fldChar w:fldCharType="end"/>
        </w:r>
      </w:hyperlink>
    </w:p>
    <w:p w:rsidR="002D682B" w:rsidRDefault="00963FE8">
      <w:pPr>
        <w:pStyle w:val="TOC3"/>
        <w:rPr>
          <w:rFonts w:eastAsiaTheme="minorEastAsia"/>
          <w:iCs w:val="0"/>
          <w:caps w:val="0"/>
          <w:noProof/>
          <w:sz w:val="22"/>
          <w:lang w:eastAsia="en-AU"/>
        </w:rPr>
      </w:pPr>
      <w:hyperlink w:anchor="_Toc511636042" w:history="1">
        <w:r w:rsidR="002D682B" w:rsidRPr="00AE3610">
          <w:rPr>
            <w:rStyle w:val="Hyperlink"/>
            <w:caps w:val="0"/>
            <w:noProof/>
          </w:rPr>
          <w:t>Treatment of duty on workers’ compensation insurance</w:t>
        </w:r>
        <w:r w:rsidR="002D682B">
          <w:rPr>
            <w:noProof/>
            <w:webHidden/>
          </w:rPr>
          <w:tab/>
        </w:r>
        <w:r w:rsidR="002D682B">
          <w:rPr>
            <w:noProof/>
            <w:webHidden/>
          </w:rPr>
          <w:fldChar w:fldCharType="begin"/>
        </w:r>
        <w:r w:rsidR="002D682B">
          <w:rPr>
            <w:noProof/>
            <w:webHidden/>
          </w:rPr>
          <w:instrText xml:space="preserve"> PAGEREF _Toc511636042 \h </w:instrText>
        </w:r>
        <w:r w:rsidR="002D682B">
          <w:rPr>
            <w:noProof/>
            <w:webHidden/>
          </w:rPr>
        </w:r>
        <w:r w:rsidR="002D682B">
          <w:rPr>
            <w:noProof/>
            <w:webHidden/>
          </w:rPr>
          <w:fldChar w:fldCharType="separate"/>
        </w:r>
        <w:r w:rsidR="002D682B">
          <w:rPr>
            <w:noProof/>
            <w:webHidden/>
          </w:rPr>
          <w:t>6</w:t>
        </w:r>
        <w:r w:rsidR="002D682B">
          <w:rPr>
            <w:noProof/>
            <w:webHidden/>
          </w:rPr>
          <w:fldChar w:fldCharType="end"/>
        </w:r>
      </w:hyperlink>
    </w:p>
    <w:p w:rsidR="002D682B" w:rsidRDefault="00963FE8">
      <w:pPr>
        <w:pStyle w:val="TOC3"/>
        <w:rPr>
          <w:rFonts w:eastAsiaTheme="minorEastAsia"/>
          <w:iCs w:val="0"/>
          <w:caps w:val="0"/>
          <w:noProof/>
          <w:sz w:val="22"/>
          <w:lang w:eastAsia="en-AU"/>
        </w:rPr>
      </w:pPr>
      <w:hyperlink w:anchor="_Toc511636043" w:history="1">
        <w:r w:rsidR="002D682B" w:rsidRPr="00AE3610">
          <w:rPr>
            <w:rStyle w:val="Hyperlink"/>
            <w:noProof/>
          </w:rPr>
          <w:t>R</w:t>
        </w:r>
        <w:r w:rsidR="002D682B" w:rsidRPr="00AE3610">
          <w:rPr>
            <w:rStyle w:val="Hyperlink"/>
            <w:caps w:val="0"/>
            <w:noProof/>
          </w:rPr>
          <w:t>ecommendations</w:t>
        </w:r>
        <w:r w:rsidR="002D682B">
          <w:rPr>
            <w:noProof/>
            <w:webHidden/>
          </w:rPr>
          <w:tab/>
        </w:r>
        <w:r w:rsidR="002D682B">
          <w:rPr>
            <w:noProof/>
            <w:webHidden/>
          </w:rPr>
          <w:fldChar w:fldCharType="begin"/>
        </w:r>
        <w:r w:rsidR="002D682B">
          <w:rPr>
            <w:noProof/>
            <w:webHidden/>
          </w:rPr>
          <w:instrText xml:space="preserve"> PAGEREF _Toc511636043 \h </w:instrText>
        </w:r>
        <w:r w:rsidR="002D682B">
          <w:rPr>
            <w:noProof/>
            <w:webHidden/>
          </w:rPr>
        </w:r>
        <w:r w:rsidR="002D682B">
          <w:rPr>
            <w:noProof/>
            <w:webHidden/>
          </w:rPr>
          <w:fldChar w:fldCharType="separate"/>
        </w:r>
        <w:r w:rsidR="002D682B">
          <w:rPr>
            <w:noProof/>
            <w:webHidden/>
          </w:rPr>
          <w:t>7</w:t>
        </w:r>
        <w:r w:rsidR="002D682B">
          <w:rPr>
            <w:noProof/>
            <w:webHidden/>
          </w:rPr>
          <w:fldChar w:fldCharType="end"/>
        </w:r>
      </w:hyperlink>
    </w:p>
    <w:p w:rsidR="002D682B" w:rsidRDefault="00963FE8">
      <w:pPr>
        <w:pStyle w:val="TOC3"/>
        <w:rPr>
          <w:rFonts w:eastAsiaTheme="minorEastAsia"/>
          <w:iCs w:val="0"/>
          <w:caps w:val="0"/>
          <w:noProof/>
          <w:sz w:val="22"/>
          <w:lang w:eastAsia="en-AU"/>
        </w:rPr>
      </w:pPr>
      <w:hyperlink w:anchor="_Toc511636044" w:history="1">
        <w:r w:rsidR="002D682B" w:rsidRPr="00AE3610">
          <w:rPr>
            <w:rStyle w:val="Hyperlink"/>
            <w:caps w:val="0"/>
            <w:noProof/>
          </w:rPr>
          <w:t>Other issues considered</w:t>
        </w:r>
        <w:r w:rsidR="002D682B">
          <w:rPr>
            <w:noProof/>
            <w:webHidden/>
          </w:rPr>
          <w:tab/>
        </w:r>
        <w:r w:rsidR="002D682B">
          <w:rPr>
            <w:noProof/>
            <w:webHidden/>
          </w:rPr>
          <w:fldChar w:fldCharType="begin"/>
        </w:r>
        <w:r w:rsidR="002D682B">
          <w:rPr>
            <w:noProof/>
            <w:webHidden/>
          </w:rPr>
          <w:instrText xml:space="preserve"> PAGEREF _Toc511636044 \h </w:instrText>
        </w:r>
        <w:r w:rsidR="002D682B">
          <w:rPr>
            <w:noProof/>
            <w:webHidden/>
          </w:rPr>
        </w:r>
        <w:r w:rsidR="002D682B">
          <w:rPr>
            <w:noProof/>
            <w:webHidden/>
          </w:rPr>
          <w:fldChar w:fldCharType="separate"/>
        </w:r>
        <w:r w:rsidR="002D682B">
          <w:rPr>
            <w:noProof/>
            <w:webHidden/>
          </w:rPr>
          <w:t>7</w:t>
        </w:r>
        <w:r w:rsidR="002D682B">
          <w:rPr>
            <w:noProof/>
            <w:webHidden/>
          </w:rPr>
          <w:fldChar w:fldCharType="end"/>
        </w:r>
      </w:hyperlink>
    </w:p>
    <w:p w:rsidR="002D682B" w:rsidRDefault="00963FE8">
      <w:pPr>
        <w:pStyle w:val="TOC1"/>
        <w:rPr>
          <w:rFonts w:eastAsiaTheme="minorEastAsia"/>
          <w:b w:val="0"/>
          <w:bCs w:val="0"/>
          <w:caps w:val="0"/>
          <w:noProof/>
          <w:sz w:val="22"/>
          <w:szCs w:val="22"/>
          <w:lang w:eastAsia="en-AU"/>
        </w:rPr>
      </w:pPr>
      <w:hyperlink w:anchor="_Toc511636045" w:history="1">
        <w:r w:rsidR="002D682B" w:rsidRPr="00AE3610">
          <w:rPr>
            <w:rStyle w:val="Hyperlink"/>
            <w:noProof/>
          </w:rPr>
          <w:t>Conclusion and way forward</w:t>
        </w:r>
        <w:r w:rsidR="002D682B">
          <w:rPr>
            <w:noProof/>
            <w:webHidden/>
          </w:rPr>
          <w:tab/>
        </w:r>
        <w:r w:rsidR="002D682B">
          <w:rPr>
            <w:noProof/>
            <w:webHidden/>
          </w:rPr>
          <w:fldChar w:fldCharType="begin"/>
        </w:r>
        <w:r w:rsidR="002D682B">
          <w:rPr>
            <w:noProof/>
            <w:webHidden/>
          </w:rPr>
          <w:instrText xml:space="preserve"> PAGEREF _Toc511636045 \h </w:instrText>
        </w:r>
        <w:r w:rsidR="002D682B">
          <w:rPr>
            <w:noProof/>
            <w:webHidden/>
          </w:rPr>
        </w:r>
        <w:r w:rsidR="002D682B">
          <w:rPr>
            <w:noProof/>
            <w:webHidden/>
          </w:rPr>
          <w:fldChar w:fldCharType="separate"/>
        </w:r>
        <w:r w:rsidR="002D682B">
          <w:rPr>
            <w:noProof/>
            <w:webHidden/>
          </w:rPr>
          <w:t>7</w:t>
        </w:r>
        <w:r w:rsidR="002D682B">
          <w:rPr>
            <w:noProof/>
            <w:webHidden/>
          </w:rPr>
          <w:fldChar w:fldCharType="end"/>
        </w:r>
      </w:hyperlink>
    </w:p>
    <w:p w:rsidR="002D682B" w:rsidRDefault="00963FE8">
      <w:pPr>
        <w:pStyle w:val="TOC3"/>
        <w:rPr>
          <w:rFonts w:eastAsiaTheme="minorEastAsia"/>
          <w:iCs w:val="0"/>
          <w:caps w:val="0"/>
          <w:noProof/>
          <w:sz w:val="22"/>
          <w:lang w:eastAsia="en-AU"/>
        </w:rPr>
      </w:pPr>
      <w:hyperlink w:anchor="_Toc511636046" w:history="1">
        <w:r w:rsidR="002D682B" w:rsidRPr="00AE3610">
          <w:rPr>
            <w:rStyle w:val="Hyperlink"/>
            <w:caps w:val="0"/>
            <w:noProof/>
          </w:rPr>
          <w:t>Proposed assessment structure</w:t>
        </w:r>
        <w:r w:rsidR="002D682B">
          <w:rPr>
            <w:noProof/>
            <w:webHidden/>
          </w:rPr>
          <w:tab/>
        </w:r>
        <w:r w:rsidR="002D682B">
          <w:rPr>
            <w:noProof/>
            <w:webHidden/>
          </w:rPr>
          <w:fldChar w:fldCharType="begin"/>
        </w:r>
        <w:r w:rsidR="002D682B">
          <w:rPr>
            <w:noProof/>
            <w:webHidden/>
          </w:rPr>
          <w:instrText xml:space="preserve"> PAGEREF _Toc511636046 \h </w:instrText>
        </w:r>
        <w:r w:rsidR="002D682B">
          <w:rPr>
            <w:noProof/>
            <w:webHidden/>
          </w:rPr>
        </w:r>
        <w:r w:rsidR="002D682B">
          <w:rPr>
            <w:noProof/>
            <w:webHidden/>
          </w:rPr>
          <w:fldChar w:fldCharType="separate"/>
        </w:r>
        <w:r w:rsidR="002D682B">
          <w:rPr>
            <w:noProof/>
            <w:webHidden/>
          </w:rPr>
          <w:t>7</w:t>
        </w:r>
        <w:r w:rsidR="002D682B">
          <w:rPr>
            <w:noProof/>
            <w:webHidden/>
          </w:rPr>
          <w:fldChar w:fldCharType="end"/>
        </w:r>
      </w:hyperlink>
    </w:p>
    <w:p w:rsidR="005D3711" w:rsidRDefault="005D3711" w:rsidP="005D3711">
      <w:r>
        <w:fldChar w:fldCharType="end"/>
      </w:r>
    </w:p>
    <w:p w:rsidR="005D3711" w:rsidRDefault="005D3711" w:rsidP="005D3711"/>
    <w:p w:rsidR="005D3711" w:rsidRPr="002B17EB" w:rsidRDefault="005D3711" w:rsidP="005D3711">
      <w:pPr>
        <w:sectPr w:rsidR="005D3711" w:rsidRPr="002B17EB" w:rsidSect="00AE702F">
          <w:footerReference w:type="first" r:id="rId16"/>
          <w:pgSz w:w="11899" w:h="16838" w:code="9"/>
          <w:pgMar w:top="1701" w:right="1474" w:bottom="1701" w:left="1474" w:header="709" w:footer="709" w:gutter="0"/>
          <w:pgNumType w:fmt="lowerRoman" w:start="1"/>
          <w:cols w:space="708"/>
          <w:titlePg/>
          <w:docGrid w:linePitch="299"/>
        </w:sectPr>
      </w:pPr>
    </w:p>
    <w:p w:rsidR="00B571D7" w:rsidRDefault="00B571D7" w:rsidP="00B571D7">
      <w:pPr>
        <w:tabs>
          <w:tab w:val="clear" w:pos="567"/>
        </w:tabs>
        <w:rPr>
          <w:bCs/>
        </w:rPr>
      </w:pPr>
    </w:p>
    <w:p w:rsidR="00DC0F02" w:rsidRDefault="00E430CD" w:rsidP="001850FF">
      <w:pPr>
        <w:pStyle w:val="Heading2"/>
      </w:pPr>
      <w:bookmarkStart w:id="1" w:name="_Toc511636036"/>
      <w:r>
        <w:t>Insurance Tax</w:t>
      </w:r>
      <w:bookmarkEnd w:id="1"/>
    </w:p>
    <w:p w:rsidR="00A74291" w:rsidRDefault="00A74291" w:rsidP="00A74291">
      <w:pPr>
        <w:pStyle w:val="CGCNumberedPara"/>
      </w:pPr>
      <w:r>
        <w:t>The paper provides the Commission staff proposals for the assessment of Insurance tax revenue for the 2020 Review.</w:t>
      </w:r>
    </w:p>
    <w:p w:rsidR="00FF0FE2" w:rsidRDefault="00FF0FE2" w:rsidP="00FF0FE2">
      <w:pPr>
        <w:pStyle w:val="Heading3"/>
      </w:pPr>
      <w:bookmarkStart w:id="2" w:name="_Toc511636037"/>
      <w:r>
        <w:t>2015 Review approach</w:t>
      </w:r>
      <w:bookmarkEnd w:id="2"/>
    </w:p>
    <w:p w:rsidR="00031534" w:rsidRDefault="00031534" w:rsidP="001850FF">
      <w:pPr>
        <w:pStyle w:val="CGCNumberedPara"/>
      </w:pPr>
      <w:r>
        <w:t xml:space="preserve">The Insurance tax category comprised revenue from </w:t>
      </w:r>
      <w:r w:rsidR="00A40A91">
        <w:t>duties</w:t>
      </w:r>
      <w:r>
        <w:t xml:space="preserve"> on </w:t>
      </w:r>
      <w:r w:rsidR="00EB7687">
        <w:t>various forms of insurance</w:t>
      </w:r>
      <w:r w:rsidR="00A40A91">
        <w:t xml:space="preserve">, as well as insurance based fire and </w:t>
      </w:r>
      <w:proofErr w:type="gramStart"/>
      <w:r w:rsidR="00A40A91">
        <w:t>emergency services levies</w:t>
      </w:r>
      <w:proofErr w:type="gramEnd"/>
      <w:r w:rsidR="00EB7687">
        <w:t xml:space="preserve"> (</w:t>
      </w:r>
      <w:proofErr w:type="spellStart"/>
      <w:r w:rsidR="00EB7687">
        <w:t>FESL</w:t>
      </w:r>
      <w:r w:rsidR="00171130">
        <w:t>s</w:t>
      </w:r>
      <w:proofErr w:type="spellEnd"/>
      <w:r w:rsidR="00EB7687">
        <w:t>)</w:t>
      </w:r>
      <w:r>
        <w:t>.</w:t>
      </w:r>
      <w:r w:rsidR="00A40A91">
        <w:t xml:space="preserve"> The duties are imposed on insurance companies and passed on to consumers.</w:t>
      </w:r>
    </w:p>
    <w:p w:rsidR="00DE6D67" w:rsidRDefault="00DE6D67" w:rsidP="00232C18">
      <w:pPr>
        <w:pStyle w:val="CGCNumberedPara"/>
      </w:pPr>
      <w:r>
        <w:fldChar w:fldCharType="begin"/>
      </w:r>
      <w:r>
        <w:instrText xml:space="preserve"> REF _Ref499906022 \h </w:instrText>
      </w:r>
      <w:r>
        <w:fldChar w:fldCharType="separate"/>
      </w:r>
      <w:r w:rsidR="00D813B5">
        <w:t xml:space="preserve">Table </w:t>
      </w:r>
      <w:proofErr w:type="gramStart"/>
      <w:r w:rsidR="00D813B5">
        <w:rPr>
          <w:noProof/>
        </w:rPr>
        <w:t>1</w:t>
      </w:r>
      <w:r>
        <w:fldChar w:fldCharType="end"/>
      </w:r>
      <w:r>
        <w:t xml:space="preserve"> shows</w:t>
      </w:r>
      <w:proofErr w:type="gramEnd"/>
      <w:r>
        <w:t xml:space="preserve"> th</w:t>
      </w:r>
      <w:r w:rsidR="00CC13BD">
        <w:t>at States raised $5</w:t>
      </w:r>
      <w:r w:rsidR="005E0FB6">
        <w:t>.3</w:t>
      </w:r>
      <w:r w:rsidR="00CC13BD">
        <w:t xml:space="preserve"> billion from insurance tax </w:t>
      </w:r>
      <w:r>
        <w:t xml:space="preserve">in </w:t>
      </w:r>
      <w:r w:rsidR="005E0FB6">
        <w:t>2016-17</w:t>
      </w:r>
      <w:r>
        <w:t>.</w:t>
      </w:r>
    </w:p>
    <w:p w:rsidR="00660570" w:rsidRDefault="00660570" w:rsidP="00660570">
      <w:pPr>
        <w:pStyle w:val="Caption"/>
      </w:pPr>
      <w:bookmarkStart w:id="3" w:name="_Ref499906022"/>
      <w:r>
        <w:t xml:space="preserve">Table </w:t>
      </w:r>
      <w:fldSimple w:instr=" SEQ Table \* ARABIC ">
        <w:r w:rsidR="00D813B5">
          <w:rPr>
            <w:noProof/>
          </w:rPr>
          <w:t>1</w:t>
        </w:r>
      </w:fldSimple>
      <w:bookmarkEnd w:id="3"/>
      <w:r>
        <w:t xml:space="preserve"> </w:t>
      </w:r>
      <w:r>
        <w:tab/>
      </w:r>
      <w:r w:rsidR="00DE6D67">
        <w:t>Insurance tax</w:t>
      </w:r>
      <w:r>
        <w:t xml:space="preserve"> revenue, </w:t>
      </w:r>
      <w:r w:rsidR="005E0FB6">
        <w:t>2016-17</w:t>
      </w:r>
    </w:p>
    <w:tbl>
      <w:tblPr>
        <w:tblW w:w="5000" w:type="pct"/>
        <w:tblLayout w:type="fixed"/>
        <w:tblCellMar>
          <w:left w:w="0" w:type="dxa"/>
          <w:right w:w="0" w:type="dxa"/>
        </w:tblCellMar>
        <w:tblLook w:val="0000" w:firstRow="0" w:lastRow="0" w:firstColumn="0" w:lastColumn="0" w:noHBand="0" w:noVBand="0"/>
      </w:tblPr>
      <w:tblGrid>
        <w:gridCol w:w="2426"/>
        <w:gridCol w:w="727"/>
        <w:gridCol w:w="725"/>
        <w:gridCol w:w="725"/>
        <w:gridCol w:w="725"/>
        <w:gridCol w:w="725"/>
        <w:gridCol w:w="725"/>
        <w:gridCol w:w="725"/>
        <w:gridCol w:w="725"/>
        <w:gridCol w:w="723"/>
      </w:tblGrid>
      <w:tr w:rsidR="00660570" w:rsidRPr="00FE3F73" w:rsidTr="005E0FB6">
        <w:tc>
          <w:tcPr>
            <w:tcW w:w="1355" w:type="pct"/>
            <w:tcBorders>
              <w:top w:val="single" w:sz="6" w:space="0" w:color="auto"/>
              <w:bottom w:val="single" w:sz="6" w:space="0" w:color="auto"/>
            </w:tcBorders>
            <w:vAlign w:val="center"/>
          </w:tcPr>
          <w:p w:rsidR="00660570" w:rsidRPr="00FE3F73" w:rsidRDefault="00660570" w:rsidP="00660570">
            <w:pPr>
              <w:pStyle w:val="CGCTableStub"/>
              <w:spacing w:line="240" w:lineRule="auto"/>
              <w:ind w:left="193" w:hanging="142"/>
              <w:rPr>
                <w:rFonts w:cstheme="minorHAnsi"/>
              </w:rPr>
            </w:pPr>
          </w:p>
        </w:tc>
        <w:tc>
          <w:tcPr>
            <w:tcW w:w="406" w:type="pct"/>
            <w:tcBorders>
              <w:top w:val="single" w:sz="4" w:space="0" w:color="auto"/>
              <w:bottom w:val="single" w:sz="4" w:space="0" w:color="auto"/>
            </w:tcBorders>
            <w:vAlign w:val="center"/>
          </w:tcPr>
          <w:p w:rsidR="00660570" w:rsidRPr="00FE3F73" w:rsidRDefault="00660570" w:rsidP="00660570">
            <w:pPr>
              <w:pStyle w:val="TableColHeadings"/>
              <w:rPr>
                <w:rFonts w:cstheme="minorHAnsi"/>
              </w:rPr>
            </w:pPr>
            <w:r w:rsidRPr="00FE3F73">
              <w:rPr>
                <w:rFonts w:cstheme="minorHAnsi"/>
              </w:rPr>
              <w:t>NSW</w:t>
            </w:r>
          </w:p>
        </w:tc>
        <w:tc>
          <w:tcPr>
            <w:tcW w:w="405" w:type="pct"/>
            <w:tcBorders>
              <w:top w:val="single" w:sz="4" w:space="0" w:color="auto"/>
              <w:bottom w:val="single" w:sz="4" w:space="0" w:color="auto"/>
            </w:tcBorders>
            <w:vAlign w:val="center"/>
          </w:tcPr>
          <w:p w:rsidR="00660570" w:rsidRPr="00FE3F73" w:rsidRDefault="00660570" w:rsidP="00660570">
            <w:pPr>
              <w:pStyle w:val="TableColHeadings"/>
              <w:rPr>
                <w:rFonts w:cstheme="minorHAnsi"/>
              </w:rPr>
            </w:pPr>
            <w:r w:rsidRPr="00FE3F73">
              <w:rPr>
                <w:rFonts w:cstheme="minorHAnsi"/>
              </w:rPr>
              <w:t>Vic</w:t>
            </w:r>
          </w:p>
        </w:tc>
        <w:tc>
          <w:tcPr>
            <w:tcW w:w="405" w:type="pct"/>
            <w:tcBorders>
              <w:top w:val="single" w:sz="4" w:space="0" w:color="auto"/>
              <w:bottom w:val="single" w:sz="4" w:space="0" w:color="auto"/>
            </w:tcBorders>
            <w:vAlign w:val="center"/>
          </w:tcPr>
          <w:p w:rsidR="00660570" w:rsidRPr="00FE3F73" w:rsidRDefault="00660570" w:rsidP="00660570">
            <w:pPr>
              <w:pStyle w:val="TableColHeadings"/>
              <w:rPr>
                <w:rFonts w:cstheme="minorHAnsi"/>
              </w:rPr>
            </w:pPr>
            <w:r w:rsidRPr="00FE3F73">
              <w:rPr>
                <w:rFonts w:cstheme="minorHAnsi"/>
              </w:rPr>
              <w:t>Qld</w:t>
            </w:r>
          </w:p>
        </w:tc>
        <w:tc>
          <w:tcPr>
            <w:tcW w:w="405" w:type="pct"/>
            <w:tcBorders>
              <w:top w:val="single" w:sz="4" w:space="0" w:color="auto"/>
              <w:bottom w:val="single" w:sz="4" w:space="0" w:color="auto"/>
            </w:tcBorders>
            <w:vAlign w:val="center"/>
          </w:tcPr>
          <w:p w:rsidR="00660570" w:rsidRPr="00FE3F73" w:rsidRDefault="00660570" w:rsidP="00660570">
            <w:pPr>
              <w:pStyle w:val="TableColHeadings"/>
              <w:rPr>
                <w:rFonts w:cstheme="minorHAnsi"/>
              </w:rPr>
            </w:pPr>
            <w:r w:rsidRPr="00FE3F73">
              <w:rPr>
                <w:rFonts w:cstheme="minorHAnsi"/>
              </w:rPr>
              <w:t>WA</w:t>
            </w:r>
          </w:p>
        </w:tc>
        <w:tc>
          <w:tcPr>
            <w:tcW w:w="405" w:type="pct"/>
            <w:tcBorders>
              <w:top w:val="single" w:sz="4" w:space="0" w:color="auto"/>
              <w:bottom w:val="single" w:sz="4" w:space="0" w:color="auto"/>
            </w:tcBorders>
            <w:vAlign w:val="center"/>
          </w:tcPr>
          <w:p w:rsidR="00660570" w:rsidRPr="00FE3F73" w:rsidRDefault="00660570" w:rsidP="00660570">
            <w:pPr>
              <w:pStyle w:val="TableColHeadings"/>
              <w:rPr>
                <w:rFonts w:cstheme="minorHAnsi"/>
              </w:rPr>
            </w:pPr>
            <w:r w:rsidRPr="00FE3F73">
              <w:rPr>
                <w:rFonts w:cstheme="minorHAnsi"/>
              </w:rPr>
              <w:t>SA</w:t>
            </w:r>
          </w:p>
        </w:tc>
        <w:tc>
          <w:tcPr>
            <w:tcW w:w="405" w:type="pct"/>
            <w:tcBorders>
              <w:top w:val="single" w:sz="4" w:space="0" w:color="auto"/>
              <w:bottom w:val="single" w:sz="4" w:space="0" w:color="auto"/>
            </w:tcBorders>
            <w:vAlign w:val="center"/>
          </w:tcPr>
          <w:p w:rsidR="00660570" w:rsidRPr="00FE3F73" w:rsidRDefault="00660570" w:rsidP="00660570">
            <w:pPr>
              <w:pStyle w:val="TableColHeadings"/>
              <w:rPr>
                <w:rFonts w:cstheme="minorHAnsi"/>
              </w:rPr>
            </w:pPr>
            <w:proofErr w:type="spellStart"/>
            <w:r w:rsidRPr="00FE3F73">
              <w:rPr>
                <w:rFonts w:cstheme="minorHAnsi"/>
              </w:rPr>
              <w:t>Tas</w:t>
            </w:r>
            <w:proofErr w:type="spellEnd"/>
          </w:p>
        </w:tc>
        <w:tc>
          <w:tcPr>
            <w:tcW w:w="405" w:type="pct"/>
            <w:tcBorders>
              <w:top w:val="single" w:sz="4" w:space="0" w:color="auto"/>
              <w:bottom w:val="single" w:sz="4" w:space="0" w:color="auto"/>
            </w:tcBorders>
            <w:vAlign w:val="center"/>
          </w:tcPr>
          <w:p w:rsidR="00660570" w:rsidRPr="00FE3F73" w:rsidRDefault="00660570" w:rsidP="00660570">
            <w:pPr>
              <w:pStyle w:val="TableColHeadings"/>
              <w:rPr>
                <w:rFonts w:cstheme="minorHAnsi"/>
              </w:rPr>
            </w:pPr>
            <w:r w:rsidRPr="00FE3F73">
              <w:rPr>
                <w:rFonts w:cstheme="minorHAnsi"/>
              </w:rPr>
              <w:t>ACT</w:t>
            </w:r>
          </w:p>
        </w:tc>
        <w:tc>
          <w:tcPr>
            <w:tcW w:w="405" w:type="pct"/>
            <w:tcBorders>
              <w:top w:val="single" w:sz="4" w:space="0" w:color="auto"/>
              <w:bottom w:val="single" w:sz="4" w:space="0" w:color="auto"/>
            </w:tcBorders>
            <w:vAlign w:val="center"/>
          </w:tcPr>
          <w:p w:rsidR="00660570" w:rsidRPr="00FE3F73" w:rsidRDefault="00660570" w:rsidP="00660570">
            <w:pPr>
              <w:pStyle w:val="TableColHeadings"/>
              <w:rPr>
                <w:rFonts w:cstheme="minorHAnsi"/>
              </w:rPr>
            </w:pPr>
            <w:r w:rsidRPr="00FE3F73">
              <w:rPr>
                <w:rFonts w:cstheme="minorHAnsi"/>
              </w:rPr>
              <w:t>NT</w:t>
            </w:r>
          </w:p>
        </w:tc>
        <w:tc>
          <w:tcPr>
            <w:tcW w:w="404" w:type="pct"/>
            <w:tcBorders>
              <w:top w:val="single" w:sz="4" w:space="0" w:color="auto"/>
              <w:bottom w:val="single" w:sz="4" w:space="0" w:color="auto"/>
            </w:tcBorders>
            <w:vAlign w:val="center"/>
          </w:tcPr>
          <w:p w:rsidR="00660570" w:rsidRPr="00FE3F73" w:rsidRDefault="00660570" w:rsidP="00660570">
            <w:pPr>
              <w:pStyle w:val="TableColHeadings"/>
              <w:rPr>
                <w:rFonts w:cstheme="minorHAnsi"/>
              </w:rPr>
            </w:pPr>
            <w:r>
              <w:rPr>
                <w:rFonts w:cstheme="minorHAnsi"/>
              </w:rPr>
              <w:t>Total</w:t>
            </w:r>
          </w:p>
        </w:tc>
      </w:tr>
      <w:tr w:rsidR="00660570" w:rsidRPr="00FE3F73" w:rsidTr="005E0FB6">
        <w:tc>
          <w:tcPr>
            <w:tcW w:w="1355" w:type="pct"/>
            <w:tcMar>
              <w:top w:w="0" w:type="dxa"/>
              <w:bottom w:w="0" w:type="dxa"/>
            </w:tcMar>
            <w:vAlign w:val="bottom"/>
          </w:tcPr>
          <w:p w:rsidR="00660570" w:rsidRPr="00FE3F73" w:rsidRDefault="00660570" w:rsidP="00660570">
            <w:pPr>
              <w:pStyle w:val="CGCTableStub"/>
              <w:spacing w:before="0" w:after="0" w:line="240" w:lineRule="auto"/>
              <w:ind w:left="193" w:hanging="142"/>
              <w:jc w:val="right"/>
              <w:rPr>
                <w:rFonts w:cstheme="minorHAnsi"/>
              </w:rPr>
            </w:pPr>
          </w:p>
        </w:tc>
        <w:tc>
          <w:tcPr>
            <w:tcW w:w="406" w:type="pct"/>
            <w:tcBorders>
              <w:top w:val="single" w:sz="4" w:space="0" w:color="auto"/>
            </w:tcBorders>
            <w:tcMar>
              <w:top w:w="0" w:type="dxa"/>
              <w:bottom w:w="0" w:type="dxa"/>
            </w:tcMar>
            <w:vAlign w:val="bottom"/>
          </w:tcPr>
          <w:p w:rsidR="00660570" w:rsidRPr="00FE3F73" w:rsidRDefault="00660570" w:rsidP="00660570">
            <w:pPr>
              <w:pStyle w:val="TableRowNormal"/>
              <w:spacing w:before="0" w:after="0" w:line="240" w:lineRule="auto"/>
              <w:ind w:left="0" w:firstLine="0"/>
              <w:rPr>
                <w:rFonts w:cstheme="minorHAnsi"/>
              </w:rPr>
            </w:pPr>
            <w:r>
              <w:rPr>
                <w:rFonts w:cstheme="minorHAnsi"/>
              </w:rPr>
              <w:t>$m</w:t>
            </w:r>
          </w:p>
        </w:tc>
        <w:tc>
          <w:tcPr>
            <w:tcW w:w="405" w:type="pct"/>
            <w:tcBorders>
              <w:top w:val="single" w:sz="4" w:space="0" w:color="auto"/>
            </w:tcBorders>
            <w:tcMar>
              <w:top w:w="0" w:type="dxa"/>
              <w:bottom w:w="0" w:type="dxa"/>
            </w:tcMar>
            <w:vAlign w:val="bottom"/>
          </w:tcPr>
          <w:p w:rsidR="00660570" w:rsidRPr="00FE3F73" w:rsidRDefault="00660570" w:rsidP="00660570">
            <w:pPr>
              <w:pStyle w:val="TableRowNormal"/>
              <w:spacing w:before="0" w:after="0" w:line="240" w:lineRule="auto"/>
              <w:ind w:left="0" w:firstLine="0"/>
              <w:rPr>
                <w:rFonts w:cstheme="minorHAnsi"/>
              </w:rPr>
            </w:pPr>
            <w:r>
              <w:rPr>
                <w:rFonts w:cstheme="minorHAnsi"/>
              </w:rPr>
              <w:t>$m</w:t>
            </w:r>
          </w:p>
        </w:tc>
        <w:tc>
          <w:tcPr>
            <w:tcW w:w="405" w:type="pct"/>
            <w:tcBorders>
              <w:top w:val="single" w:sz="4" w:space="0" w:color="auto"/>
            </w:tcBorders>
            <w:tcMar>
              <w:top w:w="0" w:type="dxa"/>
              <w:bottom w:w="0" w:type="dxa"/>
            </w:tcMar>
            <w:vAlign w:val="bottom"/>
          </w:tcPr>
          <w:p w:rsidR="00660570" w:rsidRPr="00FE3F73" w:rsidRDefault="00660570" w:rsidP="00660570">
            <w:pPr>
              <w:pStyle w:val="TableRowNormal"/>
              <w:spacing w:before="0" w:after="0" w:line="240" w:lineRule="auto"/>
              <w:ind w:left="0" w:firstLine="0"/>
              <w:rPr>
                <w:rFonts w:cstheme="minorHAnsi"/>
              </w:rPr>
            </w:pPr>
            <w:r>
              <w:rPr>
                <w:rFonts w:cstheme="minorHAnsi"/>
              </w:rPr>
              <w:t>$m</w:t>
            </w:r>
          </w:p>
        </w:tc>
        <w:tc>
          <w:tcPr>
            <w:tcW w:w="405" w:type="pct"/>
            <w:tcBorders>
              <w:top w:val="single" w:sz="4" w:space="0" w:color="auto"/>
            </w:tcBorders>
            <w:tcMar>
              <w:top w:w="0" w:type="dxa"/>
              <w:bottom w:w="0" w:type="dxa"/>
            </w:tcMar>
            <w:vAlign w:val="bottom"/>
          </w:tcPr>
          <w:p w:rsidR="00660570" w:rsidRPr="00FE3F73" w:rsidRDefault="00660570" w:rsidP="00660570">
            <w:pPr>
              <w:pStyle w:val="TableRowNormal"/>
              <w:spacing w:before="0" w:after="0" w:line="240" w:lineRule="auto"/>
              <w:ind w:left="0" w:firstLine="0"/>
              <w:rPr>
                <w:rFonts w:cstheme="minorHAnsi"/>
              </w:rPr>
            </w:pPr>
            <w:r>
              <w:rPr>
                <w:rFonts w:cstheme="minorHAnsi"/>
              </w:rPr>
              <w:t>$m</w:t>
            </w:r>
          </w:p>
        </w:tc>
        <w:tc>
          <w:tcPr>
            <w:tcW w:w="405" w:type="pct"/>
            <w:tcBorders>
              <w:top w:val="single" w:sz="4" w:space="0" w:color="auto"/>
            </w:tcBorders>
            <w:tcMar>
              <w:top w:w="0" w:type="dxa"/>
              <w:bottom w:w="0" w:type="dxa"/>
            </w:tcMar>
            <w:vAlign w:val="bottom"/>
          </w:tcPr>
          <w:p w:rsidR="00660570" w:rsidRPr="00FE3F73" w:rsidRDefault="00660570" w:rsidP="00660570">
            <w:pPr>
              <w:pStyle w:val="TableRowNormal"/>
              <w:spacing w:before="0" w:after="0" w:line="240" w:lineRule="auto"/>
              <w:ind w:left="0" w:firstLine="0"/>
              <w:rPr>
                <w:rFonts w:cstheme="minorHAnsi"/>
              </w:rPr>
            </w:pPr>
            <w:r>
              <w:rPr>
                <w:rFonts w:cstheme="minorHAnsi"/>
              </w:rPr>
              <w:t>$m</w:t>
            </w:r>
          </w:p>
        </w:tc>
        <w:tc>
          <w:tcPr>
            <w:tcW w:w="405" w:type="pct"/>
            <w:tcBorders>
              <w:top w:val="single" w:sz="4" w:space="0" w:color="auto"/>
            </w:tcBorders>
            <w:tcMar>
              <w:top w:w="0" w:type="dxa"/>
              <w:bottom w:w="0" w:type="dxa"/>
            </w:tcMar>
            <w:vAlign w:val="bottom"/>
          </w:tcPr>
          <w:p w:rsidR="00660570" w:rsidRPr="00FE3F73" w:rsidRDefault="00660570" w:rsidP="00660570">
            <w:pPr>
              <w:pStyle w:val="TableRowNormal"/>
              <w:spacing w:before="0" w:after="0" w:line="240" w:lineRule="auto"/>
              <w:ind w:left="0" w:firstLine="0"/>
              <w:rPr>
                <w:rFonts w:cstheme="minorHAnsi"/>
              </w:rPr>
            </w:pPr>
            <w:r>
              <w:rPr>
                <w:rFonts w:cstheme="minorHAnsi"/>
              </w:rPr>
              <w:t>$m</w:t>
            </w:r>
          </w:p>
        </w:tc>
        <w:tc>
          <w:tcPr>
            <w:tcW w:w="405" w:type="pct"/>
            <w:tcBorders>
              <w:top w:val="single" w:sz="4" w:space="0" w:color="auto"/>
            </w:tcBorders>
            <w:tcMar>
              <w:top w:w="0" w:type="dxa"/>
              <w:bottom w:w="0" w:type="dxa"/>
            </w:tcMar>
            <w:vAlign w:val="bottom"/>
          </w:tcPr>
          <w:p w:rsidR="00660570" w:rsidRPr="00FE3F73" w:rsidRDefault="00660570" w:rsidP="00660570">
            <w:pPr>
              <w:pStyle w:val="TableRowNormal"/>
              <w:spacing w:before="0" w:after="0" w:line="240" w:lineRule="auto"/>
              <w:ind w:left="0" w:firstLine="0"/>
              <w:rPr>
                <w:rFonts w:cstheme="minorHAnsi"/>
              </w:rPr>
            </w:pPr>
            <w:r>
              <w:rPr>
                <w:rFonts w:cstheme="minorHAnsi"/>
              </w:rPr>
              <w:t>$m</w:t>
            </w:r>
          </w:p>
        </w:tc>
        <w:tc>
          <w:tcPr>
            <w:tcW w:w="405" w:type="pct"/>
            <w:tcBorders>
              <w:top w:val="single" w:sz="4" w:space="0" w:color="auto"/>
            </w:tcBorders>
            <w:tcMar>
              <w:top w:w="0" w:type="dxa"/>
              <w:bottom w:w="0" w:type="dxa"/>
            </w:tcMar>
            <w:vAlign w:val="bottom"/>
          </w:tcPr>
          <w:p w:rsidR="00660570" w:rsidRPr="00FE3F73" w:rsidRDefault="00660570" w:rsidP="00660570">
            <w:pPr>
              <w:pStyle w:val="TableRowNormal"/>
              <w:spacing w:before="0" w:after="0" w:line="240" w:lineRule="auto"/>
              <w:ind w:left="0" w:firstLine="0"/>
              <w:rPr>
                <w:rFonts w:cstheme="minorHAnsi"/>
              </w:rPr>
            </w:pPr>
            <w:r>
              <w:rPr>
                <w:rFonts w:cstheme="minorHAnsi"/>
              </w:rPr>
              <w:t>$m</w:t>
            </w:r>
          </w:p>
        </w:tc>
        <w:tc>
          <w:tcPr>
            <w:tcW w:w="404" w:type="pct"/>
            <w:tcBorders>
              <w:top w:val="single" w:sz="4" w:space="0" w:color="auto"/>
            </w:tcBorders>
            <w:tcMar>
              <w:top w:w="0" w:type="dxa"/>
              <w:bottom w:w="0" w:type="dxa"/>
            </w:tcMar>
            <w:vAlign w:val="bottom"/>
          </w:tcPr>
          <w:p w:rsidR="00660570" w:rsidRPr="00FE3F73" w:rsidRDefault="00660570" w:rsidP="00660570">
            <w:pPr>
              <w:pStyle w:val="TableRowNormal"/>
              <w:spacing w:before="0" w:after="0" w:line="240" w:lineRule="auto"/>
              <w:ind w:left="0" w:firstLine="0"/>
              <w:rPr>
                <w:rFonts w:cstheme="minorHAnsi"/>
              </w:rPr>
            </w:pPr>
            <w:r>
              <w:rPr>
                <w:rFonts w:cstheme="minorHAnsi"/>
              </w:rPr>
              <w:t>$m</w:t>
            </w:r>
          </w:p>
        </w:tc>
      </w:tr>
      <w:tr w:rsidR="005E0FB6" w:rsidRPr="00AD5D65" w:rsidTr="005E0FB6">
        <w:tc>
          <w:tcPr>
            <w:tcW w:w="1355" w:type="pct"/>
            <w:tcBorders>
              <w:bottom w:val="single" w:sz="4" w:space="0" w:color="auto"/>
            </w:tcBorders>
            <w:vAlign w:val="bottom"/>
          </w:tcPr>
          <w:p w:rsidR="005E0FB6" w:rsidRDefault="005E0FB6" w:rsidP="00DE6D67">
            <w:pPr>
              <w:pStyle w:val="CGCTableStub"/>
              <w:tabs>
                <w:tab w:val="left" w:pos="142"/>
                <w:tab w:val="left" w:pos="425"/>
                <w:tab w:val="left" w:pos="709"/>
                <w:tab w:val="left" w:pos="851"/>
              </w:tabs>
              <w:ind w:left="193" w:hanging="142"/>
              <w:rPr>
                <w:rFonts w:cstheme="minorHAnsi"/>
              </w:rPr>
            </w:pPr>
            <w:r>
              <w:rPr>
                <w:rFonts w:cstheme="minorHAnsi"/>
              </w:rPr>
              <w:t>Insurance tax</w:t>
            </w:r>
          </w:p>
        </w:tc>
        <w:tc>
          <w:tcPr>
            <w:tcW w:w="406" w:type="pct"/>
            <w:tcBorders>
              <w:bottom w:val="single" w:sz="4" w:space="0" w:color="auto"/>
            </w:tcBorders>
            <w:vAlign w:val="bottom"/>
          </w:tcPr>
          <w:p w:rsidR="005E0FB6" w:rsidRPr="00AD5D65" w:rsidRDefault="005E0FB6" w:rsidP="005E0FB6">
            <w:pPr>
              <w:pStyle w:val="TableRowNormal"/>
              <w:ind w:left="0" w:firstLine="0"/>
              <w:rPr>
                <w:rFonts w:cstheme="minorHAnsi"/>
              </w:rPr>
            </w:pPr>
            <w:r w:rsidRPr="005E0FB6">
              <w:rPr>
                <w:rFonts w:cstheme="minorHAnsi"/>
              </w:rPr>
              <w:t>1 985</w:t>
            </w:r>
          </w:p>
        </w:tc>
        <w:tc>
          <w:tcPr>
            <w:tcW w:w="405" w:type="pct"/>
            <w:tcBorders>
              <w:bottom w:val="single" w:sz="4" w:space="0" w:color="auto"/>
            </w:tcBorders>
            <w:vAlign w:val="bottom"/>
          </w:tcPr>
          <w:p w:rsidR="005E0FB6" w:rsidRPr="005E0FB6" w:rsidRDefault="005E0FB6" w:rsidP="005E0FB6">
            <w:pPr>
              <w:pStyle w:val="TableRowNormal"/>
              <w:ind w:left="0" w:firstLine="0"/>
              <w:rPr>
                <w:rFonts w:cstheme="minorHAnsi"/>
              </w:rPr>
            </w:pPr>
            <w:r w:rsidRPr="005E0FB6">
              <w:rPr>
                <w:rFonts w:cstheme="minorHAnsi"/>
              </w:rPr>
              <w:t>1 218</w:t>
            </w:r>
          </w:p>
        </w:tc>
        <w:tc>
          <w:tcPr>
            <w:tcW w:w="405" w:type="pct"/>
            <w:tcBorders>
              <w:bottom w:val="single" w:sz="4" w:space="0" w:color="auto"/>
            </w:tcBorders>
            <w:vAlign w:val="bottom"/>
          </w:tcPr>
          <w:p w:rsidR="005E0FB6" w:rsidRPr="005E0FB6" w:rsidRDefault="005E0FB6" w:rsidP="005E0FB6">
            <w:pPr>
              <w:pStyle w:val="TableRowNormal"/>
              <w:ind w:left="0" w:firstLine="0"/>
              <w:rPr>
                <w:rFonts w:cstheme="minorHAnsi"/>
              </w:rPr>
            </w:pPr>
            <w:r w:rsidRPr="005E0FB6">
              <w:rPr>
                <w:rFonts w:cstheme="minorHAnsi"/>
              </w:rPr>
              <w:t xml:space="preserve"> 828</w:t>
            </w:r>
          </w:p>
        </w:tc>
        <w:tc>
          <w:tcPr>
            <w:tcW w:w="405" w:type="pct"/>
            <w:tcBorders>
              <w:bottom w:val="single" w:sz="4" w:space="0" w:color="auto"/>
            </w:tcBorders>
            <w:vAlign w:val="bottom"/>
          </w:tcPr>
          <w:p w:rsidR="005E0FB6" w:rsidRPr="005E0FB6" w:rsidRDefault="005E0FB6" w:rsidP="005E0FB6">
            <w:pPr>
              <w:pStyle w:val="TableRowNormal"/>
              <w:ind w:left="0" w:firstLine="0"/>
              <w:rPr>
                <w:rFonts w:cstheme="minorHAnsi"/>
              </w:rPr>
            </w:pPr>
            <w:r w:rsidRPr="005E0FB6">
              <w:rPr>
                <w:rFonts w:cstheme="minorHAnsi"/>
              </w:rPr>
              <w:t xml:space="preserve"> 661</w:t>
            </w:r>
          </w:p>
        </w:tc>
        <w:tc>
          <w:tcPr>
            <w:tcW w:w="405" w:type="pct"/>
            <w:tcBorders>
              <w:bottom w:val="single" w:sz="4" w:space="0" w:color="auto"/>
            </w:tcBorders>
            <w:vAlign w:val="bottom"/>
          </w:tcPr>
          <w:p w:rsidR="005E0FB6" w:rsidRPr="005E0FB6" w:rsidRDefault="005E0FB6" w:rsidP="005E0FB6">
            <w:pPr>
              <w:pStyle w:val="TableRowNormal"/>
              <w:ind w:left="0" w:firstLine="0"/>
              <w:rPr>
                <w:rFonts w:cstheme="minorHAnsi"/>
              </w:rPr>
            </w:pPr>
            <w:r w:rsidRPr="005E0FB6">
              <w:rPr>
                <w:rFonts w:cstheme="minorHAnsi"/>
              </w:rPr>
              <w:t xml:space="preserve"> 479</w:t>
            </w:r>
          </w:p>
        </w:tc>
        <w:tc>
          <w:tcPr>
            <w:tcW w:w="405" w:type="pct"/>
            <w:tcBorders>
              <w:bottom w:val="single" w:sz="4" w:space="0" w:color="auto"/>
            </w:tcBorders>
            <w:vAlign w:val="bottom"/>
          </w:tcPr>
          <w:p w:rsidR="005E0FB6" w:rsidRPr="005E0FB6" w:rsidRDefault="005E0FB6" w:rsidP="005E0FB6">
            <w:pPr>
              <w:pStyle w:val="TableRowNormal"/>
              <w:ind w:left="0" w:firstLine="0"/>
              <w:rPr>
                <w:rFonts w:cstheme="minorHAnsi"/>
              </w:rPr>
            </w:pPr>
            <w:r w:rsidRPr="005E0FB6">
              <w:rPr>
                <w:rFonts w:cstheme="minorHAnsi"/>
              </w:rPr>
              <w:t xml:space="preserve"> 104</w:t>
            </w:r>
          </w:p>
        </w:tc>
        <w:tc>
          <w:tcPr>
            <w:tcW w:w="405" w:type="pct"/>
            <w:tcBorders>
              <w:bottom w:val="single" w:sz="4" w:space="0" w:color="auto"/>
            </w:tcBorders>
            <w:vAlign w:val="bottom"/>
          </w:tcPr>
          <w:p w:rsidR="005E0FB6" w:rsidRPr="005E0FB6" w:rsidRDefault="005E0FB6" w:rsidP="005E0FB6">
            <w:pPr>
              <w:pStyle w:val="TableRowNormal"/>
              <w:ind w:left="0" w:firstLine="0"/>
              <w:rPr>
                <w:rFonts w:cstheme="minorHAnsi"/>
              </w:rPr>
            </w:pPr>
            <w:r w:rsidRPr="005E0FB6">
              <w:rPr>
                <w:rFonts w:cstheme="minorHAnsi"/>
              </w:rPr>
              <w:t xml:space="preserve"> 20</w:t>
            </w:r>
          </w:p>
        </w:tc>
        <w:tc>
          <w:tcPr>
            <w:tcW w:w="405" w:type="pct"/>
            <w:tcBorders>
              <w:bottom w:val="single" w:sz="4" w:space="0" w:color="auto"/>
            </w:tcBorders>
            <w:vAlign w:val="bottom"/>
          </w:tcPr>
          <w:p w:rsidR="005E0FB6" w:rsidRPr="005E0FB6" w:rsidRDefault="005E0FB6" w:rsidP="005E0FB6">
            <w:pPr>
              <w:pStyle w:val="TableRowNormal"/>
              <w:ind w:left="0" w:firstLine="0"/>
              <w:rPr>
                <w:rFonts w:cstheme="minorHAnsi"/>
              </w:rPr>
            </w:pPr>
            <w:r w:rsidRPr="005E0FB6">
              <w:rPr>
                <w:rFonts w:cstheme="minorHAnsi"/>
              </w:rPr>
              <w:t xml:space="preserve"> 43</w:t>
            </w:r>
          </w:p>
        </w:tc>
        <w:tc>
          <w:tcPr>
            <w:tcW w:w="404" w:type="pct"/>
            <w:tcBorders>
              <w:bottom w:val="single" w:sz="4" w:space="0" w:color="auto"/>
            </w:tcBorders>
            <w:vAlign w:val="bottom"/>
          </w:tcPr>
          <w:p w:rsidR="005E0FB6" w:rsidRPr="005E0FB6" w:rsidRDefault="005E0FB6" w:rsidP="005E0FB6">
            <w:pPr>
              <w:pStyle w:val="TableRowNormal"/>
              <w:ind w:left="0" w:firstLine="0"/>
              <w:rPr>
                <w:rFonts w:cstheme="minorHAnsi"/>
              </w:rPr>
            </w:pPr>
            <w:r w:rsidRPr="005E0FB6">
              <w:rPr>
                <w:rFonts w:cstheme="minorHAnsi"/>
              </w:rPr>
              <w:t>5 339</w:t>
            </w:r>
          </w:p>
        </w:tc>
      </w:tr>
    </w:tbl>
    <w:p w:rsidR="0086572C" w:rsidRDefault="0086572C" w:rsidP="0086572C">
      <w:pPr>
        <w:pStyle w:val="CGCTableFootnote"/>
      </w:pPr>
      <w:r>
        <w:t>Source:</w:t>
      </w:r>
      <w:r>
        <w:tab/>
        <w:t xml:space="preserve">State </w:t>
      </w:r>
      <w:r w:rsidR="00370973">
        <w:t xml:space="preserve">provided </w:t>
      </w:r>
      <w:r>
        <w:t>data.</w:t>
      </w:r>
    </w:p>
    <w:p w:rsidR="00E04C37" w:rsidRDefault="00E04C37" w:rsidP="00E04C37">
      <w:pPr>
        <w:pStyle w:val="Heading4"/>
      </w:pPr>
      <w:bookmarkStart w:id="4" w:name="_Toc511636038"/>
      <w:r>
        <w:t>How was revenue capacity assessed?</w:t>
      </w:r>
      <w:bookmarkEnd w:id="4"/>
    </w:p>
    <w:p w:rsidR="00B12058" w:rsidRDefault="00B12058" w:rsidP="00B12058">
      <w:pPr>
        <w:pStyle w:val="CGCNumberedPara"/>
        <w:numPr>
          <w:ilvl w:val="1"/>
          <w:numId w:val="3"/>
        </w:numPr>
      </w:pPr>
      <w:r>
        <w:t>States impose</w:t>
      </w:r>
      <w:r w:rsidR="00FC4F65">
        <w:t>d</w:t>
      </w:r>
      <w:r>
        <w:t xml:space="preserve"> duties on</w:t>
      </w:r>
      <w:r w:rsidR="00E04C37">
        <w:t xml:space="preserve"> </w:t>
      </w:r>
      <w:r w:rsidR="00D54053">
        <w:t xml:space="preserve">three </w:t>
      </w:r>
      <w:r w:rsidR="00FA4225">
        <w:t>main forms</w:t>
      </w:r>
      <w:r w:rsidR="00D54053">
        <w:t xml:space="preserve"> of </w:t>
      </w:r>
      <w:r w:rsidR="00E04C37">
        <w:t>insurance</w:t>
      </w:r>
      <w:r w:rsidR="00FA4225">
        <w:t xml:space="preserve"> in the following ways</w:t>
      </w:r>
      <w:r w:rsidR="00034E81">
        <w:t>.</w:t>
      </w:r>
    </w:p>
    <w:p w:rsidR="00034E81" w:rsidRDefault="00034E81" w:rsidP="00B12058">
      <w:pPr>
        <w:pStyle w:val="CGCBulletlist"/>
        <w:numPr>
          <w:ilvl w:val="0"/>
          <w:numId w:val="1"/>
        </w:numPr>
        <w:tabs>
          <w:tab w:val="clear" w:pos="927"/>
        </w:tabs>
        <w:ind w:left="1134" w:hanging="567"/>
      </w:pPr>
      <w:r w:rsidRPr="00E32774">
        <w:rPr>
          <w:rStyle w:val="Heading6Char"/>
        </w:rPr>
        <w:t>G</w:t>
      </w:r>
      <w:r w:rsidR="00B12058" w:rsidRPr="00E32774">
        <w:rPr>
          <w:rStyle w:val="Heading6Char"/>
        </w:rPr>
        <w:t>eneral insurance</w:t>
      </w:r>
      <w:r w:rsidR="00FA4225">
        <w:rPr>
          <w:rStyle w:val="Heading6Char"/>
        </w:rPr>
        <w:t>.</w:t>
      </w:r>
      <w:r>
        <w:t xml:space="preserve"> </w:t>
      </w:r>
      <w:r w:rsidR="00FA4225">
        <w:t xml:space="preserve">All States imposed a fixed rate of duty on general insurance premiums (such as </w:t>
      </w:r>
      <w:r w:rsidR="00FC4F65">
        <w:t>homeowner, motor vehicle, fire, public and product liability</w:t>
      </w:r>
      <w:r w:rsidR="00E32774">
        <w:t>,</w:t>
      </w:r>
      <w:r w:rsidR="00FC4F65">
        <w:t xml:space="preserve"> and professional indemnity</w:t>
      </w:r>
      <w:r w:rsidR="00FA4225">
        <w:t>)</w:t>
      </w:r>
      <w:r w:rsidR="00D54053">
        <w:t>.</w:t>
      </w:r>
      <w:r w:rsidR="000B02F8">
        <w:t xml:space="preserve"> The rate varied between 6% and 11%.</w:t>
      </w:r>
      <w:r w:rsidR="00E32774">
        <w:rPr>
          <w:rStyle w:val="FootnoteReference"/>
        </w:rPr>
        <w:footnoteReference w:id="1"/>
      </w:r>
      <w:r w:rsidR="000B02F8">
        <w:t xml:space="preserve"> Three States (New South Wales, Queensland and Tasmania) applied concessional rates to certain </w:t>
      </w:r>
      <w:r w:rsidR="00FA4225">
        <w:t>classes</w:t>
      </w:r>
      <w:r w:rsidR="000B02F8">
        <w:t xml:space="preserve"> of general insurance.</w:t>
      </w:r>
      <w:r w:rsidR="00295118">
        <w:t xml:space="preserve"> Some classes of general insurance were exempt in one or more States.</w:t>
      </w:r>
    </w:p>
    <w:p w:rsidR="00295118" w:rsidRDefault="000B02F8" w:rsidP="00295118">
      <w:pPr>
        <w:pStyle w:val="CGCBulletlist"/>
        <w:numPr>
          <w:ilvl w:val="0"/>
          <w:numId w:val="1"/>
        </w:numPr>
        <w:tabs>
          <w:tab w:val="clear" w:pos="927"/>
        </w:tabs>
        <w:ind w:left="1134" w:hanging="567"/>
      </w:pPr>
      <w:r w:rsidRPr="00E32774">
        <w:rPr>
          <w:rStyle w:val="Heading6Char"/>
        </w:rPr>
        <w:t>C</w:t>
      </w:r>
      <w:r w:rsidR="00EB7687" w:rsidRPr="00E32774">
        <w:rPr>
          <w:rStyle w:val="Heading6Char"/>
        </w:rPr>
        <w:t xml:space="preserve">ompulsory third party </w:t>
      </w:r>
      <w:r w:rsidR="0015667D" w:rsidRPr="00E32774">
        <w:rPr>
          <w:rStyle w:val="Heading6Char"/>
        </w:rPr>
        <w:t xml:space="preserve">(CTP) </w:t>
      </w:r>
      <w:r w:rsidR="00EB7687" w:rsidRPr="00E32774">
        <w:rPr>
          <w:rStyle w:val="Heading6Char"/>
        </w:rPr>
        <w:t>motor vehicle insurance</w:t>
      </w:r>
      <w:r w:rsidR="00D54053">
        <w:t>.</w:t>
      </w:r>
      <w:r w:rsidR="00EB7687">
        <w:t xml:space="preserve"> </w:t>
      </w:r>
      <w:r w:rsidR="0015667D">
        <w:t xml:space="preserve">Victoria and Western Australia imposed a single rate of duty on </w:t>
      </w:r>
      <w:r w:rsidR="00FA4225">
        <w:t xml:space="preserve">CTP </w:t>
      </w:r>
      <w:r w:rsidR="0015667D">
        <w:t>premiums</w:t>
      </w:r>
      <w:r w:rsidR="00FA4225">
        <w:t xml:space="preserve">, while </w:t>
      </w:r>
      <w:r w:rsidR="0015667D">
        <w:t>Queensland, South Australia and Tasmania imposed a flat fee</w:t>
      </w:r>
      <w:r w:rsidR="001E7880">
        <w:t>.</w:t>
      </w:r>
      <w:r w:rsidR="00C14FAB">
        <w:rPr>
          <w:rStyle w:val="FootnoteReference"/>
        </w:rPr>
        <w:footnoteReference w:id="2"/>
      </w:r>
      <w:r w:rsidR="001E7880">
        <w:t xml:space="preserve"> </w:t>
      </w:r>
      <w:r w:rsidR="0015667D">
        <w:t>New</w:t>
      </w:r>
      <w:r w:rsidR="0005450C">
        <w:t> </w:t>
      </w:r>
      <w:r w:rsidR="0015667D">
        <w:t>South</w:t>
      </w:r>
      <w:r w:rsidR="0005450C">
        <w:t> </w:t>
      </w:r>
      <w:r w:rsidR="0015667D">
        <w:t>Wales, the ACT and the Northern Territory did not tax CTP insurance.</w:t>
      </w:r>
    </w:p>
    <w:p w:rsidR="009B3E38" w:rsidRDefault="009B3E38" w:rsidP="00295118">
      <w:pPr>
        <w:pStyle w:val="CGCBulletlist"/>
        <w:numPr>
          <w:ilvl w:val="0"/>
          <w:numId w:val="1"/>
        </w:numPr>
        <w:tabs>
          <w:tab w:val="clear" w:pos="927"/>
        </w:tabs>
        <w:ind w:left="1134" w:hanging="567"/>
      </w:pPr>
      <w:r w:rsidRPr="00E32774">
        <w:rPr>
          <w:rStyle w:val="Heading6Char"/>
        </w:rPr>
        <w:lastRenderedPageBreak/>
        <w:t>Life insurance.</w:t>
      </w:r>
      <w:r>
        <w:t xml:space="preserve"> </w:t>
      </w:r>
      <w:r w:rsidR="00672FD9">
        <w:t xml:space="preserve">Five </w:t>
      </w:r>
      <w:r>
        <w:t>States imposed duty on the sum insured. South Australia imposed duty on the annual premiums. Western Australia and Victoria did not impose duty.</w:t>
      </w:r>
      <w:r>
        <w:rPr>
          <w:rStyle w:val="FootnoteReference"/>
        </w:rPr>
        <w:footnoteReference w:id="3"/>
      </w:r>
    </w:p>
    <w:p w:rsidR="009B3E38" w:rsidRDefault="00295118" w:rsidP="00B12058">
      <w:pPr>
        <w:pStyle w:val="CGCNumberedPara"/>
        <w:numPr>
          <w:ilvl w:val="1"/>
          <w:numId w:val="3"/>
        </w:numPr>
      </w:pPr>
      <w:r>
        <w:t>Revenue capacity was assessed</w:t>
      </w:r>
      <w:r w:rsidR="009B3E38">
        <w:t xml:space="preserve"> </w:t>
      </w:r>
      <w:r>
        <w:t xml:space="preserve">using </w:t>
      </w:r>
      <w:r w:rsidR="00D212AE">
        <w:t xml:space="preserve">data from the Australian Prudential Regulation Authority (APRA) on </w:t>
      </w:r>
      <w:r>
        <w:t xml:space="preserve">the total </w:t>
      </w:r>
      <w:r w:rsidR="00197A87">
        <w:t xml:space="preserve">premiums paid for general insurance </w:t>
      </w:r>
      <w:r w:rsidR="00D212AE">
        <w:t>in each State.</w:t>
      </w:r>
      <w:r w:rsidR="009B3E38">
        <w:rPr>
          <w:rStyle w:val="FootnoteReference"/>
        </w:rPr>
        <w:footnoteReference w:id="4"/>
      </w:r>
      <w:r w:rsidR="002C60F7">
        <w:t xml:space="preserve"> Th</w:t>
      </w:r>
      <w:r w:rsidR="009B3E38">
        <w:t>os</w:t>
      </w:r>
      <w:r w:rsidR="002C60F7">
        <w:t xml:space="preserve">e </w:t>
      </w:r>
      <w:r w:rsidR="009B3E38">
        <w:t>data included premiums paid in relation to CTP insurance in States where it was privately underwritten.</w:t>
      </w:r>
      <w:r w:rsidR="009B3E38">
        <w:rPr>
          <w:rStyle w:val="FootnoteReference"/>
        </w:rPr>
        <w:footnoteReference w:id="5"/>
      </w:r>
      <w:r w:rsidR="009B3E38">
        <w:t xml:space="preserve"> </w:t>
      </w:r>
      <w:r w:rsidR="00E408EC">
        <w:t>To ensure comparability across States, t</w:t>
      </w:r>
      <w:r w:rsidR="009B3E38">
        <w:t xml:space="preserve">he APRA data were supplemented by </w:t>
      </w:r>
      <w:r w:rsidR="00C72C26">
        <w:t xml:space="preserve">data from public insurers on total CTP insurance premiums </w:t>
      </w:r>
      <w:r w:rsidR="009B3E38">
        <w:t xml:space="preserve">in States where CTP </w:t>
      </w:r>
      <w:r w:rsidR="00E32774">
        <w:t xml:space="preserve">insurance </w:t>
      </w:r>
      <w:r w:rsidR="009B3E38">
        <w:t>was publicly underwritten.</w:t>
      </w:r>
      <w:r w:rsidR="00034768">
        <w:rPr>
          <w:rStyle w:val="FootnoteReference"/>
        </w:rPr>
        <w:footnoteReference w:id="6"/>
      </w:r>
    </w:p>
    <w:p w:rsidR="00295118" w:rsidRDefault="00C72C26" w:rsidP="00B12058">
      <w:pPr>
        <w:pStyle w:val="CGCNumberedPara"/>
        <w:numPr>
          <w:ilvl w:val="1"/>
          <w:numId w:val="3"/>
        </w:numPr>
      </w:pPr>
      <w:r>
        <w:t>APRA was unable to provide life insurance data by State.</w:t>
      </w:r>
      <w:r w:rsidR="00034768">
        <w:t xml:space="preserve"> Life insurance premiums were, therefore, not included in the revenue base. Revenue from life insurance duties could not easily be removed from the category, but data from </w:t>
      </w:r>
      <w:r w:rsidR="00E32774">
        <w:t xml:space="preserve">four </w:t>
      </w:r>
      <w:r w:rsidR="00034768">
        <w:t>States suggested it</w:t>
      </w:r>
      <w:r w:rsidR="00E3190E">
        <w:t xml:space="preserve"> </w:t>
      </w:r>
      <w:r w:rsidR="00E32774">
        <w:t>represented less than 5% of insurance tax revenue</w:t>
      </w:r>
      <w:r w:rsidR="00034768">
        <w:t>. On practicality grounds, the Commission decided to leave revenue from life insurance dut</w:t>
      </w:r>
      <w:r w:rsidR="00120516">
        <w:t>y</w:t>
      </w:r>
      <w:r w:rsidR="00034768">
        <w:t xml:space="preserve"> in the category and assess it using the general insurance revenue base.</w:t>
      </w:r>
    </w:p>
    <w:p w:rsidR="00325871" w:rsidRDefault="00325871" w:rsidP="00325871">
      <w:pPr>
        <w:pStyle w:val="Heading5"/>
      </w:pPr>
      <w:r>
        <w:t>Adjustments to the revenue base</w:t>
      </w:r>
    </w:p>
    <w:p w:rsidR="00A55CF7" w:rsidRDefault="00F07AD0" w:rsidP="00A55CF7">
      <w:pPr>
        <w:pStyle w:val="CGCNumberedPara"/>
      </w:pPr>
      <w:r w:rsidRPr="00F07AD0">
        <w:rPr>
          <w:rStyle w:val="Heading6Char"/>
        </w:rPr>
        <w:t>Workers’ compensation premiums.</w:t>
      </w:r>
      <w:r>
        <w:t xml:space="preserve"> </w:t>
      </w:r>
      <w:r w:rsidR="0021396C">
        <w:t xml:space="preserve">The Commission made a further adjustment to the APRA data to exclude premiums relating to workers’ compensation insurance. Those premiums represented </w:t>
      </w:r>
      <w:r w:rsidR="00243DC4">
        <w:t>a</w:t>
      </w:r>
      <w:r w:rsidR="00436350">
        <w:t>b</w:t>
      </w:r>
      <w:r w:rsidR="00243DC4">
        <w:t>ou</w:t>
      </w:r>
      <w:r w:rsidR="00436350">
        <w:t>t</w:t>
      </w:r>
      <w:r w:rsidR="00243DC4">
        <w:t xml:space="preserve"> </w:t>
      </w:r>
      <w:r w:rsidR="0021396C">
        <w:t>2</w:t>
      </w:r>
      <w:r w:rsidR="00325871">
        <w:t>7</w:t>
      </w:r>
      <w:r w:rsidR="0021396C">
        <w:t xml:space="preserve">% of </w:t>
      </w:r>
      <w:r w:rsidR="00325871">
        <w:t xml:space="preserve">total </w:t>
      </w:r>
      <w:r w:rsidR="0021396C">
        <w:t>general insurance</w:t>
      </w:r>
      <w:r w:rsidR="00325871">
        <w:t xml:space="preserve"> premiums in 2012-13</w:t>
      </w:r>
      <w:r w:rsidR="00176BE0">
        <w:t>.</w:t>
      </w:r>
      <w:r w:rsidR="00243DC4">
        <w:t xml:space="preserve"> </w:t>
      </w:r>
      <w:r w:rsidR="00176BE0">
        <w:t>H</w:t>
      </w:r>
      <w:r w:rsidR="00243DC4">
        <w:t>owever</w:t>
      </w:r>
      <w:r w:rsidR="00176BE0">
        <w:t>,</w:t>
      </w:r>
      <w:r w:rsidR="00243DC4">
        <w:t xml:space="preserve"> the duty raised was only 2% of all insurance duties.</w:t>
      </w:r>
      <w:r w:rsidR="0021396C">
        <w:t xml:space="preserve"> Only Queensland </w:t>
      </w:r>
      <w:r w:rsidR="00325871">
        <w:t xml:space="preserve">and South Australia </w:t>
      </w:r>
      <w:r w:rsidR="0021396C">
        <w:t xml:space="preserve">imposed duty on </w:t>
      </w:r>
      <w:r w:rsidR="00325871">
        <w:t xml:space="preserve">workers’ compensation </w:t>
      </w:r>
      <w:r w:rsidR="00A569FF">
        <w:t xml:space="preserve">insurance premiums </w:t>
      </w:r>
      <w:r w:rsidR="00325871">
        <w:t>– Queensland did so at a concessional rate of 5%</w:t>
      </w:r>
      <w:r w:rsidR="000174F6">
        <w:t xml:space="preserve"> and South Australia exempted </w:t>
      </w:r>
      <w:r w:rsidR="00325871">
        <w:t xml:space="preserve">insurance </w:t>
      </w:r>
      <w:r w:rsidR="000174F6">
        <w:t xml:space="preserve">in relation </w:t>
      </w:r>
      <w:r w:rsidR="00325871">
        <w:t xml:space="preserve">to employees under </w:t>
      </w:r>
      <w:r w:rsidR="000174F6">
        <w:t xml:space="preserve">25 years of age. </w:t>
      </w:r>
      <w:r w:rsidR="007A6778">
        <w:t xml:space="preserve">A separate </w:t>
      </w:r>
      <w:r w:rsidR="00CF3BE8">
        <w:t>assessment of workers’ compensation duties was not material</w:t>
      </w:r>
      <w:r w:rsidR="00B90A7B">
        <w:t xml:space="preserve"> at the $30 per capita threshold</w:t>
      </w:r>
      <w:r w:rsidR="00CF3BE8">
        <w:t xml:space="preserve">. Therefore, the Commission assessed workers’ compensation duties equal per capita </w:t>
      </w:r>
      <w:r w:rsidR="00656503">
        <w:t xml:space="preserve">(EPC) </w:t>
      </w:r>
      <w:r w:rsidR="00CF3BE8">
        <w:t xml:space="preserve">in the </w:t>
      </w:r>
      <w:proofErr w:type="gramStart"/>
      <w:r w:rsidR="00CF3BE8">
        <w:t>Other</w:t>
      </w:r>
      <w:proofErr w:type="gramEnd"/>
      <w:r w:rsidR="00CF3BE8">
        <w:t xml:space="preserve"> revenue category.</w:t>
      </w:r>
    </w:p>
    <w:p w:rsidR="00976D65" w:rsidRDefault="00CF3BE8" w:rsidP="009842EE">
      <w:pPr>
        <w:pStyle w:val="CGCNumberedPara"/>
      </w:pPr>
      <w:r w:rsidRPr="00CF3BE8">
        <w:rPr>
          <w:rStyle w:val="Heading6Char"/>
        </w:rPr>
        <w:t>Premiums paid to public insurers.</w:t>
      </w:r>
      <w:r>
        <w:t xml:space="preserve"> Public insurers </w:t>
      </w:r>
      <w:r w:rsidR="009C70E3">
        <w:t xml:space="preserve">are controlled, or wholly owned, by State governments. </w:t>
      </w:r>
      <w:r w:rsidR="00743A57">
        <w:t xml:space="preserve">They mainly provide CTP insurance, workers’ compensation insurance, </w:t>
      </w:r>
      <w:r w:rsidR="00A569FF">
        <w:t>builders’</w:t>
      </w:r>
      <w:r w:rsidR="00743A57">
        <w:t xml:space="preserve"> warranty insurance and insurance for government agencies. Public </w:t>
      </w:r>
      <w:r w:rsidR="00F24257">
        <w:t xml:space="preserve">insurers </w:t>
      </w:r>
      <w:r w:rsidR="00743A57">
        <w:t xml:space="preserve">are </w:t>
      </w:r>
      <w:r w:rsidR="00F24257">
        <w:t xml:space="preserve">not regulated by APRA and premiums paid to them </w:t>
      </w:r>
      <w:r w:rsidR="00176BE0">
        <w:t>are</w:t>
      </w:r>
      <w:r w:rsidR="00F24257">
        <w:t xml:space="preserve"> not included in the APRA data.</w:t>
      </w:r>
      <w:r w:rsidR="009C70E3">
        <w:t xml:space="preserve"> </w:t>
      </w:r>
      <w:r w:rsidR="00055397">
        <w:t>The Commission supplemented the APRA data with d</w:t>
      </w:r>
      <w:r w:rsidR="007178E4">
        <w:t xml:space="preserve">ata </w:t>
      </w:r>
      <w:r w:rsidR="00D70F8F">
        <w:t xml:space="preserve">from public insurers </w:t>
      </w:r>
      <w:r w:rsidR="007178E4">
        <w:t xml:space="preserve">on total premiums paid </w:t>
      </w:r>
      <w:r w:rsidR="00D70F8F">
        <w:t xml:space="preserve">for CTP insurance and </w:t>
      </w:r>
      <w:r w:rsidR="00A569FF">
        <w:t>builders’</w:t>
      </w:r>
      <w:r w:rsidR="00D70F8F">
        <w:t xml:space="preserve"> </w:t>
      </w:r>
      <w:r w:rsidR="00D70F8F">
        <w:lastRenderedPageBreak/>
        <w:t>warranty insurance</w:t>
      </w:r>
      <w:r w:rsidR="00055397">
        <w:t>.</w:t>
      </w:r>
      <w:r w:rsidR="00D70F8F">
        <w:rPr>
          <w:rStyle w:val="FootnoteReference"/>
        </w:rPr>
        <w:footnoteReference w:id="7"/>
      </w:r>
      <w:r w:rsidR="00D70F8F">
        <w:t xml:space="preserve"> </w:t>
      </w:r>
      <w:r w:rsidR="00055397">
        <w:t>Workers’ compensation premiums paid to public insurers were not included in the revenue base, s</w:t>
      </w:r>
      <w:r w:rsidR="0013026D">
        <w:t>ince</w:t>
      </w:r>
      <w:r w:rsidR="00055397">
        <w:t xml:space="preserve"> workers’ compensation duties </w:t>
      </w:r>
      <w:r w:rsidR="0013026D">
        <w:t xml:space="preserve">were assessed in the </w:t>
      </w:r>
      <w:proofErr w:type="gramStart"/>
      <w:r w:rsidR="0013026D">
        <w:t>Other</w:t>
      </w:r>
      <w:proofErr w:type="gramEnd"/>
      <w:r w:rsidR="0013026D">
        <w:t xml:space="preserve"> revenue category. </w:t>
      </w:r>
      <w:r w:rsidR="00D70F8F">
        <w:t xml:space="preserve">Premiums paid in relation to </w:t>
      </w:r>
      <w:r w:rsidR="003824AA">
        <w:t xml:space="preserve">insurance for </w:t>
      </w:r>
      <w:r w:rsidR="00D70F8F">
        <w:t>government agencies</w:t>
      </w:r>
      <w:r w:rsidR="00055397">
        <w:t xml:space="preserve"> were not included in the revenue</w:t>
      </w:r>
      <w:r w:rsidR="0013026D">
        <w:t xml:space="preserve"> base</w:t>
      </w:r>
      <w:r w:rsidR="00D70F8F">
        <w:t>, s</w:t>
      </w:r>
      <w:r w:rsidR="0013026D">
        <w:t>ince</w:t>
      </w:r>
      <w:r w:rsidR="00D70F8F">
        <w:t xml:space="preserve"> any duty on those premiums was </w:t>
      </w:r>
      <w:r w:rsidR="0063707A">
        <w:t>an internal budget transfer</w:t>
      </w:r>
      <w:r w:rsidR="00D70F8F">
        <w:t>.</w:t>
      </w:r>
      <w:r w:rsidR="00D70F8F">
        <w:rPr>
          <w:rStyle w:val="FootnoteReference"/>
        </w:rPr>
        <w:footnoteReference w:id="8"/>
      </w:r>
    </w:p>
    <w:p w:rsidR="00295118" w:rsidRDefault="00F07AD0" w:rsidP="00B12058">
      <w:pPr>
        <w:pStyle w:val="CGCNumberedPara"/>
        <w:numPr>
          <w:ilvl w:val="1"/>
          <w:numId w:val="3"/>
        </w:numPr>
      </w:pPr>
      <w:r w:rsidRPr="00F07AD0">
        <w:rPr>
          <w:rStyle w:val="Heading6Char"/>
        </w:rPr>
        <w:t>Fire and emergency services levies.</w:t>
      </w:r>
      <w:r>
        <w:t xml:space="preserve"> </w:t>
      </w:r>
      <w:r w:rsidR="00AD4168">
        <w:t xml:space="preserve">New South Wales and Tasmania imposed fire and emergency services levies on insurance companies. The levies </w:t>
      </w:r>
      <w:r w:rsidR="005E1E7F">
        <w:t>are</w:t>
      </w:r>
      <w:r w:rsidR="00AD4168">
        <w:t xml:space="preserve"> generally passed on to consumers. </w:t>
      </w:r>
      <w:r w:rsidR="00295118">
        <w:t xml:space="preserve">The Commission </w:t>
      </w:r>
      <w:r w:rsidR="00AD4168">
        <w:t xml:space="preserve">assessed </w:t>
      </w:r>
      <w:r w:rsidR="00637005">
        <w:t>these</w:t>
      </w:r>
      <w:r w:rsidR="00AD4168">
        <w:t xml:space="preserve"> levies in the category, since </w:t>
      </w:r>
      <w:r w:rsidR="00295118">
        <w:t>the</w:t>
      </w:r>
      <w:r w:rsidR="00AD4168">
        <w:t>y</w:t>
      </w:r>
      <w:r w:rsidR="00295118">
        <w:t xml:space="preserve"> were raised on a similar basis to other insurance taxes</w:t>
      </w:r>
      <w:r w:rsidR="00AD4168">
        <w:t>.</w:t>
      </w:r>
      <w:r w:rsidR="00AD4168">
        <w:rPr>
          <w:rStyle w:val="FootnoteReference"/>
        </w:rPr>
        <w:footnoteReference w:id="9"/>
      </w:r>
    </w:p>
    <w:p w:rsidR="00C87AA5" w:rsidRDefault="00110B47" w:rsidP="00C87AA5">
      <w:pPr>
        <w:pStyle w:val="CGCNumberedPara"/>
        <w:numPr>
          <w:ilvl w:val="1"/>
          <w:numId w:val="3"/>
        </w:numPr>
      </w:pPr>
      <w:bookmarkStart w:id="5" w:name="_Toc482362970"/>
      <w:r>
        <w:t>Premium data provided to APRA by insurance companies included</w:t>
      </w:r>
      <w:r w:rsidR="00C87AA5">
        <w:t xml:space="preserve"> insurance based </w:t>
      </w:r>
      <w:proofErr w:type="spellStart"/>
      <w:r w:rsidR="00C87AA5">
        <w:t>FESL</w:t>
      </w:r>
      <w:r w:rsidR="00637005">
        <w:t>s</w:t>
      </w:r>
      <w:proofErr w:type="spellEnd"/>
      <w:r w:rsidR="00C87AA5">
        <w:t>.</w:t>
      </w:r>
      <w:r w:rsidR="00C87AA5">
        <w:rPr>
          <w:rStyle w:val="FootnoteReference"/>
        </w:rPr>
        <w:footnoteReference w:id="10"/>
      </w:r>
      <w:r w:rsidR="00C87AA5">
        <w:t xml:space="preserve"> </w:t>
      </w:r>
      <w:r w:rsidR="005173B3">
        <w:t>To ensure that</w:t>
      </w:r>
      <w:r w:rsidR="00C87AA5">
        <w:t xml:space="preserve"> New South Wales and Tasmania </w:t>
      </w:r>
      <w:r w:rsidR="005173B3">
        <w:t>were not assessed to have a higher insurance tax capacity</w:t>
      </w:r>
      <w:r w:rsidR="00C87AA5">
        <w:t xml:space="preserve"> </w:t>
      </w:r>
      <w:r w:rsidR="005173B3">
        <w:t xml:space="preserve">due to </w:t>
      </w:r>
      <w:r w:rsidR="00C87AA5">
        <w:t xml:space="preserve">their </w:t>
      </w:r>
      <w:r w:rsidR="005173B3">
        <w:t xml:space="preserve">policy choice to impose </w:t>
      </w:r>
      <w:r w:rsidR="00C87AA5">
        <w:t xml:space="preserve">insurance based </w:t>
      </w:r>
      <w:proofErr w:type="spellStart"/>
      <w:r w:rsidR="00C87AA5">
        <w:t>FESL</w:t>
      </w:r>
      <w:r w:rsidR="00637005">
        <w:t>s</w:t>
      </w:r>
      <w:proofErr w:type="spellEnd"/>
      <w:r w:rsidR="005173B3">
        <w:t xml:space="preserve">, </w:t>
      </w:r>
      <w:r w:rsidR="00637005">
        <w:t xml:space="preserve">the </w:t>
      </w:r>
      <w:proofErr w:type="spellStart"/>
      <w:r w:rsidR="00C87AA5">
        <w:t>FESL</w:t>
      </w:r>
      <w:proofErr w:type="spellEnd"/>
      <w:r w:rsidR="00C87AA5">
        <w:t xml:space="preserve"> revenue </w:t>
      </w:r>
      <w:r w:rsidR="005173B3">
        <w:t>wa</w:t>
      </w:r>
      <w:r w:rsidR="00C87AA5">
        <w:t xml:space="preserve">s removed from </w:t>
      </w:r>
      <w:r w:rsidR="0002292F">
        <w:t xml:space="preserve">the </w:t>
      </w:r>
      <w:r w:rsidR="00C87AA5">
        <w:t>APRA premium data.</w:t>
      </w:r>
      <w:r w:rsidR="00637005">
        <w:t xml:space="preserve"> Insurance based </w:t>
      </w:r>
      <w:proofErr w:type="spellStart"/>
      <w:r w:rsidR="00637005">
        <w:t>FESLs</w:t>
      </w:r>
      <w:proofErr w:type="spellEnd"/>
      <w:r w:rsidR="00637005">
        <w:t xml:space="preserve"> were, therefore, assessed using the general insurance revenue base</w:t>
      </w:r>
      <w:r w:rsidR="00C87AA5" w:rsidRPr="00944DEB">
        <w:t>.</w:t>
      </w:r>
    </w:p>
    <w:bookmarkEnd w:id="5"/>
    <w:p w:rsidR="00C87AA5" w:rsidRDefault="00C87AA5" w:rsidP="00C87AA5">
      <w:pPr>
        <w:pStyle w:val="CGCNumberedPara"/>
        <w:numPr>
          <w:ilvl w:val="1"/>
          <w:numId w:val="3"/>
        </w:numPr>
      </w:pPr>
      <w:r>
        <w:fldChar w:fldCharType="begin"/>
      </w:r>
      <w:r>
        <w:instrText xml:space="preserve"> REF _Ref484069054 \h </w:instrText>
      </w:r>
      <w:r>
        <w:fldChar w:fldCharType="separate"/>
      </w:r>
      <w:r w:rsidR="00D813B5">
        <w:t>Table </w:t>
      </w:r>
      <w:r w:rsidR="00D813B5">
        <w:rPr>
          <w:noProof/>
        </w:rPr>
        <w:t>2</w:t>
      </w:r>
      <w:r>
        <w:fldChar w:fldCharType="end"/>
      </w:r>
      <w:r>
        <w:t xml:space="preserve"> shows the derivation of the revenue base for the Insurance tax category in </w:t>
      </w:r>
      <w:r w:rsidR="005E0FB6">
        <w:t>2016-17</w:t>
      </w:r>
      <w:r>
        <w:t>.</w:t>
      </w:r>
    </w:p>
    <w:p w:rsidR="00C87AA5" w:rsidRDefault="00C87AA5" w:rsidP="00C87AA5">
      <w:pPr>
        <w:pStyle w:val="CGCTableHeading"/>
      </w:pPr>
      <w:bookmarkStart w:id="6" w:name="_Ref484069054"/>
      <w:r>
        <w:t>Table </w:t>
      </w:r>
      <w:fldSimple w:instr=" SEQ Table \* ARABIC ">
        <w:r w:rsidR="00D813B5">
          <w:rPr>
            <w:noProof/>
          </w:rPr>
          <w:t>2</w:t>
        </w:r>
      </w:fldSimple>
      <w:bookmarkEnd w:id="6"/>
      <w:r>
        <w:tab/>
        <w:t xml:space="preserve">Derivation of revenue base, insurance tax, </w:t>
      </w:r>
      <w:r w:rsidR="005E0FB6">
        <w:t>2016-17</w:t>
      </w:r>
    </w:p>
    <w:tbl>
      <w:tblPr>
        <w:tblW w:w="5000" w:type="pct"/>
        <w:tblLayout w:type="fixed"/>
        <w:tblCellMar>
          <w:left w:w="0" w:type="dxa"/>
          <w:right w:w="0" w:type="dxa"/>
        </w:tblCellMar>
        <w:tblLook w:val="0000" w:firstRow="0" w:lastRow="0" w:firstColumn="0" w:lastColumn="0" w:noHBand="0" w:noVBand="0"/>
      </w:tblPr>
      <w:tblGrid>
        <w:gridCol w:w="2033"/>
        <w:gridCol w:w="768"/>
        <w:gridCol w:w="768"/>
        <w:gridCol w:w="770"/>
        <w:gridCol w:w="768"/>
        <w:gridCol w:w="768"/>
        <w:gridCol w:w="770"/>
        <w:gridCol w:w="768"/>
        <w:gridCol w:w="768"/>
        <w:gridCol w:w="770"/>
      </w:tblGrid>
      <w:tr w:rsidR="00637005" w:rsidRPr="00FE3F73" w:rsidTr="005E0FB6">
        <w:tc>
          <w:tcPr>
            <w:tcW w:w="1136" w:type="pct"/>
            <w:tcBorders>
              <w:top w:val="single" w:sz="6" w:space="0" w:color="auto"/>
              <w:bottom w:val="single" w:sz="6" w:space="0" w:color="auto"/>
            </w:tcBorders>
            <w:vAlign w:val="center"/>
          </w:tcPr>
          <w:p w:rsidR="00637005" w:rsidRPr="00FE3F73" w:rsidRDefault="00637005" w:rsidP="005A258E">
            <w:pPr>
              <w:pStyle w:val="CGCTableStub"/>
              <w:spacing w:line="240" w:lineRule="auto"/>
              <w:ind w:left="193" w:hanging="142"/>
              <w:rPr>
                <w:rFonts w:cstheme="minorHAnsi"/>
              </w:rPr>
            </w:pPr>
          </w:p>
        </w:tc>
        <w:tc>
          <w:tcPr>
            <w:tcW w:w="429" w:type="pct"/>
            <w:tcBorders>
              <w:top w:val="single" w:sz="6" w:space="0" w:color="auto"/>
              <w:bottom w:val="single" w:sz="6" w:space="0" w:color="auto"/>
            </w:tcBorders>
            <w:vAlign w:val="center"/>
          </w:tcPr>
          <w:p w:rsidR="00637005" w:rsidRPr="00FE3F73" w:rsidRDefault="00637005" w:rsidP="005A258E">
            <w:pPr>
              <w:pStyle w:val="TableColHeadings"/>
              <w:rPr>
                <w:rFonts w:cstheme="minorHAnsi"/>
              </w:rPr>
            </w:pPr>
            <w:r w:rsidRPr="00FE3F73">
              <w:rPr>
                <w:rFonts w:cstheme="minorHAnsi"/>
              </w:rPr>
              <w:t>NSW</w:t>
            </w:r>
          </w:p>
        </w:tc>
        <w:tc>
          <w:tcPr>
            <w:tcW w:w="429" w:type="pct"/>
            <w:tcBorders>
              <w:top w:val="single" w:sz="6" w:space="0" w:color="auto"/>
              <w:bottom w:val="single" w:sz="6" w:space="0" w:color="auto"/>
            </w:tcBorders>
            <w:vAlign w:val="center"/>
          </w:tcPr>
          <w:p w:rsidR="00637005" w:rsidRPr="00FE3F73" w:rsidRDefault="00637005" w:rsidP="005A258E">
            <w:pPr>
              <w:pStyle w:val="TableColHeadings"/>
              <w:rPr>
                <w:rFonts w:cstheme="minorHAnsi"/>
              </w:rPr>
            </w:pPr>
            <w:r w:rsidRPr="00FE3F73">
              <w:rPr>
                <w:rFonts w:cstheme="minorHAnsi"/>
              </w:rPr>
              <w:t>Vic</w:t>
            </w:r>
          </w:p>
        </w:tc>
        <w:tc>
          <w:tcPr>
            <w:tcW w:w="430" w:type="pct"/>
            <w:tcBorders>
              <w:top w:val="single" w:sz="6" w:space="0" w:color="auto"/>
              <w:bottom w:val="single" w:sz="6" w:space="0" w:color="auto"/>
            </w:tcBorders>
            <w:vAlign w:val="center"/>
          </w:tcPr>
          <w:p w:rsidR="00637005" w:rsidRPr="00FE3F73" w:rsidRDefault="00637005" w:rsidP="005A258E">
            <w:pPr>
              <w:pStyle w:val="TableColHeadings"/>
              <w:rPr>
                <w:rFonts w:cstheme="minorHAnsi"/>
              </w:rPr>
            </w:pPr>
            <w:r w:rsidRPr="00FE3F73">
              <w:rPr>
                <w:rFonts w:cstheme="minorHAnsi"/>
              </w:rPr>
              <w:t>Qld</w:t>
            </w:r>
          </w:p>
        </w:tc>
        <w:tc>
          <w:tcPr>
            <w:tcW w:w="429" w:type="pct"/>
            <w:tcBorders>
              <w:top w:val="single" w:sz="6" w:space="0" w:color="auto"/>
              <w:bottom w:val="single" w:sz="6" w:space="0" w:color="auto"/>
            </w:tcBorders>
            <w:vAlign w:val="center"/>
          </w:tcPr>
          <w:p w:rsidR="00637005" w:rsidRPr="00FE3F73" w:rsidRDefault="00637005" w:rsidP="005A258E">
            <w:pPr>
              <w:pStyle w:val="TableColHeadings"/>
              <w:rPr>
                <w:rFonts w:cstheme="minorHAnsi"/>
              </w:rPr>
            </w:pPr>
            <w:r w:rsidRPr="00FE3F73">
              <w:rPr>
                <w:rFonts w:cstheme="minorHAnsi"/>
              </w:rPr>
              <w:t>WA</w:t>
            </w:r>
          </w:p>
        </w:tc>
        <w:tc>
          <w:tcPr>
            <w:tcW w:w="429" w:type="pct"/>
            <w:tcBorders>
              <w:top w:val="single" w:sz="6" w:space="0" w:color="auto"/>
              <w:bottom w:val="single" w:sz="6" w:space="0" w:color="auto"/>
            </w:tcBorders>
            <w:vAlign w:val="center"/>
          </w:tcPr>
          <w:p w:rsidR="00637005" w:rsidRPr="00FE3F73" w:rsidRDefault="00637005" w:rsidP="005A258E">
            <w:pPr>
              <w:pStyle w:val="TableColHeadings"/>
              <w:rPr>
                <w:rFonts w:cstheme="minorHAnsi"/>
              </w:rPr>
            </w:pPr>
            <w:r w:rsidRPr="00FE3F73">
              <w:rPr>
                <w:rFonts w:cstheme="minorHAnsi"/>
              </w:rPr>
              <w:t>SA</w:t>
            </w:r>
          </w:p>
        </w:tc>
        <w:tc>
          <w:tcPr>
            <w:tcW w:w="430" w:type="pct"/>
            <w:tcBorders>
              <w:top w:val="single" w:sz="6" w:space="0" w:color="auto"/>
              <w:bottom w:val="single" w:sz="6" w:space="0" w:color="auto"/>
            </w:tcBorders>
            <w:vAlign w:val="center"/>
          </w:tcPr>
          <w:p w:rsidR="00637005" w:rsidRPr="00FE3F73" w:rsidRDefault="00637005" w:rsidP="005A258E">
            <w:pPr>
              <w:pStyle w:val="TableColHeadings"/>
              <w:rPr>
                <w:rFonts w:cstheme="minorHAnsi"/>
              </w:rPr>
            </w:pPr>
            <w:proofErr w:type="spellStart"/>
            <w:r w:rsidRPr="00FE3F73">
              <w:rPr>
                <w:rFonts w:cstheme="minorHAnsi"/>
              </w:rPr>
              <w:t>Tas</w:t>
            </w:r>
            <w:proofErr w:type="spellEnd"/>
          </w:p>
        </w:tc>
        <w:tc>
          <w:tcPr>
            <w:tcW w:w="429" w:type="pct"/>
            <w:tcBorders>
              <w:top w:val="single" w:sz="6" w:space="0" w:color="auto"/>
              <w:bottom w:val="single" w:sz="6" w:space="0" w:color="auto"/>
            </w:tcBorders>
            <w:vAlign w:val="center"/>
          </w:tcPr>
          <w:p w:rsidR="00637005" w:rsidRPr="00FE3F73" w:rsidRDefault="00637005" w:rsidP="005A258E">
            <w:pPr>
              <w:pStyle w:val="TableColHeadings"/>
              <w:rPr>
                <w:rFonts w:cstheme="minorHAnsi"/>
              </w:rPr>
            </w:pPr>
            <w:r w:rsidRPr="00FE3F73">
              <w:rPr>
                <w:rFonts w:cstheme="minorHAnsi"/>
              </w:rPr>
              <w:t>ACT</w:t>
            </w:r>
          </w:p>
        </w:tc>
        <w:tc>
          <w:tcPr>
            <w:tcW w:w="429" w:type="pct"/>
            <w:tcBorders>
              <w:top w:val="single" w:sz="6" w:space="0" w:color="auto"/>
              <w:bottom w:val="single" w:sz="6" w:space="0" w:color="auto"/>
            </w:tcBorders>
            <w:vAlign w:val="center"/>
          </w:tcPr>
          <w:p w:rsidR="00637005" w:rsidRPr="00FE3F73" w:rsidRDefault="00637005" w:rsidP="005A258E">
            <w:pPr>
              <w:pStyle w:val="TableColHeadings"/>
              <w:rPr>
                <w:rFonts w:cstheme="minorHAnsi"/>
              </w:rPr>
            </w:pPr>
            <w:r w:rsidRPr="00FE3F73">
              <w:rPr>
                <w:rFonts w:cstheme="minorHAnsi"/>
              </w:rPr>
              <w:t>NT</w:t>
            </w:r>
          </w:p>
        </w:tc>
        <w:tc>
          <w:tcPr>
            <w:tcW w:w="430" w:type="pct"/>
            <w:tcBorders>
              <w:top w:val="single" w:sz="6" w:space="0" w:color="auto"/>
              <w:bottom w:val="single" w:sz="6" w:space="0" w:color="auto"/>
            </w:tcBorders>
            <w:vAlign w:val="center"/>
          </w:tcPr>
          <w:p w:rsidR="00637005" w:rsidRPr="00FE3F73" w:rsidRDefault="00637005" w:rsidP="005A258E">
            <w:pPr>
              <w:pStyle w:val="TableColHeadings"/>
              <w:rPr>
                <w:rFonts w:cstheme="minorHAnsi"/>
              </w:rPr>
            </w:pPr>
            <w:r>
              <w:rPr>
                <w:rFonts w:cstheme="minorHAnsi"/>
              </w:rPr>
              <w:t>Total</w:t>
            </w:r>
          </w:p>
        </w:tc>
      </w:tr>
      <w:tr w:rsidR="00637005" w:rsidRPr="00FE3F73" w:rsidTr="005E0FB6">
        <w:tc>
          <w:tcPr>
            <w:tcW w:w="1136" w:type="pct"/>
            <w:tcMar>
              <w:top w:w="0" w:type="dxa"/>
              <w:bottom w:w="0" w:type="dxa"/>
            </w:tcMar>
            <w:vAlign w:val="bottom"/>
          </w:tcPr>
          <w:p w:rsidR="00637005" w:rsidRPr="00FE3F73" w:rsidRDefault="00637005" w:rsidP="005A258E">
            <w:pPr>
              <w:pStyle w:val="CGCTableStub"/>
              <w:spacing w:before="0" w:after="0" w:line="240" w:lineRule="auto"/>
              <w:ind w:left="193" w:hanging="142"/>
              <w:jc w:val="right"/>
              <w:rPr>
                <w:rFonts w:cstheme="minorHAnsi"/>
              </w:rPr>
            </w:pPr>
          </w:p>
        </w:tc>
        <w:tc>
          <w:tcPr>
            <w:tcW w:w="429" w:type="pct"/>
            <w:tcMar>
              <w:top w:w="0" w:type="dxa"/>
              <w:bottom w:w="0" w:type="dxa"/>
            </w:tcMar>
            <w:vAlign w:val="bottom"/>
          </w:tcPr>
          <w:p w:rsidR="00637005" w:rsidRPr="00FE3F73" w:rsidRDefault="00637005" w:rsidP="005A258E">
            <w:pPr>
              <w:pStyle w:val="TableRowNormal"/>
              <w:spacing w:before="0" w:after="0" w:line="240" w:lineRule="auto"/>
              <w:ind w:left="0" w:firstLine="0"/>
              <w:rPr>
                <w:rFonts w:cstheme="minorHAnsi"/>
              </w:rPr>
            </w:pPr>
            <w:r>
              <w:rPr>
                <w:rFonts w:cstheme="minorHAnsi"/>
              </w:rPr>
              <w:t>$m</w:t>
            </w:r>
          </w:p>
        </w:tc>
        <w:tc>
          <w:tcPr>
            <w:tcW w:w="429" w:type="pct"/>
            <w:tcMar>
              <w:top w:w="0" w:type="dxa"/>
              <w:bottom w:w="0" w:type="dxa"/>
            </w:tcMar>
            <w:vAlign w:val="bottom"/>
          </w:tcPr>
          <w:p w:rsidR="00637005" w:rsidRPr="00FE3F73" w:rsidRDefault="00637005" w:rsidP="005A258E">
            <w:pPr>
              <w:pStyle w:val="TableRowNormal"/>
              <w:spacing w:before="0" w:after="0" w:line="240" w:lineRule="auto"/>
              <w:ind w:left="0" w:firstLine="0"/>
              <w:rPr>
                <w:rFonts w:cstheme="minorHAnsi"/>
              </w:rPr>
            </w:pPr>
            <w:r>
              <w:rPr>
                <w:rFonts w:cstheme="minorHAnsi"/>
              </w:rPr>
              <w:t>$m</w:t>
            </w:r>
          </w:p>
        </w:tc>
        <w:tc>
          <w:tcPr>
            <w:tcW w:w="430" w:type="pct"/>
            <w:tcMar>
              <w:top w:w="0" w:type="dxa"/>
              <w:bottom w:w="0" w:type="dxa"/>
            </w:tcMar>
            <w:vAlign w:val="bottom"/>
          </w:tcPr>
          <w:p w:rsidR="00637005" w:rsidRPr="00FE3F73" w:rsidRDefault="00637005" w:rsidP="005A258E">
            <w:pPr>
              <w:pStyle w:val="TableRowNormal"/>
              <w:spacing w:before="0" w:after="0" w:line="240" w:lineRule="auto"/>
              <w:ind w:left="0" w:firstLine="0"/>
              <w:rPr>
                <w:rFonts w:cstheme="minorHAnsi"/>
              </w:rPr>
            </w:pPr>
            <w:r>
              <w:rPr>
                <w:rFonts w:cstheme="minorHAnsi"/>
              </w:rPr>
              <w:t>$m</w:t>
            </w:r>
          </w:p>
        </w:tc>
        <w:tc>
          <w:tcPr>
            <w:tcW w:w="429" w:type="pct"/>
            <w:tcMar>
              <w:top w:w="0" w:type="dxa"/>
              <w:bottom w:w="0" w:type="dxa"/>
            </w:tcMar>
            <w:vAlign w:val="bottom"/>
          </w:tcPr>
          <w:p w:rsidR="00637005" w:rsidRPr="00FE3F73" w:rsidRDefault="00637005" w:rsidP="005A258E">
            <w:pPr>
              <w:pStyle w:val="TableRowNormal"/>
              <w:spacing w:before="0" w:after="0" w:line="240" w:lineRule="auto"/>
              <w:ind w:left="0" w:firstLine="0"/>
              <w:rPr>
                <w:rFonts w:cstheme="minorHAnsi"/>
              </w:rPr>
            </w:pPr>
            <w:r>
              <w:rPr>
                <w:rFonts w:cstheme="minorHAnsi"/>
              </w:rPr>
              <w:t>$m</w:t>
            </w:r>
          </w:p>
        </w:tc>
        <w:tc>
          <w:tcPr>
            <w:tcW w:w="429" w:type="pct"/>
            <w:tcMar>
              <w:top w:w="0" w:type="dxa"/>
              <w:bottom w:w="0" w:type="dxa"/>
            </w:tcMar>
            <w:vAlign w:val="bottom"/>
          </w:tcPr>
          <w:p w:rsidR="00637005" w:rsidRPr="00FE3F73" w:rsidRDefault="00637005" w:rsidP="005A258E">
            <w:pPr>
              <w:pStyle w:val="TableRowNormal"/>
              <w:spacing w:before="0" w:after="0" w:line="240" w:lineRule="auto"/>
              <w:ind w:left="0" w:firstLine="0"/>
              <w:rPr>
                <w:rFonts w:cstheme="minorHAnsi"/>
              </w:rPr>
            </w:pPr>
            <w:r>
              <w:rPr>
                <w:rFonts w:cstheme="minorHAnsi"/>
              </w:rPr>
              <w:t>$m</w:t>
            </w:r>
          </w:p>
        </w:tc>
        <w:tc>
          <w:tcPr>
            <w:tcW w:w="430" w:type="pct"/>
            <w:tcMar>
              <w:top w:w="0" w:type="dxa"/>
              <w:bottom w:w="0" w:type="dxa"/>
            </w:tcMar>
            <w:vAlign w:val="bottom"/>
          </w:tcPr>
          <w:p w:rsidR="00637005" w:rsidRPr="00FE3F73" w:rsidRDefault="00637005" w:rsidP="005A258E">
            <w:pPr>
              <w:pStyle w:val="TableRowNormal"/>
              <w:spacing w:before="0" w:after="0" w:line="240" w:lineRule="auto"/>
              <w:ind w:left="0" w:firstLine="0"/>
              <w:rPr>
                <w:rFonts w:cstheme="minorHAnsi"/>
              </w:rPr>
            </w:pPr>
            <w:r>
              <w:rPr>
                <w:rFonts w:cstheme="minorHAnsi"/>
              </w:rPr>
              <w:t>$m</w:t>
            </w:r>
          </w:p>
        </w:tc>
        <w:tc>
          <w:tcPr>
            <w:tcW w:w="429" w:type="pct"/>
            <w:tcMar>
              <w:top w:w="0" w:type="dxa"/>
              <w:bottom w:w="0" w:type="dxa"/>
            </w:tcMar>
            <w:vAlign w:val="bottom"/>
          </w:tcPr>
          <w:p w:rsidR="00637005" w:rsidRPr="00FE3F73" w:rsidRDefault="00637005" w:rsidP="005A258E">
            <w:pPr>
              <w:pStyle w:val="TableRowNormal"/>
              <w:spacing w:before="0" w:after="0" w:line="240" w:lineRule="auto"/>
              <w:ind w:left="0" w:firstLine="0"/>
              <w:rPr>
                <w:rFonts w:cstheme="minorHAnsi"/>
              </w:rPr>
            </w:pPr>
            <w:r>
              <w:rPr>
                <w:rFonts w:cstheme="minorHAnsi"/>
              </w:rPr>
              <w:t>$m</w:t>
            </w:r>
          </w:p>
        </w:tc>
        <w:tc>
          <w:tcPr>
            <w:tcW w:w="429" w:type="pct"/>
            <w:tcMar>
              <w:top w:w="0" w:type="dxa"/>
              <w:bottom w:w="0" w:type="dxa"/>
            </w:tcMar>
            <w:vAlign w:val="bottom"/>
          </w:tcPr>
          <w:p w:rsidR="00637005" w:rsidRPr="00FE3F73" w:rsidRDefault="00637005" w:rsidP="005A258E">
            <w:pPr>
              <w:pStyle w:val="TableRowNormal"/>
              <w:spacing w:before="0" w:after="0" w:line="240" w:lineRule="auto"/>
              <w:ind w:left="0" w:firstLine="0"/>
              <w:rPr>
                <w:rFonts w:cstheme="minorHAnsi"/>
              </w:rPr>
            </w:pPr>
            <w:r>
              <w:rPr>
                <w:rFonts w:cstheme="minorHAnsi"/>
              </w:rPr>
              <w:t>$m</w:t>
            </w:r>
          </w:p>
        </w:tc>
        <w:tc>
          <w:tcPr>
            <w:tcW w:w="430" w:type="pct"/>
            <w:tcMar>
              <w:top w:w="0" w:type="dxa"/>
              <w:bottom w:w="0" w:type="dxa"/>
            </w:tcMar>
            <w:vAlign w:val="bottom"/>
          </w:tcPr>
          <w:p w:rsidR="00637005" w:rsidRPr="00FE3F73" w:rsidRDefault="00637005" w:rsidP="005A258E">
            <w:pPr>
              <w:pStyle w:val="TableRowNormal"/>
              <w:spacing w:before="0" w:after="0" w:line="240" w:lineRule="auto"/>
              <w:ind w:left="0" w:firstLine="0"/>
              <w:rPr>
                <w:rFonts w:cstheme="minorHAnsi"/>
              </w:rPr>
            </w:pPr>
            <w:r>
              <w:rPr>
                <w:rFonts w:cstheme="minorHAnsi"/>
              </w:rPr>
              <w:t>$m</w:t>
            </w:r>
          </w:p>
        </w:tc>
      </w:tr>
      <w:tr w:rsidR="005E0FB6" w:rsidRPr="00A6653F" w:rsidTr="005E0FB6">
        <w:tc>
          <w:tcPr>
            <w:tcW w:w="1136" w:type="pct"/>
            <w:vAlign w:val="bottom"/>
          </w:tcPr>
          <w:p w:rsidR="005E0FB6" w:rsidRPr="00FE3F73" w:rsidRDefault="005E0FB6" w:rsidP="005A258E">
            <w:pPr>
              <w:pStyle w:val="CGCTableStub"/>
              <w:tabs>
                <w:tab w:val="left" w:pos="142"/>
                <w:tab w:val="left" w:pos="425"/>
                <w:tab w:val="left" w:pos="709"/>
                <w:tab w:val="left" w:pos="851"/>
              </w:tabs>
              <w:ind w:left="193" w:hanging="142"/>
              <w:rPr>
                <w:rFonts w:cstheme="minorHAnsi"/>
              </w:rPr>
            </w:pPr>
            <w:r>
              <w:rPr>
                <w:rFonts w:cstheme="minorHAnsi"/>
              </w:rPr>
              <w:t>Premiums — APRA</w:t>
            </w:r>
          </w:p>
        </w:tc>
        <w:tc>
          <w:tcPr>
            <w:tcW w:w="429" w:type="pct"/>
            <w:vAlign w:val="bottom"/>
          </w:tcPr>
          <w:p w:rsidR="005E0FB6" w:rsidRPr="005E0FB6" w:rsidRDefault="005E0FB6" w:rsidP="005E0FB6">
            <w:pPr>
              <w:pStyle w:val="TableRowNormal"/>
              <w:ind w:left="0" w:firstLine="0"/>
              <w:rPr>
                <w:rFonts w:cstheme="minorHAnsi"/>
              </w:rPr>
            </w:pPr>
            <w:r w:rsidRPr="005E0FB6">
              <w:rPr>
                <w:rFonts w:cstheme="minorHAnsi"/>
              </w:rPr>
              <w:t>13 996</w:t>
            </w:r>
          </w:p>
        </w:tc>
        <w:tc>
          <w:tcPr>
            <w:tcW w:w="429" w:type="pct"/>
            <w:vAlign w:val="bottom"/>
          </w:tcPr>
          <w:p w:rsidR="005E0FB6" w:rsidRPr="005E0FB6" w:rsidRDefault="005E0FB6" w:rsidP="005E0FB6">
            <w:pPr>
              <w:pStyle w:val="TableRowNormal"/>
              <w:ind w:left="0" w:firstLine="0"/>
              <w:rPr>
                <w:rFonts w:cstheme="minorHAnsi"/>
              </w:rPr>
            </w:pPr>
            <w:r w:rsidRPr="005E0FB6">
              <w:rPr>
                <w:rFonts w:cstheme="minorHAnsi"/>
              </w:rPr>
              <w:t>7 219</w:t>
            </w:r>
          </w:p>
        </w:tc>
        <w:tc>
          <w:tcPr>
            <w:tcW w:w="430" w:type="pct"/>
            <w:vAlign w:val="bottom"/>
          </w:tcPr>
          <w:p w:rsidR="005E0FB6" w:rsidRPr="005E0FB6" w:rsidRDefault="005E0FB6" w:rsidP="005E0FB6">
            <w:pPr>
              <w:pStyle w:val="TableRowNormal"/>
              <w:ind w:left="0" w:firstLine="0"/>
              <w:rPr>
                <w:rFonts w:cstheme="minorHAnsi"/>
              </w:rPr>
            </w:pPr>
            <w:r w:rsidRPr="005E0FB6">
              <w:rPr>
                <w:rFonts w:cstheme="minorHAnsi"/>
              </w:rPr>
              <w:t>7 262</w:t>
            </w:r>
          </w:p>
        </w:tc>
        <w:tc>
          <w:tcPr>
            <w:tcW w:w="429" w:type="pct"/>
            <w:vAlign w:val="bottom"/>
          </w:tcPr>
          <w:p w:rsidR="005E0FB6" w:rsidRPr="005E0FB6" w:rsidRDefault="005E0FB6" w:rsidP="005E0FB6">
            <w:pPr>
              <w:pStyle w:val="TableRowNormal"/>
              <w:ind w:left="0" w:firstLine="0"/>
              <w:rPr>
                <w:rFonts w:cstheme="minorHAnsi"/>
              </w:rPr>
            </w:pPr>
            <w:r w:rsidRPr="005E0FB6">
              <w:rPr>
                <w:rFonts w:cstheme="minorHAnsi"/>
              </w:rPr>
              <w:t>4 081</w:t>
            </w:r>
          </w:p>
        </w:tc>
        <w:tc>
          <w:tcPr>
            <w:tcW w:w="429" w:type="pct"/>
            <w:vAlign w:val="bottom"/>
          </w:tcPr>
          <w:p w:rsidR="005E0FB6" w:rsidRPr="005E0FB6" w:rsidRDefault="005E0FB6" w:rsidP="005E0FB6">
            <w:pPr>
              <w:pStyle w:val="TableRowNormal"/>
              <w:ind w:left="0" w:firstLine="0"/>
              <w:rPr>
                <w:rFonts w:cstheme="minorHAnsi"/>
              </w:rPr>
            </w:pPr>
            <w:r w:rsidRPr="005E0FB6">
              <w:rPr>
                <w:rFonts w:cstheme="minorHAnsi"/>
              </w:rPr>
              <w:t>2 888</w:t>
            </w:r>
          </w:p>
        </w:tc>
        <w:tc>
          <w:tcPr>
            <w:tcW w:w="430" w:type="pct"/>
            <w:vAlign w:val="bottom"/>
          </w:tcPr>
          <w:p w:rsidR="005E0FB6" w:rsidRPr="005E0FB6" w:rsidRDefault="005E0FB6" w:rsidP="005E0FB6">
            <w:pPr>
              <w:pStyle w:val="TableRowNormal"/>
              <w:ind w:left="0" w:firstLine="0"/>
              <w:rPr>
                <w:rFonts w:cstheme="minorHAnsi"/>
              </w:rPr>
            </w:pPr>
            <w:r w:rsidRPr="005E0FB6">
              <w:rPr>
                <w:rFonts w:cstheme="minorHAnsi"/>
              </w:rPr>
              <w:t xml:space="preserve"> 702</w:t>
            </w:r>
          </w:p>
        </w:tc>
        <w:tc>
          <w:tcPr>
            <w:tcW w:w="429" w:type="pct"/>
            <w:vAlign w:val="bottom"/>
          </w:tcPr>
          <w:p w:rsidR="005E0FB6" w:rsidRPr="005E0FB6" w:rsidRDefault="005E0FB6" w:rsidP="005E0FB6">
            <w:pPr>
              <w:pStyle w:val="TableRowNormal"/>
              <w:ind w:left="0" w:firstLine="0"/>
              <w:rPr>
                <w:rFonts w:cstheme="minorHAnsi"/>
              </w:rPr>
            </w:pPr>
            <w:r w:rsidRPr="005E0FB6">
              <w:rPr>
                <w:rFonts w:cstheme="minorHAnsi"/>
              </w:rPr>
              <w:t xml:space="preserve"> 776</w:t>
            </w:r>
          </w:p>
        </w:tc>
        <w:tc>
          <w:tcPr>
            <w:tcW w:w="429" w:type="pct"/>
            <w:vAlign w:val="bottom"/>
          </w:tcPr>
          <w:p w:rsidR="005E0FB6" w:rsidRPr="005E0FB6" w:rsidRDefault="005E0FB6" w:rsidP="005E0FB6">
            <w:pPr>
              <w:pStyle w:val="TableRowNormal"/>
              <w:ind w:left="0" w:firstLine="0"/>
              <w:rPr>
                <w:rFonts w:cstheme="minorHAnsi"/>
              </w:rPr>
            </w:pPr>
            <w:r w:rsidRPr="005E0FB6">
              <w:rPr>
                <w:rFonts w:cstheme="minorHAnsi"/>
              </w:rPr>
              <w:t xml:space="preserve"> 471</w:t>
            </w:r>
          </w:p>
        </w:tc>
        <w:tc>
          <w:tcPr>
            <w:tcW w:w="430" w:type="pct"/>
            <w:vAlign w:val="bottom"/>
          </w:tcPr>
          <w:p w:rsidR="005E0FB6" w:rsidRPr="005E0FB6" w:rsidRDefault="005E0FB6" w:rsidP="005E0FB6">
            <w:pPr>
              <w:pStyle w:val="TableRowNormal"/>
              <w:ind w:left="0" w:firstLine="0"/>
              <w:rPr>
                <w:rFonts w:cstheme="minorHAnsi"/>
              </w:rPr>
            </w:pPr>
            <w:r w:rsidRPr="005E0FB6">
              <w:rPr>
                <w:rFonts w:cstheme="minorHAnsi"/>
              </w:rPr>
              <w:t>37 395</w:t>
            </w:r>
          </w:p>
        </w:tc>
      </w:tr>
      <w:tr w:rsidR="005E0FB6" w:rsidRPr="00A6653F" w:rsidTr="00213DD4">
        <w:tc>
          <w:tcPr>
            <w:tcW w:w="1136" w:type="pct"/>
            <w:vAlign w:val="bottom"/>
          </w:tcPr>
          <w:p w:rsidR="005E0FB6" w:rsidRDefault="005E0FB6" w:rsidP="005A258E">
            <w:pPr>
              <w:pStyle w:val="CGCTableStub"/>
              <w:tabs>
                <w:tab w:val="left" w:pos="142"/>
                <w:tab w:val="left" w:pos="425"/>
                <w:tab w:val="left" w:pos="709"/>
                <w:tab w:val="left" w:pos="851"/>
              </w:tabs>
              <w:ind w:left="193" w:hanging="142"/>
              <w:rPr>
                <w:rFonts w:cstheme="minorHAnsi"/>
              </w:rPr>
            </w:pPr>
            <w:r>
              <w:rPr>
                <w:rFonts w:cstheme="minorHAnsi"/>
              </w:rPr>
              <w:t>Premiums — public insurers</w:t>
            </w:r>
          </w:p>
        </w:tc>
        <w:tc>
          <w:tcPr>
            <w:tcW w:w="429" w:type="pct"/>
            <w:vAlign w:val="bottom"/>
          </w:tcPr>
          <w:p w:rsidR="005E0FB6" w:rsidRPr="005E0FB6" w:rsidRDefault="005E0FB6" w:rsidP="005E0FB6">
            <w:pPr>
              <w:pStyle w:val="TableRowNormal"/>
              <w:ind w:left="0" w:firstLine="0"/>
              <w:rPr>
                <w:rFonts w:cstheme="minorHAnsi"/>
              </w:rPr>
            </w:pPr>
            <w:r w:rsidRPr="005E0FB6">
              <w:rPr>
                <w:rFonts w:cstheme="minorHAnsi"/>
              </w:rPr>
              <w:t xml:space="preserve"> 61</w:t>
            </w:r>
          </w:p>
        </w:tc>
        <w:tc>
          <w:tcPr>
            <w:tcW w:w="429" w:type="pct"/>
            <w:vAlign w:val="bottom"/>
          </w:tcPr>
          <w:p w:rsidR="005E0FB6" w:rsidRPr="005E0FB6" w:rsidRDefault="005E0FB6" w:rsidP="005E0FB6">
            <w:pPr>
              <w:pStyle w:val="TableRowNormal"/>
              <w:ind w:left="0" w:firstLine="0"/>
              <w:rPr>
                <w:rFonts w:cstheme="minorHAnsi"/>
              </w:rPr>
            </w:pPr>
            <w:r w:rsidRPr="005E0FB6">
              <w:rPr>
                <w:rFonts w:cstheme="minorHAnsi"/>
              </w:rPr>
              <w:t>1 794</w:t>
            </w:r>
          </w:p>
        </w:tc>
        <w:tc>
          <w:tcPr>
            <w:tcW w:w="430" w:type="pct"/>
            <w:vAlign w:val="bottom"/>
          </w:tcPr>
          <w:p w:rsidR="005E0FB6" w:rsidRPr="005E0FB6" w:rsidRDefault="005E0FB6" w:rsidP="005E0FB6">
            <w:pPr>
              <w:pStyle w:val="TableRowNormal"/>
              <w:ind w:left="0" w:firstLine="0"/>
              <w:rPr>
                <w:rFonts w:cstheme="minorHAnsi"/>
              </w:rPr>
            </w:pPr>
            <w:r w:rsidRPr="005E0FB6">
              <w:rPr>
                <w:rFonts w:cstheme="minorHAnsi"/>
              </w:rPr>
              <w:t xml:space="preserve"> 84</w:t>
            </w:r>
          </w:p>
        </w:tc>
        <w:tc>
          <w:tcPr>
            <w:tcW w:w="429" w:type="pct"/>
            <w:vAlign w:val="bottom"/>
          </w:tcPr>
          <w:p w:rsidR="005E0FB6" w:rsidRPr="005E0FB6" w:rsidRDefault="005E0FB6" w:rsidP="005E0FB6">
            <w:pPr>
              <w:pStyle w:val="TableRowNormal"/>
              <w:ind w:left="0" w:firstLine="0"/>
              <w:rPr>
                <w:rFonts w:cstheme="minorHAnsi"/>
              </w:rPr>
            </w:pPr>
            <w:r w:rsidRPr="005E0FB6">
              <w:rPr>
                <w:rFonts w:cstheme="minorHAnsi"/>
              </w:rPr>
              <w:t xml:space="preserve"> 687</w:t>
            </w:r>
          </w:p>
        </w:tc>
        <w:tc>
          <w:tcPr>
            <w:tcW w:w="429" w:type="pct"/>
            <w:vAlign w:val="bottom"/>
          </w:tcPr>
          <w:p w:rsidR="005E0FB6" w:rsidRPr="005E0FB6" w:rsidRDefault="005E0FB6" w:rsidP="005E0FB6">
            <w:pPr>
              <w:pStyle w:val="TableRowNormal"/>
              <w:ind w:left="0" w:firstLine="0"/>
              <w:rPr>
                <w:rFonts w:cstheme="minorHAnsi"/>
              </w:rPr>
            </w:pPr>
            <w:r w:rsidRPr="005E0FB6">
              <w:rPr>
                <w:rFonts w:cstheme="minorHAnsi"/>
              </w:rPr>
              <w:t xml:space="preserve"> 0</w:t>
            </w:r>
          </w:p>
        </w:tc>
        <w:tc>
          <w:tcPr>
            <w:tcW w:w="430" w:type="pct"/>
            <w:vAlign w:val="bottom"/>
          </w:tcPr>
          <w:p w:rsidR="005E0FB6" w:rsidRPr="005E0FB6" w:rsidRDefault="005E0FB6" w:rsidP="005E0FB6">
            <w:pPr>
              <w:pStyle w:val="TableRowNormal"/>
              <w:ind w:left="0" w:firstLine="0"/>
              <w:rPr>
                <w:rFonts w:cstheme="minorHAnsi"/>
              </w:rPr>
            </w:pPr>
            <w:r w:rsidRPr="005E0FB6">
              <w:rPr>
                <w:rFonts w:cstheme="minorHAnsi"/>
              </w:rPr>
              <w:t xml:space="preserve"> 139</w:t>
            </w:r>
          </w:p>
        </w:tc>
        <w:tc>
          <w:tcPr>
            <w:tcW w:w="429" w:type="pct"/>
            <w:vAlign w:val="bottom"/>
          </w:tcPr>
          <w:p w:rsidR="005E0FB6" w:rsidRPr="005E0FB6" w:rsidRDefault="005E0FB6" w:rsidP="005E0FB6">
            <w:pPr>
              <w:pStyle w:val="TableRowNormal"/>
              <w:ind w:left="0" w:firstLine="0"/>
              <w:rPr>
                <w:rFonts w:cstheme="minorHAnsi"/>
              </w:rPr>
            </w:pPr>
            <w:r w:rsidRPr="005E0FB6">
              <w:rPr>
                <w:rFonts w:cstheme="minorHAnsi"/>
              </w:rPr>
              <w:t xml:space="preserve"> 0</w:t>
            </w:r>
          </w:p>
        </w:tc>
        <w:tc>
          <w:tcPr>
            <w:tcW w:w="429" w:type="pct"/>
            <w:vAlign w:val="bottom"/>
          </w:tcPr>
          <w:p w:rsidR="005E0FB6" w:rsidRPr="005E0FB6" w:rsidRDefault="005E0FB6" w:rsidP="005E0FB6">
            <w:pPr>
              <w:pStyle w:val="TableRowNormal"/>
              <w:ind w:left="0" w:firstLine="0"/>
              <w:rPr>
                <w:rFonts w:cstheme="minorHAnsi"/>
              </w:rPr>
            </w:pPr>
            <w:r w:rsidRPr="005E0FB6">
              <w:rPr>
                <w:rFonts w:cstheme="minorHAnsi"/>
              </w:rPr>
              <w:t xml:space="preserve"> 85</w:t>
            </w:r>
          </w:p>
        </w:tc>
        <w:tc>
          <w:tcPr>
            <w:tcW w:w="430" w:type="pct"/>
            <w:vAlign w:val="bottom"/>
          </w:tcPr>
          <w:p w:rsidR="005E0FB6" w:rsidRPr="005E0FB6" w:rsidRDefault="005E0FB6" w:rsidP="005E0FB6">
            <w:pPr>
              <w:pStyle w:val="TableRowNormal"/>
              <w:ind w:left="0" w:firstLine="0"/>
              <w:rPr>
                <w:rFonts w:cstheme="minorHAnsi"/>
              </w:rPr>
            </w:pPr>
            <w:r w:rsidRPr="005E0FB6">
              <w:rPr>
                <w:rFonts w:cstheme="minorHAnsi"/>
              </w:rPr>
              <w:t>2 849</w:t>
            </w:r>
          </w:p>
        </w:tc>
      </w:tr>
      <w:tr w:rsidR="005E0FB6" w:rsidRPr="00A6653F" w:rsidTr="00213DD4">
        <w:tc>
          <w:tcPr>
            <w:tcW w:w="1136" w:type="pct"/>
            <w:vAlign w:val="bottom"/>
          </w:tcPr>
          <w:p w:rsidR="005E0FB6" w:rsidRPr="00FE3F73" w:rsidRDefault="005E0FB6" w:rsidP="004C1CD3">
            <w:pPr>
              <w:pStyle w:val="CGCTableStub"/>
              <w:tabs>
                <w:tab w:val="left" w:pos="142"/>
                <w:tab w:val="left" w:pos="425"/>
                <w:tab w:val="left" w:pos="709"/>
                <w:tab w:val="left" w:pos="851"/>
              </w:tabs>
              <w:ind w:left="193" w:hanging="142"/>
              <w:rPr>
                <w:rFonts w:cstheme="minorHAnsi"/>
              </w:rPr>
            </w:pPr>
            <w:r>
              <w:rPr>
                <w:rFonts w:cstheme="minorHAnsi"/>
              </w:rPr>
              <w:t>Less workers’ compensation premiums (privately underwritten)</w:t>
            </w:r>
          </w:p>
        </w:tc>
        <w:tc>
          <w:tcPr>
            <w:tcW w:w="429" w:type="pct"/>
            <w:vAlign w:val="bottom"/>
          </w:tcPr>
          <w:p w:rsidR="005E0FB6" w:rsidRPr="005E0FB6" w:rsidRDefault="005E0FB6" w:rsidP="005E0FB6">
            <w:pPr>
              <w:pStyle w:val="TableRowNormal"/>
              <w:ind w:left="0" w:firstLine="0"/>
              <w:rPr>
                <w:rFonts w:cstheme="minorHAnsi"/>
              </w:rPr>
            </w:pPr>
            <w:r w:rsidRPr="005E0FB6">
              <w:rPr>
                <w:rFonts w:cstheme="minorHAnsi"/>
              </w:rPr>
              <w:t xml:space="preserve"> 179</w:t>
            </w:r>
          </w:p>
        </w:tc>
        <w:tc>
          <w:tcPr>
            <w:tcW w:w="429" w:type="pct"/>
            <w:vAlign w:val="bottom"/>
          </w:tcPr>
          <w:p w:rsidR="005E0FB6" w:rsidRPr="005E0FB6" w:rsidRDefault="005E0FB6" w:rsidP="005E0FB6">
            <w:pPr>
              <w:pStyle w:val="TableRowNormal"/>
              <w:ind w:left="0" w:firstLine="0"/>
              <w:rPr>
                <w:rFonts w:cstheme="minorHAnsi"/>
              </w:rPr>
            </w:pPr>
            <w:r w:rsidRPr="005E0FB6">
              <w:rPr>
                <w:rFonts w:cstheme="minorHAnsi"/>
              </w:rPr>
              <w:t xml:space="preserve"> 11</w:t>
            </w:r>
          </w:p>
        </w:tc>
        <w:tc>
          <w:tcPr>
            <w:tcW w:w="430" w:type="pct"/>
            <w:vAlign w:val="bottom"/>
          </w:tcPr>
          <w:p w:rsidR="005E0FB6" w:rsidRPr="005E0FB6" w:rsidRDefault="005E0FB6" w:rsidP="005E0FB6">
            <w:pPr>
              <w:pStyle w:val="TableRowNormal"/>
              <w:ind w:left="0" w:firstLine="0"/>
              <w:rPr>
                <w:rFonts w:cstheme="minorHAnsi"/>
              </w:rPr>
            </w:pPr>
            <w:r w:rsidRPr="005E0FB6">
              <w:rPr>
                <w:rFonts w:cstheme="minorHAnsi"/>
              </w:rPr>
              <w:t xml:space="preserve"> 3</w:t>
            </w:r>
          </w:p>
        </w:tc>
        <w:tc>
          <w:tcPr>
            <w:tcW w:w="429" w:type="pct"/>
            <w:vAlign w:val="bottom"/>
          </w:tcPr>
          <w:p w:rsidR="005E0FB6" w:rsidRPr="005E0FB6" w:rsidRDefault="005E0FB6" w:rsidP="005E0FB6">
            <w:pPr>
              <w:pStyle w:val="TableRowNormal"/>
              <w:ind w:left="0" w:firstLine="0"/>
              <w:rPr>
                <w:rFonts w:cstheme="minorHAnsi"/>
              </w:rPr>
            </w:pPr>
            <w:r w:rsidRPr="005E0FB6">
              <w:rPr>
                <w:rFonts w:cstheme="minorHAnsi"/>
              </w:rPr>
              <w:t xml:space="preserve"> 873</w:t>
            </w:r>
          </w:p>
        </w:tc>
        <w:tc>
          <w:tcPr>
            <w:tcW w:w="429" w:type="pct"/>
            <w:vAlign w:val="bottom"/>
          </w:tcPr>
          <w:p w:rsidR="005E0FB6" w:rsidRPr="005E0FB6" w:rsidRDefault="005E0FB6" w:rsidP="005E0FB6">
            <w:pPr>
              <w:pStyle w:val="TableRowNormal"/>
              <w:ind w:left="0" w:firstLine="0"/>
              <w:rPr>
                <w:rFonts w:cstheme="minorHAnsi"/>
              </w:rPr>
            </w:pPr>
            <w:r w:rsidRPr="005E0FB6">
              <w:rPr>
                <w:rFonts w:cstheme="minorHAnsi"/>
              </w:rPr>
              <w:t xml:space="preserve"> 12</w:t>
            </w:r>
          </w:p>
        </w:tc>
        <w:tc>
          <w:tcPr>
            <w:tcW w:w="430" w:type="pct"/>
            <w:vAlign w:val="bottom"/>
          </w:tcPr>
          <w:p w:rsidR="005E0FB6" w:rsidRPr="005E0FB6" w:rsidRDefault="005E0FB6" w:rsidP="005E0FB6">
            <w:pPr>
              <w:pStyle w:val="TableRowNormal"/>
              <w:ind w:left="0" w:firstLine="0"/>
              <w:rPr>
                <w:rFonts w:cstheme="minorHAnsi"/>
              </w:rPr>
            </w:pPr>
            <w:r w:rsidRPr="005E0FB6">
              <w:rPr>
                <w:rFonts w:cstheme="minorHAnsi"/>
              </w:rPr>
              <w:t xml:space="preserve"> 158</w:t>
            </w:r>
          </w:p>
        </w:tc>
        <w:tc>
          <w:tcPr>
            <w:tcW w:w="429" w:type="pct"/>
            <w:vAlign w:val="bottom"/>
          </w:tcPr>
          <w:p w:rsidR="005E0FB6" w:rsidRPr="005E0FB6" w:rsidRDefault="005E0FB6" w:rsidP="005E0FB6">
            <w:pPr>
              <w:pStyle w:val="TableRowNormal"/>
              <w:ind w:left="0" w:firstLine="0"/>
              <w:rPr>
                <w:rFonts w:cstheme="minorHAnsi"/>
              </w:rPr>
            </w:pPr>
            <w:r w:rsidRPr="005E0FB6">
              <w:rPr>
                <w:rFonts w:cstheme="minorHAnsi"/>
              </w:rPr>
              <w:t xml:space="preserve"> 171</w:t>
            </w:r>
          </w:p>
        </w:tc>
        <w:tc>
          <w:tcPr>
            <w:tcW w:w="429" w:type="pct"/>
            <w:vAlign w:val="bottom"/>
          </w:tcPr>
          <w:p w:rsidR="005E0FB6" w:rsidRPr="005E0FB6" w:rsidRDefault="005E0FB6" w:rsidP="005E0FB6">
            <w:pPr>
              <w:pStyle w:val="TableRowNormal"/>
              <w:ind w:left="0" w:firstLine="0"/>
              <w:rPr>
                <w:rFonts w:cstheme="minorHAnsi"/>
              </w:rPr>
            </w:pPr>
            <w:r w:rsidRPr="005E0FB6">
              <w:rPr>
                <w:rFonts w:cstheme="minorHAnsi"/>
              </w:rPr>
              <w:t xml:space="preserve"> 129</w:t>
            </w:r>
          </w:p>
        </w:tc>
        <w:tc>
          <w:tcPr>
            <w:tcW w:w="430" w:type="pct"/>
            <w:vAlign w:val="bottom"/>
          </w:tcPr>
          <w:p w:rsidR="005E0FB6" w:rsidRPr="005E0FB6" w:rsidRDefault="005E0FB6" w:rsidP="005E0FB6">
            <w:pPr>
              <w:pStyle w:val="TableRowNormal"/>
              <w:ind w:left="0" w:firstLine="0"/>
              <w:rPr>
                <w:rFonts w:cstheme="minorHAnsi"/>
              </w:rPr>
            </w:pPr>
            <w:r w:rsidRPr="005E0FB6">
              <w:rPr>
                <w:rFonts w:cstheme="minorHAnsi"/>
              </w:rPr>
              <w:t>1 535</w:t>
            </w:r>
          </w:p>
        </w:tc>
      </w:tr>
      <w:tr w:rsidR="005E0FB6" w:rsidRPr="00A6653F" w:rsidTr="00213DD4">
        <w:tc>
          <w:tcPr>
            <w:tcW w:w="1136" w:type="pct"/>
            <w:vAlign w:val="bottom"/>
          </w:tcPr>
          <w:p w:rsidR="005E0FB6" w:rsidRPr="00FE3F73" w:rsidRDefault="005E0FB6" w:rsidP="005A258E">
            <w:pPr>
              <w:pStyle w:val="CGCTableStub"/>
              <w:tabs>
                <w:tab w:val="left" w:pos="142"/>
                <w:tab w:val="left" w:pos="425"/>
                <w:tab w:val="left" w:pos="709"/>
                <w:tab w:val="left" w:pos="851"/>
              </w:tabs>
              <w:ind w:left="193" w:hanging="142"/>
              <w:rPr>
                <w:rFonts w:cstheme="minorHAnsi"/>
              </w:rPr>
            </w:pPr>
            <w:r>
              <w:rPr>
                <w:rFonts w:cstheme="minorHAnsi"/>
              </w:rPr>
              <w:t xml:space="preserve">Less insurance based </w:t>
            </w:r>
            <w:proofErr w:type="spellStart"/>
            <w:r>
              <w:rPr>
                <w:rFonts w:cstheme="minorHAnsi"/>
              </w:rPr>
              <w:t>FESL</w:t>
            </w:r>
            <w:proofErr w:type="spellEnd"/>
          </w:p>
        </w:tc>
        <w:tc>
          <w:tcPr>
            <w:tcW w:w="429" w:type="pct"/>
            <w:tcBorders>
              <w:bottom w:val="single" w:sz="4" w:space="0" w:color="auto"/>
            </w:tcBorders>
            <w:vAlign w:val="bottom"/>
          </w:tcPr>
          <w:p w:rsidR="005E0FB6" w:rsidRPr="005E0FB6" w:rsidRDefault="005E0FB6" w:rsidP="005E0FB6">
            <w:pPr>
              <w:pStyle w:val="TableRowNormal"/>
              <w:ind w:left="0" w:firstLine="0"/>
              <w:rPr>
                <w:rFonts w:cstheme="minorHAnsi"/>
              </w:rPr>
            </w:pPr>
            <w:r w:rsidRPr="005E0FB6">
              <w:rPr>
                <w:rFonts w:cstheme="minorHAnsi"/>
              </w:rPr>
              <w:t xml:space="preserve"> 785</w:t>
            </w:r>
          </w:p>
        </w:tc>
        <w:tc>
          <w:tcPr>
            <w:tcW w:w="429" w:type="pct"/>
            <w:tcBorders>
              <w:bottom w:val="single" w:sz="4" w:space="0" w:color="auto"/>
            </w:tcBorders>
            <w:vAlign w:val="bottom"/>
          </w:tcPr>
          <w:p w:rsidR="005E0FB6" w:rsidRPr="005E0FB6" w:rsidRDefault="005E0FB6" w:rsidP="005E0FB6">
            <w:pPr>
              <w:pStyle w:val="TableRowNormal"/>
              <w:ind w:left="0" w:firstLine="0"/>
              <w:rPr>
                <w:rFonts w:cstheme="minorHAnsi"/>
              </w:rPr>
            </w:pPr>
            <w:r w:rsidRPr="005E0FB6">
              <w:rPr>
                <w:rFonts w:cstheme="minorHAnsi"/>
              </w:rPr>
              <w:t xml:space="preserve"> 0</w:t>
            </w:r>
          </w:p>
        </w:tc>
        <w:tc>
          <w:tcPr>
            <w:tcW w:w="430" w:type="pct"/>
            <w:tcBorders>
              <w:bottom w:val="single" w:sz="4" w:space="0" w:color="auto"/>
            </w:tcBorders>
            <w:vAlign w:val="bottom"/>
          </w:tcPr>
          <w:p w:rsidR="005E0FB6" w:rsidRPr="005E0FB6" w:rsidRDefault="005E0FB6" w:rsidP="005E0FB6">
            <w:pPr>
              <w:pStyle w:val="TableRowNormal"/>
              <w:ind w:left="0" w:firstLine="0"/>
              <w:rPr>
                <w:rFonts w:cstheme="minorHAnsi"/>
              </w:rPr>
            </w:pPr>
            <w:r w:rsidRPr="005E0FB6">
              <w:rPr>
                <w:rFonts w:cstheme="minorHAnsi"/>
              </w:rPr>
              <w:t xml:space="preserve"> 0</w:t>
            </w:r>
          </w:p>
        </w:tc>
        <w:tc>
          <w:tcPr>
            <w:tcW w:w="429" w:type="pct"/>
            <w:tcBorders>
              <w:bottom w:val="single" w:sz="4" w:space="0" w:color="auto"/>
            </w:tcBorders>
            <w:vAlign w:val="bottom"/>
          </w:tcPr>
          <w:p w:rsidR="005E0FB6" w:rsidRPr="005E0FB6" w:rsidRDefault="005E0FB6" w:rsidP="005E0FB6">
            <w:pPr>
              <w:pStyle w:val="TableRowNormal"/>
              <w:ind w:left="0" w:firstLine="0"/>
              <w:rPr>
                <w:rFonts w:cstheme="minorHAnsi"/>
              </w:rPr>
            </w:pPr>
            <w:r w:rsidRPr="005E0FB6">
              <w:rPr>
                <w:rFonts w:cstheme="minorHAnsi"/>
              </w:rPr>
              <w:t xml:space="preserve"> 0</w:t>
            </w:r>
          </w:p>
        </w:tc>
        <w:tc>
          <w:tcPr>
            <w:tcW w:w="429" w:type="pct"/>
            <w:tcBorders>
              <w:bottom w:val="single" w:sz="4" w:space="0" w:color="auto"/>
            </w:tcBorders>
            <w:vAlign w:val="bottom"/>
          </w:tcPr>
          <w:p w:rsidR="005E0FB6" w:rsidRPr="005E0FB6" w:rsidRDefault="005E0FB6" w:rsidP="005E0FB6">
            <w:pPr>
              <w:pStyle w:val="TableRowNormal"/>
              <w:ind w:left="0" w:firstLine="0"/>
              <w:rPr>
                <w:rFonts w:cstheme="minorHAnsi"/>
              </w:rPr>
            </w:pPr>
            <w:r w:rsidRPr="005E0FB6">
              <w:rPr>
                <w:rFonts w:cstheme="minorHAnsi"/>
              </w:rPr>
              <w:t xml:space="preserve"> 0</w:t>
            </w:r>
          </w:p>
        </w:tc>
        <w:tc>
          <w:tcPr>
            <w:tcW w:w="430" w:type="pct"/>
            <w:tcBorders>
              <w:bottom w:val="single" w:sz="4" w:space="0" w:color="auto"/>
            </w:tcBorders>
            <w:vAlign w:val="bottom"/>
          </w:tcPr>
          <w:p w:rsidR="005E0FB6" w:rsidRPr="005E0FB6" w:rsidRDefault="005E0FB6" w:rsidP="005E0FB6">
            <w:pPr>
              <w:pStyle w:val="TableRowNormal"/>
              <w:ind w:left="0" w:firstLine="0"/>
              <w:rPr>
                <w:rFonts w:cstheme="minorHAnsi"/>
              </w:rPr>
            </w:pPr>
            <w:r w:rsidRPr="005E0FB6">
              <w:rPr>
                <w:rFonts w:cstheme="minorHAnsi"/>
              </w:rPr>
              <w:t xml:space="preserve"> 17</w:t>
            </w:r>
          </w:p>
        </w:tc>
        <w:tc>
          <w:tcPr>
            <w:tcW w:w="429" w:type="pct"/>
            <w:tcBorders>
              <w:bottom w:val="single" w:sz="4" w:space="0" w:color="auto"/>
            </w:tcBorders>
            <w:vAlign w:val="bottom"/>
          </w:tcPr>
          <w:p w:rsidR="005E0FB6" w:rsidRPr="005E0FB6" w:rsidRDefault="005E0FB6" w:rsidP="005E0FB6">
            <w:pPr>
              <w:pStyle w:val="TableRowNormal"/>
              <w:ind w:left="0" w:firstLine="0"/>
              <w:rPr>
                <w:rFonts w:cstheme="minorHAnsi"/>
              </w:rPr>
            </w:pPr>
            <w:r w:rsidRPr="005E0FB6">
              <w:rPr>
                <w:rFonts w:cstheme="minorHAnsi"/>
              </w:rPr>
              <w:t xml:space="preserve"> 0</w:t>
            </w:r>
          </w:p>
        </w:tc>
        <w:tc>
          <w:tcPr>
            <w:tcW w:w="429" w:type="pct"/>
            <w:tcBorders>
              <w:bottom w:val="single" w:sz="4" w:space="0" w:color="auto"/>
            </w:tcBorders>
            <w:vAlign w:val="bottom"/>
          </w:tcPr>
          <w:p w:rsidR="005E0FB6" w:rsidRPr="005E0FB6" w:rsidRDefault="005E0FB6" w:rsidP="005E0FB6">
            <w:pPr>
              <w:pStyle w:val="TableRowNormal"/>
              <w:ind w:left="0" w:firstLine="0"/>
              <w:rPr>
                <w:rFonts w:cstheme="minorHAnsi"/>
              </w:rPr>
            </w:pPr>
            <w:r w:rsidRPr="005E0FB6">
              <w:rPr>
                <w:rFonts w:cstheme="minorHAnsi"/>
              </w:rPr>
              <w:t xml:space="preserve"> 0</w:t>
            </w:r>
          </w:p>
        </w:tc>
        <w:tc>
          <w:tcPr>
            <w:tcW w:w="430" w:type="pct"/>
            <w:tcBorders>
              <w:bottom w:val="single" w:sz="4" w:space="0" w:color="auto"/>
            </w:tcBorders>
            <w:vAlign w:val="bottom"/>
          </w:tcPr>
          <w:p w:rsidR="005E0FB6" w:rsidRPr="005E0FB6" w:rsidRDefault="005E0FB6" w:rsidP="005E0FB6">
            <w:pPr>
              <w:pStyle w:val="TableRowNormal"/>
              <w:ind w:left="0" w:firstLine="0"/>
              <w:rPr>
                <w:rFonts w:cstheme="minorHAnsi"/>
              </w:rPr>
            </w:pPr>
            <w:r w:rsidRPr="005E0FB6">
              <w:rPr>
                <w:rFonts w:cstheme="minorHAnsi"/>
              </w:rPr>
              <w:t xml:space="preserve"> 802</w:t>
            </w:r>
          </w:p>
        </w:tc>
      </w:tr>
      <w:tr w:rsidR="005E0FB6" w:rsidRPr="00A6653F" w:rsidTr="005E0FB6">
        <w:tc>
          <w:tcPr>
            <w:tcW w:w="1136" w:type="pct"/>
            <w:tcBorders>
              <w:bottom w:val="single" w:sz="4" w:space="0" w:color="auto"/>
            </w:tcBorders>
            <w:vAlign w:val="bottom"/>
          </w:tcPr>
          <w:p w:rsidR="005E0FB6" w:rsidRDefault="005E0FB6" w:rsidP="005A258E">
            <w:pPr>
              <w:pStyle w:val="CGCTableStub"/>
              <w:tabs>
                <w:tab w:val="left" w:pos="142"/>
                <w:tab w:val="left" w:pos="425"/>
                <w:tab w:val="left" w:pos="709"/>
                <w:tab w:val="left" w:pos="851"/>
              </w:tabs>
              <w:ind w:left="193" w:hanging="142"/>
              <w:rPr>
                <w:rFonts w:cstheme="minorHAnsi"/>
              </w:rPr>
            </w:pPr>
            <w:r>
              <w:rPr>
                <w:rFonts w:cstheme="minorHAnsi"/>
              </w:rPr>
              <w:t>Revenue base</w:t>
            </w:r>
          </w:p>
        </w:tc>
        <w:tc>
          <w:tcPr>
            <w:tcW w:w="429" w:type="pct"/>
            <w:tcBorders>
              <w:top w:val="single" w:sz="4" w:space="0" w:color="auto"/>
              <w:bottom w:val="single" w:sz="4" w:space="0" w:color="auto"/>
            </w:tcBorders>
            <w:vAlign w:val="bottom"/>
          </w:tcPr>
          <w:p w:rsidR="005E0FB6" w:rsidRPr="005E0FB6" w:rsidRDefault="005E0FB6" w:rsidP="005E0FB6">
            <w:pPr>
              <w:pStyle w:val="TableRowNormal"/>
              <w:ind w:left="0" w:firstLine="0"/>
              <w:rPr>
                <w:rFonts w:cstheme="minorHAnsi"/>
              </w:rPr>
            </w:pPr>
            <w:r w:rsidRPr="005E0FB6">
              <w:rPr>
                <w:rFonts w:cstheme="minorHAnsi"/>
              </w:rPr>
              <w:t>13 092</w:t>
            </w:r>
          </w:p>
        </w:tc>
        <w:tc>
          <w:tcPr>
            <w:tcW w:w="429" w:type="pct"/>
            <w:tcBorders>
              <w:top w:val="single" w:sz="4" w:space="0" w:color="auto"/>
              <w:bottom w:val="single" w:sz="4" w:space="0" w:color="auto"/>
            </w:tcBorders>
            <w:vAlign w:val="bottom"/>
          </w:tcPr>
          <w:p w:rsidR="005E0FB6" w:rsidRPr="005E0FB6" w:rsidRDefault="005E0FB6" w:rsidP="005E0FB6">
            <w:pPr>
              <w:pStyle w:val="TableRowNormal"/>
              <w:ind w:left="0" w:firstLine="0"/>
              <w:rPr>
                <w:rFonts w:cstheme="minorHAnsi"/>
              </w:rPr>
            </w:pPr>
            <w:r w:rsidRPr="005E0FB6">
              <w:rPr>
                <w:rFonts w:cstheme="minorHAnsi"/>
              </w:rPr>
              <w:t>9 002</w:t>
            </w:r>
          </w:p>
        </w:tc>
        <w:tc>
          <w:tcPr>
            <w:tcW w:w="430" w:type="pct"/>
            <w:tcBorders>
              <w:top w:val="single" w:sz="4" w:space="0" w:color="auto"/>
              <w:bottom w:val="single" w:sz="4" w:space="0" w:color="auto"/>
            </w:tcBorders>
            <w:vAlign w:val="bottom"/>
          </w:tcPr>
          <w:p w:rsidR="005E0FB6" w:rsidRPr="005E0FB6" w:rsidRDefault="005E0FB6" w:rsidP="005E0FB6">
            <w:pPr>
              <w:pStyle w:val="TableRowNormal"/>
              <w:ind w:left="0" w:firstLine="0"/>
              <w:rPr>
                <w:rFonts w:cstheme="minorHAnsi"/>
              </w:rPr>
            </w:pPr>
            <w:r w:rsidRPr="005E0FB6">
              <w:rPr>
                <w:rFonts w:cstheme="minorHAnsi"/>
              </w:rPr>
              <w:t>7 343</w:t>
            </w:r>
          </w:p>
        </w:tc>
        <w:tc>
          <w:tcPr>
            <w:tcW w:w="429" w:type="pct"/>
            <w:tcBorders>
              <w:top w:val="single" w:sz="4" w:space="0" w:color="auto"/>
              <w:bottom w:val="single" w:sz="4" w:space="0" w:color="auto"/>
            </w:tcBorders>
            <w:vAlign w:val="bottom"/>
          </w:tcPr>
          <w:p w:rsidR="005E0FB6" w:rsidRPr="005E0FB6" w:rsidRDefault="005E0FB6" w:rsidP="005E0FB6">
            <w:pPr>
              <w:pStyle w:val="TableRowNormal"/>
              <w:ind w:left="0" w:firstLine="0"/>
              <w:rPr>
                <w:rFonts w:cstheme="minorHAnsi"/>
              </w:rPr>
            </w:pPr>
            <w:r w:rsidRPr="005E0FB6">
              <w:rPr>
                <w:rFonts w:cstheme="minorHAnsi"/>
              </w:rPr>
              <w:t>3 895</w:t>
            </w:r>
          </w:p>
        </w:tc>
        <w:tc>
          <w:tcPr>
            <w:tcW w:w="429" w:type="pct"/>
            <w:tcBorders>
              <w:top w:val="single" w:sz="4" w:space="0" w:color="auto"/>
              <w:bottom w:val="single" w:sz="4" w:space="0" w:color="auto"/>
            </w:tcBorders>
            <w:vAlign w:val="bottom"/>
          </w:tcPr>
          <w:p w:rsidR="005E0FB6" w:rsidRPr="005E0FB6" w:rsidRDefault="005E0FB6" w:rsidP="005E0FB6">
            <w:pPr>
              <w:pStyle w:val="TableRowNormal"/>
              <w:ind w:left="0" w:firstLine="0"/>
              <w:rPr>
                <w:rFonts w:cstheme="minorHAnsi"/>
              </w:rPr>
            </w:pPr>
            <w:r w:rsidRPr="005E0FB6">
              <w:rPr>
                <w:rFonts w:cstheme="minorHAnsi"/>
              </w:rPr>
              <w:t>2 876</w:t>
            </w:r>
          </w:p>
        </w:tc>
        <w:tc>
          <w:tcPr>
            <w:tcW w:w="430" w:type="pct"/>
            <w:tcBorders>
              <w:top w:val="single" w:sz="4" w:space="0" w:color="auto"/>
              <w:bottom w:val="single" w:sz="4" w:space="0" w:color="auto"/>
            </w:tcBorders>
            <w:vAlign w:val="bottom"/>
          </w:tcPr>
          <w:p w:rsidR="005E0FB6" w:rsidRPr="005E0FB6" w:rsidRDefault="005E0FB6" w:rsidP="005E0FB6">
            <w:pPr>
              <w:pStyle w:val="TableRowNormal"/>
              <w:ind w:left="0" w:firstLine="0"/>
              <w:rPr>
                <w:rFonts w:cstheme="minorHAnsi"/>
              </w:rPr>
            </w:pPr>
            <w:r w:rsidRPr="005E0FB6">
              <w:rPr>
                <w:rFonts w:cstheme="minorHAnsi"/>
              </w:rPr>
              <w:t xml:space="preserve"> 666</w:t>
            </w:r>
          </w:p>
        </w:tc>
        <w:tc>
          <w:tcPr>
            <w:tcW w:w="429" w:type="pct"/>
            <w:tcBorders>
              <w:top w:val="single" w:sz="4" w:space="0" w:color="auto"/>
              <w:bottom w:val="single" w:sz="4" w:space="0" w:color="auto"/>
            </w:tcBorders>
            <w:vAlign w:val="bottom"/>
          </w:tcPr>
          <w:p w:rsidR="005E0FB6" w:rsidRPr="005E0FB6" w:rsidRDefault="005E0FB6" w:rsidP="005E0FB6">
            <w:pPr>
              <w:pStyle w:val="TableRowNormal"/>
              <w:ind w:left="0" w:firstLine="0"/>
              <w:rPr>
                <w:rFonts w:cstheme="minorHAnsi"/>
              </w:rPr>
            </w:pPr>
            <w:r w:rsidRPr="005E0FB6">
              <w:rPr>
                <w:rFonts w:cstheme="minorHAnsi"/>
              </w:rPr>
              <w:t xml:space="preserve"> 606</w:t>
            </w:r>
          </w:p>
        </w:tc>
        <w:tc>
          <w:tcPr>
            <w:tcW w:w="429" w:type="pct"/>
            <w:tcBorders>
              <w:top w:val="single" w:sz="4" w:space="0" w:color="auto"/>
              <w:bottom w:val="single" w:sz="4" w:space="0" w:color="auto"/>
            </w:tcBorders>
            <w:vAlign w:val="bottom"/>
          </w:tcPr>
          <w:p w:rsidR="005E0FB6" w:rsidRPr="005E0FB6" w:rsidRDefault="005E0FB6" w:rsidP="005E0FB6">
            <w:pPr>
              <w:pStyle w:val="TableRowNormal"/>
              <w:ind w:left="0" w:firstLine="0"/>
              <w:rPr>
                <w:rFonts w:cstheme="minorHAnsi"/>
              </w:rPr>
            </w:pPr>
            <w:r w:rsidRPr="005E0FB6">
              <w:rPr>
                <w:rFonts w:cstheme="minorHAnsi"/>
              </w:rPr>
              <w:t xml:space="preserve"> 427</w:t>
            </w:r>
          </w:p>
        </w:tc>
        <w:tc>
          <w:tcPr>
            <w:tcW w:w="430" w:type="pct"/>
            <w:tcBorders>
              <w:top w:val="single" w:sz="4" w:space="0" w:color="auto"/>
              <w:bottom w:val="single" w:sz="4" w:space="0" w:color="auto"/>
            </w:tcBorders>
            <w:vAlign w:val="bottom"/>
          </w:tcPr>
          <w:p w:rsidR="005E0FB6" w:rsidRPr="005E0FB6" w:rsidRDefault="005E0FB6" w:rsidP="005E0FB6">
            <w:pPr>
              <w:pStyle w:val="TableRowNormal"/>
              <w:ind w:left="0" w:firstLine="0"/>
              <w:rPr>
                <w:rFonts w:cstheme="minorHAnsi"/>
              </w:rPr>
            </w:pPr>
            <w:r w:rsidRPr="005E0FB6">
              <w:rPr>
                <w:rFonts w:cstheme="minorHAnsi"/>
              </w:rPr>
              <w:t>37 906</w:t>
            </w:r>
          </w:p>
        </w:tc>
      </w:tr>
    </w:tbl>
    <w:p w:rsidR="00C87AA5" w:rsidRDefault="00C87AA5" w:rsidP="00C87AA5">
      <w:pPr>
        <w:pStyle w:val="CGCTableFootnote"/>
      </w:pPr>
      <w:r>
        <w:t>Source:</w:t>
      </w:r>
      <w:r>
        <w:tab/>
      </w:r>
      <w:r w:rsidR="005A258E">
        <w:t xml:space="preserve">Premium data from </w:t>
      </w:r>
      <w:r>
        <w:t>APRA and public insurers</w:t>
      </w:r>
      <w:r w:rsidR="005A258E">
        <w:t xml:space="preserve">. </w:t>
      </w:r>
      <w:proofErr w:type="spellStart"/>
      <w:proofErr w:type="gramStart"/>
      <w:r w:rsidR="005A258E">
        <w:t>FESL</w:t>
      </w:r>
      <w:proofErr w:type="spellEnd"/>
      <w:r w:rsidR="005A258E">
        <w:t xml:space="preserve"> data provided by States.</w:t>
      </w:r>
      <w:proofErr w:type="gramEnd"/>
    </w:p>
    <w:p w:rsidR="00A27640" w:rsidRDefault="00A27640" w:rsidP="00A27640">
      <w:pPr>
        <w:pStyle w:val="Heading4"/>
      </w:pPr>
      <w:bookmarkStart w:id="7" w:name="_Toc511636039"/>
      <w:r>
        <w:lastRenderedPageBreak/>
        <w:t xml:space="preserve">GST </w:t>
      </w:r>
      <w:r w:rsidR="00A74291">
        <w:t>re</w:t>
      </w:r>
      <w:r>
        <w:t>distribution</w:t>
      </w:r>
      <w:bookmarkEnd w:id="7"/>
    </w:p>
    <w:p w:rsidR="00A27640" w:rsidRDefault="00A27640" w:rsidP="00A27640">
      <w:pPr>
        <w:pStyle w:val="CGCNumberedPara"/>
        <w:numPr>
          <w:ilvl w:val="1"/>
          <w:numId w:val="3"/>
        </w:numPr>
      </w:pPr>
      <w:r>
        <w:rPr>
          <w:szCs w:val="22"/>
        </w:rPr>
        <w:fldChar w:fldCharType="begin"/>
      </w:r>
      <w:r>
        <w:instrText xml:space="preserve"> REF _Ref499713909 \h </w:instrText>
      </w:r>
      <w:r>
        <w:rPr>
          <w:szCs w:val="22"/>
        </w:rPr>
      </w:r>
      <w:r>
        <w:rPr>
          <w:szCs w:val="22"/>
        </w:rPr>
        <w:fldChar w:fldCharType="separate"/>
      </w:r>
      <w:r w:rsidR="00D813B5">
        <w:t>Table </w:t>
      </w:r>
      <w:r w:rsidR="00D813B5">
        <w:rPr>
          <w:noProof/>
        </w:rPr>
        <w:t>3</w:t>
      </w:r>
      <w:r>
        <w:rPr>
          <w:szCs w:val="22"/>
        </w:rPr>
        <w:fldChar w:fldCharType="end"/>
      </w:r>
      <w:r>
        <w:rPr>
          <w:szCs w:val="22"/>
        </w:rPr>
        <w:t xml:space="preserve"> shows the extent to which the assessment move</w:t>
      </w:r>
      <w:r w:rsidR="00582886">
        <w:rPr>
          <w:szCs w:val="22"/>
        </w:rPr>
        <w:t>d</w:t>
      </w:r>
      <w:r>
        <w:rPr>
          <w:szCs w:val="22"/>
        </w:rPr>
        <w:t xml:space="preserve"> the GST distribution away from an </w:t>
      </w:r>
      <w:r w:rsidR="00656503">
        <w:rPr>
          <w:szCs w:val="22"/>
        </w:rPr>
        <w:t>EPC</w:t>
      </w:r>
      <w:r>
        <w:rPr>
          <w:szCs w:val="22"/>
        </w:rPr>
        <w:t xml:space="preserve"> distribution in </w:t>
      </w:r>
      <w:r w:rsidR="002932DE">
        <w:rPr>
          <w:szCs w:val="22"/>
        </w:rPr>
        <w:t>the 201</w:t>
      </w:r>
      <w:r w:rsidR="005E0FB6">
        <w:rPr>
          <w:szCs w:val="22"/>
        </w:rPr>
        <w:t>8</w:t>
      </w:r>
      <w:r w:rsidR="002932DE">
        <w:rPr>
          <w:szCs w:val="22"/>
        </w:rPr>
        <w:t xml:space="preserve"> Update</w:t>
      </w:r>
      <w:r>
        <w:rPr>
          <w:szCs w:val="22"/>
        </w:rPr>
        <w:t xml:space="preserve">. It shows GST revenue </w:t>
      </w:r>
      <w:r w:rsidR="00582886">
        <w:rPr>
          <w:szCs w:val="22"/>
        </w:rPr>
        <w:t>wa</w:t>
      </w:r>
      <w:r>
        <w:rPr>
          <w:szCs w:val="22"/>
        </w:rPr>
        <w:t xml:space="preserve">s redistributed from States with an </w:t>
      </w:r>
      <w:r w:rsidR="00CC0C99">
        <w:rPr>
          <w:szCs w:val="22"/>
        </w:rPr>
        <w:t xml:space="preserve">above </w:t>
      </w:r>
      <w:r>
        <w:rPr>
          <w:szCs w:val="22"/>
        </w:rPr>
        <w:t>average revenue raising capacity (</w:t>
      </w:r>
      <w:r w:rsidR="002932DE" w:rsidRPr="002932DE">
        <w:rPr>
          <w:szCs w:val="22"/>
        </w:rPr>
        <w:t>New South Wales</w:t>
      </w:r>
      <w:r w:rsidR="005E0FB6">
        <w:rPr>
          <w:szCs w:val="22"/>
        </w:rPr>
        <w:t xml:space="preserve">, </w:t>
      </w:r>
      <w:r w:rsidR="002932DE" w:rsidRPr="002932DE">
        <w:rPr>
          <w:szCs w:val="22"/>
        </w:rPr>
        <w:t>South</w:t>
      </w:r>
      <w:r w:rsidR="0005450C">
        <w:rPr>
          <w:szCs w:val="22"/>
        </w:rPr>
        <w:t> </w:t>
      </w:r>
      <w:r w:rsidR="002932DE" w:rsidRPr="002932DE">
        <w:rPr>
          <w:szCs w:val="22"/>
        </w:rPr>
        <w:t>Australia</w:t>
      </w:r>
      <w:r w:rsidR="005E0FB6">
        <w:rPr>
          <w:szCs w:val="22"/>
        </w:rPr>
        <w:t xml:space="preserve"> and the Northern Territory</w:t>
      </w:r>
      <w:r>
        <w:rPr>
          <w:szCs w:val="22"/>
        </w:rPr>
        <w:t>) to States with a below average revenue capacity</w:t>
      </w:r>
      <w:r w:rsidR="002932DE">
        <w:rPr>
          <w:szCs w:val="22"/>
        </w:rPr>
        <w:t xml:space="preserve"> (</w:t>
      </w:r>
      <w:r w:rsidR="002932DE" w:rsidRPr="002932DE">
        <w:rPr>
          <w:szCs w:val="22"/>
        </w:rPr>
        <w:t>Victoria</w:t>
      </w:r>
      <w:r w:rsidR="002932DE">
        <w:rPr>
          <w:szCs w:val="22"/>
        </w:rPr>
        <w:t xml:space="preserve">, </w:t>
      </w:r>
      <w:r w:rsidR="0002292F">
        <w:rPr>
          <w:szCs w:val="22"/>
        </w:rPr>
        <w:t xml:space="preserve">Queensland, </w:t>
      </w:r>
      <w:r w:rsidR="002932DE" w:rsidRPr="002932DE">
        <w:rPr>
          <w:szCs w:val="22"/>
        </w:rPr>
        <w:t>Western Australia</w:t>
      </w:r>
      <w:r w:rsidR="002932DE">
        <w:rPr>
          <w:szCs w:val="22"/>
        </w:rPr>
        <w:t xml:space="preserve">, </w:t>
      </w:r>
      <w:r w:rsidR="002932DE" w:rsidRPr="002932DE">
        <w:rPr>
          <w:szCs w:val="22"/>
        </w:rPr>
        <w:t>Tasmania</w:t>
      </w:r>
      <w:r w:rsidR="005E0FB6">
        <w:rPr>
          <w:szCs w:val="22"/>
        </w:rPr>
        <w:t xml:space="preserve"> and</w:t>
      </w:r>
      <w:r w:rsidR="002932DE">
        <w:rPr>
          <w:szCs w:val="22"/>
        </w:rPr>
        <w:t xml:space="preserve"> the </w:t>
      </w:r>
      <w:r w:rsidR="0005450C">
        <w:rPr>
          <w:szCs w:val="22"/>
        </w:rPr>
        <w:t>ACT</w:t>
      </w:r>
      <w:r w:rsidR="002932DE">
        <w:rPr>
          <w:szCs w:val="22"/>
        </w:rPr>
        <w:t>)</w:t>
      </w:r>
      <w:r>
        <w:t>.</w:t>
      </w:r>
    </w:p>
    <w:p w:rsidR="00A27640" w:rsidRDefault="00A27640" w:rsidP="002932DE">
      <w:pPr>
        <w:pStyle w:val="CGCTableHeading"/>
      </w:pPr>
      <w:bookmarkStart w:id="8" w:name="_Ref499713909"/>
      <w:r>
        <w:t>Table </w:t>
      </w:r>
      <w:fldSimple w:instr=" SEQ Table \* ARABIC ">
        <w:r w:rsidR="00D813B5">
          <w:rPr>
            <w:noProof/>
          </w:rPr>
          <w:t>3</w:t>
        </w:r>
      </w:fldSimple>
      <w:bookmarkEnd w:id="8"/>
      <w:r>
        <w:tab/>
        <w:t xml:space="preserve">GST </w:t>
      </w:r>
      <w:r w:rsidR="00A74291">
        <w:t>re</w:t>
      </w:r>
      <w:r>
        <w:t>d</w:t>
      </w:r>
      <w:r w:rsidR="00582886">
        <w:t>istribution, Insurance tax, 201</w:t>
      </w:r>
      <w:r w:rsidR="005E0FB6">
        <w:t>8</w:t>
      </w:r>
      <w:r>
        <w:t> Update</w:t>
      </w:r>
    </w:p>
    <w:tbl>
      <w:tblPr>
        <w:tblW w:w="8940" w:type="dxa"/>
        <w:tblInd w:w="93" w:type="dxa"/>
        <w:tblLook w:val="04A0" w:firstRow="1" w:lastRow="0" w:firstColumn="1" w:lastColumn="0" w:noHBand="0" w:noVBand="1"/>
      </w:tblPr>
      <w:tblGrid>
        <w:gridCol w:w="1920"/>
        <w:gridCol w:w="780"/>
        <w:gridCol w:w="780"/>
        <w:gridCol w:w="780"/>
        <w:gridCol w:w="780"/>
        <w:gridCol w:w="780"/>
        <w:gridCol w:w="780"/>
        <w:gridCol w:w="780"/>
        <w:gridCol w:w="780"/>
        <w:gridCol w:w="780"/>
      </w:tblGrid>
      <w:tr w:rsidR="002932DE" w:rsidRPr="002932DE" w:rsidTr="002932DE">
        <w:trPr>
          <w:trHeight w:val="379"/>
        </w:trPr>
        <w:tc>
          <w:tcPr>
            <w:tcW w:w="1920" w:type="dxa"/>
            <w:tcBorders>
              <w:top w:val="single" w:sz="4" w:space="0" w:color="auto"/>
              <w:left w:val="nil"/>
              <w:bottom w:val="single" w:sz="4" w:space="0" w:color="auto"/>
              <w:right w:val="nil"/>
            </w:tcBorders>
            <w:shd w:val="clear" w:color="auto" w:fill="auto"/>
            <w:noWrap/>
            <w:vAlign w:val="center"/>
            <w:hideMark/>
          </w:tcPr>
          <w:p w:rsidR="002932DE" w:rsidRPr="002932DE" w:rsidRDefault="002932DE" w:rsidP="002932DE">
            <w:pPr>
              <w:keepNext/>
              <w:keepLines/>
              <w:tabs>
                <w:tab w:val="clear" w:pos="567"/>
              </w:tabs>
              <w:spacing w:after="0" w:line="240" w:lineRule="auto"/>
              <w:jc w:val="right"/>
              <w:rPr>
                <w:rFonts w:ascii="Calibri" w:eastAsia="Times New Roman" w:hAnsi="Calibri" w:cs="Times New Roman"/>
                <w:sz w:val="20"/>
                <w:szCs w:val="20"/>
                <w:lang w:eastAsia="en-AU"/>
              </w:rPr>
            </w:pPr>
            <w:bookmarkStart w:id="9" w:name="RANGE!A4:J6"/>
            <w:r w:rsidRPr="002932DE">
              <w:rPr>
                <w:rFonts w:ascii="Calibri" w:eastAsia="Times New Roman" w:hAnsi="Calibri" w:cs="Times New Roman"/>
                <w:sz w:val="20"/>
                <w:szCs w:val="20"/>
                <w:lang w:eastAsia="en-AU"/>
              </w:rPr>
              <w:t> </w:t>
            </w:r>
            <w:bookmarkEnd w:id="9"/>
          </w:p>
        </w:tc>
        <w:tc>
          <w:tcPr>
            <w:tcW w:w="780" w:type="dxa"/>
            <w:tcBorders>
              <w:top w:val="single" w:sz="4" w:space="0" w:color="auto"/>
              <w:left w:val="nil"/>
              <w:bottom w:val="single" w:sz="4" w:space="0" w:color="auto"/>
              <w:right w:val="nil"/>
            </w:tcBorders>
            <w:shd w:val="clear" w:color="auto" w:fill="auto"/>
            <w:noWrap/>
            <w:vAlign w:val="center"/>
            <w:hideMark/>
          </w:tcPr>
          <w:p w:rsidR="002932DE" w:rsidRPr="002932DE" w:rsidRDefault="002932DE" w:rsidP="002932DE">
            <w:pPr>
              <w:keepNext/>
              <w:keepLines/>
              <w:tabs>
                <w:tab w:val="clear" w:pos="567"/>
              </w:tabs>
              <w:spacing w:after="0" w:line="240" w:lineRule="auto"/>
              <w:jc w:val="right"/>
              <w:rPr>
                <w:rFonts w:ascii="Calibri" w:eastAsia="Times New Roman" w:hAnsi="Calibri" w:cs="Times New Roman"/>
                <w:sz w:val="20"/>
                <w:szCs w:val="20"/>
                <w:lang w:eastAsia="en-AU"/>
              </w:rPr>
            </w:pPr>
            <w:r w:rsidRPr="002932DE">
              <w:rPr>
                <w:rFonts w:ascii="Calibri" w:eastAsia="Times New Roman" w:hAnsi="Calibri" w:cs="Times New Roman"/>
                <w:sz w:val="20"/>
                <w:szCs w:val="20"/>
                <w:lang w:eastAsia="en-AU"/>
              </w:rPr>
              <w:t>NSW</w:t>
            </w:r>
          </w:p>
        </w:tc>
        <w:tc>
          <w:tcPr>
            <w:tcW w:w="780" w:type="dxa"/>
            <w:tcBorders>
              <w:top w:val="single" w:sz="4" w:space="0" w:color="auto"/>
              <w:left w:val="nil"/>
              <w:bottom w:val="single" w:sz="4" w:space="0" w:color="auto"/>
              <w:right w:val="nil"/>
            </w:tcBorders>
            <w:shd w:val="clear" w:color="auto" w:fill="auto"/>
            <w:noWrap/>
            <w:vAlign w:val="center"/>
            <w:hideMark/>
          </w:tcPr>
          <w:p w:rsidR="002932DE" w:rsidRPr="002932DE" w:rsidRDefault="002932DE" w:rsidP="002932DE">
            <w:pPr>
              <w:keepNext/>
              <w:keepLines/>
              <w:tabs>
                <w:tab w:val="clear" w:pos="567"/>
              </w:tabs>
              <w:spacing w:after="0" w:line="240" w:lineRule="auto"/>
              <w:jc w:val="right"/>
              <w:rPr>
                <w:rFonts w:ascii="Calibri" w:eastAsia="Times New Roman" w:hAnsi="Calibri" w:cs="Times New Roman"/>
                <w:sz w:val="20"/>
                <w:szCs w:val="20"/>
                <w:lang w:eastAsia="en-AU"/>
              </w:rPr>
            </w:pPr>
            <w:r w:rsidRPr="002932DE">
              <w:rPr>
                <w:rFonts w:ascii="Calibri" w:eastAsia="Times New Roman" w:hAnsi="Calibri" w:cs="Times New Roman"/>
                <w:sz w:val="20"/>
                <w:szCs w:val="20"/>
                <w:lang w:eastAsia="en-AU"/>
              </w:rPr>
              <w:t>Vic</w:t>
            </w:r>
          </w:p>
        </w:tc>
        <w:tc>
          <w:tcPr>
            <w:tcW w:w="780" w:type="dxa"/>
            <w:tcBorders>
              <w:top w:val="single" w:sz="4" w:space="0" w:color="auto"/>
              <w:left w:val="nil"/>
              <w:bottom w:val="single" w:sz="4" w:space="0" w:color="auto"/>
              <w:right w:val="nil"/>
            </w:tcBorders>
            <w:shd w:val="clear" w:color="auto" w:fill="auto"/>
            <w:noWrap/>
            <w:vAlign w:val="center"/>
            <w:hideMark/>
          </w:tcPr>
          <w:p w:rsidR="002932DE" w:rsidRPr="002932DE" w:rsidRDefault="002932DE" w:rsidP="002932DE">
            <w:pPr>
              <w:keepNext/>
              <w:keepLines/>
              <w:tabs>
                <w:tab w:val="clear" w:pos="567"/>
              </w:tabs>
              <w:spacing w:after="0" w:line="240" w:lineRule="auto"/>
              <w:jc w:val="right"/>
              <w:rPr>
                <w:rFonts w:ascii="Calibri" w:eastAsia="Times New Roman" w:hAnsi="Calibri" w:cs="Times New Roman"/>
                <w:sz w:val="20"/>
                <w:szCs w:val="20"/>
                <w:lang w:eastAsia="en-AU"/>
              </w:rPr>
            </w:pPr>
            <w:r w:rsidRPr="002932DE">
              <w:rPr>
                <w:rFonts w:ascii="Calibri" w:eastAsia="Times New Roman" w:hAnsi="Calibri" w:cs="Times New Roman"/>
                <w:sz w:val="20"/>
                <w:szCs w:val="20"/>
                <w:lang w:eastAsia="en-AU"/>
              </w:rPr>
              <w:t>Qld</w:t>
            </w:r>
          </w:p>
        </w:tc>
        <w:tc>
          <w:tcPr>
            <w:tcW w:w="780" w:type="dxa"/>
            <w:tcBorders>
              <w:top w:val="single" w:sz="4" w:space="0" w:color="auto"/>
              <w:left w:val="nil"/>
              <w:bottom w:val="single" w:sz="4" w:space="0" w:color="auto"/>
              <w:right w:val="nil"/>
            </w:tcBorders>
            <w:shd w:val="clear" w:color="auto" w:fill="auto"/>
            <w:noWrap/>
            <w:vAlign w:val="center"/>
            <w:hideMark/>
          </w:tcPr>
          <w:p w:rsidR="002932DE" w:rsidRPr="002932DE" w:rsidRDefault="002932DE" w:rsidP="002932DE">
            <w:pPr>
              <w:keepNext/>
              <w:keepLines/>
              <w:tabs>
                <w:tab w:val="clear" w:pos="567"/>
              </w:tabs>
              <w:spacing w:after="0" w:line="240" w:lineRule="auto"/>
              <w:jc w:val="right"/>
              <w:rPr>
                <w:rFonts w:ascii="Calibri" w:eastAsia="Times New Roman" w:hAnsi="Calibri" w:cs="Times New Roman"/>
                <w:sz w:val="20"/>
                <w:szCs w:val="20"/>
                <w:lang w:eastAsia="en-AU"/>
              </w:rPr>
            </w:pPr>
            <w:r w:rsidRPr="002932DE">
              <w:rPr>
                <w:rFonts w:ascii="Calibri" w:eastAsia="Times New Roman" w:hAnsi="Calibri" w:cs="Times New Roman"/>
                <w:sz w:val="20"/>
                <w:szCs w:val="20"/>
                <w:lang w:eastAsia="en-AU"/>
              </w:rPr>
              <w:t>WA</w:t>
            </w:r>
          </w:p>
        </w:tc>
        <w:tc>
          <w:tcPr>
            <w:tcW w:w="780" w:type="dxa"/>
            <w:tcBorders>
              <w:top w:val="single" w:sz="4" w:space="0" w:color="auto"/>
              <w:left w:val="nil"/>
              <w:bottom w:val="single" w:sz="4" w:space="0" w:color="auto"/>
              <w:right w:val="nil"/>
            </w:tcBorders>
            <w:shd w:val="clear" w:color="auto" w:fill="auto"/>
            <w:noWrap/>
            <w:vAlign w:val="center"/>
            <w:hideMark/>
          </w:tcPr>
          <w:p w:rsidR="002932DE" w:rsidRPr="002932DE" w:rsidRDefault="002932DE" w:rsidP="002932DE">
            <w:pPr>
              <w:keepNext/>
              <w:keepLines/>
              <w:tabs>
                <w:tab w:val="clear" w:pos="567"/>
              </w:tabs>
              <w:spacing w:after="0" w:line="240" w:lineRule="auto"/>
              <w:jc w:val="right"/>
              <w:rPr>
                <w:rFonts w:ascii="Calibri" w:eastAsia="Times New Roman" w:hAnsi="Calibri" w:cs="Times New Roman"/>
                <w:sz w:val="20"/>
                <w:szCs w:val="20"/>
                <w:lang w:eastAsia="en-AU"/>
              </w:rPr>
            </w:pPr>
            <w:r w:rsidRPr="002932DE">
              <w:rPr>
                <w:rFonts w:ascii="Calibri" w:eastAsia="Times New Roman" w:hAnsi="Calibri" w:cs="Times New Roman"/>
                <w:sz w:val="20"/>
                <w:szCs w:val="20"/>
                <w:lang w:eastAsia="en-AU"/>
              </w:rPr>
              <w:t>SA</w:t>
            </w:r>
          </w:p>
        </w:tc>
        <w:tc>
          <w:tcPr>
            <w:tcW w:w="780" w:type="dxa"/>
            <w:tcBorders>
              <w:top w:val="single" w:sz="4" w:space="0" w:color="auto"/>
              <w:left w:val="nil"/>
              <w:bottom w:val="single" w:sz="4" w:space="0" w:color="auto"/>
              <w:right w:val="nil"/>
            </w:tcBorders>
            <w:shd w:val="clear" w:color="auto" w:fill="auto"/>
            <w:noWrap/>
            <w:vAlign w:val="center"/>
            <w:hideMark/>
          </w:tcPr>
          <w:p w:rsidR="002932DE" w:rsidRPr="002932DE" w:rsidRDefault="002932DE" w:rsidP="002932DE">
            <w:pPr>
              <w:keepNext/>
              <w:keepLines/>
              <w:tabs>
                <w:tab w:val="clear" w:pos="567"/>
              </w:tabs>
              <w:spacing w:after="0" w:line="240" w:lineRule="auto"/>
              <w:jc w:val="right"/>
              <w:rPr>
                <w:rFonts w:ascii="Calibri" w:eastAsia="Times New Roman" w:hAnsi="Calibri" w:cs="Times New Roman"/>
                <w:sz w:val="20"/>
                <w:szCs w:val="20"/>
                <w:lang w:eastAsia="en-AU"/>
              </w:rPr>
            </w:pPr>
            <w:proofErr w:type="spellStart"/>
            <w:r w:rsidRPr="002932DE">
              <w:rPr>
                <w:rFonts w:ascii="Calibri" w:eastAsia="Times New Roman" w:hAnsi="Calibri" w:cs="Times New Roman"/>
                <w:sz w:val="20"/>
                <w:szCs w:val="20"/>
                <w:lang w:eastAsia="en-AU"/>
              </w:rPr>
              <w:t>Tas</w:t>
            </w:r>
            <w:proofErr w:type="spellEnd"/>
          </w:p>
        </w:tc>
        <w:tc>
          <w:tcPr>
            <w:tcW w:w="780" w:type="dxa"/>
            <w:tcBorders>
              <w:top w:val="single" w:sz="4" w:space="0" w:color="auto"/>
              <w:left w:val="nil"/>
              <w:bottom w:val="single" w:sz="4" w:space="0" w:color="auto"/>
              <w:right w:val="nil"/>
            </w:tcBorders>
            <w:shd w:val="clear" w:color="auto" w:fill="auto"/>
            <w:noWrap/>
            <w:vAlign w:val="center"/>
            <w:hideMark/>
          </w:tcPr>
          <w:p w:rsidR="002932DE" w:rsidRPr="002932DE" w:rsidRDefault="002932DE" w:rsidP="002932DE">
            <w:pPr>
              <w:keepNext/>
              <w:keepLines/>
              <w:tabs>
                <w:tab w:val="clear" w:pos="567"/>
              </w:tabs>
              <w:spacing w:after="0" w:line="240" w:lineRule="auto"/>
              <w:jc w:val="right"/>
              <w:rPr>
                <w:rFonts w:ascii="Calibri" w:eastAsia="Times New Roman" w:hAnsi="Calibri" w:cs="Times New Roman"/>
                <w:sz w:val="20"/>
                <w:szCs w:val="20"/>
                <w:lang w:eastAsia="en-AU"/>
              </w:rPr>
            </w:pPr>
            <w:r w:rsidRPr="002932DE">
              <w:rPr>
                <w:rFonts w:ascii="Calibri" w:eastAsia="Times New Roman" w:hAnsi="Calibri" w:cs="Times New Roman"/>
                <w:sz w:val="20"/>
                <w:szCs w:val="20"/>
                <w:lang w:eastAsia="en-AU"/>
              </w:rPr>
              <w:t>ACT</w:t>
            </w:r>
          </w:p>
        </w:tc>
        <w:tc>
          <w:tcPr>
            <w:tcW w:w="780" w:type="dxa"/>
            <w:tcBorders>
              <w:top w:val="single" w:sz="4" w:space="0" w:color="auto"/>
              <w:left w:val="nil"/>
              <w:bottom w:val="single" w:sz="4" w:space="0" w:color="auto"/>
              <w:right w:val="nil"/>
            </w:tcBorders>
            <w:shd w:val="clear" w:color="auto" w:fill="auto"/>
            <w:noWrap/>
            <w:vAlign w:val="center"/>
            <w:hideMark/>
          </w:tcPr>
          <w:p w:rsidR="002932DE" w:rsidRPr="002932DE" w:rsidRDefault="002932DE" w:rsidP="002932DE">
            <w:pPr>
              <w:keepNext/>
              <w:keepLines/>
              <w:tabs>
                <w:tab w:val="clear" w:pos="567"/>
              </w:tabs>
              <w:spacing w:after="0" w:line="240" w:lineRule="auto"/>
              <w:jc w:val="right"/>
              <w:rPr>
                <w:rFonts w:ascii="Calibri" w:eastAsia="Times New Roman" w:hAnsi="Calibri" w:cs="Times New Roman"/>
                <w:sz w:val="20"/>
                <w:szCs w:val="20"/>
                <w:lang w:eastAsia="en-AU"/>
              </w:rPr>
            </w:pPr>
            <w:r w:rsidRPr="002932DE">
              <w:rPr>
                <w:rFonts w:ascii="Calibri" w:eastAsia="Times New Roman" w:hAnsi="Calibri" w:cs="Times New Roman"/>
                <w:sz w:val="20"/>
                <w:szCs w:val="20"/>
                <w:lang w:eastAsia="en-AU"/>
              </w:rPr>
              <w:t>NT</w:t>
            </w:r>
          </w:p>
        </w:tc>
        <w:tc>
          <w:tcPr>
            <w:tcW w:w="780" w:type="dxa"/>
            <w:tcBorders>
              <w:top w:val="single" w:sz="4" w:space="0" w:color="auto"/>
              <w:left w:val="nil"/>
              <w:bottom w:val="single" w:sz="4" w:space="0" w:color="auto"/>
              <w:right w:val="nil"/>
            </w:tcBorders>
            <w:shd w:val="clear" w:color="auto" w:fill="auto"/>
            <w:noWrap/>
            <w:vAlign w:val="center"/>
            <w:hideMark/>
          </w:tcPr>
          <w:p w:rsidR="002932DE" w:rsidRPr="002932DE" w:rsidRDefault="002932DE" w:rsidP="002932DE">
            <w:pPr>
              <w:keepNext/>
              <w:keepLines/>
              <w:tabs>
                <w:tab w:val="clear" w:pos="567"/>
              </w:tabs>
              <w:spacing w:after="0" w:line="240" w:lineRule="auto"/>
              <w:jc w:val="right"/>
              <w:rPr>
                <w:rFonts w:ascii="Calibri" w:eastAsia="Times New Roman" w:hAnsi="Calibri" w:cs="Times New Roman"/>
                <w:sz w:val="20"/>
                <w:szCs w:val="20"/>
                <w:lang w:eastAsia="en-AU"/>
              </w:rPr>
            </w:pPr>
            <w:proofErr w:type="spellStart"/>
            <w:r w:rsidRPr="002932DE">
              <w:rPr>
                <w:rFonts w:ascii="Calibri" w:eastAsia="Times New Roman" w:hAnsi="Calibri" w:cs="Times New Roman"/>
                <w:sz w:val="20"/>
                <w:szCs w:val="20"/>
                <w:lang w:eastAsia="en-AU"/>
              </w:rPr>
              <w:t>Redist</w:t>
            </w:r>
            <w:proofErr w:type="spellEnd"/>
          </w:p>
        </w:tc>
      </w:tr>
      <w:tr w:rsidR="005E0FB6" w:rsidRPr="002932DE" w:rsidTr="002932DE">
        <w:trPr>
          <w:trHeight w:val="315"/>
        </w:trPr>
        <w:tc>
          <w:tcPr>
            <w:tcW w:w="1920" w:type="dxa"/>
            <w:tcBorders>
              <w:top w:val="nil"/>
              <w:left w:val="nil"/>
              <w:bottom w:val="nil"/>
              <w:right w:val="nil"/>
            </w:tcBorders>
            <w:shd w:val="clear" w:color="auto" w:fill="auto"/>
            <w:noWrap/>
            <w:vAlign w:val="bottom"/>
            <w:hideMark/>
          </w:tcPr>
          <w:p w:rsidR="005E0FB6" w:rsidRPr="002932DE" w:rsidRDefault="005E0FB6" w:rsidP="002932DE">
            <w:pPr>
              <w:keepNext/>
              <w:keepLines/>
              <w:tabs>
                <w:tab w:val="clear" w:pos="567"/>
              </w:tabs>
              <w:spacing w:after="0" w:line="240" w:lineRule="auto"/>
              <w:rPr>
                <w:rFonts w:ascii="Calibri" w:eastAsia="Times New Roman" w:hAnsi="Calibri" w:cs="Times New Roman"/>
                <w:sz w:val="20"/>
                <w:szCs w:val="20"/>
                <w:lang w:eastAsia="en-AU"/>
              </w:rPr>
            </w:pPr>
            <w:r w:rsidRPr="002932DE">
              <w:rPr>
                <w:rFonts w:ascii="Calibri" w:eastAsia="Times New Roman" w:hAnsi="Calibri" w:cs="Times New Roman"/>
                <w:sz w:val="20"/>
                <w:szCs w:val="20"/>
                <w:lang w:eastAsia="en-AU"/>
              </w:rPr>
              <w:t>Dollars million</w:t>
            </w:r>
          </w:p>
        </w:tc>
        <w:tc>
          <w:tcPr>
            <w:tcW w:w="780" w:type="dxa"/>
            <w:tcBorders>
              <w:top w:val="nil"/>
              <w:left w:val="nil"/>
              <w:bottom w:val="nil"/>
              <w:right w:val="nil"/>
            </w:tcBorders>
            <w:shd w:val="clear" w:color="auto" w:fill="auto"/>
            <w:noWrap/>
            <w:vAlign w:val="bottom"/>
            <w:hideMark/>
          </w:tcPr>
          <w:p w:rsidR="005E0FB6" w:rsidRPr="005E0FB6" w:rsidRDefault="005E0FB6" w:rsidP="005E0FB6">
            <w:pPr>
              <w:keepNext/>
              <w:keepLines/>
              <w:tabs>
                <w:tab w:val="clear" w:pos="567"/>
              </w:tabs>
              <w:spacing w:after="0" w:line="240" w:lineRule="auto"/>
              <w:jc w:val="right"/>
              <w:rPr>
                <w:rFonts w:ascii="Calibri" w:eastAsia="Times New Roman" w:hAnsi="Calibri" w:cs="Times New Roman"/>
                <w:sz w:val="20"/>
                <w:szCs w:val="20"/>
                <w:lang w:eastAsia="en-AU"/>
              </w:rPr>
            </w:pPr>
            <w:r>
              <w:rPr>
                <w:rFonts w:ascii="Calibri" w:eastAsia="Times New Roman" w:hAnsi="Calibri" w:cs="Times New Roman"/>
                <w:sz w:val="20"/>
                <w:szCs w:val="20"/>
                <w:lang w:eastAsia="en-AU"/>
              </w:rPr>
              <w:t>-</w:t>
            </w:r>
            <w:r w:rsidRPr="005E0FB6">
              <w:rPr>
                <w:rFonts w:ascii="Calibri" w:eastAsia="Times New Roman" w:hAnsi="Calibri" w:cs="Times New Roman"/>
                <w:sz w:val="20"/>
                <w:szCs w:val="20"/>
                <w:lang w:eastAsia="en-AU"/>
              </w:rPr>
              <w:t>126</w:t>
            </w:r>
          </w:p>
        </w:tc>
        <w:tc>
          <w:tcPr>
            <w:tcW w:w="780" w:type="dxa"/>
            <w:tcBorders>
              <w:top w:val="nil"/>
              <w:left w:val="nil"/>
              <w:bottom w:val="nil"/>
              <w:right w:val="nil"/>
            </w:tcBorders>
            <w:shd w:val="clear" w:color="auto" w:fill="auto"/>
            <w:noWrap/>
            <w:vAlign w:val="bottom"/>
            <w:hideMark/>
          </w:tcPr>
          <w:p w:rsidR="005E0FB6" w:rsidRPr="005E0FB6" w:rsidRDefault="005E0FB6" w:rsidP="005E0FB6">
            <w:pPr>
              <w:keepNext/>
              <w:keepLines/>
              <w:tabs>
                <w:tab w:val="clear" w:pos="567"/>
              </w:tabs>
              <w:spacing w:after="0" w:line="240" w:lineRule="auto"/>
              <w:jc w:val="right"/>
              <w:rPr>
                <w:rFonts w:ascii="Calibri" w:eastAsia="Times New Roman" w:hAnsi="Calibri" w:cs="Times New Roman"/>
                <w:sz w:val="20"/>
                <w:szCs w:val="20"/>
                <w:lang w:eastAsia="en-AU"/>
              </w:rPr>
            </w:pPr>
            <w:r w:rsidRPr="005E0FB6">
              <w:rPr>
                <w:rFonts w:ascii="Calibri" w:eastAsia="Times New Roman" w:hAnsi="Calibri" w:cs="Times New Roman"/>
                <w:sz w:val="20"/>
                <w:szCs w:val="20"/>
                <w:lang w:eastAsia="en-AU"/>
              </w:rPr>
              <w:t xml:space="preserve"> 121</w:t>
            </w:r>
          </w:p>
        </w:tc>
        <w:tc>
          <w:tcPr>
            <w:tcW w:w="780" w:type="dxa"/>
            <w:tcBorders>
              <w:top w:val="nil"/>
              <w:left w:val="nil"/>
              <w:bottom w:val="nil"/>
              <w:right w:val="nil"/>
            </w:tcBorders>
            <w:shd w:val="clear" w:color="auto" w:fill="auto"/>
            <w:noWrap/>
            <w:vAlign w:val="bottom"/>
            <w:hideMark/>
          </w:tcPr>
          <w:p w:rsidR="005E0FB6" w:rsidRPr="005E0FB6" w:rsidRDefault="005E0FB6" w:rsidP="005E0FB6">
            <w:pPr>
              <w:keepNext/>
              <w:keepLines/>
              <w:tabs>
                <w:tab w:val="clear" w:pos="567"/>
              </w:tabs>
              <w:spacing w:after="0" w:line="240" w:lineRule="auto"/>
              <w:jc w:val="right"/>
              <w:rPr>
                <w:rFonts w:ascii="Calibri" w:eastAsia="Times New Roman" w:hAnsi="Calibri" w:cs="Times New Roman"/>
                <w:sz w:val="20"/>
                <w:szCs w:val="20"/>
                <w:lang w:eastAsia="en-AU"/>
              </w:rPr>
            </w:pPr>
            <w:r w:rsidRPr="005E0FB6">
              <w:rPr>
                <w:rFonts w:ascii="Calibri" w:eastAsia="Times New Roman" w:hAnsi="Calibri" w:cs="Times New Roman"/>
                <w:sz w:val="20"/>
                <w:szCs w:val="20"/>
                <w:lang w:eastAsia="en-AU"/>
              </w:rPr>
              <w:t xml:space="preserve"> 16</w:t>
            </w:r>
          </w:p>
        </w:tc>
        <w:tc>
          <w:tcPr>
            <w:tcW w:w="780" w:type="dxa"/>
            <w:tcBorders>
              <w:top w:val="nil"/>
              <w:left w:val="nil"/>
              <w:bottom w:val="nil"/>
              <w:right w:val="nil"/>
            </w:tcBorders>
            <w:shd w:val="clear" w:color="auto" w:fill="auto"/>
            <w:noWrap/>
            <w:vAlign w:val="bottom"/>
            <w:hideMark/>
          </w:tcPr>
          <w:p w:rsidR="005E0FB6" w:rsidRPr="005E0FB6" w:rsidRDefault="005E0FB6" w:rsidP="005E0FB6">
            <w:pPr>
              <w:keepNext/>
              <w:keepLines/>
              <w:tabs>
                <w:tab w:val="clear" w:pos="567"/>
              </w:tabs>
              <w:spacing w:after="0" w:line="240" w:lineRule="auto"/>
              <w:jc w:val="right"/>
              <w:rPr>
                <w:rFonts w:ascii="Calibri" w:eastAsia="Times New Roman" w:hAnsi="Calibri" w:cs="Times New Roman"/>
                <w:sz w:val="20"/>
                <w:szCs w:val="20"/>
                <w:lang w:eastAsia="en-AU"/>
              </w:rPr>
            </w:pPr>
            <w:r w:rsidRPr="005E0FB6">
              <w:rPr>
                <w:rFonts w:ascii="Calibri" w:eastAsia="Times New Roman" w:hAnsi="Calibri" w:cs="Times New Roman"/>
                <w:sz w:val="20"/>
                <w:szCs w:val="20"/>
                <w:lang w:eastAsia="en-AU"/>
              </w:rPr>
              <w:t xml:space="preserve"> 9</w:t>
            </w:r>
          </w:p>
        </w:tc>
        <w:tc>
          <w:tcPr>
            <w:tcW w:w="780" w:type="dxa"/>
            <w:tcBorders>
              <w:top w:val="nil"/>
              <w:left w:val="nil"/>
              <w:bottom w:val="nil"/>
              <w:right w:val="nil"/>
            </w:tcBorders>
            <w:shd w:val="clear" w:color="auto" w:fill="auto"/>
            <w:noWrap/>
            <w:vAlign w:val="bottom"/>
            <w:hideMark/>
          </w:tcPr>
          <w:p w:rsidR="005E0FB6" w:rsidRPr="005E0FB6" w:rsidRDefault="005E0FB6" w:rsidP="005E0FB6">
            <w:pPr>
              <w:keepNext/>
              <w:keepLines/>
              <w:tabs>
                <w:tab w:val="clear" w:pos="567"/>
              </w:tabs>
              <w:spacing w:after="0" w:line="240" w:lineRule="auto"/>
              <w:jc w:val="right"/>
              <w:rPr>
                <w:rFonts w:ascii="Calibri" w:eastAsia="Times New Roman" w:hAnsi="Calibri" w:cs="Times New Roman"/>
                <w:sz w:val="20"/>
                <w:szCs w:val="20"/>
                <w:lang w:eastAsia="en-AU"/>
              </w:rPr>
            </w:pPr>
            <w:r>
              <w:rPr>
                <w:rFonts w:ascii="Calibri" w:eastAsia="Times New Roman" w:hAnsi="Calibri" w:cs="Times New Roman"/>
                <w:sz w:val="20"/>
                <w:szCs w:val="20"/>
                <w:lang w:eastAsia="en-AU"/>
              </w:rPr>
              <w:t>-</w:t>
            </w:r>
            <w:r w:rsidRPr="005E0FB6">
              <w:rPr>
                <w:rFonts w:ascii="Calibri" w:eastAsia="Times New Roman" w:hAnsi="Calibri" w:cs="Times New Roman"/>
                <w:sz w:val="20"/>
                <w:szCs w:val="20"/>
                <w:lang w:eastAsia="en-AU"/>
              </w:rPr>
              <w:t>46</w:t>
            </w:r>
          </w:p>
        </w:tc>
        <w:tc>
          <w:tcPr>
            <w:tcW w:w="780" w:type="dxa"/>
            <w:tcBorders>
              <w:top w:val="nil"/>
              <w:left w:val="nil"/>
              <w:bottom w:val="nil"/>
              <w:right w:val="nil"/>
            </w:tcBorders>
            <w:shd w:val="clear" w:color="auto" w:fill="auto"/>
            <w:noWrap/>
            <w:vAlign w:val="bottom"/>
            <w:hideMark/>
          </w:tcPr>
          <w:p w:rsidR="005E0FB6" w:rsidRPr="005E0FB6" w:rsidRDefault="005E0FB6" w:rsidP="005E0FB6">
            <w:pPr>
              <w:keepNext/>
              <w:keepLines/>
              <w:tabs>
                <w:tab w:val="clear" w:pos="567"/>
              </w:tabs>
              <w:spacing w:after="0" w:line="240" w:lineRule="auto"/>
              <w:jc w:val="right"/>
              <w:rPr>
                <w:rFonts w:ascii="Calibri" w:eastAsia="Times New Roman" w:hAnsi="Calibri" w:cs="Times New Roman"/>
                <w:sz w:val="20"/>
                <w:szCs w:val="20"/>
                <w:lang w:eastAsia="en-AU"/>
              </w:rPr>
            </w:pPr>
            <w:r w:rsidRPr="005E0FB6">
              <w:rPr>
                <w:rFonts w:ascii="Calibri" w:eastAsia="Times New Roman" w:hAnsi="Calibri" w:cs="Times New Roman"/>
                <w:sz w:val="20"/>
                <w:szCs w:val="20"/>
                <w:lang w:eastAsia="en-AU"/>
              </w:rPr>
              <w:t xml:space="preserve"> 23</w:t>
            </w:r>
          </w:p>
        </w:tc>
        <w:tc>
          <w:tcPr>
            <w:tcW w:w="780" w:type="dxa"/>
            <w:tcBorders>
              <w:top w:val="nil"/>
              <w:left w:val="nil"/>
              <w:bottom w:val="nil"/>
              <w:right w:val="nil"/>
            </w:tcBorders>
            <w:shd w:val="clear" w:color="auto" w:fill="auto"/>
            <w:noWrap/>
            <w:vAlign w:val="bottom"/>
            <w:hideMark/>
          </w:tcPr>
          <w:p w:rsidR="005E0FB6" w:rsidRPr="005E0FB6" w:rsidRDefault="005E0FB6" w:rsidP="005E0FB6">
            <w:pPr>
              <w:keepNext/>
              <w:keepLines/>
              <w:tabs>
                <w:tab w:val="clear" w:pos="567"/>
              </w:tabs>
              <w:spacing w:after="0" w:line="240" w:lineRule="auto"/>
              <w:jc w:val="right"/>
              <w:rPr>
                <w:rFonts w:ascii="Calibri" w:eastAsia="Times New Roman" w:hAnsi="Calibri" w:cs="Times New Roman"/>
                <w:sz w:val="20"/>
                <w:szCs w:val="20"/>
                <w:lang w:eastAsia="en-AU"/>
              </w:rPr>
            </w:pPr>
            <w:r w:rsidRPr="005E0FB6">
              <w:rPr>
                <w:rFonts w:ascii="Calibri" w:eastAsia="Times New Roman" w:hAnsi="Calibri" w:cs="Times New Roman"/>
                <w:sz w:val="20"/>
                <w:szCs w:val="20"/>
                <w:lang w:eastAsia="en-AU"/>
              </w:rPr>
              <w:t xml:space="preserve"> 4</w:t>
            </w:r>
          </w:p>
        </w:tc>
        <w:tc>
          <w:tcPr>
            <w:tcW w:w="780" w:type="dxa"/>
            <w:tcBorders>
              <w:top w:val="nil"/>
              <w:left w:val="nil"/>
              <w:bottom w:val="nil"/>
              <w:right w:val="nil"/>
            </w:tcBorders>
            <w:shd w:val="clear" w:color="auto" w:fill="auto"/>
            <w:noWrap/>
            <w:vAlign w:val="bottom"/>
            <w:hideMark/>
          </w:tcPr>
          <w:p w:rsidR="005E0FB6" w:rsidRPr="005E0FB6" w:rsidRDefault="005E0FB6" w:rsidP="005E0FB6">
            <w:pPr>
              <w:keepNext/>
              <w:keepLines/>
              <w:tabs>
                <w:tab w:val="clear" w:pos="567"/>
              </w:tabs>
              <w:spacing w:after="0" w:line="240" w:lineRule="auto"/>
              <w:jc w:val="right"/>
              <w:rPr>
                <w:rFonts w:ascii="Calibri" w:eastAsia="Times New Roman" w:hAnsi="Calibri" w:cs="Times New Roman"/>
                <w:sz w:val="20"/>
                <w:szCs w:val="20"/>
                <w:lang w:eastAsia="en-AU"/>
              </w:rPr>
            </w:pPr>
            <w:r>
              <w:rPr>
                <w:rFonts w:ascii="Calibri" w:eastAsia="Times New Roman" w:hAnsi="Calibri" w:cs="Times New Roman"/>
                <w:sz w:val="20"/>
                <w:szCs w:val="20"/>
                <w:lang w:eastAsia="en-AU"/>
              </w:rPr>
              <w:t>-</w:t>
            </w:r>
            <w:r w:rsidRPr="005E0FB6">
              <w:rPr>
                <w:rFonts w:ascii="Calibri" w:eastAsia="Times New Roman" w:hAnsi="Calibri" w:cs="Times New Roman"/>
                <w:sz w:val="20"/>
                <w:szCs w:val="20"/>
                <w:lang w:eastAsia="en-AU"/>
              </w:rPr>
              <w:t>2</w:t>
            </w:r>
          </w:p>
        </w:tc>
        <w:tc>
          <w:tcPr>
            <w:tcW w:w="780" w:type="dxa"/>
            <w:tcBorders>
              <w:top w:val="nil"/>
              <w:left w:val="nil"/>
              <w:bottom w:val="nil"/>
              <w:right w:val="nil"/>
            </w:tcBorders>
            <w:shd w:val="clear" w:color="auto" w:fill="auto"/>
            <w:noWrap/>
            <w:vAlign w:val="bottom"/>
            <w:hideMark/>
          </w:tcPr>
          <w:p w:rsidR="005E0FB6" w:rsidRPr="005E0FB6" w:rsidRDefault="005E0FB6" w:rsidP="005E0FB6">
            <w:pPr>
              <w:keepNext/>
              <w:keepLines/>
              <w:tabs>
                <w:tab w:val="clear" w:pos="567"/>
              </w:tabs>
              <w:spacing w:after="0" w:line="240" w:lineRule="auto"/>
              <w:jc w:val="right"/>
              <w:rPr>
                <w:rFonts w:ascii="Calibri" w:eastAsia="Times New Roman" w:hAnsi="Calibri" w:cs="Times New Roman"/>
                <w:sz w:val="20"/>
                <w:szCs w:val="20"/>
                <w:lang w:eastAsia="en-AU"/>
              </w:rPr>
            </w:pPr>
            <w:r w:rsidRPr="005E0FB6">
              <w:rPr>
                <w:rFonts w:ascii="Calibri" w:eastAsia="Times New Roman" w:hAnsi="Calibri" w:cs="Times New Roman"/>
                <w:sz w:val="20"/>
                <w:szCs w:val="20"/>
                <w:lang w:eastAsia="en-AU"/>
              </w:rPr>
              <w:t xml:space="preserve"> 174</w:t>
            </w:r>
          </w:p>
        </w:tc>
      </w:tr>
      <w:tr w:rsidR="005E0FB6" w:rsidRPr="002932DE" w:rsidTr="002932DE">
        <w:trPr>
          <w:trHeight w:val="315"/>
        </w:trPr>
        <w:tc>
          <w:tcPr>
            <w:tcW w:w="1920" w:type="dxa"/>
            <w:tcBorders>
              <w:top w:val="nil"/>
              <w:left w:val="nil"/>
              <w:bottom w:val="single" w:sz="4" w:space="0" w:color="auto"/>
              <w:right w:val="nil"/>
            </w:tcBorders>
            <w:shd w:val="clear" w:color="auto" w:fill="auto"/>
            <w:noWrap/>
            <w:vAlign w:val="bottom"/>
            <w:hideMark/>
          </w:tcPr>
          <w:p w:rsidR="005E0FB6" w:rsidRPr="002932DE" w:rsidRDefault="005E0FB6" w:rsidP="002932DE">
            <w:pPr>
              <w:keepNext/>
              <w:keepLines/>
              <w:tabs>
                <w:tab w:val="clear" w:pos="567"/>
              </w:tabs>
              <w:spacing w:after="0" w:line="240" w:lineRule="auto"/>
              <w:rPr>
                <w:rFonts w:ascii="Calibri" w:eastAsia="Times New Roman" w:hAnsi="Calibri" w:cs="Times New Roman"/>
                <w:sz w:val="20"/>
                <w:szCs w:val="20"/>
                <w:lang w:eastAsia="en-AU"/>
              </w:rPr>
            </w:pPr>
            <w:r w:rsidRPr="002932DE">
              <w:rPr>
                <w:rFonts w:ascii="Calibri" w:eastAsia="Times New Roman" w:hAnsi="Calibri" w:cs="Times New Roman"/>
                <w:sz w:val="20"/>
                <w:szCs w:val="20"/>
                <w:lang w:eastAsia="en-AU"/>
              </w:rPr>
              <w:t>Dollars per capita</w:t>
            </w:r>
          </w:p>
        </w:tc>
        <w:tc>
          <w:tcPr>
            <w:tcW w:w="780" w:type="dxa"/>
            <w:tcBorders>
              <w:top w:val="nil"/>
              <w:left w:val="nil"/>
              <w:bottom w:val="single" w:sz="4" w:space="0" w:color="auto"/>
              <w:right w:val="nil"/>
            </w:tcBorders>
            <w:shd w:val="clear" w:color="auto" w:fill="auto"/>
            <w:noWrap/>
            <w:vAlign w:val="bottom"/>
            <w:hideMark/>
          </w:tcPr>
          <w:p w:rsidR="005E0FB6" w:rsidRPr="005E0FB6" w:rsidRDefault="005E0FB6" w:rsidP="005E0FB6">
            <w:pPr>
              <w:keepNext/>
              <w:keepLines/>
              <w:tabs>
                <w:tab w:val="clear" w:pos="567"/>
              </w:tabs>
              <w:spacing w:after="0" w:line="240" w:lineRule="auto"/>
              <w:jc w:val="right"/>
              <w:rPr>
                <w:rFonts w:ascii="Calibri" w:eastAsia="Times New Roman" w:hAnsi="Calibri" w:cs="Times New Roman"/>
                <w:sz w:val="20"/>
                <w:szCs w:val="20"/>
                <w:lang w:eastAsia="en-AU"/>
              </w:rPr>
            </w:pPr>
            <w:r w:rsidRPr="005E0FB6">
              <w:rPr>
                <w:rFonts w:ascii="Calibri" w:eastAsia="Times New Roman" w:hAnsi="Calibri" w:cs="Times New Roman"/>
                <w:sz w:val="20"/>
                <w:szCs w:val="20"/>
                <w:lang w:eastAsia="en-AU"/>
              </w:rPr>
              <w:t>-16</w:t>
            </w:r>
          </w:p>
        </w:tc>
        <w:tc>
          <w:tcPr>
            <w:tcW w:w="780" w:type="dxa"/>
            <w:tcBorders>
              <w:top w:val="nil"/>
              <w:left w:val="nil"/>
              <w:bottom w:val="single" w:sz="4" w:space="0" w:color="auto"/>
              <w:right w:val="nil"/>
            </w:tcBorders>
            <w:shd w:val="clear" w:color="auto" w:fill="auto"/>
            <w:noWrap/>
            <w:vAlign w:val="bottom"/>
            <w:hideMark/>
          </w:tcPr>
          <w:p w:rsidR="005E0FB6" w:rsidRPr="005E0FB6" w:rsidRDefault="005E0FB6" w:rsidP="005E0FB6">
            <w:pPr>
              <w:keepNext/>
              <w:keepLines/>
              <w:tabs>
                <w:tab w:val="clear" w:pos="567"/>
              </w:tabs>
              <w:spacing w:after="0" w:line="240" w:lineRule="auto"/>
              <w:jc w:val="right"/>
              <w:rPr>
                <w:rFonts w:ascii="Calibri" w:eastAsia="Times New Roman" w:hAnsi="Calibri" w:cs="Times New Roman"/>
                <w:sz w:val="20"/>
                <w:szCs w:val="20"/>
                <w:lang w:eastAsia="en-AU"/>
              </w:rPr>
            </w:pPr>
            <w:r w:rsidRPr="005E0FB6">
              <w:rPr>
                <w:rFonts w:ascii="Calibri" w:eastAsia="Times New Roman" w:hAnsi="Calibri" w:cs="Times New Roman"/>
                <w:sz w:val="20"/>
                <w:szCs w:val="20"/>
                <w:lang w:eastAsia="en-AU"/>
              </w:rPr>
              <w:t>19</w:t>
            </w:r>
          </w:p>
        </w:tc>
        <w:tc>
          <w:tcPr>
            <w:tcW w:w="780" w:type="dxa"/>
            <w:tcBorders>
              <w:top w:val="nil"/>
              <w:left w:val="nil"/>
              <w:bottom w:val="single" w:sz="4" w:space="0" w:color="auto"/>
              <w:right w:val="nil"/>
            </w:tcBorders>
            <w:shd w:val="clear" w:color="auto" w:fill="auto"/>
            <w:noWrap/>
            <w:vAlign w:val="bottom"/>
            <w:hideMark/>
          </w:tcPr>
          <w:p w:rsidR="005E0FB6" w:rsidRPr="005E0FB6" w:rsidRDefault="005E0FB6" w:rsidP="005E0FB6">
            <w:pPr>
              <w:keepNext/>
              <w:keepLines/>
              <w:tabs>
                <w:tab w:val="clear" w:pos="567"/>
              </w:tabs>
              <w:spacing w:after="0" w:line="240" w:lineRule="auto"/>
              <w:jc w:val="right"/>
              <w:rPr>
                <w:rFonts w:ascii="Calibri" w:eastAsia="Times New Roman" w:hAnsi="Calibri" w:cs="Times New Roman"/>
                <w:sz w:val="20"/>
                <w:szCs w:val="20"/>
                <w:lang w:eastAsia="en-AU"/>
              </w:rPr>
            </w:pPr>
            <w:r w:rsidRPr="005E0FB6">
              <w:rPr>
                <w:rFonts w:ascii="Calibri" w:eastAsia="Times New Roman" w:hAnsi="Calibri" w:cs="Times New Roman"/>
                <w:sz w:val="20"/>
                <w:szCs w:val="20"/>
                <w:lang w:eastAsia="en-AU"/>
              </w:rPr>
              <w:t>3</w:t>
            </w:r>
          </w:p>
        </w:tc>
        <w:tc>
          <w:tcPr>
            <w:tcW w:w="780" w:type="dxa"/>
            <w:tcBorders>
              <w:top w:val="nil"/>
              <w:left w:val="nil"/>
              <w:bottom w:val="single" w:sz="4" w:space="0" w:color="auto"/>
              <w:right w:val="nil"/>
            </w:tcBorders>
            <w:shd w:val="clear" w:color="auto" w:fill="auto"/>
            <w:noWrap/>
            <w:vAlign w:val="bottom"/>
            <w:hideMark/>
          </w:tcPr>
          <w:p w:rsidR="005E0FB6" w:rsidRPr="005E0FB6" w:rsidRDefault="005E0FB6" w:rsidP="005E0FB6">
            <w:pPr>
              <w:keepNext/>
              <w:keepLines/>
              <w:tabs>
                <w:tab w:val="clear" w:pos="567"/>
              </w:tabs>
              <w:spacing w:after="0" w:line="240" w:lineRule="auto"/>
              <w:jc w:val="right"/>
              <w:rPr>
                <w:rFonts w:ascii="Calibri" w:eastAsia="Times New Roman" w:hAnsi="Calibri" w:cs="Times New Roman"/>
                <w:sz w:val="20"/>
                <w:szCs w:val="20"/>
                <w:lang w:eastAsia="en-AU"/>
              </w:rPr>
            </w:pPr>
            <w:r w:rsidRPr="005E0FB6">
              <w:rPr>
                <w:rFonts w:ascii="Calibri" w:eastAsia="Times New Roman" w:hAnsi="Calibri" w:cs="Times New Roman"/>
                <w:sz w:val="20"/>
                <w:szCs w:val="20"/>
                <w:lang w:eastAsia="en-AU"/>
              </w:rPr>
              <w:t>3</w:t>
            </w:r>
          </w:p>
        </w:tc>
        <w:tc>
          <w:tcPr>
            <w:tcW w:w="780" w:type="dxa"/>
            <w:tcBorders>
              <w:top w:val="nil"/>
              <w:left w:val="nil"/>
              <w:bottom w:val="single" w:sz="4" w:space="0" w:color="auto"/>
              <w:right w:val="nil"/>
            </w:tcBorders>
            <w:shd w:val="clear" w:color="auto" w:fill="auto"/>
            <w:noWrap/>
            <w:vAlign w:val="bottom"/>
            <w:hideMark/>
          </w:tcPr>
          <w:p w:rsidR="005E0FB6" w:rsidRPr="005E0FB6" w:rsidRDefault="005E0FB6" w:rsidP="005E0FB6">
            <w:pPr>
              <w:keepNext/>
              <w:keepLines/>
              <w:tabs>
                <w:tab w:val="clear" w:pos="567"/>
              </w:tabs>
              <w:spacing w:after="0" w:line="240" w:lineRule="auto"/>
              <w:jc w:val="right"/>
              <w:rPr>
                <w:rFonts w:ascii="Calibri" w:eastAsia="Times New Roman" w:hAnsi="Calibri" w:cs="Times New Roman"/>
                <w:sz w:val="20"/>
                <w:szCs w:val="20"/>
                <w:lang w:eastAsia="en-AU"/>
              </w:rPr>
            </w:pPr>
            <w:r w:rsidRPr="005E0FB6">
              <w:rPr>
                <w:rFonts w:ascii="Calibri" w:eastAsia="Times New Roman" w:hAnsi="Calibri" w:cs="Times New Roman"/>
                <w:sz w:val="20"/>
                <w:szCs w:val="20"/>
                <w:lang w:eastAsia="en-AU"/>
              </w:rPr>
              <w:t>-26</w:t>
            </w:r>
          </w:p>
        </w:tc>
        <w:tc>
          <w:tcPr>
            <w:tcW w:w="780" w:type="dxa"/>
            <w:tcBorders>
              <w:top w:val="nil"/>
              <w:left w:val="nil"/>
              <w:bottom w:val="single" w:sz="4" w:space="0" w:color="auto"/>
              <w:right w:val="nil"/>
            </w:tcBorders>
            <w:shd w:val="clear" w:color="auto" w:fill="auto"/>
            <w:noWrap/>
            <w:vAlign w:val="bottom"/>
            <w:hideMark/>
          </w:tcPr>
          <w:p w:rsidR="005E0FB6" w:rsidRPr="005E0FB6" w:rsidRDefault="005E0FB6" w:rsidP="005E0FB6">
            <w:pPr>
              <w:keepNext/>
              <w:keepLines/>
              <w:tabs>
                <w:tab w:val="clear" w:pos="567"/>
              </w:tabs>
              <w:spacing w:after="0" w:line="240" w:lineRule="auto"/>
              <w:jc w:val="right"/>
              <w:rPr>
                <w:rFonts w:ascii="Calibri" w:eastAsia="Times New Roman" w:hAnsi="Calibri" w:cs="Times New Roman"/>
                <w:sz w:val="20"/>
                <w:szCs w:val="20"/>
                <w:lang w:eastAsia="en-AU"/>
              </w:rPr>
            </w:pPr>
            <w:r w:rsidRPr="005E0FB6">
              <w:rPr>
                <w:rFonts w:ascii="Calibri" w:eastAsia="Times New Roman" w:hAnsi="Calibri" w:cs="Times New Roman"/>
                <w:sz w:val="20"/>
                <w:szCs w:val="20"/>
                <w:lang w:eastAsia="en-AU"/>
              </w:rPr>
              <w:t>44</w:t>
            </w:r>
          </w:p>
        </w:tc>
        <w:tc>
          <w:tcPr>
            <w:tcW w:w="780" w:type="dxa"/>
            <w:tcBorders>
              <w:top w:val="nil"/>
              <w:left w:val="nil"/>
              <w:bottom w:val="single" w:sz="4" w:space="0" w:color="auto"/>
              <w:right w:val="nil"/>
            </w:tcBorders>
            <w:shd w:val="clear" w:color="auto" w:fill="auto"/>
            <w:noWrap/>
            <w:vAlign w:val="bottom"/>
            <w:hideMark/>
          </w:tcPr>
          <w:p w:rsidR="005E0FB6" w:rsidRPr="005E0FB6" w:rsidRDefault="005E0FB6" w:rsidP="005E0FB6">
            <w:pPr>
              <w:keepNext/>
              <w:keepLines/>
              <w:tabs>
                <w:tab w:val="clear" w:pos="567"/>
              </w:tabs>
              <w:spacing w:after="0" w:line="240" w:lineRule="auto"/>
              <w:jc w:val="right"/>
              <w:rPr>
                <w:rFonts w:ascii="Calibri" w:eastAsia="Times New Roman" w:hAnsi="Calibri" w:cs="Times New Roman"/>
                <w:sz w:val="20"/>
                <w:szCs w:val="20"/>
                <w:lang w:eastAsia="en-AU"/>
              </w:rPr>
            </w:pPr>
            <w:r w:rsidRPr="005E0FB6">
              <w:rPr>
                <w:rFonts w:ascii="Calibri" w:eastAsia="Times New Roman" w:hAnsi="Calibri" w:cs="Times New Roman"/>
                <w:sz w:val="20"/>
                <w:szCs w:val="20"/>
                <w:lang w:eastAsia="en-AU"/>
              </w:rPr>
              <w:t>9</w:t>
            </w:r>
          </w:p>
        </w:tc>
        <w:tc>
          <w:tcPr>
            <w:tcW w:w="780" w:type="dxa"/>
            <w:tcBorders>
              <w:top w:val="nil"/>
              <w:left w:val="nil"/>
              <w:bottom w:val="single" w:sz="4" w:space="0" w:color="auto"/>
              <w:right w:val="nil"/>
            </w:tcBorders>
            <w:shd w:val="clear" w:color="auto" w:fill="auto"/>
            <w:noWrap/>
            <w:vAlign w:val="bottom"/>
            <w:hideMark/>
          </w:tcPr>
          <w:p w:rsidR="005E0FB6" w:rsidRPr="005E0FB6" w:rsidRDefault="005E0FB6" w:rsidP="005E0FB6">
            <w:pPr>
              <w:keepNext/>
              <w:keepLines/>
              <w:tabs>
                <w:tab w:val="clear" w:pos="567"/>
              </w:tabs>
              <w:spacing w:after="0" w:line="240" w:lineRule="auto"/>
              <w:jc w:val="right"/>
              <w:rPr>
                <w:rFonts w:ascii="Calibri" w:eastAsia="Times New Roman" w:hAnsi="Calibri" w:cs="Times New Roman"/>
                <w:sz w:val="20"/>
                <w:szCs w:val="20"/>
                <w:lang w:eastAsia="en-AU"/>
              </w:rPr>
            </w:pPr>
            <w:r w:rsidRPr="005E0FB6">
              <w:rPr>
                <w:rFonts w:ascii="Calibri" w:eastAsia="Times New Roman" w:hAnsi="Calibri" w:cs="Times New Roman"/>
                <w:sz w:val="20"/>
                <w:szCs w:val="20"/>
                <w:lang w:eastAsia="en-AU"/>
              </w:rPr>
              <w:t>-9</w:t>
            </w:r>
          </w:p>
        </w:tc>
        <w:tc>
          <w:tcPr>
            <w:tcW w:w="780" w:type="dxa"/>
            <w:tcBorders>
              <w:top w:val="nil"/>
              <w:left w:val="nil"/>
              <w:bottom w:val="single" w:sz="4" w:space="0" w:color="auto"/>
              <w:right w:val="nil"/>
            </w:tcBorders>
            <w:shd w:val="clear" w:color="auto" w:fill="auto"/>
            <w:noWrap/>
            <w:vAlign w:val="bottom"/>
            <w:hideMark/>
          </w:tcPr>
          <w:p w:rsidR="005E0FB6" w:rsidRPr="005E0FB6" w:rsidRDefault="005E0FB6" w:rsidP="005E0FB6">
            <w:pPr>
              <w:keepNext/>
              <w:keepLines/>
              <w:tabs>
                <w:tab w:val="clear" w:pos="567"/>
              </w:tabs>
              <w:spacing w:after="0" w:line="240" w:lineRule="auto"/>
              <w:jc w:val="right"/>
              <w:rPr>
                <w:rFonts w:ascii="Calibri" w:eastAsia="Times New Roman" w:hAnsi="Calibri" w:cs="Times New Roman"/>
                <w:sz w:val="20"/>
                <w:szCs w:val="20"/>
                <w:lang w:eastAsia="en-AU"/>
              </w:rPr>
            </w:pPr>
            <w:r w:rsidRPr="005E0FB6">
              <w:rPr>
                <w:rFonts w:ascii="Calibri" w:eastAsia="Times New Roman" w:hAnsi="Calibri" w:cs="Times New Roman"/>
                <w:sz w:val="20"/>
                <w:szCs w:val="20"/>
                <w:lang w:eastAsia="en-AU"/>
              </w:rPr>
              <w:t>7</w:t>
            </w:r>
          </w:p>
        </w:tc>
      </w:tr>
    </w:tbl>
    <w:p w:rsidR="00A27640" w:rsidRDefault="00A27640" w:rsidP="002932DE">
      <w:pPr>
        <w:pStyle w:val="CGCTableFootnote"/>
        <w:keepNext/>
        <w:keepLines/>
      </w:pPr>
      <w:r>
        <w:t>Source:</w:t>
      </w:r>
      <w:r>
        <w:tab/>
        <w:t>201</w:t>
      </w:r>
      <w:r w:rsidR="005E0FB6">
        <w:t>8</w:t>
      </w:r>
      <w:r>
        <w:t> Update.</w:t>
      </w:r>
    </w:p>
    <w:p w:rsidR="00A27640" w:rsidRPr="00FF0FE2" w:rsidRDefault="00A27640" w:rsidP="002932DE">
      <w:pPr>
        <w:pStyle w:val="Heading3"/>
        <w:keepLines/>
        <w:rPr>
          <w:szCs w:val="24"/>
        </w:rPr>
      </w:pPr>
      <w:bookmarkStart w:id="10" w:name="_Toc511636040"/>
      <w:r>
        <w:t>Issues and analysis</w:t>
      </w:r>
      <w:bookmarkEnd w:id="10"/>
    </w:p>
    <w:p w:rsidR="005B537C" w:rsidRDefault="00F02008" w:rsidP="006F0244">
      <w:pPr>
        <w:pStyle w:val="CGCNumberedPara"/>
      </w:pPr>
      <w:r>
        <w:t xml:space="preserve">This assessment does not need to be changed. It is achieving HFE. However, it could be simplified by treating </w:t>
      </w:r>
      <w:r w:rsidR="00B83A78">
        <w:t xml:space="preserve">insurance based </w:t>
      </w:r>
      <w:proofErr w:type="spellStart"/>
      <w:r>
        <w:t>FESLs</w:t>
      </w:r>
      <w:proofErr w:type="spellEnd"/>
      <w:r>
        <w:t>, life insurance and workers</w:t>
      </w:r>
      <w:r w:rsidR="007721F0">
        <w:t>’</w:t>
      </w:r>
      <w:r>
        <w:t xml:space="preserve"> compensation insurance consistently</w:t>
      </w:r>
      <w:r w:rsidR="000B70AA">
        <w:t>.</w:t>
      </w:r>
      <w:r>
        <w:t xml:space="preserve"> </w:t>
      </w:r>
      <w:r w:rsidR="005B537C">
        <w:t>Revenue from these three sources could be assessed:</w:t>
      </w:r>
      <w:r>
        <w:t xml:space="preserve"> </w:t>
      </w:r>
    </w:p>
    <w:p w:rsidR="00F02008" w:rsidRDefault="005B537C" w:rsidP="005B537C">
      <w:pPr>
        <w:pStyle w:val="CGCBulletlist"/>
      </w:pPr>
      <w:r>
        <w:t>using the</w:t>
      </w:r>
      <w:r w:rsidR="00F02008">
        <w:t xml:space="preserve"> general insurance revenue base</w:t>
      </w:r>
      <w:r>
        <w:t xml:space="preserve"> (as is currently the case with </w:t>
      </w:r>
      <w:r w:rsidR="005A0B8E">
        <w:t xml:space="preserve">insurance based </w:t>
      </w:r>
      <w:proofErr w:type="spellStart"/>
      <w:r>
        <w:t>FESLs</w:t>
      </w:r>
      <w:proofErr w:type="spellEnd"/>
      <w:r>
        <w:t xml:space="preserve"> and life insurance)</w:t>
      </w:r>
    </w:p>
    <w:p w:rsidR="005B537C" w:rsidRDefault="00656503" w:rsidP="005B537C">
      <w:pPr>
        <w:pStyle w:val="CGCBulletlist"/>
      </w:pPr>
      <w:r>
        <w:t xml:space="preserve">EPC </w:t>
      </w:r>
      <w:r w:rsidR="005B537C">
        <w:t>(as is currently the case for workers’ compensation).</w:t>
      </w:r>
    </w:p>
    <w:p w:rsidR="005B537C" w:rsidRDefault="005B537C" w:rsidP="006F0244">
      <w:pPr>
        <w:pStyle w:val="CGCNumberedPara"/>
      </w:pPr>
      <w:r>
        <w:t xml:space="preserve">Neither of these treatments would be materially different to the current assessment. If the Commission were to assess these </w:t>
      </w:r>
      <w:r w:rsidR="00656503">
        <w:t>EPC</w:t>
      </w:r>
      <w:r>
        <w:t xml:space="preserve">, it could do so in a </w:t>
      </w:r>
      <w:r w:rsidR="003E75D7">
        <w:t xml:space="preserve">separate </w:t>
      </w:r>
      <w:r>
        <w:t>component within the category.</w:t>
      </w:r>
    </w:p>
    <w:p w:rsidR="003E75D7" w:rsidRDefault="003E75D7" w:rsidP="006F0244">
      <w:pPr>
        <w:pStyle w:val="CGCNumberedPara"/>
      </w:pPr>
      <w:r>
        <w:t xml:space="preserve">The Commission does not have data on life insurance tax revenue for the States that currently impose the tax. It would need data from those States if it were to move life insurance tax to an </w:t>
      </w:r>
      <w:r w:rsidR="00656503">
        <w:t xml:space="preserve">EPC </w:t>
      </w:r>
      <w:r>
        <w:t xml:space="preserve">component. </w:t>
      </w:r>
      <w:r w:rsidR="00532F81">
        <w:t xml:space="preserve">On practicality grounds, life insurance tax revenue is currently assessed using the general insurance revenue base. </w:t>
      </w:r>
      <w:r w:rsidR="00CA638C">
        <w:t xml:space="preserve">Commission </w:t>
      </w:r>
      <w:proofErr w:type="gramStart"/>
      <w:r w:rsidR="00CA638C">
        <w:t>staff propose</w:t>
      </w:r>
      <w:proofErr w:type="gramEnd"/>
      <w:r w:rsidR="00CA638C">
        <w:t xml:space="preserve"> that that treatment should be continued. </w:t>
      </w:r>
      <w:r>
        <w:t>Treatment of the other two revenues is considered below.</w:t>
      </w:r>
    </w:p>
    <w:p w:rsidR="006F0244" w:rsidRDefault="00387FE4" w:rsidP="006F0244">
      <w:pPr>
        <w:pStyle w:val="Heading4"/>
      </w:pPr>
      <w:bookmarkStart w:id="11" w:name="_Toc511636041"/>
      <w:r>
        <w:t xml:space="preserve">Treatment of </w:t>
      </w:r>
      <w:r w:rsidR="00B54F0C">
        <w:t>insurance based</w:t>
      </w:r>
      <w:r>
        <w:t xml:space="preserve"> </w:t>
      </w:r>
      <w:proofErr w:type="spellStart"/>
      <w:r w:rsidR="00E04C37">
        <w:t>FESL</w:t>
      </w:r>
      <w:r w:rsidR="00B54F0C">
        <w:t>s</w:t>
      </w:r>
      <w:bookmarkEnd w:id="11"/>
      <w:proofErr w:type="spellEnd"/>
    </w:p>
    <w:p w:rsidR="00FE4F53" w:rsidRDefault="00FE4F53" w:rsidP="006F0244">
      <w:pPr>
        <w:pStyle w:val="CGCNumberedPara"/>
      </w:pPr>
      <w:r>
        <w:t xml:space="preserve">Two States (New South Wales and Tasmania) levy insurance based </w:t>
      </w:r>
      <w:proofErr w:type="spellStart"/>
      <w:r>
        <w:t>FESLs</w:t>
      </w:r>
      <w:proofErr w:type="spellEnd"/>
      <w:r>
        <w:t xml:space="preserve">. Other States impose </w:t>
      </w:r>
      <w:proofErr w:type="spellStart"/>
      <w:r>
        <w:t>FESLs</w:t>
      </w:r>
      <w:proofErr w:type="spellEnd"/>
      <w:r>
        <w:t xml:space="preserve"> on property or motor vehicles</w:t>
      </w:r>
      <w:r w:rsidR="001231ED">
        <w:t>.</w:t>
      </w:r>
      <w:r w:rsidR="005A0B8E">
        <w:t xml:space="preserve"> The Commission staff view is that the treatment of </w:t>
      </w:r>
      <w:proofErr w:type="spellStart"/>
      <w:r w:rsidR="005A0B8E">
        <w:t>FESLs</w:t>
      </w:r>
      <w:proofErr w:type="spellEnd"/>
      <w:r w:rsidR="005A0B8E">
        <w:t xml:space="preserve"> on the three bases should be considered as a single issue. A fuller discussion of the proposed treatment</w:t>
      </w:r>
      <w:r w:rsidR="00173E04">
        <w:t xml:space="preserve"> of</w:t>
      </w:r>
      <w:r w:rsidR="005A0B8E">
        <w:t xml:space="preserve"> </w:t>
      </w:r>
      <w:proofErr w:type="spellStart"/>
      <w:r w:rsidR="005A0B8E">
        <w:t>FESLs</w:t>
      </w:r>
      <w:proofErr w:type="spellEnd"/>
      <w:r w:rsidR="005A0B8E">
        <w:t xml:space="preserve"> can be found in the Draft Assessment for Land Tax.</w:t>
      </w:r>
    </w:p>
    <w:p w:rsidR="001231ED" w:rsidRDefault="001231ED" w:rsidP="006F0244">
      <w:pPr>
        <w:pStyle w:val="CGCNumberedPara"/>
      </w:pPr>
      <w:r>
        <w:lastRenderedPageBreak/>
        <w:t xml:space="preserve">Under its approach to </w:t>
      </w:r>
      <w:r w:rsidR="00FE4F53">
        <w:t>average policy adopted in the 2015 Review</w:t>
      </w:r>
      <w:r>
        <w:t>, the Commission</w:t>
      </w:r>
      <w:r w:rsidR="00FE4F53">
        <w:t xml:space="preserve"> </w:t>
      </w:r>
      <w:r>
        <w:t xml:space="preserve">combined revenues that were taxed on the same basis. The hypothecation of </w:t>
      </w:r>
      <w:proofErr w:type="spellStart"/>
      <w:r>
        <w:t>FESL</w:t>
      </w:r>
      <w:proofErr w:type="spellEnd"/>
      <w:r>
        <w:t xml:space="preserve"> revenue to fire and emergency services was not a factor in how the Commission assessed revenue capacity. The Commission assessed </w:t>
      </w:r>
      <w:r w:rsidR="00FE4F53">
        <w:t xml:space="preserve">insurance based </w:t>
      </w:r>
      <w:proofErr w:type="spellStart"/>
      <w:r w:rsidR="00FE4F53">
        <w:t>FESLs</w:t>
      </w:r>
      <w:proofErr w:type="spellEnd"/>
      <w:r w:rsidR="00FE4F53">
        <w:t xml:space="preserve"> </w:t>
      </w:r>
      <w:r>
        <w:t>in the Insurance tax category, since they were raised on a similar basis to other insurance taxes.</w:t>
      </w:r>
    </w:p>
    <w:p w:rsidR="00FE4F53" w:rsidRDefault="00FE4F53" w:rsidP="006F0244">
      <w:pPr>
        <w:pStyle w:val="CGCNumberedPara"/>
      </w:pPr>
      <w:r>
        <w:t xml:space="preserve">As the Commission is retaining this </w:t>
      </w:r>
      <w:r w:rsidR="0002292F">
        <w:t>approach to average policy</w:t>
      </w:r>
      <w:r>
        <w:t xml:space="preserve"> in the 2020 Review, Commission </w:t>
      </w:r>
      <w:proofErr w:type="gramStart"/>
      <w:r>
        <w:t>staff propose</w:t>
      </w:r>
      <w:proofErr w:type="gramEnd"/>
      <w:r>
        <w:t xml:space="preserve"> to continue to assess insurance based </w:t>
      </w:r>
      <w:proofErr w:type="spellStart"/>
      <w:r>
        <w:t>FESLs</w:t>
      </w:r>
      <w:proofErr w:type="spellEnd"/>
      <w:r>
        <w:t xml:space="preserve"> in the Insurance tax category.</w:t>
      </w:r>
      <w:r w:rsidR="001231ED">
        <w:t xml:space="preserve"> </w:t>
      </w:r>
    </w:p>
    <w:p w:rsidR="00AD3A1A" w:rsidRDefault="00AD3A1A" w:rsidP="00AD3A1A">
      <w:pPr>
        <w:pStyle w:val="Heading4"/>
      </w:pPr>
      <w:bookmarkStart w:id="12" w:name="_Toc511636042"/>
      <w:r>
        <w:t xml:space="preserve">Treatment of </w:t>
      </w:r>
      <w:r w:rsidR="00B54F0C">
        <w:t>duty on worker</w:t>
      </w:r>
      <w:r>
        <w:t>s</w:t>
      </w:r>
      <w:r w:rsidR="00B54F0C">
        <w:t>’</w:t>
      </w:r>
      <w:r>
        <w:t xml:space="preserve"> </w:t>
      </w:r>
      <w:r w:rsidR="00B54F0C">
        <w:t>c</w:t>
      </w:r>
      <w:r>
        <w:t xml:space="preserve">ompensation </w:t>
      </w:r>
      <w:r w:rsidR="00B54F0C">
        <w:t>insurance</w:t>
      </w:r>
      <w:bookmarkEnd w:id="12"/>
    </w:p>
    <w:p w:rsidR="004D64CB" w:rsidRDefault="00BC62EF" w:rsidP="00AD3A1A">
      <w:pPr>
        <w:pStyle w:val="CGCNumberedPara"/>
      </w:pPr>
      <w:r>
        <w:t xml:space="preserve">Two States </w:t>
      </w:r>
      <w:r w:rsidR="00326734">
        <w:t xml:space="preserve">(Queensland and South Australia) </w:t>
      </w:r>
      <w:r>
        <w:t>impose duty on workers</w:t>
      </w:r>
      <w:r w:rsidR="00326734">
        <w:t>’</w:t>
      </w:r>
      <w:r>
        <w:t xml:space="preserve"> compensation premiums. </w:t>
      </w:r>
      <w:r w:rsidR="004D64CB">
        <w:t>Queensland taxes these premiums at a concessional rate of 5% and South</w:t>
      </w:r>
      <w:r w:rsidR="0005450C">
        <w:t> </w:t>
      </w:r>
      <w:r w:rsidR="004D64CB">
        <w:t>Australia allows an exemption for workers’ compensation in relation to employees under the age of 25.</w:t>
      </w:r>
      <w:r w:rsidR="009E55D9">
        <w:rPr>
          <w:rStyle w:val="FootnoteReference"/>
        </w:rPr>
        <w:footnoteReference w:id="11"/>
      </w:r>
    </w:p>
    <w:p w:rsidR="00F258DA" w:rsidRDefault="00F258DA" w:rsidP="00F258DA">
      <w:pPr>
        <w:pStyle w:val="CGCNumberedPara"/>
      </w:pPr>
      <w:r>
        <w:t xml:space="preserve">Workers’ compensation premiums represent some 20% of all insurance premiums, but the duty raised on these represents </w:t>
      </w:r>
      <w:r w:rsidR="008A596C">
        <w:t>less than</w:t>
      </w:r>
      <w:r>
        <w:t xml:space="preserve"> 2% of total insurance tax revenue. Including</w:t>
      </w:r>
      <w:r w:rsidR="00C97525">
        <w:t xml:space="preserve"> workers’ compensation premiums in the </w:t>
      </w:r>
      <w:r w:rsidR="00937B93">
        <w:t xml:space="preserve">revenue </w:t>
      </w:r>
      <w:r w:rsidR="00C97525">
        <w:t xml:space="preserve">base is likely to </w:t>
      </w:r>
      <w:r w:rsidR="00937B93">
        <w:t xml:space="preserve">misrepresent </w:t>
      </w:r>
      <w:r w:rsidR="00C97525">
        <w:t xml:space="preserve">States’ </w:t>
      </w:r>
      <w:r w:rsidR="00937B93">
        <w:t xml:space="preserve">revenue </w:t>
      </w:r>
      <w:r w:rsidR="008A596C">
        <w:t xml:space="preserve">raising </w:t>
      </w:r>
      <w:r w:rsidR="00937B93">
        <w:t>capacities</w:t>
      </w:r>
      <w:r w:rsidR="00C97525">
        <w:t>.</w:t>
      </w:r>
    </w:p>
    <w:p w:rsidR="00BC62EF" w:rsidRDefault="0006681D" w:rsidP="00AD3A1A">
      <w:pPr>
        <w:pStyle w:val="CGCNumberedPara"/>
      </w:pPr>
      <w:r>
        <w:t>A separate assessment</w:t>
      </w:r>
      <w:r w:rsidR="005477F6">
        <w:t xml:space="preserve"> of workers’ compensation duty</w:t>
      </w:r>
      <w:r>
        <w:t xml:space="preserve"> is not material</w:t>
      </w:r>
      <w:r w:rsidR="00532F81">
        <w:t xml:space="preserve"> at the $30 per capita threshold.</w:t>
      </w:r>
      <w:r>
        <w:t xml:space="preserve"> </w:t>
      </w:r>
      <w:r w:rsidR="005477F6">
        <w:t>Workers’ compensation duty</w:t>
      </w:r>
      <w:r w:rsidR="00532F81">
        <w:t xml:space="preserve"> </w:t>
      </w:r>
      <w:r w:rsidR="005477F6">
        <w:t xml:space="preserve">is </w:t>
      </w:r>
      <w:r w:rsidR="00532F81">
        <w:t xml:space="preserve">raised on a similar basis to other insurance taxes. </w:t>
      </w:r>
      <w:r w:rsidR="005477F6">
        <w:t>A</w:t>
      </w:r>
      <w:r>
        <w:t xml:space="preserve">ssessing </w:t>
      </w:r>
      <w:r w:rsidR="005477F6">
        <w:t xml:space="preserve">the revenue raised </w:t>
      </w:r>
      <w:r>
        <w:t xml:space="preserve">with </w:t>
      </w:r>
      <w:r w:rsidR="005477F6">
        <w:t xml:space="preserve">the general </w:t>
      </w:r>
      <w:r>
        <w:t xml:space="preserve">insurance </w:t>
      </w:r>
      <w:r w:rsidR="005477F6">
        <w:t>revenue base is not materially different from assessing it EPC</w:t>
      </w:r>
      <w:r>
        <w:t xml:space="preserve">. </w:t>
      </w:r>
      <w:r w:rsidR="005477F6">
        <w:t xml:space="preserve">On simplicity grounds, Commission </w:t>
      </w:r>
      <w:proofErr w:type="gramStart"/>
      <w:r w:rsidR="005477F6">
        <w:t>staff propose</w:t>
      </w:r>
      <w:proofErr w:type="gramEnd"/>
      <w:r w:rsidR="005477F6">
        <w:t xml:space="preserve"> to </w:t>
      </w:r>
      <w:r>
        <w:t xml:space="preserve">leave </w:t>
      </w:r>
      <w:r w:rsidR="009524BA">
        <w:t xml:space="preserve">the revenue from </w:t>
      </w:r>
      <w:r w:rsidR="005477F6">
        <w:t xml:space="preserve">workers’ compensation duty </w:t>
      </w:r>
      <w:r>
        <w:t>in the insurance tax category and assess it using the general insurance revenue base.</w:t>
      </w:r>
      <w:r w:rsidR="00BC62EF">
        <w:t xml:space="preserve"> </w:t>
      </w:r>
    </w:p>
    <w:p w:rsidR="006F0244" w:rsidRPr="00E674AF" w:rsidRDefault="006F0244" w:rsidP="002932DE">
      <w:pPr>
        <w:pStyle w:val="Heading4"/>
        <w:keepLines/>
      </w:pPr>
      <w:bookmarkStart w:id="13" w:name="_Toc511636043"/>
      <w:r w:rsidRPr="00E674AF">
        <w:t>Recommendations</w:t>
      </w:r>
      <w:bookmarkEnd w:id="13"/>
      <w:r w:rsidR="00B6411F">
        <w:t xml:space="preserve"> </w:t>
      </w:r>
    </w:p>
    <w:tbl>
      <w:tblPr>
        <w:tblW w:w="0" w:type="auto"/>
        <w:tblInd w:w="108" w:type="dxa"/>
        <w:shd w:val="clear" w:color="auto" w:fill="D9F3E6"/>
        <w:tblLook w:val="0000" w:firstRow="0" w:lastRow="0" w:firstColumn="0" w:lastColumn="0" w:noHBand="0" w:noVBand="0"/>
      </w:tblPr>
      <w:tblGrid>
        <w:gridCol w:w="8931"/>
      </w:tblGrid>
      <w:tr w:rsidR="006F0244" w:rsidRPr="00E674AF" w:rsidTr="00B15C94">
        <w:tc>
          <w:tcPr>
            <w:tcW w:w="8931" w:type="dxa"/>
            <w:shd w:val="clear" w:color="auto" w:fill="D9F3E6"/>
          </w:tcPr>
          <w:p w:rsidR="006F0244" w:rsidRPr="00E674AF" w:rsidRDefault="006F0244" w:rsidP="002932DE">
            <w:pPr>
              <w:keepNext/>
              <w:keepLines/>
              <w:tabs>
                <w:tab w:val="clear" w:pos="567"/>
              </w:tabs>
              <w:rPr>
                <w:bCs/>
              </w:rPr>
            </w:pPr>
            <w:r w:rsidRPr="00E674AF">
              <w:rPr>
                <w:bCs/>
              </w:rPr>
              <w:t xml:space="preserve">Staff </w:t>
            </w:r>
            <w:r>
              <w:rPr>
                <w:bCs/>
              </w:rPr>
              <w:t xml:space="preserve">propose to </w:t>
            </w:r>
            <w:r w:rsidRPr="00E674AF">
              <w:rPr>
                <w:bCs/>
              </w:rPr>
              <w:t xml:space="preserve">recommend the </w:t>
            </w:r>
            <w:r>
              <w:rPr>
                <w:bCs/>
              </w:rPr>
              <w:t>Commission</w:t>
            </w:r>
            <w:r w:rsidR="00223C57">
              <w:rPr>
                <w:bCs/>
              </w:rPr>
              <w:t>:</w:t>
            </w:r>
          </w:p>
          <w:p w:rsidR="006F0244" w:rsidRPr="00E674AF" w:rsidRDefault="00326734" w:rsidP="00594B9C">
            <w:pPr>
              <w:pStyle w:val="CGCBulletlist"/>
              <w:keepNext/>
              <w:keepLines/>
              <w:numPr>
                <w:ilvl w:val="0"/>
                <w:numId w:val="1"/>
              </w:numPr>
              <w:tabs>
                <w:tab w:val="clear" w:pos="927"/>
                <w:tab w:val="clear" w:pos="1134"/>
              </w:tabs>
              <w:ind w:left="1134" w:hanging="567"/>
            </w:pPr>
            <w:proofErr w:type="gramStart"/>
            <w:r>
              <w:t>retai</w:t>
            </w:r>
            <w:r w:rsidRPr="005F619F">
              <w:t>n</w:t>
            </w:r>
            <w:proofErr w:type="gramEnd"/>
            <w:r w:rsidRPr="005F619F">
              <w:t xml:space="preserve"> the 2015 Review insurance tax assessment</w:t>
            </w:r>
            <w:r w:rsidR="009524BA" w:rsidRPr="005F619F">
              <w:t xml:space="preserve">, </w:t>
            </w:r>
            <w:r w:rsidR="005F619F" w:rsidRPr="005F619F">
              <w:t>but include workers’ compensation duty in the category and assess it using the general insurance base</w:t>
            </w:r>
            <w:r w:rsidR="009407D4">
              <w:t>.</w:t>
            </w:r>
          </w:p>
        </w:tc>
      </w:tr>
    </w:tbl>
    <w:p w:rsidR="00FF0FE2" w:rsidRDefault="006F0244" w:rsidP="00FF0FE2">
      <w:pPr>
        <w:pStyle w:val="Heading4"/>
      </w:pPr>
      <w:bookmarkStart w:id="14" w:name="_Toc511636044"/>
      <w:r>
        <w:t>Other i</w:t>
      </w:r>
      <w:r w:rsidR="00FF0FE2">
        <w:t>ssue</w:t>
      </w:r>
      <w:r>
        <w:t>s</w:t>
      </w:r>
      <w:r w:rsidR="009407D4">
        <w:t xml:space="preserve"> considered</w:t>
      </w:r>
      <w:bookmarkEnd w:id="14"/>
    </w:p>
    <w:p w:rsidR="009407D4" w:rsidRPr="009407D4" w:rsidRDefault="001E4927" w:rsidP="001E4927">
      <w:pPr>
        <w:pStyle w:val="CGCNumberedPara"/>
      </w:pPr>
      <w:r>
        <w:rPr>
          <w:rStyle w:val="Heading6Char"/>
        </w:rPr>
        <w:t>Elasticity adjustment</w:t>
      </w:r>
      <w:r w:rsidRPr="00B7517F">
        <w:rPr>
          <w:rStyle w:val="Heading6Char"/>
        </w:rPr>
        <w:t>.</w:t>
      </w:r>
      <w:r>
        <w:t xml:space="preserve"> The Commission has engaged </w:t>
      </w:r>
      <w:r w:rsidR="006F1A69">
        <w:t>a consultant</w:t>
      </w:r>
      <w:r>
        <w:t xml:space="preserve"> to provide advice on whether it should consider reinstating elasticity adjustments and, if so, for which categories. </w:t>
      </w:r>
      <w:r w:rsidRPr="00B948BA">
        <w:rPr>
          <w:szCs w:val="22"/>
        </w:rPr>
        <w:t xml:space="preserve">The question whether an elasticity adjustment </w:t>
      </w:r>
      <w:r w:rsidR="00FC6346">
        <w:rPr>
          <w:szCs w:val="22"/>
        </w:rPr>
        <w:t>cou</w:t>
      </w:r>
      <w:r w:rsidRPr="00B948BA">
        <w:rPr>
          <w:szCs w:val="22"/>
        </w:rPr>
        <w:t>l</w:t>
      </w:r>
      <w:r w:rsidR="00FC6346">
        <w:rPr>
          <w:szCs w:val="22"/>
        </w:rPr>
        <w:t>d</w:t>
      </w:r>
      <w:r w:rsidRPr="00B948BA">
        <w:rPr>
          <w:szCs w:val="22"/>
        </w:rPr>
        <w:t xml:space="preserve"> be assessed in the </w:t>
      </w:r>
      <w:r w:rsidR="008E4780">
        <w:rPr>
          <w:szCs w:val="22"/>
        </w:rPr>
        <w:t xml:space="preserve">Insurance tax </w:t>
      </w:r>
      <w:r w:rsidRPr="00B948BA">
        <w:rPr>
          <w:szCs w:val="22"/>
        </w:rPr>
        <w:t xml:space="preserve">category will be addressed </w:t>
      </w:r>
      <w:r>
        <w:rPr>
          <w:szCs w:val="22"/>
        </w:rPr>
        <w:t>by that</w:t>
      </w:r>
      <w:r w:rsidRPr="00B948BA">
        <w:rPr>
          <w:szCs w:val="22"/>
        </w:rPr>
        <w:t xml:space="preserve"> consultancy.</w:t>
      </w:r>
    </w:p>
    <w:p w:rsidR="00FF0FE2" w:rsidRDefault="00FF0FE2" w:rsidP="002D682B">
      <w:pPr>
        <w:pStyle w:val="Heading3"/>
      </w:pPr>
      <w:bookmarkStart w:id="15" w:name="_Toc511636045"/>
      <w:r>
        <w:lastRenderedPageBreak/>
        <w:t>Conclusion and way forward</w:t>
      </w:r>
      <w:bookmarkEnd w:id="15"/>
    </w:p>
    <w:p w:rsidR="00396181" w:rsidRDefault="00081E5E" w:rsidP="00A829AE">
      <w:pPr>
        <w:pStyle w:val="CGCNumberedPara"/>
        <w:numPr>
          <w:ilvl w:val="1"/>
          <w:numId w:val="3"/>
        </w:numPr>
      </w:pPr>
      <w:r>
        <w:t xml:space="preserve">Commission </w:t>
      </w:r>
      <w:proofErr w:type="gramStart"/>
      <w:r>
        <w:t>s</w:t>
      </w:r>
      <w:r w:rsidR="00396181">
        <w:t>taff pro</w:t>
      </w:r>
      <w:r w:rsidR="00355204">
        <w:t>pose</w:t>
      </w:r>
      <w:proofErr w:type="gramEnd"/>
      <w:r w:rsidR="00355204">
        <w:t xml:space="preserve"> to retain the 2015 Review I</w:t>
      </w:r>
      <w:r w:rsidR="00396181">
        <w:t xml:space="preserve">nsurance tax assessment, including the treatment of insurance based </w:t>
      </w:r>
      <w:proofErr w:type="spellStart"/>
      <w:r w:rsidR="00396181">
        <w:t>FESLs</w:t>
      </w:r>
      <w:proofErr w:type="spellEnd"/>
      <w:r>
        <w:t xml:space="preserve">. </w:t>
      </w:r>
      <w:proofErr w:type="gramStart"/>
      <w:r>
        <w:t>Staff propose</w:t>
      </w:r>
      <w:proofErr w:type="gramEnd"/>
      <w:r>
        <w:t xml:space="preserve"> that, for simplicity, </w:t>
      </w:r>
      <w:r w:rsidR="006F1A69" w:rsidRPr="006F1A69">
        <w:t>revenue from workers’ compensation duty be left in the insurance category and assessed using the general insurance revenue base, rather than being assessed EPC in Other revenue as in the 2015 Review</w:t>
      </w:r>
      <w:r>
        <w:t>.</w:t>
      </w:r>
    </w:p>
    <w:p w:rsidR="00FF0FE2" w:rsidRDefault="00FF0FE2" w:rsidP="002D682B">
      <w:pPr>
        <w:pStyle w:val="Heading4"/>
      </w:pPr>
      <w:bookmarkStart w:id="16" w:name="_Toc511636046"/>
      <w:r>
        <w:t>Proposed assessment structure</w:t>
      </w:r>
      <w:bookmarkEnd w:id="16"/>
    </w:p>
    <w:p w:rsidR="00FF0FE2" w:rsidRDefault="008927C8" w:rsidP="001850FF">
      <w:pPr>
        <w:pStyle w:val="CGCNumberedPara"/>
      </w:pPr>
      <w:r>
        <w:fldChar w:fldCharType="begin"/>
      </w:r>
      <w:r>
        <w:instrText xml:space="preserve"> REF _Ref498679223 \h </w:instrText>
      </w:r>
      <w:r>
        <w:fldChar w:fldCharType="separate"/>
      </w:r>
      <w:r w:rsidR="00D813B5">
        <w:t xml:space="preserve">Table </w:t>
      </w:r>
      <w:r w:rsidR="00D813B5">
        <w:rPr>
          <w:noProof/>
        </w:rPr>
        <w:t>4</w:t>
      </w:r>
      <w:r>
        <w:fldChar w:fldCharType="end"/>
      </w:r>
      <w:r w:rsidR="00FF0FE2" w:rsidRPr="00741FF2">
        <w:t xml:space="preserve"> </w:t>
      </w:r>
      <w:r w:rsidR="00396181">
        <w:t xml:space="preserve">shows the proposed assessment structure </w:t>
      </w:r>
      <w:r w:rsidR="00FF0FE2" w:rsidRPr="00741FF2">
        <w:t xml:space="preserve">for </w:t>
      </w:r>
      <w:r w:rsidR="00396181">
        <w:t>I</w:t>
      </w:r>
      <w:r w:rsidR="00B6411F">
        <w:t>nsurance</w:t>
      </w:r>
      <w:r w:rsidR="00396181">
        <w:t xml:space="preserve"> tax</w:t>
      </w:r>
      <w:r w:rsidR="00FF0FE2" w:rsidRPr="00741FF2">
        <w:t xml:space="preserve"> in the </w:t>
      </w:r>
      <w:r w:rsidR="00FF0FE2">
        <w:t>2020 R</w:t>
      </w:r>
      <w:r w:rsidR="00FF0FE2" w:rsidRPr="00741FF2">
        <w:t>eview</w:t>
      </w:r>
      <w:r w:rsidR="00FF0FE2">
        <w:t>.</w:t>
      </w:r>
    </w:p>
    <w:p w:rsidR="005F02A1" w:rsidRDefault="005F02A1" w:rsidP="005F02A1">
      <w:pPr>
        <w:pStyle w:val="Caption"/>
      </w:pPr>
      <w:bookmarkStart w:id="17" w:name="_Ref498679223"/>
      <w:r>
        <w:t xml:space="preserve">Table </w:t>
      </w:r>
      <w:fldSimple w:instr=" SEQ Table \* ARABIC ">
        <w:r w:rsidR="00D813B5">
          <w:rPr>
            <w:noProof/>
          </w:rPr>
          <w:t>4</w:t>
        </w:r>
      </w:fldSimple>
      <w:bookmarkEnd w:id="17"/>
      <w:r>
        <w:tab/>
        <w:t xml:space="preserve">Proposed </w:t>
      </w:r>
      <w:r w:rsidR="008927C8">
        <w:t>Insurance</w:t>
      </w:r>
      <w:r>
        <w:t xml:space="preserve"> taxes category structure, 2020 Review</w:t>
      </w:r>
    </w:p>
    <w:tbl>
      <w:tblPr>
        <w:tblW w:w="9074" w:type="dxa"/>
        <w:tblInd w:w="93" w:type="dxa"/>
        <w:tblLook w:val="04A0" w:firstRow="1" w:lastRow="0" w:firstColumn="1" w:lastColumn="0" w:noHBand="0" w:noVBand="1"/>
      </w:tblPr>
      <w:tblGrid>
        <w:gridCol w:w="1575"/>
        <w:gridCol w:w="2551"/>
        <w:gridCol w:w="4948"/>
      </w:tblGrid>
      <w:tr w:rsidR="00396181" w:rsidRPr="005F02A1" w:rsidTr="0059396B">
        <w:trPr>
          <w:trHeight w:val="375"/>
        </w:trPr>
        <w:tc>
          <w:tcPr>
            <w:tcW w:w="1575" w:type="dxa"/>
            <w:tcBorders>
              <w:top w:val="single" w:sz="4" w:space="0" w:color="auto"/>
              <w:left w:val="nil"/>
              <w:bottom w:val="single" w:sz="4" w:space="0" w:color="auto"/>
              <w:right w:val="nil"/>
            </w:tcBorders>
            <w:shd w:val="clear" w:color="auto" w:fill="auto"/>
            <w:vAlign w:val="center"/>
            <w:hideMark/>
          </w:tcPr>
          <w:p w:rsidR="00396181" w:rsidRPr="005F02A1" w:rsidRDefault="00396181" w:rsidP="008927C8">
            <w:pPr>
              <w:keepNext/>
              <w:keepLines/>
              <w:tabs>
                <w:tab w:val="clear" w:pos="567"/>
              </w:tabs>
              <w:spacing w:after="0" w:line="240" w:lineRule="auto"/>
              <w:rPr>
                <w:rFonts w:ascii="Calibri" w:eastAsia="Times New Roman" w:hAnsi="Calibri" w:cs="Times New Roman"/>
                <w:color w:val="000000"/>
                <w:sz w:val="20"/>
                <w:szCs w:val="20"/>
                <w:lang w:eastAsia="en-AU"/>
              </w:rPr>
            </w:pPr>
            <w:bookmarkStart w:id="18" w:name="RANGE!A4:C7"/>
            <w:r w:rsidRPr="005F02A1">
              <w:rPr>
                <w:rFonts w:ascii="Calibri" w:eastAsia="Times New Roman" w:hAnsi="Calibri" w:cs="Times New Roman"/>
                <w:color w:val="000000"/>
                <w:sz w:val="20"/>
                <w:szCs w:val="20"/>
                <w:lang w:eastAsia="en-AU"/>
              </w:rPr>
              <w:t>Component</w:t>
            </w:r>
            <w:bookmarkEnd w:id="18"/>
          </w:p>
        </w:tc>
        <w:tc>
          <w:tcPr>
            <w:tcW w:w="2551" w:type="dxa"/>
            <w:tcBorders>
              <w:top w:val="single" w:sz="4" w:space="0" w:color="auto"/>
              <w:left w:val="nil"/>
              <w:bottom w:val="single" w:sz="4" w:space="0" w:color="auto"/>
              <w:right w:val="nil"/>
            </w:tcBorders>
            <w:vAlign w:val="center"/>
          </w:tcPr>
          <w:p w:rsidR="00396181" w:rsidRPr="005F02A1" w:rsidRDefault="00396181" w:rsidP="00396181">
            <w:pPr>
              <w:keepNext/>
              <w:keepLines/>
              <w:tabs>
                <w:tab w:val="clear" w:pos="567"/>
              </w:tabs>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Disability</w:t>
            </w:r>
          </w:p>
        </w:tc>
        <w:tc>
          <w:tcPr>
            <w:tcW w:w="4948" w:type="dxa"/>
            <w:tcBorders>
              <w:top w:val="single" w:sz="4" w:space="0" w:color="auto"/>
              <w:left w:val="nil"/>
              <w:bottom w:val="single" w:sz="4" w:space="0" w:color="auto"/>
              <w:right w:val="nil"/>
            </w:tcBorders>
            <w:shd w:val="clear" w:color="auto" w:fill="auto"/>
            <w:vAlign w:val="center"/>
            <w:hideMark/>
          </w:tcPr>
          <w:p w:rsidR="00396181" w:rsidRPr="005F02A1" w:rsidRDefault="00396181" w:rsidP="008927C8">
            <w:pPr>
              <w:keepNext/>
              <w:keepLines/>
              <w:tabs>
                <w:tab w:val="clear" w:pos="567"/>
              </w:tabs>
              <w:spacing w:after="0" w:line="240" w:lineRule="auto"/>
              <w:rPr>
                <w:rFonts w:ascii="Calibri" w:eastAsia="Times New Roman" w:hAnsi="Calibri" w:cs="Times New Roman"/>
                <w:color w:val="000000"/>
                <w:sz w:val="20"/>
                <w:szCs w:val="20"/>
                <w:lang w:eastAsia="en-AU"/>
              </w:rPr>
            </w:pPr>
            <w:r w:rsidRPr="005F02A1">
              <w:rPr>
                <w:rFonts w:ascii="Calibri" w:eastAsia="Times New Roman" w:hAnsi="Calibri" w:cs="Times New Roman"/>
                <w:color w:val="000000"/>
                <w:sz w:val="20"/>
                <w:szCs w:val="20"/>
                <w:lang w:eastAsia="en-AU"/>
              </w:rPr>
              <w:t>Influence measured by disability</w:t>
            </w:r>
          </w:p>
        </w:tc>
      </w:tr>
      <w:tr w:rsidR="00396181" w:rsidRPr="005F02A1" w:rsidTr="0059396B">
        <w:trPr>
          <w:trHeight w:val="795"/>
        </w:trPr>
        <w:tc>
          <w:tcPr>
            <w:tcW w:w="1575" w:type="dxa"/>
            <w:tcBorders>
              <w:top w:val="single" w:sz="4" w:space="0" w:color="auto"/>
              <w:left w:val="nil"/>
              <w:bottom w:val="single" w:sz="4" w:space="0" w:color="auto"/>
              <w:right w:val="nil"/>
            </w:tcBorders>
            <w:shd w:val="clear" w:color="auto" w:fill="auto"/>
            <w:hideMark/>
          </w:tcPr>
          <w:p w:rsidR="00396181" w:rsidRPr="005F02A1" w:rsidRDefault="00396181" w:rsidP="008927C8">
            <w:pPr>
              <w:keepNext/>
              <w:keepLines/>
              <w:tabs>
                <w:tab w:val="clear" w:pos="567"/>
              </w:tabs>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Insurance tax</w:t>
            </w:r>
          </w:p>
        </w:tc>
        <w:tc>
          <w:tcPr>
            <w:tcW w:w="2551" w:type="dxa"/>
            <w:tcBorders>
              <w:top w:val="single" w:sz="4" w:space="0" w:color="auto"/>
              <w:left w:val="nil"/>
              <w:bottom w:val="single" w:sz="4" w:space="0" w:color="auto"/>
              <w:right w:val="nil"/>
            </w:tcBorders>
          </w:tcPr>
          <w:p w:rsidR="00396181" w:rsidRPr="005F02A1" w:rsidRDefault="0059396B" w:rsidP="008927C8">
            <w:pPr>
              <w:keepNext/>
              <w:keepLines/>
              <w:tabs>
                <w:tab w:val="clear" w:pos="567"/>
              </w:tabs>
              <w:spacing w:after="0" w:line="240" w:lineRule="auto"/>
              <w:rPr>
                <w:rFonts w:ascii="Calibri" w:eastAsia="Times New Roman" w:hAnsi="Calibri" w:cs="Times New Roman"/>
                <w:color w:val="000000"/>
                <w:sz w:val="20"/>
                <w:szCs w:val="20"/>
                <w:lang w:eastAsia="en-AU"/>
              </w:rPr>
            </w:pPr>
            <w:r>
              <w:rPr>
                <w:rFonts w:ascii="Calibri" w:eastAsia="Times New Roman" w:hAnsi="Calibri" w:cs="Times New Roman"/>
                <w:color w:val="000000"/>
                <w:sz w:val="20"/>
                <w:szCs w:val="20"/>
                <w:lang w:eastAsia="en-AU"/>
              </w:rPr>
              <w:t>Value of total premiums for taxable forms of insurance</w:t>
            </w:r>
          </w:p>
        </w:tc>
        <w:tc>
          <w:tcPr>
            <w:tcW w:w="4948" w:type="dxa"/>
            <w:tcBorders>
              <w:top w:val="single" w:sz="4" w:space="0" w:color="auto"/>
              <w:left w:val="nil"/>
              <w:bottom w:val="single" w:sz="4" w:space="0" w:color="auto"/>
              <w:right w:val="nil"/>
            </w:tcBorders>
            <w:shd w:val="clear" w:color="auto" w:fill="auto"/>
            <w:hideMark/>
          </w:tcPr>
          <w:p w:rsidR="00396181" w:rsidRPr="005F02A1" w:rsidRDefault="00396181" w:rsidP="00396181">
            <w:pPr>
              <w:keepNext/>
              <w:keepLines/>
              <w:tabs>
                <w:tab w:val="clear" w:pos="567"/>
              </w:tabs>
              <w:spacing w:after="0" w:line="240" w:lineRule="auto"/>
              <w:rPr>
                <w:rFonts w:ascii="Calibri" w:eastAsia="Times New Roman" w:hAnsi="Calibri" w:cs="Times New Roman"/>
                <w:color w:val="000000"/>
                <w:sz w:val="20"/>
                <w:szCs w:val="20"/>
                <w:lang w:eastAsia="en-AU"/>
              </w:rPr>
            </w:pPr>
            <w:r w:rsidRPr="005F02A1">
              <w:rPr>
                <w:rFonts w:ascii="Calibri" w:eastAsia="Times New Roman" w:hAnsi="Calibri" w:cs="Times New Roman"/>
                <w:color w:val="000000"/>
                <w:sz w:val="20"/>
                <w:szCs w:val="20"/>
                <w:lang w:eastAsia="en-AU"/>
              </w:rPr>
              <w:t xml:space="preserve">Recognises the </w:t>
            </w:r>
            <w:r>
              <w:rPr>
                <w:rFonts w:ascii="Calibri" w:eastAsia="Times New Roman" w:hAnsi="Calibri" w:cs="Times New Roman"/>
                <w:color w:val="000000"/>
                <w:sz w:val="20"/>
                <w:szCs w:val="20"/>
                <w:lang w:eastAsia="en-AU"/>
              </w:rPr>
              <w:t xml:space="preserve">additional revenue capacity of </w:t>
            </w:r>
            <w:r w:rsidRPr="005F02A1">
              <w:rPr>
                <w:rFonts w:ascii="Calibri" w:eastAsia="Times New Roman" w:hAnsi="Calibri" w:cs="Times New Roman"/>
                <w:color w:val="000000"/>
                <w:sz w:val="20"/>
                <w:szCs w:val="20"/>
                <w:lang w:eastAsia="en-AU"/>
              </w:rPr>
              <w:t xml:space="preserve">States </w:t>
            </w:r>
            <w:r>
              <w:rPr>
                <w:rFonts w:ascii="Calibri" w:eastAsia="Times New Roman" w:hAnsi="Calibri" w:cs="Times New Roman"/>
                <w:color w:val="000000"/>
                <w:sz w:val="20"/>
                <w:szCs w:val="20"/>
                <w:lang w:eastAsia="en-AU"/>
              </w:rPr>
              <w:t xml:space="preserve">with a greater level of </w:t>
            </w:r>
            <w:r w:rsidR="0059396B">
              <w:rPr>
                <w:rFonts w:ascii="Calibri" w:eastAsia="Times New Roman" w:hAnsi="Calibri" w:cs="Times New Roman"/>
                <w:color w:val="000000"/>
                <w:sz w:val="20"/>
                <w:szCs w:val="20"/>
                <w:lang w:eastAsia="en-AU"/>
              </w:rPr>
              <w:t xml:space="preserve">insured risk, as shown by </w:t>
            </w:r>
            <w:r>
              <w:rPr>
                <w:rFonts w:ascii="Calibri" w:eastAsia="Times New Roman" w:hAnsi="Calibri" w:cs="Times New Roman"/>
                <w:color w:val="000000"/>
                <w:sz w:val="20"/>
                <w:szCs w:val="20"/>
                <w:lang w:eastAsia="en-AU"/>
              </w:rPr>
              <w:t>total premiums for taxable forms of insurance</w:t>
            </w:r>
            <w:r w:rsidRPr="005F02A1">
              <w:rPr>
                <w:rFonts w:ascii="Calibri" w:eastAsia="Times New Roman" w:hAnsi="Calibri" w:cs="Times New Roman"/>
                <w:color w:val="000000"/>
                <w:sz w:val="20"/>
                <w:szCs w:val="20"/>
                <w:lang w:eastAsia="en-AU"/>
              </w:rPr>
              <w:t>.</w:t>
            </w:r>
          </w:p>
        </w:tc>
      </w:tr>
    </w:tbl>
    <w:p w:rsidR="001850FF" w:rsidRPr="00C21EF9" w:rsidRDefault="008927C8" w:rsidP="008927C8">
      <w:pPr>
        <w:pStyle w:val="CGCTableFootnote"/>
        <w:keepNext/>
        <w:keepLines/>
      </w:pPr>
      <w:r w:rsidRPr="00C21EF9">
        <w:t xml:space="preserve"> </w:t>
      </w:r>
    </w:p>
    <w:sectPr w:rsidR="001850FF" w:rsidRPr="00C21EF9" w:rsidSect="00A0491A">
      <w:footerReference w:type="default" r:id="rId17"/>
      <w:footerReference w:type="first" r:id="rId18"/>
      <w:pgSz w:w="11899" w:h="16838" w:code="9"/>
      <w:pgMar w:top="1701" w:right="1474" w:bottom="1701" w:left="1474" w:header="709" w:footer="709" w:gutter="0"/>
      <w:pgNumType w:start="1"/>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0FF" w:rsidRDefault="001850FF">
      <w:r>
        <w:separator/>
      </w:r>
    </w:p>
  </w:endnote>
  <w:endnote w:type="continuationSeparator" w:id="0">
    <w:p w:rsidR="001850FF" w:rsidRDefault="00185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711" w:rsidRPr="00875C0F" w:rsidRDefault="005D3711" w:rsidP="00BE7A02">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807996343"/>
      <w:docPartObj>
        <w:docPartGallery w:val="Page Numbers (Bottom of Page)"/>
        <w:docPartUnique/>
      </w:docPartObj>
    </w:sdtPr>
    <w:sdtEndPr/>
    <w:sdtContent>
      <w:p w:rsidR="009E07FD" w:rsidRDefault="009E07FD" w:rsidP="009E07FD">
        <w:pPr>
          <w:pStyle w:val="Footer"/>
        </w:pPr>
      </w:p>
      <w:p w:rsidR="005D3711" w:rsidRPr="00875C0F" w:rsidRDefault="00963FE8" w:rsidP="00BE7A02">
        <w:pPr>
          <w:pStyle w:val="Footer"/>
          <w:rPr>
            <w:sz w:val="20"/>
            <w:szCs w:val="20"/>
          </w:rPr>
        </w:pP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F24" w:rsidRPr="003929D2" w:rsidRDefault="00807F24" w:rsidP="00DD7250">
    <w:pPr>
      <w:pStyle w:val="Footer"/>
      <w:jc w:val="right"/>
      <w:rPr>
        <w:b/>
      </w:rPr>
    </w:pPr>
  </w:p>
  <w:p w:rsidR="00807F24" w:rsidRDefault="00807F2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A13" w:rsidRPr="0011178C" w:rsidRDefault="00F56813" w:rsidP="003929D2">
    <w:pPr>
      <w:pStyle w:val="Footer"/>
      <w:jc w:val="right"/>
    </w:pPr>
    <w:r>
      <w:fldChar w:fldCharType="begin"/>
    </w:r>
    <w:r>
      <w:instrText xml:space="preserve"> PAGE  \* Arabic  \* MERGEFORMAT </w:instrText>
    </w:r>
    <w:r>
      <w:fldChar w:fldCharType="separate"/>
    </w:r>
    <w:r w:rsidR="00963FE8">
      <w:rPr>
        <w:noProof/>
      </w:rPr>
      <w:t>6</w:t>
    </w:r>
    <w:r>
      <w:rPr>
        <w:noProof/>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A13" w:rsidRPr="007E487F" w:rsidRDefault="00AB1A13" w:rsidP="00DC0F02">
    <w:pPr>
      <w:pStyle w:val="Footer"/>
      <w:tabs>
        <w:tab w:val="right" w:pos="8931"/>
      </w:tabs>
      <w:rPr>
        <w:sz w:val="20"/>
        <w:szCs w:val="20"/>
      </w:rPr>
    </w:pPr>
    <w:r>
      <w:rPr>
        <w:sz w:val="20"/>
        <w:szCs w:val="20"/>
      </w:rPr>
      <w:tab/>
    </w:r>
    <w:r w:rsidR="00DC0F02">
      <w:rPr>
        <w:sz w:val="20"/>
        <w:szCs w:val="20"/>
      </w:rPr>
      <w:tab/>
    </w:r>
    <w:r w:rsidR="00F56813">
      <w:fldChar w:fldCharType="begin"/>
    </w:r>
    <w:r w:rsidR="00F56813">
      <w:instrText xml:space="preserve"> PAGE   \* MERGEFORMAT </w:instrText>
    </w:r>
    <w:r w:rsidR="00F56813">
      <w:fldChar w:fldCharType="separate"/>
    </w:r>
    <w:r w:rsidR="00963FE8">
      <w:rPr>
        <w:noProof/>
      </w:rPr>
      <w:t>1</w:t>
    </w:r>
    <w:r w:rsidR="00F5681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0FF" w:rsidRDefault="001850FF">
      <w:r>
        <w:separator/>
      </w:r>
    </w:p>
  </w:footnote>
  <w:footnote w:type="continuationSeparator" w:id="0">
    <w:p w:rsidR="001850FF" w:rsidRDefault="001850FF">
      <w:r>
        <w:continuationSeparator/>
      </w:r>
    </w:p>
  </w:footnote>
  <w:footnote w:id="1">
    <w:p w:rsidR="00E32774" w:rsidRDefault="00E32774" w:rsidP="00E32774">
      <w:pPr>
        <w:pStyle w:val="FootnoteText"/>
      </w:pPr>
      <w:r>
        <w:rPr>
          <w:rStyle w:val="FootnoteReference"/>
        </w:rPr>
        <w:footnoteRef/>
      </w:r>
      <w:r>
        <w:t xml:space="preserve"> </w:t>
      </w:r>
      <w:r>
        <w:tab/>
        <w:t>The ACT abolished general insurance duty from 1 July 2016. The fixed rate for the other States now varies between 9% and 11%, with three States continuing to impose concessional rates on certain types of general insurance.</w:t>
      </w:r>
    </w:p>
  </w:footnote>
  <w:footnote w:id="2">
    <w:p w:rsidR="00C14FAB" w:rsidRDefault="00C14FAB">
      <w:pPr>
        <w:pStyle w:val="FootnoteText"/>
      </w:pPr>
      <w:r>
        <w:rPr>
          <w:rStyle w:val="FootnoteReference"/>
        </w:rPr>
        <w:footnoteRef/>
      </w:r>
      <w:r>
        <w:t xml:space="preserve"> </w:t>
      </w:r>
      <w:r>
        <w:tab/>
        <w:t>CTP premiums were exempt from duty in Tasmania, but a flat fee was imposed on the issuance of the certificate.</w:t>
      </w:r>
      <w:r w:rsidR="00FA4225">
        <w:t xml:space="preserve"> Victoria and Western Australia taxed CTP insurance at the same rate as general insurance.</w:t>
      </w:r>
    </w:p>
  </w:footnote>
  <w:footnote w:id="3">
    <w:p w:rsidR="009B3E38" w:rsidRDefault="009B3E38" w:rsidP="009B3E38">
      <w:pPr>
        <w:pStyle w:val="FootnoteText"/>
      </w:pPr>
      <w:r>
        <w:rPr>
          <w:rStyle w:val="FootnoteReference"/>
        </w:rPr>
        <w:footnoteRef/>
      </w:r>
      <w:r>
        <w:t xml:space="preserve"> </w:t>
      </w:r>
      <w:r>
        <w:tab/>
        <w:t xml:space="preserve">Two States have abolished life insurance </w:t>
      </w:r>
      <w:r w:rsidR="001A7788">
        <w:t xml:space="preserve">duty </w:t>
      </w:r>
      <w:r>
        <w:t>since the 2015 Review: the ACT from 1 July 2016 and the Northern Territory from 1 July 2015.</w:t>
      </w:r>
    </w:p>
  </w:footnote>
  <w:footnote w:id="4">
    <w:p w:rsidR="009B3E38" w:rsidRDefault="009B3E38">
      <w:pPr>
        <w:pStyle w:val="FootnoteText"/>
      </w:pPr>
      <w:r>
        <w:rPr>
          <w:rStyle w:val="FootnoteReference"/>
        </w:rPr>
        <w:footnoteRef/>
      </w:r>
      <w:r>
        <w:t xml:space="preserve"> </w:t>
      </w:r>
      <w:r>
        <w:tab/>
        <w:t xml:space="preserve">The APRA data covered general insurers </w:t>
      </w:r>
      <w:r w:rsidR="006D15D9">
        <w:t>in the private sector</w:t>
      </w:r>
      <w:r w:rsidR="00E32774">
        <w:t>.</w:t>
      </w:r>
      <w:r w:rsidR="006D15D9">
        <w:t xml:space="preserve"> Th</w:t>
      </w:r>
      <w:r w:rsidR="00E32774">
        <w:t>e</w:t>
      </w:r>
      <w:r w:rsidR="006D15D9">
        <w:t>se were insurers regulated by APRA</w:t>
      </w:r>
      <w:r w:rsidR="00C46260">
        <w:t>. The data did not include premiums for reinsurance or private health insurance. Those forms of insurance were not liable for insurance tax in any State</w:t>
      </w:r>
      <w:r w:rsidR="006D15D9">
        <w:t>.</w:t>
      </w:r>
    </w:p>
  </w:footnote>
  <w:footnote w:id="5">
    <w:p w:rsidR="009B3E38" w:rsidRDefault="009B3E38" w:rsidP="009B3E38">
      <w:pPr>
        <w:pStyle w:val="FootnoteText"/>
      </w:pPr>
      <w:r>
        <w:rPr>
          <w:rStyle w:val="FootnoteReference"/>
        </w:rPr>
        <w:footnoteRef/>
      </w:r>
      <w:r>
        <w:t xml:space="preserve"> </w:t>
      </w:r>
      <w:r>
        <w:tab/>
        <w:t>At the time of the 2015 Review, CTP insurance was privately underwritten in three States and publicly underwritten in five. South Australia moved to a privately underwritten CTP scheme from 1 July 2016.</w:t>
      </w:r>
    </w:p>
  </w:footnote>
  <w:footnote w:id="6">
    <w:p w:rsidR="00034768" w:rsidRDefault="00034768">
      <w:pPr>
        <w:pStyle w:val="FootnoteText"/>
      </w:pPr>
      <w:r>
        <w:rPr>
          <w:rStyle w:val="FootnoteReference"/>
        </w:rPr>
        <w:footnoteRef/>
      </w:r>
      <w:r>
        <w:t xml:space="preserve"> </w:t>
      </w:r>
      <w:r>
        <w:tab/>
        <w:t>A separate assessment of duty on CTP insurance was not material at the $30 per capita threshold.</w:t>
      </w:r>
    </w:p>
  </w:footnote>
  <w:footnote w:id="7">
    <w:p w:rsidR="00D70F8F" w:rsidRDefault="00D70F8F">
      <w:pPr>
        <w:pStyle w:val="FootnoteText"/>
      </w:pPr>
      <w:r>
        <w:rPr>
          <w:rStyle w:val="FootnoteReference"/>
        </w:rPr>
        <w:footnoteRef/>
      </w:r>
      <w:r>
        <w:t xml:space="preserve"> </w:t>
      </w:r>
      <w:r>
        <w:tab/>
        <w:t>Data were sourced from public insurers’ annual reports.</w:t>
      </w:r>
      <w:r w:rsidR="0013026D">
        <w:t xml:space="preserve"> Three States had publicly underwritten </w:t>
      </w:r>
      <w:r w:rsidR="00A569FF">
        <w:t>builders’</w:t>
      </w:r>
      <w:r w:rsidR="0013026D">
        <w:t xml:space="preserve"> warranty insurance schemes. </w:t>
      </w:r>
      <w:r w:rsidR="00A569FF">
        <w:t>Builders’</w:t>
      </w:r>
      <w:r w:rsidR="0013026D">
        <w:t xml:space="preserve"> warranty insurance was privately underwritten in the other States and included in the APRA data.</w:t>
      </w:r>
    </w:p>
  </w:footnote>
  <w:footnote w:id="8">
    <w:p w:rsidR="00D70F8F" w:rsidRDefault="00D70F8F">
      <w:pPr>
        <w:pStyle w:val="FootnoteText"/>
      </w:pPr>
      <w:r>
        <w:rPr>
          <w:rStyle w:val="FootnoteReference"/>
        </w:rPr>
        <w:footnoteRef/>
      </w:r>
      <w:r>
        <w:t xml:space="preserve"> </w:t>
      </w:r>
      <w:r>
        <w:tab/>
      </w:r>
      <w:r w:rsidR="003273D8">
        <w:t>This would not be the case for duty on premiums paid by P</w:t>
      </w:r>
      <w:r w:rsidR="00074B89">
        <w:t xml:space="preserve">ublic </w:t>
      </w:r>
      <w:r w:rsidR="003273D8">
        <w:t>N</w:t>
      </w:r>
      <w:r w:rsidR="00074B89">
        <w:t xml:space="preserve">on-financial </w:t>
      </w:r>
      <w:r w:rsidR="003273D8">
        <w:t>C</w:t>
      </w:r>
      <w:r w:rsidR="00074B89">
        <w:t>orporations (</w:t>
      </w:r>
      <w:proofErr w:type="spellStart"/>
      <w:r w:rsidR="00074B89">
        <w:t>PNFCs</w:t>
      </w:r>
      <w:proofErr w:type="spellEnd"/>
      <w:r w:rsidR="00074B89">
        <w:t xml:space="preserve">) </w:t>
      </w:r>
      <w:r w:rsidR="003273D8">
        <w:t xml:space="preserve">other than those in health and urban transport. </w:t>
      </w:r>
      <w:r w:rsidR="00473BBD">
        <w:t>We did not have data to separate</w:t>
      </w:r>
      <w:r w:rsidR="003273D8">
        <w:t>ly identify</w:t>
      </w:r>
      <w:r w:rsidR="00473BBD">
        <w:t xml:space="preserve"> premiums paid by </w:t>
      </w:r>
      <w:proofErr w:type="spellStart"/>
      <w:r w:rsidR="0002292F">
        <w:t>PNFCs</w:t>
      </w:r>
      <w:proofErr w:type="spellEnd"/>
      <w:r w:rsidR="00473BBD">
        <w:t>.</w:t>
      </w:r>
    </w:p>
  </w:footnote>
  <w:footnote w:id="9">
    <w:p w:rsidR="00AD4168" w:rsidRDefault="00AD4168">
      <w:pPr>
        <w:pStyle w:val="FootnoteText"/>
      </w:pPr>
      <w:r>
        <w:rPr>
          <w:rStyle w:val="FootnoteReference"/>
        </w:rPr>
        <w:footnoteRef/>
      </w:r>
      <w:r>
        <w:t xml:space="preserve"> </w:t>
      </w:r>
      <w:r>
        <w:tab/>
        <w:t xml:space="preserve">Property based </w:t>
      </w:r>
      <w:proofErr w:type="spellStart"/>
      <w:r>
        <w:t>FESLs</w:t>
      </w:r>
      <w:proofErr w:type="spellEnd"/>
      <w:r>
        <w:t xml:space="preserve"> were included in the Land tax category, while vehicle based </w:t>
      </w:r>
      <w:proofErr w:type="spellStart"/>
      <w:r>
        <w:t>FESLs</w:t>
      </w:r>
      <w:proofErr w:type="spellEnd"/>
      <w:r>
        <w:t xml:space="preserve"> were included in Motor taxes.</w:t>
      </w:r>
    </w:p>
  </w:footnote>
  <w:footnote w:id="10">
    <w:p w:rsidR="00C87AA5" w:rsidRDefault="00C87AA5" w:rsidP="00C87AA5">
      <w:pPr>
        <w:pStyle w:val="FootnoteText"/>
      </w:pPr>
      <w:r>
        <w:rPr>
          <w:rStyle w:val="FootnoteReference"/>
        </w:rPr>
        <w:footnoteRef/>
      </w:r>
      <w:r>
        <w:t xml:space="preserve"> </w:t>
      </w:r>
      <w:r>
        <w:tab/>
        <w:t>This tr</w:t>
      </w:r>
      <w:r w:rsidR="00110B47">
        <w:t xml:space="preserve">eatment is consistent with Australian accounting standard </w:t>
      </w:r>
      <w:proofErr w:type="spellStart"/>
      <w:r w:rsidRPr="00110B47">
        <w:rPr>
          <w:i/>
        </w:rPr>
        <w:t>AASB</w:t>
      </w:r>
      <w:proofErr w:type="spellEnd"/>
      <w:r w:rsidRPr="00110B47">
        <w:rPr>
          <w:i/>
        </w:rPr>
        <w:t xml:space="preserve"> 1023</w:t>
      </w:r>
      <w:r>
        <w:t xml:space="preserve">. </w:t>
      </w:r>
    </w:p>
  </w:footnote>
  <w:footnote w:id="11">
    <w:p w:rsidR="009E55D9" w:rsidRDefault="009E55D9">
      <w:pPr>
        <w:pStyle w:val="FootnoteText"/>
      </w:pPr>
      <w:r>
        <w:rPr>
          <w:rStyle w:val="FootnoteReference"/>
        </w:rPr>
        <w:footnoteRef/>
      </w:r>
      <w:r>
        <w:t xml:space="preserve"> </w:t>
      </w:r>
      <w:r>
        <w:tab/>
      </w:r>
      <w:r w:rsidRPr="009E55D9">
        <w:t>Queensland applied a tax rate of 9% to most classes of general insurance in 2015</w:t>
      </w:r>
      <w:r w:rsidRPr="009E55D9">
        <w:noBreakHyphen/>
        <w:t>16.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4679"/>
    <w:multiLevelType w:val="multilevel"/>
    <w:tmpl w:val="87ECD5DE"/>
    <w:lvl w:ilvl="0">
      <w:start w:val="1"/>
      <w:numFmt w:val="lowerRoman"/>
      <w:lvlText w:val="(%1)"/>
      <w:lvlJc w:val="right"/>
      <w:pPr>
        <w:tabs>
          <w:tab w:val="num" w:pos="1701"/>
        </w:tabs>
        <w:ind w:left="1701"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nsid w:val="16C95DEC"/>
    <w:multiLevelType w:val="multilevel"/>
    <w:tmpl w:val="09E854D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1C66C66"/>
    <w:multiLevelType w:val="multilevel"/>
    <w:tmpl w:val="5B74CF8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CB5609"/>
    <w:multiLevelType w:val="hybridMultilevel"/>
    <w:tmpl w:val="24484DBE"/>
    <w:lvl w:ilvl="0" w:tplc="A1CEF810">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D0A6680"/>
    <w:multiLevelType w:val="multilevel"/>
    <w:tmpl w:val="646E338E"/>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3FE32354"/>
    <w:multiLevelType w:val="hybridMultilevel"/>
    <w:tmpl w:val="7D6053A6"/>
    <w:lvl w:ilvl="0" w:tplc="5FE44A6C">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5D124923"/>
    <w:multiLevelType w:val="multilevel"/>
    <w:tmpl w:val="DA6AC07E"/>
    <w:lvl w:ilvl="0">
      <w:start w:val="1"/>
      <w:numFmt w:val="bullet"/>
      <w:lvlText w:val=""/>
      <w:lvlJc w:val="left"/>
      <w:pPr>
        <w:tabs>
          <w:tab w:val="num" w:pos="1627"/>
        </w:tabs>
        <w:ind w:left="162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F120A6F"/>
    <w:multiLevelType w:val="multilevel"/>
    <w:tmpl w:val="EC6A24FE"/>
    <w:lvl w:ilvl="0">
      <w:start w:val="1"/>
      <w:numFmt w:val="bullet"/>
      <w:lvlText w:val=""/>
      <w:lvlJc w:val="left"/>
      <w:pPr>
        <w:tabs>
          <w:tab w:val="num" w:pos="927"/>
        </w:tabs>
        <w:ind w:left="1134"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60FE42A7"/>
    <w:multiLevelType w:val="hybridMultilevel"/>
    <w:tmpl w:val="E4B8FB9A"/>
    <w:lvl w:ilvl="0" w:tplc="18EA3C62">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9552687"/>
    <w:multiLevelType w:val="multilevel"/>
    <w:tmpl w:val="76E0CFF8"/>
    <w:lvl w:ilvl="0">
      <w:start w:val="1"/>
      <w:numFmt w:val="bullet"/>
      <w:lvlText w:val=""/>
      <w:lvlJc w:val="left"/>
      <w:pPr>
        <w:tabs>
          <w:tab w:val="num" w:pos="1503"/>
        </w:tabs>
        <w:ind w:left="171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5">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5"/>
  </w:num>
  <w:num w:numId="3">
    <w:abstractNumId w:val="1"/>
  </w:num>
  <w:num w:numId="4">
    <w:abstractNumId w:val="15"/>
  </w:num>
  <w:num w:numId="5">
    <w:abstractNumId w:val="15"/>
  </w:num>
  <w:num w:numId="6">
    <w:abstractNumId w:val="4"/>
  </w:num>
  <w:num w:numId="7">
    <w:abstractNumId w:val="4"/>
  </w:num>
  <w:num w:numId="8">
    <w:abstractNumId w:val="4"/>
  </w:num>
  <w:num w:numId="9">
    <w:abstractNumId w:val="4"/>
  </w:num>
  <w:num w:numId="10">
    <w:abstractNumId w:val="14"/>
  </w:num>
  <w:num w:numId="11">
    <w:abstractNumId w:val="5"/>
  </w:num>
  <w:num w:numId="12">
    <w:abstractNumId w:val="1"/>
  </w:num>
  <w:num w:numId="13">
    <w:abstractNumId w:val="15"/>
  </w:num>
  <w:num w:numId="14">
    <w:abstractNumId w:val="4"/>
  </w:num>
  <w:num w:numId="15">
    <w:abstractNumId w:val="4"/>
  </w:num>
  <w:num w:numId="16">
    <w:abstractNumId w:val="4"/>
  </w:num>
  <w:num w:numId="17">
    <w:abstractNumId w:val="4"/>
  </w:num>
  <w:num w:numId="18">
    <w:abstractNumId w:val="0"/>
  </w:num>
  <w:num w:numId="19">
    <w:abstractNumId w:val="9"/>
  </w:num>
  <w:num w:numId="20">
    <w:abstractNumId w:val="10"/>
  </w:num>
  <w:num w:numId="21">
    <w:abstractNumId w:val="2"/>
  </w:num>
  <w:num w:numId="22">
    <w:abstractNumId w:val="7"/>
  </w:num>
  <w:num w:numId="23">
    <w:abstractNumId w:val="13"/>
  </w:num>
  <w:num w:numId="24">
    <w:abstractNumId w:val="3"/>
  </w:num>
  <w:num w:numId="25">
    <w:abstractNumId w:val="11"/>
  </w:num>
  <w:num w:numId="26">
    <w:abstractNumId w:val="1"/>
  </w:num>
  <w:num w:numId="27">
    <w:abstractNumId w:val="8"/>
  </w:num>
  <w:num w:numId="28">
    <w:abstractNumId w:val="12"/>
  </w:num>
  <w:num w:numId="29">
    <w:abstractNumId w:val="6"/>
  </w:num>
  <w:num w:numId="30">
    <w:abstractNumId w:val="5"/>
    <w:lvlOverride w:ilvl="0">
      <w:startOverride w:val="1"/>
    </w:lvlOverride>
  </w:num>
  <w:num w:numId="31">
    <w:abstractNumId w:val="14"/>
  </w:num>
  <w:num w:numId="32">
    <w:abstractNumId w:val="1"/>
  </w:num>
  <w:num w:numId="33">
    <w:abstractNumId w:val="5"/>
  </w:num>
  <w:num w:numId="34">
    <w:abstractNumId w:val="15"/>
  </w:num>
  <w:num w:numId="35">
    <w:abstractNumId w:val="9"/>
  </w:num>
  <w:num w:numId="36">
    <w:abstractNumId w:val="14"/>
  </w:num>
  <w:num w:numId="37">
    <w:abstractNumId w:val="1"/>
  </w:num>
  <w:num w:numId="38">
    <w:abstractNumId w:val="5"/>
  </w:num>
  <w:num w:numId="39">
    <w:abstractNumId w:val="15"/>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0FF"/>
    <w:rsid w:val="00016FE0"/>
    <w:rsid w:val="000174F6"/>
    <w:rsid w:val="0002292F"/>
    <w:rsid w:val="00022D5C"/>
    <w:rsid w:val="00022EA9"/>
    <w:rsid w:val="00024745"/>
    <w:rsid w:val="00024E37"/>
    <w:rsid w:val="00031534"/>
    <w:rsid w:val="00032F41"/>
    <w:rsid w:val="00034768"/>
    <w:rsid w:val="00034E81"/>
    <w:rsid w:val="0004123E"/>
    <w:rsid w:val="00041748"/>
    <w:rsid w:val="00041E84"/>
    <w:rsid w:val="000424EA"/>
    <w:rsid w:val="00045E36"/>
    <w:rsid w:val="0005450C"/>
    <w:rsid w:val="00055397"/>
    <w:rsid w:val="00056373"/>
    <w:rsid w:val="000571D8"/>
    <w:rsid w:val="00061111"/>
    <w:rsid w:val="000624BB"/>
    <w:rsid w:val="0006427F"/>
    <w:rsid w:val="000648E8"/>
    <w:rsid w:val="0006681D"/>
    <w:rsid w:val="00074B89"/>
    <w:rsid w:val="00081E5E"/>
    <w:rsid w:val="00093796"/>
    <w:rsid w:val="000A3898"/>
    <w:rsid w:val="000A52A1"/>
    <w:rsid w:val="000B02F8"/>
    <w:rsid w:val="000B2942"/>
    <w:rsid w:val="000B3557"/>
    <w:rsid w:val="000B64E3"/>
    <w:rsid w:val="000B70AA"/>
    <w:rsid w:val="000D1354"/>
    <w:rsid w:val="000D7C54"/>
    <w:rsid w:val="000E0210"/>
    <w:rsid w:val="000E5A7F"/>
    <w:rsid w:val="000E6AA5"/>
    <w:rsid w:val="000E7F56"/>
    <w:rsid w:val="000F1CDA"/>
    <w:rsid w:val="000F57A4"/>
    <w:rsid w:val="001039C2"/>
    <w:rsid w:val="001040AD"/>
    <w:rsid w:val="00110B47"/>
    <w:rsid w:val="0011178C"/>
    <w:rsid w:val="00112CF0"/>
    <w:rsid w:val="0011321C"/>
    <w:rsid w:val="00120516"/>
    <w:rsid w:val="001211AB"/>
    <w:rsid w:val="001218B8"/>
    <w:rsid w:val="001231A1"/>
    <w:rsid w:val="001231ED"/>
    <w:rsid w:val="00124ED1"/>
    <w:rsid w:val="0013026D"/>
    <w:rsid w:val="00136497"/>
    <w:rsid w:val="00141BD1"/>
    <w:rsid w:val="00147115"/>
    <w:rsid w:val="001477CE"/>
    <w:rsid w:val="0015667D"/>
    <w:rsid w:val="0016518A"/>
    <w:rsid w:val="0016723A"/>
    <w:rsid w:val="00171130"/>
    <w:rsid w:val="00171A05"/>
    <w:rsid w:val="00172F3A"/>
    <w:rsid w:val="001730FD"/>
    <w:rsid w:val="00173798"/>
    <w:rsid w:val="00173BE6"/>
    <w:rsid w:val="00173E04"/>
    <w:rsid w:val="00173E72"/>
    <w:rsid w:val="00176BE0"/>
    <w:rsid w:val="001807C0"/>
    <w:rsid w:val="001811DE"/>
    <w:rsid w:val="001850FF"/>
    <w:rsid w:val="00187145"/>
    <w:rsid w:val="00197A87"/>
    <w:rsid w:val="001A7788"/>
    <w:rsid w:val="001B0110"/>
    <w:rsid w:val="001B3048"/>
    <w:rsid w:val="001B696E"/>
    <w:rsid w:val="001B6A56"/>
    <w:rsid w:val="001C469B"/>
    <w:rsid w:val="001C6A71"/>
    <w:rsid w:val="001D638B"/>
    <w:rsid w:val="001D6DFA"/>
    <w:rsid w:val="001E4927"/>
    <w:rsid w:val="001E6180"/>
    <w:rsid w:val="001E674B"/>
    <w:rsid w:val="001E68FC"/>
    <w:rsid w:val="001E7880"/>
    <w:rsid w:val="001F32A9"/>
    <w:rsid w:val="001F3BB1"/>
    <w:rsid w:val="00204026"/>
    <w:rsid w:val="00206CED"/>
    <w:rsid w:val="00212948"/>
    <w:rsid w:val="002133E9"/>
    <w:rsid w:val="0021396C"/>
    <w:rsid w:val="00217839"/>
    <w:rsid w:val="00223C57"/>
    <w:rsid w:val="00225A3B"/>
    <w:rsid w:val="00226156"/>
    <w:rsid w:val="0023081D"/>
    <w:rsid w:val="00232C18"/>
    <w:rsid w:val="0023329C"/>
    <w:rsid w:val="00236DC0"/>
    <w:rsid w:val="002373A2"/>
    <w:rsid w:val="00242517"/>
    <w:rsid w:val="0024260B"/>
    <w:rsid w:val="00243DC4"/>
    <w:rsid w:val="0024401F"/>
    <w:rsid w:val="0024569B"/>
    <w:rsid w:val="00251A62"/>
    <w:rsid w:val="00254184"/>
    <w:rsid w:val="00254A25"/>
    <w:rsid w:val="00255B5A"/>
    <w:rsid w:val="002671A2"/>
    <w:rsid w:val="00267496"/>
    <w:rsid w:val="00275B68"/>
    <w:rsid w:val="002845EA"/>
    <w:rsid w:val="00286EBE"/>
    <w:rsid w:val="002932DE"/>
    <w:rsid w:val="002948F5"/>
    <w:rsid w:val="00295118"/>
    <w:rsid w:val="0029570A"/>
    <w:rsid w:val="00295B70"/>
    <w:rsid w:val="00295D1E"/>
    <w:rsid w:val="002A2A08"/>
    <w:rsid w:val="002A2D93"/>
    <w:rsid w:val="002A4E42"/>
    <w:rsid w:val="002A77C3"/>
    <w:rsid w:val="002B10B0"/>
    <w:rsid w:val="002B169C"/>
    <w:rsid w:val="002B6EFD"/>
    <w:rsid w:val="002B6F33"/>
    <w:rsid w:val="002B79F0"/>
    <w:rsid w:val="002B7F3E"/>
    <w:rsid w:val="002C1D9C"/>
    <w:rsid w:val="002C366F"/>
    <w:rsid w:val="002C4CA9"/>
    <w:rsid w:val="002C60F7"/>
    <w:rsid w:val="002D2270"/>
    <w:rsid w:val="002D682B"/>
    <w:rsid w:val="002E0D13"/>
    <w:rsid w:val="002E25A8"/>
    <w:rsid w:val="002E52E8"/>
    <w:rsid w:val="002F04DE"/>
    <w:rsid w:val="002F1CD3"/>
    <w:rsid w:val="002F6E28"/>
    <w:rsid w:val="002F7E68"/>
    <w:rsid w:val="00302E5E"/>
    <w:rsid w:val="00304C95"/>
    <w:rsid w:val="00307DEF"/>
    <w:rsid w:val="00311D33"/>
    <w:rsid w:val="00313664"/>
    <w:rsid w:val="00314F90"/>
    <w:rsid w:val="00320DDF"/>
    <w:rsid w:val="00325871"/>
    <w:rsid w:val="00326734"/>
    <w:rsid w:val="003273D8"/>
    <w:rsid w:val="0033102E"/>
    <w:rsid w:val="00331401"/>
    <w:rsid w:val="00333234"/>
    <w:rsid w:val="00335ED1"/>
    <w:rsid w:val="00337EF8"/>
    <w:rsid w:val="0034124D"/>
    <w:rsid w:val="00342A60"/>
    <w:rsid w:val="0034379D"/>
    <w:rsid w:val="0034526E"/>
    <w:rsid w:val="0034646D"/>
    <w:rsid w:val="00347BE5"/>
    <w:rsid w:val="003522E0"/>
    <w:rsid w:val="0035267F"/>
    <w:rsid w:val="00355204"/>
    <w:rsid w:val="0035580D"/>
    <w:rsid w:val="00356CF2"/>
    <w:rsid w:val="00357E66"/>
    <w:rsid w:val="003639FB"/>
    <w:rsid w:val="00363BF7"/>
    <w:rsid w:val="00370973"/>
    <w:rsid w:val="00381AF4"/>
    <w:rsid w:val="003824AA"/>
    <w:rsid w:val="00382AE5"/>
    <w:rsid w:val="003835D1"/>
    <w:rsid w:val="00387FE4"/>
    <w:rsid w:val="003920E1"/>
    <w:rsid w:val="003929D2"/>
    <w:rsid w:val="00393FA5"/>
    <w:rsid w:val="00394162"/>
    <w:rsid w:val="00396181"/>
    <w:rsid w:val="003A27BB"/>
    <w:rsid w:val="003A3B77"/>
    <w:rsid w:val="003B673D"/>
    <w:rsid w:val="003C2577"/>
    <w:rsid w:val="003C4448"/>
    <w:rsid w:val="003C77CA"/>
    <w:rsid w:val="003D3D91"/>
    <w:rsid w:val="003D4708"/>
    <w:rsid w:val="003D477A"/>
    <w:rsid w:val="003E1351"/>
    <w:rsid w:val="003E6615"/>
    <w:rsid w:val="003E75D7"/>
    <w:rsid w:val="003E79F9"/>
    <w:rsid w:val="003F12E9"/>
    <w:rsid w:val="003F39BE"/>
    <w:rsid w:val="003F59F4"/>
    <w:rsid w:val="00404DCD"/>
    <w:rsid w:val="004077D6"/>
    <w:rsid w:val="004121E7"/>
    <w:rsid w:val="00413BB5"/>
    <w:rsid w:val="00414E51"/>
    <w:rsid w:val="00420F04"/>
    <w:rsid w:val="00423099"/>
    <w:rsid w:val="00424E79"/>
    <w:rsid w:val="0042661C"/>
    <w:rsid w:val="004274B3"/>
    <w:rsid w:val="00436350"/>
    <w:rsid w:val="00443EC1"/>
    <w:rsid w:val="004505B7"/>
    <w:rsid w:val="00453264"/>
    <w:rsid w:val="0045794A"/>
    <w:rsid w:val="004621C7"/>
    <w:rsid w:val="00462B54"/>
    <w:rsid w:val="00463064"/>
    <w:rsid w:val="004654C5"/>
    <w:rsid w:val="00472461"/>
    <w:rsid w:val="00473526"/>
    <w:rsid w:val="00473BBD"/>
    <w:rsid w:val="004809B8"/>
    <w:rsid w:val="004821B9"/>
    <w:rsid w:val="00491D88"/>
    <w:rsid w:val="0049605C"/>
    <w:rsid w:val="004965F7"/>
    <w:rsid w:val="004A7048"/>
    <w:rsid w:val="004B0A0A"/>
    <w:rsid w:val="004B1C4B"/>
    <w:rsid w:val="004B1D1F"/>
    <w:rsid w:val="004B51D3"/>
    <w:rsid w:val="004B53A0"/>
    <w:rsid w:val="004B60CB"/>
    <w:rsid w:val="004C1CB5"/>
    <w:rsid w:val="004C1CD3"/>
    <w:rsid w:val="004C48E9"/>
    <w:rsid w:val="004D64CB"/>
    <w:rsid w:val="004E5F72"/>
    <w:rsid w:val="004E769A"/>
    <w:rsid w:val="004F1FF7"/>
    <w:rsid w:val="004F2E1D"/>
    <w:rsid w:val="00500ACD"/>
    <w:rsid w:val="00504061"/>
    <w:rsid w:val="00505BAE"/>
    <w:rsid w:val="00506956"/>
    <w:rsid w:val="00515380"/>
    <w:rsid w:val="005173B3"/>
    <w:rsid w:val="005176CA"/>
    <w:rsid w:val="005177E7"/>
    <w:rsid w:val="0052389C"/>
    <w:rsid w:val="00532F81"/>
    <w:rsid w:val="00535109"/>
    <w:rsid w:val="00537A77"/>
    <w:rsid w:val="00541A14"/>
    <w:rsid w:val="00543F9C"/>
    <w:rsid w:val="00546D39"/>
    <w:rsid w:val="005477F6"/>
    <w:rsid w:val="00550E84"/>
    <w:rsid w:val="00551368"/>
    <w:rsid w:val="00556D9B"/>
    <w:rsid w:val="005577B0"/>
    <w:rsid w:val="00560216"/>
    <w:rsid w:val="00562084"/>
    <w:rsid w:val="00570EED"/>
    <w:rsid w:val="005716FC"/>
    <w:rsid w:val="00575DEF"/>
    <w:rsid w:val="00582886"/>
    <w:rsid w:val="005831CF"/>
    <w:rsid w:val="00583A33"/>
    <w:rsid w:val="005867D2"/>
    <w:rsid w:val="0059396B"/>
    <w:rsid w:val="00593D26"/>
    <w:rsid w:val="00594B9C"/>
    <w:rsid w:val="005963CC"/>
    <w:rsid w:val="00596E19"/>
    <w:rsid w:val="005A0B8E"/>
    <w:rsid w:val="005A241E"/>
    <w:rsid w:val="005A258E"/>
    <w:rsid w:val="005A6FED"/>
    <w:rsid w:val="005B1967"/>
    <w:rsid w:val="005B1BC4"/>
    <w:rsid w:val="005B537C"/>
    <w:rsid w:val="005B6894"/>
    <w:rsid w:val="005C13B2"/>
    <w:rsid w:val="005C27E3"/>
    <w:rsid w:val="005C37CB"/>
    <w:rsid w:val="005C459C"/>
    <w:rsid w:val="005D1A9F"/>
    <w:rsid w:val="005D2CBE"/>
    <w:rsid w:val="005D3711"/>
    <w:rsid w:val="005D3C2F"/>
    <w:rsid w:val="005D52FA"/>
    <w:rsid w:val="005E0FB6"/>
    <w:rsid w:val="005E18D6"/>
    <w:rsid w:val="005E1E7F"/>
    <w:rsid w:val="005E266F"/>
    <w:rsid w:val="005E5734"/>
    <w:rsid w:val="005E73CE"/>
    <w:rsid w:val="005F02A1"/>
    <w:rsid w:val="005F07DC"/>
    <w:rsid w:val="005F619F"/>
    <w:rsid w:val="005F64FB"/>
    <w:rsid w:val="0060251E"/>
    <w:rsid w:val="00602DDE"/>
    <w:rsid w:val="006075B1"/>
    <w:rsid w:val="00611737"/>
    <w:rsid w:val="00614DE8"/>
    <w:rsid w:val="00622580"/>
    <w:rsid w:val="00622669"/>
    <w:rsid w:val="00622972"/>
    <w:rsid w:val="00622FE1"/>
    <w:rsid w:val="00625CE5"/>
    <w:rsid w:val="00635027"/>
    <w:rsid w:val="00637005"/>
    <w:rsid w:val="0063707A"/>
    <w:rsid w:val="00644A7B"/>
    <w:rsid w:val="006556D9"/>
    <w:rsid w:val="00656503"/>
    <w:rsid w:val="0065751A"/>
    <w:rsid w:val="00660570"/>
    <w:rsid w:val="00661C46"/>
    <w:rsid w:val="006652D3"/>
    <w:rsid w:val="00667CF3"/>
    <w:rsid w:val="00672FD9"/>
    <w:rsid w:val="006769C4"/>
    <w:rsid w:val="00677627"/>
    <w:rsid w:val="00677BD5"/>
    <w:rsid w:val="0068025E"/>
    <w:rsid w:val="00690016"/>
    <w:rsid w:val="00693C87"/>
    <w:rsid w:val="006A05C7"/>
    <w:rsid w:val="006A4701"/>
    <w:rsid w:val="006A607B"/>
    <w:rsid w:val="006A6E27"/>
    <w:rsid w:val="006A72B0"/>
    <w:rsid w:val="006B3E4D"/>
    <w:rsid w:val="006B53BE"/>
    <w:rsid w:val="006C52B9"/>
    <w:rsid w:val="006D15D9"/>
    <w:rsid w:val="006D1DFE"/>
    <w:rsid w:val="006D2EF5"/>
    <w:rsid w:val="006D327C"/>
    <w:rsid w:val="006D3F63"/>
    <w:rsid w:val="006E6BC2"/>
    <w:rsid w:val="006E77BB"/>
    <w:rsid w:val="006F0244"/>
    <w:rsid w:val="006F1A69"/>
    <w:rsid w:val="0070150E"/>
    <w:rsid w:val="00705DB8"/>
    <w:rsid w:val="00713225"/>
    <w:rsid w:val="007178E4"/>
    <w:rsid w:val="0072267B"/>
    <w:rsid w:val="0072512A"/>
    <w:rsid w:val="00731EE6"/>
    <w:rsid w:val="007355A6"/>
    <w:rsid w:val="00740A71"/>
    <w:rsid w:val="00743A57"/>
    <w:rsid w:val="0074671F"/>
    <w:rsid w:val="007477C5"/>
    <w:rsid w:val="00747938"/>
    <w:rsid w:val="007500F3"/>
    <w:rsid w:val="00762AFB"/>
    <w:rsid w:val="00764F05"/>
    <w:rsid w:val="00765BA8"/>
    <w:rsid w:val="00766007"/>
    <w:rsid w:val="007660EF"/>
    <w:rsid w:val="00770A26"/>
    <w:rsid w:val="007721F0"/>
    <w:rsid w:val="00774C5B"/>
    <w:rsid w:val="00791EB3"/>
    <w:rsid w:val="007A0440"/>
    <w:rsid w:val="007A1364"/>
    <w:rsid w:val="007A24A0"/>
    <w:rsid w:val="007A4AB2"/>
    <w:rsid w:val="007A535A"/>
    <w:rsid w:val="007A5E68"/>
    <w:rsid w:val="007A6778"/>
    <w:rsid w:val="007B1BF7"/>
    <w:rsid w:val="007C404B"/>
    <w:rsid w:val="007C4BAE"/>
    <w:rsid w:val="007D1D3B"/>
    <w:rsid w:val="007D5960"/>
    <w:rsid w:val="007D7B7C"/>
    <w:rsid w:val="007E114E"/>
    <w:rsid w:val="007E487F"/>
    <w:rsid w:val="007E4B2D"/>
    <w:rsid w:val="007E587D"/>
    <w:rsid w:val="007E71E9"/>
    <w:rsid w:val="007F1D06"/>
    <w:rsid w:val="008000F7"/>
    <w:rsid w:val="008010D7"/>
    <w:rsid w:val="00803443"/>
    <w:rsid w:val="0080680D"/>
    <w:rsid w:val="00807F24"/>
    <w:rsid w:val="00812C05"/>
    <w:rsid w:val="0081322A"/>
    <w:rsid w:val="008162AB"/>
    <w:rsid w:val="00843E6F"/>
    <w:rsid w:val="00843F42"/>
    <w:rsid w:val="00846E4A"/>
    <w:rsid w:val="00847CAF"/>
    <w:rsid w:val="00851AF5"/>
    <w:rsid w:val="00851FB5"/>
    <w:rsid w:val="008647DE"/>
    <w:rsid w:val="00864B95"/>
    <w:rsid w:val="0086572C"/>
    <w:rsid w:val="00874DA9"/>
    <w:rsid w:val="00876E8A"/>
    <w:rsid w:val="008800D3"/>
    <w:rsid w:val="00886CDD"/>
    <w:rsid w:val="0089214D"/>
    <w:rsid w:val="008927C8"/>
    <w:rsid w:val="0089393B"/>
    <w:rsid w:val="00893C0D"/>
    <w:rsid w:val="008A025D"/>
    <w:rsid w:val="008A20DA"/>
    <w:rsid w:val="008A596C"/>
    <w:rsid w:val="008A64E3"/>
    <w:rsid w:val="008A7ED4"/>
    <w:rsid w:val="008B5C8F"/>
    <w:rsid w:val="008B5F16"/>
    <w:rsid w:val="008B6BC7"/>
    <w:rsid w:val="008B7722"/>
    <w:rsid w:val="008B773E"/>
    <w:rsid w:val="008C0B87"/>
    <w:rsid w:val="008C0E5C"/>
    <w:rsid w:val="008D348B"/>
    <w:rsid w:val="008E2BE4"/>
    <w:rsid w:val="008E4780"/>
    <w:rsid w:val="008E6B4E"/>
    <w:rsid w:val="008E7970"/>
    <w:rsid w:val="008E7C34"/>
    <w:rsid w:val="008F0C36"/>
    <w:rsid w:val="008F377B"/>
    <w:rsid w:val="008F5B4E"/>
    <w:rsid w:val="00915512"/>
    <w:rsid w:val="00921D20"/>
    <w:rsid w:val="009233CC"/>
    <w:rsid w:val="009240D8"/>
    <w:rsid w:val="009360D7"/>
    <w:rsid w:val="009362C9"/>
    <w:rsid w:val="00937B93"/>
    <w:rsid w:val="009407D4"/>
    <w:rsid w:val="00942387"/>
    <w:rsid w:val="0094626F"/>
    <w:rsid w:val="009462D2"/>
    <w:rsid w:val="009524BA"/>
    <w:rsid w:val="00963FE8"/>
    <w:rsid w:val="009652D5"/>
    <w:rsid w:val="009677F8"/>
    <w:rsid w:val="00971146"/>
    <w:rsid w:val="00972A9A"/>
    <w:rsid w:val="00975B47"/>
    <w:rsid w:val="00976D65"/>
    <w:rsid w:val="009842EE"/>
    <w:rsid w:val="00991675"/>
    <w:rsid w:val="00992008"/>
    <w:rsid w:val="00996409"/>
    <w:rsid w:val="00996D00"/>
    <w:rsid w:val="009A03DC"/>
    <w:rsid w:val="009A5D4E"/>
    <w:rsid w:val="009A6CF3"/>
    <w:rsid w:val="009B340B"/>
    <w:rsid w:val="009B3E38"/>
    <w:rsid w:val="009B43BF"/>
    <w:rsid w:val="009B4A2D"/>
    <w:rsid w:val="009B6CE5"/>
    <w:rsid w:val="009C1E0B"/>
    <w:rsid w:val="009C70E3"/>
    <w:rsid w:val="009D545A"/>
    <w:rsid w:val="009D6D44"/>
    <w:rsid w:val="009E07FD"/>
    <w:rsid w:val="009E22FA"/>
    <w:rsid w:val="009E4744"/>
    <w:rsid w:val="009E4EC9"/>
    <w:rsid w:val="009E55D9"/>
    <w:rsid w:val="009E5D5A"/>
    <w:rsid w:val="009F2262"/>
    <w:rsid w:val="009F4ADA"/>
    <w:rsid w:val="009F6A0D"/>
    <w:rsid w:val="00A0491A"/>
    <w:rsid w:val="00A07991"/>
    <w:rsid w:val="00A10CDE"/>
    <w:rsid w:val="00A1680D"/>
    <w:rsid w:val="00A23AB0"/>
    <w:rsid w:val="00A266C5"/>
    <w:rsid w:val="00A27640"/>
    <w:rsid w:val="00A309C6"/>
    <w:rsid w:val="00A32E4E"/>
    <w:rsid w:val="00A40A91"/>
    <w:rsid w:val="00A4572A"/>
    <w:rsid w:val="00A505DE"/>
    <w:rsid w:val="00A5327C"/>
    <w:rsid w:val="00A55CF7"/>
    <w:rsid w:val="00A569FF"/>
    <w:rsid w:val="00A5721C"/>
    <w:rsid w:val="00A67913"/>
    <w:rsid w:val="00A67A89"/>
    <w:rsid w:val="00A72B2D"/>
    <w:rsid w:val="00A74291"/>
    <w:rsid w:val="00A81A94"/>
    <w:rsid w:val="00A8224C"/>
    <w:rsid w:val="00A829AE"/>
    <w:rsid w:val="00A91F73"/>
    <w:rsid w:val="00A9641E"/>
    <w:rsid w:val="00A9681E"/>
    <w:rsid w:val="00AA007A"/>
    <w:rsid w:val="00AA11C3"/>
    <w:rsid w:val="00AB073E"/>
    <w:rsid w:val="00AB1A13"/>
    <w:rsid w:val="00AB4E9F"/>
    <w:rsid w:val="00AC03FE"/>
    <w:rsid w:val="00AC210F"/>
    <w:rsid w:val="00AC319E"/>
    <w:rsid w:val="00AC64E2"/>
    <w:rsid w:val="00AD3A1A"/>
    <w:rsid w:val="00AD4168"/>
    <w:rsid w:val="00AE3A1E"/>
    <w:rsid w:val="00AE4A2B"/>
    <w:rsid w:val="00AE734F"/>
    <w:rsid w:val="00AF23D6"/>
    <w:rsid w:val="00AF2656"/>
    <w:rsid w:val="00AF6110"/>
    <w:rsid w:val="00AF6AC6"/>
    <w:rsid w:val="00B00611"/>
    <w:rsid w:val="00B04354"/>
    <w:rsid w:val="00B12058"/>
    <w:rsid w:val="00B21097"/>
    <w:rsid w:val="00B249FC"/>
    <w:rsid w:val="00B25269"/>
    <w:rsid w:val="00B317E7"/>
    <w:rsid w:val="00B326B1"/>
    <w:rsid w:val="00B33A57"/>
    <w:rsid w:val="00B34083"/>
    <w:rsid w:val="00B37728"/>
    <w:rsid w:val="00B45C64"/>
    <w:rsid w:val="00B46A32"/>
    <w:rsid w:val="00B46B29"/>
    <w:rsid w:val="00B53547"/>
    <w:rsid w:val="00B53597"/>
    <w:rsid w:val="00B54F0C"/>
    <w:rsid w:val="00B55D3E"/>
    <w:rsid w:val="00B571D7"/>
    <w:rsid w:val="00B60258"/>
    <w:rsid w:val="00B62590"/>
    <w:rsid w:val="00B6411F"/>
    <w:rsid w:val="00B66EE5"/>
    <w:rsid w:val="00B6729F"/>
    <w:rsid w:val="00B82627"/>
    <w:rsid w:val="00B83A78"/>
    <w:rsid w:val="00B90A7B"/>
    <w:rsid w:val="00B90AA7"/>
    <w:rsid w:val="00B94335"/>
    <w:rsid w:val="00BA65E5"/>
    <w:rsid w:val="00BB09DF"/>
    <w:rsid w:val="00BB3FC5"/>
    <w:rsid w:val="00BC2B3B"/>
    <w:rsid w:val="00BC4579"/>
    <w:rsid w:val="00BC62EF"/>
    <w:rsid w:val="00BC76B9"/>
    <w:rsid w:val="00BD02E1"/>
    <w:rsid w:val="00BD1810"/>
    <w:rsid w:val="00BD3D24"/>
    <w:rsid w:val="00BD6EC7"/>
    <w:rsid w:val="00C0018A"/>
    <w:rsid w:val="00C00905"/>
    <w:rsid w:val="00C012FF"/>
    <w:rsid w:val="00C035B5"/>
    <w:rsid w:val="00C11ABD"/>
    <w:rsid w:val="00C14FAB"/>
    <w:rsid w:val="00C14FB2"/>
    <w:rsid w:val="00C176AC"/>
    <w:rsid w:val="00C203EC"/>
    <w:rsid w:val="00C21EF9"/>
    <w:rsid w:val="00C222F7"/>
    <w:rsid w:val="00C24839"/>
    <w:rsid w:val="00C27C23"/>
    <w:rsid w:val="00C4031B"/>
    <w:rsid w:val="00C416AE"/>
    <w:rsid w:val="00C41C84"/>
    <w:rsid w:val="00C46260"/>
    <w:rsid w:val="00C554D4"/>
    <w:rsid w:val="00C61B02"/>
    <w:rsid w:val="00C67D28"/>
    <w:rsid w:val="00C719A2"/>
    <w:rsid w:val="00C72165"/>
    <w:rsid w:val="00C72C26"/>
    <w:rsid w:val="00C81177"/>
    <w:rsid w:val="00C83041"/>
    <w:rsid w:val="00C87AA5"/>
    <w:rsid w:val="00C90B42"/>
    <w:rsid w:val="00C9475D"/>
    <w:rsid w:val="00C95056"/>
    <w:rsid w:val="00C951FD"/>
    <w:rsid w:val="00C95E72"/>
    <w:rsid w:val="00C97525"/>
    <w:rsid w:val="00CA1A0B"/>
    <w:rsid w:val="00CA638C"/>
    <w:rsid w:val="00CA7F28"/>
    <w:rsid w:val="00CB0768"/>
    <w:rsid w:val="00CB131F"/>
    <w:rsid w:val="00CB4DCD"/>
    <w:rsid w:val="00CB4F2D"/>
    <w:rsid w:val="00CC0C99"/>
    <w:rsid w:val="00CC13BD"/>
    <w:rsid w:val="00CC1690"/>
    <w:rsid w:val="00CC2DCA"/>
    <w:rsid w:val="00CC665A"/>
    <w:rsid w:val="00CE04A0"/>
    <w:rsid w:val="00CE34DC"/>
    <w:rsid w:val="00CE6B67"/>
    <w:rsid w:val="00CF3BE8"/>
    <w:rsid w:val="00D04125"/>
    <w:rsid w:val="00D07FB4"/>
    <w:rsid w:val="00D212AE"/>
    <w:rsid w:val="00D21FA8"/>
    <w:rsid w:val="00D236B7"/>
    <w:rsid w:val="00D23E48"/>
    <w:rsid w:val="00D244BE"/>
    <w:rsid w:val="00D2571F"/>
    <w:rsid w:val="00D43096"/>
    <w:rsid w:val="00D46AB2"/>
    <w:rsid w:val="00D47815"/>
    <w:rsid w:val="00D501FE"/>
    <w:rsid w:val="00D523DE"/>
    <w:rsid w:val="00D54053"/>
    <w:rsid w:val="00D656EB"/>
    <w:rsid w:val="00D70F8F"/>
    <w:rsid w:val="00D73366"/>
    <w:rsid w:val="00D771FD"/>
    <w:rsid w:val="00D7796D"/>
    <w:rsid w:val="00D813B5"/>
    <w:rsid w:val="00D81B18"/>
    <w:rsid w:val="00D83541"/>
    <w:rsid w:val="00D93A16"/>
    <w:rsid w:val="00D9496D"/>
    <w:rsid w:val="00DA0768"/>
    <w:rsid w:val="00DA161A"/>
    <w:rsid w:val="00DA5A94"/>
    <w:rsid w:val="00DB2355"/>
    <w:rsid w:val="00DB3BB4"/>
    <w:rsid w:val="00DB7454"/>
    <w:rsid w:val="00DC0F02"/>
    <w:rsid w:val="00DC0F8D"/>
    <w:rsid w:val="00DC2284"/>
    <w:rsid w:val="00DC3CA4"/>
    <w:rsid w:val="00DE4578"/>
    <w:rsid w:val="00DE6D67"/>
    <w:rsid w:val="00DF04EE"/>
    <w:rsid w:val="00DF3E35"/>
    <w:rsid w:val="00E03ED5"/>
    <w:rsid w:val="00E04C37"/>
    <w:rsid w:val="00E06243"/>
    <w:rsid w:val="00E07169"/>
    <w:rsid w:val="00E1688C"/>
    <w:rsid w:val="00E20846"/>
    <w:rsid w:val="00E22665"/>
    <w:rsid w:val="00E30499"/>
    <w:rsid w:val="00E30B51"/>
    <w:rsid w:val="00E3190E"/>
    <w:rsid w:val="00E324BB"/>
    <w:rsid w:val="00E32774"/>
    <w:rsid w:val="00E3696E"/>
    <w:rsid w:val="00E377E8"/>
    <w:rsid w:val="00E408EC"/>
    <w:rsid w:val="00E430CD"/>
    <w:rsid w:val="00E43464"/>
    <w:rsid w:val="00E47A69"/>
    <w:rsid w:val="00E571BB"/>
    <w:rsid w:val="00E74435"/>
    <w:rsid w:val="00E758AD"/>
    <w:rsid w:val="00E77D4E"/>
    <w:rsid w:val="00E91860"/>
    <w:rsid w:val="00E954B7"/>
    <w:rsid w:val="00E95687"/>
    <w:rsid w:val="00E96FDB"/>
    <w:rsid w:val="00EA107B"/>
    <w:rsid w:val="00EA3DCD"/>
    <w:rsid w:val="00EB7687"/>
    <w:rsid w:val="00EC16F1"/>
    <w:rsid w:val="00ED05D6"/>
    <w:rsid w:val="00ED0C6F"/>
    <w:rsid w:val="00ED2B52"/>
    <w:rsid w:val="00ED2FCC"/>
    <w:rsid w:val="00EE5F75"/>
    <w:rsid w:val="00EF2722"/>
    <w:rsid w:val="00EF6805"/>
    <w:rsid w:val="00F00508"/>
    <w:rsid w:val="00F01E52"/>
    <w:rsid w:val="00F02008"/>
    <w:rsid w:val="00F042DC"/>
    <w:rsid w:val="00F0463B"/>
    <w:rsid w:val="00F07099"/>
    <w:rsid w:val="00F07AD0"/>
    <w:rsid w:val="00F105EA"/>
    <w:rsid w:val="00F11117"/>
    <w:rsid w:val="00F12541"/>
    <w:rsid w:val="00F22035"/>
    <w:rsid w:val="00F22D18"/>
    <w:rsid w:val="00F24257"/>
    <w:rsid w:val="00F258DA"/>
    <w:rsid w:val="00F36C87"/>
    <w:rsid w:val="00F46927"/>
    <w:rsid w:val="00F53CAD"/>
    <w:rsid w:val="00F55854"/>
    <w:rsid w:val="00F56813"/>
    <w:rsid w:val="00F62B62"/>
    <w:rsid w:val="00F64C39"/>
    <w:rsid w:val="00F70110"/>
    <w:rsid w:val="00F72C93"/>
    <w:rsid w:val="00F77D34"/>
    <w:rsid w:val="00F80A88"/>
    <w:rsid w:val="00F823F5"/>
    <w:rsid w:val="00F85D87"/>
    <w:rsid w:val="00F86A86"/>
    <w:rsid w:val="00F9170D"/>
    <w:rsid w:val="00F94368"/>
    <w:rsid w:val="00F9494C"/>
    <w:rsid w:val="00FA15C8"/>
    <w:rsid w:val="00FA1C4B"/>
    <w:rsid w:val="00FA2D86"/>
    <w:rsid w:val="00FA348C"/>
    <w:rsid w:val="00FA4225"/>
    <w:rsid w:val="00FA437D"/>
    <w:rsid w:val="00FB0AD8"/>
    <w:rsid w:val="00FB4DBB"/>
    <w:rsid w:val="00FC4F65"/>
    <w:rsid w:val="00FC6346"/>
    <w:rsid w:val="00FD6367"/>
    <w:rsid w:val="00FD7C62"/>
    <w:rsid w:val="00FE2C17"/>
    <w:rsid w:val="00FE4F53"/>
    <w:rsid w:val="00FF072F"/>
    <w:rsid w:val="00FF0FE2"/>
    <w:rsid w:val="00FF3945"/>
    <w:rsid w:val="00FF4EF6"/>
    <w:rsid w:val="00FF74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toc 1" w:uiPriority="39"/>
    <w:lsdException w:name="toc 3" w:uiPriority="39"/>
    <w:lsdException w:name="footnote text" w:qFormat="1"/>
    <w:lsdException w:name="header" w:uiPriority="99"/>
    <w:lsdException w:name="footer" w:uiPriority="99"/>
    <w:lsdException w:name="Default Paragraph Font" w:uiPriority="1"/>
    <w:lsdException w:name="Hyperlink"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22669"/>
    <w:pPr>
      <w:tabs>
        <w:tab w:val="left" w:pos="567"/>
      </w:tabs>
      <w:spacing w:after="80" w:line="320" w:lineRule="atLeast"/>
    </w:pPr>
    <w:rPr>
      <w:sz w:val="24"/>
    </w:rPr>
  </w:style>
  <w:style w:type="paragraph" w:styleId="Heading1">
    <w:name w:val="heading 1"/>
    <w:basedOn w:val="Normal"/>
    <w:next w:val="Heading2"/>
    <w:link w:val="Heading1Char"/>
    <w:uiPriority w:val="9"/>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
    <w:qFormat/>
    <w:rsid w:val="00DC0F02"/>
    <w:pPr>
      <w:numPr>
        <w:numId w:val="36"/>
      </w:numPr>
      <w:tabs>
        <w:tab w:val="clear" w:pos="567"/>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38"/>
      </w:numPr>
      <w:tabs>
        <w:tab w:val="clear" w:pos="567"/>
      </w:tabs>
      <w:spacing w:line="300" w:lineRule="atLeast"/>
    </w:pPr>
    <w:rPr>
      <w:szCs w:val="20"/>
    </w:rPr>
  </w:style>
  <w:style w:type="paragraph" w:customStyle="1" w:styleId="CGCNumberedPara">
    <w:name w:val="CGC Numbered Para"/>
    <w:aliases w:val="CGC Para No"/>
    <w:basedOn w:val="Normal"/>
    <w:link w:val="CGCParaNoChar"/>
    <w:qFormat/>
    <w:rsid w:val="00622669"/>
    <w:pPr>
      <w:numPr>
        <w:ilvl w:val="1"/>
        <w:numId w:val="37"/>
      </w:numPr>
      <w:spacing w:before="120"/>
    </w:pPr>
    <w:rPr>
      <w:szCs w:val="24"/>
    </w:rPr>
  </w:style>
  <w:style w:type="paragraph" w:customStyle="1" w:styleId="CGCQuotation">
    <w:name w:val="CGC Quotation"/>
    <w:basedOn w:val="Normal"/>
    <w:next w:val="CGCNumberedPara"/>
    <w:qFormat/>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qFormat/>
    <w:rsid w:val="00C21EF9"/>
    <w:pPr>
      <w:numPr>
        <w:numId w:val="39"/>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rPr>
      <w:sz w:val="22"/>
    </w:rPr>
  </w:style>
  <w:style w:type="paragraph" w:customStyle="1" w:styleId="CGCTableFootnote">
    <w:name w:val="CGC Table Footnote"/>
    <w:basedOn w:val="CGCNumberedPara"/>
    <w:next w:val="NoSpacing"/>
    <w:link w:val="CGCTableFootnoteChar"/>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link w:val="CGCTableHeadingChar"/>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link w:val="TableRowNormalChar"/>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link w:val="CGCTableStubChar"/>
    <w:qFormat/>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rsid w:val="00765BA8"/>
    <w:rPr>
      <w:vertAlign w:val="superscript"/>
    </w:rPr>
  </w:style>
  <w:style w:type="paragraph" w:styleId="FootnoteText">
    <w:name w:val="footnote text"/>
    <w:basedOn w:val="Normal"/>
    <w:link w:val="FootnoteTextChar"/>
    <w:qFormat/>
    <w:rsid w:val="00622669"/>
    <w:pPr>
      <w:spacing w:after="0" w:line="240" w:lineRule="auto"/>
      <w:ind w:left="567" w:hanging="567"/>
    </w:pPr>
    <w:rPr>
      <w:sz w:val="20"/>
      <w:szCs w:val="20"/>
    </w:rPr>
  </w:style>
  <w:style w:type="paragraph" w:styleId="Header">
    <w:name w:val="header"/>
    <w:basedOn w:val="Normal"/>
    <w:link w:val="HeaderChar"/>
    <w:uiPriority w:val="99"/>
    <w:unhideWhenUsed/>
    <w:rsid w:val="00622669"/>
    <w:pPr>
      <w:tabs>
        <w:tab w:val="clear" w:pos="567"/>
        <w:tab w:val="center" w:pos="4513"/>
        <w:tab w:val="right" w:pos="9026"/>
      </w:tabs>
      <w:spacing w:after="0" w:line="240" w:lineRule="auto"/>
    </w:p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uiPriority w:val="5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uiPriority w:val="39"/>
    <w:rsid w:val="00996409"/>
    <w:pPr>
      <w:tabs>
        <w:tab w:val="clear" w:pos="567"/>
        <w:tab w:val="right" w:pos="8942"/>
      </w:tabs>
      <w:spacing w:before="120" w:after="120"/>
    </w:pPr>
    <w:rPr>
      <w:b/>
      <w:bCs/>
      <w:caps/>
      <w:szCs w:val="20"/>
    </w:rPr>
  </w:style>
  <w:style w:type="paragraph" w:styleId="TOC2">
    <w:name w:val="toc 2"/>
    <w:basedOn w:val="Normal"/>
    <w:next w:val="Normal"/>
    <w:rsid w:val="006A72B0"/>
    <w:pPr>
      <w:tabs>
        <w:tab w:val="clear" w:pos="567"/>
        <w:tab w:val="right" w:pos="8942"/>
      </w:tabs>
      <w:spacing w:after="0"/>
      <w:ind w:left="851"/>
    </w:pPr>
    <w:rPr>
      <w:szCs w:val="20"/>
    </w:rPr>
  </w:style>
  <w:style w:type="paragraph" w:styleId="TOC3">
    <w:name w:val="toc 3"/>
    <w:basedOn w:val="Normal"/>
    <w:next w:val="Normal"/>
    <w:uiPriority w:val="39"/>
    <w:rsid w:val="00996409"/>
    <w:pPr>
      <w:tabs>
        <w:tab w:val="clear" w:pos="567"/>
        <w:tab w:val="right" w:pos="8942"/>
      </w:tabs>
      <w:spacing w:after="0"/>
      <w:ind w:left="567"/>
    </w:pPr>
    <w:rPr>
      <w:iCs/>
      <w:caps/>
    </w:rPr>
  </w:style>
  <w:style w:type="paragraph" w:styleId="TOC4">
    <w:name w:val="toc 4"/>
    <w:basedOn w:val="Normal"/>
    <w:next w:val="Normal"/>
    <w:rsid w:val="00996409"/>
    <w:pPr>
      <w:tabs>
        <w:tab w:val="clear" w:pos="567"/>
        <w:tab w:val="right" w:pos="8942"/>
      </w:tabs>
      <w:spacing w:after="0"/>
      <w:ind w:left="1134"/>
    </w:p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uiPriority w:val="99"/>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TableFootnoteChar">
    <w:name w:val="CGC Table Footnote Char"/>
    <w:basedOn w:val="DefaultParagraphFont"/>
    <w:link w:val="CGCTableFootnote"/>
    <w:rsid w:val="001850FF"/>
    <w:rPr>
      <w:sz w:val="20"/>
      <w:szCs w:val="24"/>
    </w:rPr>
  </w:style>
  <w:style w:type="character" w:customStyle="1" w:styleId="CGCParaNoChar">
    <w:name w:val="CGC Para No Char"/>
    <w:aliases w:val="CGC Numbered Para Char"/>
    <w:basedOn w:val="DefaultParagraphFont"/>
    <w:link w:val="CGCNumberedPara"/>
    <w:rsid w:val="00413BB5"/>
    <w:rPr>
      <w:sz w:val="24"/>
      <w:szCs w:val="24"/>
    </w:rPr>
  </w:style>
  <w:style w:type="character" w:customStyle="1" w:styleId="CGCTableStubChar">
    <w:name w:val="CGC Table Stub Char"/>
    <w:basedOn w:val="DefaultParagraphFont"/>
    <w:link w:val="CGCTableStub"/>
    <w:rsid w:val="00660570"/>
    <w:rPr>
      <w:sz w:val="20"/>
      <w:szCs w:val="20"/>
    </w:rPr>
  </w:style>
  <w:style w:type="character" w:customStyle="1" w:styleId="TableRowNormalChar">
    <w:name w:val="TableRowNormal Char"/>
    <w:basedOn w:val="DefaultParagraphFont"/>
    <w:link w:val="TableRowNormal"/>
    <w:locked/>
    <w:rsid w:val="00660570"/>
    <w:rPr>
      <w:sz w:val="20"/>
      <w:szCs w:val="20"/>
    </w:rPr>
  </w:style>
  <w:style w:type="character" w:customStyle="1" w:styleId="CGCBulletlistChar">
    <w:name w:val="CGC Bullet list Char"/>
    <w:aliases w:val="CGC List 1 Char,CGC Bullet list Char1"/>
    <w:basedOn w:val="DefaultParagraphFont"/>
    <w:link w:val="CGCBulletlist"/>
    <w:locked/>
    <w:rsid w:val="00B12058"/>
    <w:rPr>
      <w:sz w:val="24"/>
      <w:szCs w:val="20"/>
    </w:rPr>
  </w:style>
  <w:style w:type="character" w:customStyle="1" w:styleId="CGCTableHeadingChar">
    <w:name w:val="CGC Table Heading Char"/>
    <w:basedOn w:val="DefaultParagraphFont"/>
    <w:link w:val="CGCTableHeading"/>
    <w:rsid w:val="00C87AA5"/>
    <w:rPr>
      <w:b/>
      <w:sz w:val="24"/>
      <w:szCs w:val="20"/>
    </w:rPr>
  </w:style>
  <w:style w:type="character" w:customStyle="1" w:styleId="CGCBulletlistCharChar">
    <w:name w:val="CGC Bullet list Char Char"/>
    <w:basedOn w:val="DefaultParagraphFont"/>
    <w:rsid w:val="00B571D7"/>
    <w:rP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lsdException w:name="toc 1" w:uiPriority="39"/>
    <w:lsdException w:name="toc 3" w:uiPriority="39"/>
    <w:lsdException w:name="footnote text" w:qFormat="1"/>
    <w:lsdException w:name="header" w:uiPriority="99"/>
    <w:lsdException w:name="footer" w:uiPriority="99"/>
    <w:lsdException w:name="Default Paragraph Font" w:uiPriority="1"/>
    <w:lsdException w:name="Hyperlink"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622669"/>
    <w:pPr>
      <w:tabs>
        <w:tab w:val="left" w:pos="567"/>
      </w:tabs>
      <w:spacing w:after="80" w:line="320" w:lineRule="atLeast"/>
    </w:pPr>
    <w:rPr>
      <w:sz w:val="24"/>
    </w:rPr>
  </w:style>
  <w:style w:type="paragraph" w:styleId="Heading1">
    <w:name w:val="heading 1"/>
    <w:basedOn w:val="Normal"/>
    <w:next w:val="Heading2"/>
    <w:link w:val="Heading1Char"/>
    <w:uiPriority w:val="9"/>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
    <w:qFormat/>
    <w:rsid w:val="00DC0F02"/>
    <w:pPr>
      <w:numPr>
        <w:numId w:val="36"/>
      </w:numPr>
      <w:tabs>
        <w:tab w:val="clear" w:pos="567"/>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38"/>
      </w:numPr>
      <w:tabs>
        <w:tab w:val="clear" w:pos="567"/>
      </w:tabs>
      <w:spacing w:line="300" w:lineRule="atLeast"/>
    </w:pPr>
    <w:rPr>
      <w:szCs w:val="20"/>
    </w:rPr>
  </w:style>
  <w:style w:type="paragraph" w:customStyle="1" w:styleId="CGCNumberedPara">
    <w:name w:val="CGC Numbered Para"/>
    <w:aliases w:val="CGC Para No"/>
    <w:basedOn w:val="Normal"/>
    <w:link w:val="CGCParaNoChar"/>
    <w:qFormat/>
    <w:rsid w:val="00622669"/>
    <w:pPr>
      <w:numPr>
        <w:ilvl w:val="1"/>
        <w:numId w:val="37"/>
      </w:numPr>
      <w:spacing w:before="120"/>
    </w:pPr>
    <w:rPr>
      <w:szCs w:val="24"/>
    </w:rPr>
  </w:style>
  <w:style w:type="paragraph" w:customStyle="1" w:styleId="CGCQuotation">
    <w:name w:val="CGC Quotation"/>
    <w:basedOn w:val="Normal"/>
    <w:next w:val="CGCNumberedPara"/>
    <w:qFormat/>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qFormat/>
    <w:rsid w:val="00C21EF9"/>
    <w:pPr>
      <w:numPr>
        <w:numId w:val="39"/>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rPr>
      <w:sz w:val="22"/>
    </w:rPr>
  </w:style>
  <w:style w:type="paragraph" w:customStyle="1" w:styleId="CGCTableFootnote">
    <w:name w:val="CGC Table Footnote"/>
    <w:basedOn w:val="CGCNumberedPara"/>
    <w:next w:val="NoSpacing"/>
    <w:link w:val="CGCTableFootnoteChar"/>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link w:val="CGCTableHeadingChar"/>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link w:val="TableRowNormalChar"/>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link w:val="CGCTableStubChar"/>
    <w:qFormat/>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rsid w:val="00765BA8"/>
    <w:rPr>
      <w:vertAlign w:val="superscript"/>
    </w:rPr>
  </w:style>
  <w:style w:type="paragraph" w:styleId="FootnoteText">
    <w:name w:val="footnote text"/>
    <w:basedOn w:val="Normal"/>
    <w:link w:val="FootnoteTextChar"/>
    <w:qFormat/>
    <w:rsid w:val="00622669"/>
    <w:pPr>
      <w:spacing w:after="0" w:line="240" w:lineRule="auto"/>
      <w:ind w:left="567" w:hanging="567"/>
    </w:pPr>
    <w:rPr>
      <w:sz w:val="20"/>
      <w:szCs w:val="20"/>
    </w:rPr>
  </w:style>
  <w:style w:type="paragraph" w:styleId="Header">
    <w:name w:val="header"/>
    <w:basedOn w:val="Normal"/>
    <w:link w:val="HeaderChar"/>
    <w:uiPriority w:val="99"/>
    <w:unhideWhenUsed/>
    <w:rsid w:val="00622669"/>
    <w:pPr>
      <w:tabs>
        <w:tab w:val="clear" w:pos="567"/>
        <w:tab w:val="center" w:pos="4513"/>
        <w:tab w:val="right" w:pos="9026"/>
      </w:tabs>
      <w:spacing w:after="0" w:line="240" w:lineRule="auto"/>
    </w:p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uiPriority w:val="5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uiPriority w:val="39"/>
    <w:rsid w:val="00996409"/>
    <w:pPr>
      <w:tabs>
        <w:tab w:val="clear" w:pos="567"/>
        <w:tab w:val="right" w:pos="8942"/>
      </w:tabs>
      <w:spacing w:before="120" w:after="120"/>
    </w:pPr>
    <w:rPr>
      <w:b/>
      <w:bCs/>
      <w:caps/>
      <w:szCs w:val="20"/>
    </w:rPr>
  </w:style>
  <w:style w:type="paragraph" w:styleId="TOC2">
    <w:name w:val="toc 2"/>
    <w:basedOn w:val="Normal"/>
    <w:next w:val="Normal"/>
    <w:rsid w:val="006A72B0"/>
    <w:pPr>
      <w:tabs>
        <w:tab w:val="clear" w:pos="567"/>
        <w:tab w:val="right" w:pos="8942"/>
      </w:tabs>
      <w:spacing w:after="0"/>
      <w:ind w:left="851"/>
    </w:pPr>
    <w:rPr>
      <w:szCs w:val="20"/>
    </w:rPr>
  </w:style>
  <w:style w:type="paragraph" w:styleId="TOC3">
    <w:name w:val="toc 3"/>
    <w:basedOn w:val="Normal"/>
    <w:next w:val="Normal"/>
    <w:uiPriority w:val="39"/>
    <w:rsid w:val="00996409"/>
    <w:pPr>
      <w:tabs>
        <w:tab w:val="clear" w:pos="567"/>
        <w:tab w:val="right" w:pos="8942"/>
      </w:tabs>
      <w:spacing w:after="0"/>
      <w:ind w:left="567"/>
    </w:pPr>
    <w:rPr>
      <w:iCs/>
      <w:caps/>
    </w:rPr>
  </w:style>
  <w:style w:type="paragraph" w:styleId="TOC4">
    <w:name w:val="toc 4"/>
    <w:basedOn w:val="Normal"/>
    <w:next w:val="Normal"/>
    <w:rsid w:val="00996409"/>
    <w:pPr>
      <w:tabs>
        <w:tab w:val="clear" w:pos="567"/>
        <w:tab w:val="right" w:pos="8942"/>
      </w:tabs>
      <w:spacing w:after="0"/>
      <w:ind w:left="1134"/>
    </w:p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uiPriority w:val="9"/>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uiPriority w:val="9"/>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semiHidden/>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uiPriority w:val="99"/>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TableFootnoteChar">
    <w:name w:val="CGC Table Footnote Char"/>
    <w:basedOn w:val="DefaultParagraphFont"/>
    <w:link w:val="CGCTableFootnote"/>
    <w:rsid w:val="001850FF"/>
    <w:rPr>
      <w:sz w:val="20"/>
      <w:szCs w:val="24"/>
    </w:rPr>
  </w:style>
  <w:style w:type="character" w:customStyle="1" w:styleId="CGCParaNoChar">
    <w:name w:val="CGC Para No Char"/>
    <w:aliases w:val="CGC Numbered Para Char"/>
    <w:basedOn w:val="DefaultParagraphFont"/>
    <w:link w:val="CGCNumberedPara"/>
    <w:rsid w:val="00413BB5"/>
    <w:rPr>
      <w:sz w:val="24"/>
      <w:szCs w:val="24"/>
    </w:rPr>
  </w:style>
  <w:style w:type="character" w:customStyle="1" w:styleId="CGCTableStubChar">
    <w:name w:val="CGC Table Stub Char"/>
    <w:basedOn w:val="DefaultParagraphFont"/>
    <w:link w:val="CGCTableStub"/>
    <w:rsid w:val="00660570"/>
    <w:rPr>
      <w:sz w:val="20"/>
      <w:szCs w:val="20"/>
    </w:rPr>
  </w:style>
  <w:style w:type="character" w:customStyle="1" w:styleId="TableRowNormalChar">
    <w:name w:val="TableRowNormal Char"/>
    <w:basedOn w:val="DefaultParagraphFont"/>
    <w:link w:val="TableRowNormal"/>
    <w:locked/>
    <w:rsid w:val="00660570"/>
    <w:rPr>
      <w:sz w:val="20"/>
      <w:szCs w:val="20"/>
    </w:rPr>
  </w:style>
  <w:style w:type="character" w:customStyle="1" w:styleId="CGCBulletlistChar">
    <w:name w:val="CGC Bullet list Char"/>
    <w:aliases w:val="CGC List 1 Char,CGC Bullet list Char1"/>
    <w:basedOn w:val="DefaultParagraphFont"/>
    <w:link w:val="CGCBulletlist"/>
    <w:locked/>
    <w:rsid w:val="00B12058"/>
    <w:rPr>
      <w:sz w:val="24"/>
      <w:szCs w:val="20"/>
    </w:rPr>
  </w:style>
  <w:style w:type="character" w:customStyle="1" w:styleId="CGCTableHeadingChar">
    <w:name w:val="CGC Table Heading Char"/>
    <w:basedOn w:val="DefaultParagraphFont"/>
    <w:link w:val="CGCTableHeading"/>
    <w:rsid w:val="00C87AA5"/>
    <w:rPr>
      <w:b/>
      <w:sz w:val="24"/>
      <w:szCs w:val="20"/>
    </w:rPr>
  </w:style>
  <w:style w:type="character" w:customStyle="1" w:styleId="CGCBulletlistCharChar">
    <w:name w:val="CGC Bullet list Char Char"/>
    <w:basedOn w:val="DefaultParagraphFont"/>
    <w:rsid w:val="00B571D7"/>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735864179">
      <w:bodyDiv w:val="1"/>
      <w:marLeft w:val="0"/>
      <w:marRight w:val="0"/>
      <w:marTop w:val="0"/>
      <w:marBottom w:val="0"/>
      <w:divBdr>
        <w:top w:val="none" w:sz="0" w:space="0" w:color="auto"/>
        <w:left w:val="none" w:sz="0" w:space="0" w:color="auto"/>
        <w:bottom w:val="none" w:sz="0" w:space="0" w:color="auto"/>
        <w:right w:val="none" w:sz="0" w:space="0" w:color="auto"/>
      </w:divBdr>
    </w:div>
    <w:div w:id="749622744">
      <w:bodyDiv w:val="1"/>
      <w:marLeft w:val="0"/>
      <w:marRight w:val="0"/>
      <w:marTop w:val="0"/>
      <w:marBottom w:val="0"/>
      <w:divBdr>
        <w:top w:val="none" w:sz="0" w:space="0" w:color="auto"/>
        <w:left w:val="none" w:sz="0" w:space="0" w:color="auto"/>
        <w:bottom w:val="none" w:sz="0" w:space="0" w:color="auto"/>
        <w:right w:val="none" w:sz="0" w:space="0" w:color="auto"/>
      </w:divBdr>
    </w:div>
    <w:div w:id="813179990">
      <w:bodyDiv w:val="1"/>
      <w:marLeft w:val="0"/>
      <w:marRight w:val="0"/>
      <w:marTop w:val="0"/>
      <w:marBottom w:val="0"/>
      <w:divBdr>
        <w:top w:val="none" w:sz="0" w:space="0" w:color="auto"/>
        <w:left w:val="none" w:sz="0" w:space="0" w:color="auto"/>
        <w:bottom w:val="none" w:sz="0" w:space="0" w:color="auto"/>
        <w:right w:val="none" w:sz="0" w:space="0" w:color="auto"/>
      </w:divBdr>
    </w:div>
    <w:div w:id="948515314">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349601874">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689217019">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cretary@cgc.gov.au" TargetMode="Externa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morgan.moa@gmail.com"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creativecommons.org/licenses/by/3.0" TargetMode="External"/><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7A153-244E-4DDA-9ED0-C561FCE05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1896</Words>
  <Characters>11139</Characters>
  <Application>Microsoft Office Word</Application>
  <DocSecurity>0</DocSecurity>
  <Lines>92</Lines>
  <Paragraphs>26</Paragraphs>
  <ScaleCrop>false</ScaleCrop>
  <Company/>
  <LinksUpToDate>false</LinksUpToDate>
  <CharactersWithSpaces>13009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2018-04-18T04:07:00Z</dcterms:created>
  <dcterms:modified xsi:type="dcterms:W3CDTF">2018-04-18T04:07:00Z</dcterms:modified>
</cp:coreProperties>
</file>