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02" w:rsidRDefault="0061618C" w:rsidP="0061618C">
      <w:pPr>
        <w:jc w:val="center"/>
      </w:pPr>
      <w:bookmarkStart w:id="0" w:name="_GoBack"/>
      <w:bookmarkEnd w:id="0"/>
      <w:r w:rsidRPr="0061618C">
        <w:rPr>
          <w:noProof/>
          <w:lang w:eastAsia="en-AU"/>
        </w:rPr>
        <w:drawing>
          <wp:inline distT="0" distB="0" distL="0" distR="0">
            <wp:extent cx="2926080" cy="1516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516380"/>
                    </a:xfrm>
                    <a:prstGeom prst="rect">
                      <a:avLst/>
                    </a:prstGeom>
                    <a:noFill/>
                    <a:ln>
                      <a:noFill/>
                    </a:ln>
                  </pic:spPr>
                </pic:pic>
              </a:graphicData>
            </a:graphic>
          </wp:inline>
        </w:drawing>
      </w: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61618C" w:rsidRPr="0061618C" w:rsidRDefault="0061618C" w:rsidP="0061618C">
      <w:pPr>
        <w:jc w:val="center"/>
        <w:rPr>
          <w:b/>
          <w:sz w:val="40"/>
          <w:szCs w:val="40"/>
        </w:rPr>
      </w:pPr>
      <w:r w:rsidRPr="0061618C">
        <w:rPr>
          <w:b/>
          <w:sz w:val="40"/>
          <w:szCs w:val="40"/>
        </w:rPr>
        <w:t>2020 REVIEW</w:t>
      </w: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61618C" w:rsidRPr="0061618C" w:rsidRDefault="0061618C" w:rsidP="0061618C">
      <w:pPr>
        <w:jc w:val="center"/>
        <w:rPr>
          <w:b/>
          <w:sz w:val="40"/>
          <w:szCs w:val="40"/>
        </w:rPr>
      </w:pPr>
      <w:r w:rsidRPr="0061618C">
        <w:rPr>
          <w:b/>
          <w:sz w:val="40"/>
          <w:szCs w:val="40"/>
        </w:rPr>
        <w:t>MOTOR TAXES</w:t>
      </w: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61618C" w:rsidRPr="0061618C" w:rsidRDefault="0061618C" w:rsidP="0061618C">
      <w:pPr>
        <w:jc w:val="center"/>
        <w:rPr>
          <w:b/>
          <w:sz w:val="40"/>
          <w:szCs w:val="40"/>
        </w:rPr>
      </w:pPr>
      <w:r w:rsidRPr="0061618C">
        <w:rPr>
          <w:b/>
          <w:sz w:val="40"/>
          <w:szCs w:val="40"/>
        </w:rPr>
        <w:t>STAFF DRAFT ASSESSMENT PAPER</w:t>
      </w:r>
    </w:p>
    <w:p w:rsidR="0061618C" w:rsidRPr="0061618C" w:rsidRDefault="0061618C" w:rsidP="0061618C">
      <w:pPr>
        <w:jc w:val="center"/>
        <w:rPr>
          <w:b/>
          <w:sz w:val="40"/>
          <w:szCs w:val="40"/>
        </w:rPr>
      </w:pPr>
      <w:proofErr w:type="spellStart"/>
      <w:r w:rsidRPr="0061618C">
        <w:rPr>
          <w:b/>
          <w:sz w:val="40"/>
          <w:szCs w:val="40"/>
        </w:rPr>
        <w:t>CGC</w:t>
      </w:r>
      <w:proofErr w:type="spellEnd"/>
      <w:r w:rsidRPr="0061618C">
        <w:rPr>
          <w:b/>
          <w:sz w:val="40"/>
          <w:szCs w:val="40"/>
        </w:rPr>
        <w:t xml:space="preserve"> 2018-01/06-S</w:t>
      </w: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61618C" w:rsidRPr="0061618C" w:rsidRDefault="0061618C" w:rsidP="0061618C">
      <w:pPr>
        <w:jc w:val="center"/>
        <w:rPr>
          <w:b/>
          <w:sz w:val="40"/>
          <w:szCs w:val="40"/>
        </w:rPr>
      </w:pPr>
    </w:p>
    <w:p w:rsidR="007C7E27" w:rsidRDefault="0061618C" w:rsidP="0061618C">
      <w:pPr>
        <w:jc w:val="right"/>
        <w:rPr>
          <w:b/>
          <w:sz w:val="28"/>
          <w:szCs w:val="28"/>
        </w:rPr>
        <w:sectPr w:rsidR="007C7E27" w:rsidSect="007C7E27">
          <w:footerReference w:type="default" r:id="rId9"/>
          <w:footerReference w:type="first" r:id="rId10"/>
          <w:pgSz w:w="11899" w:h="16838" w:code="9"/>
          <w:pgMar w:top="1701" w:right="1474" w:bottom="1701" w:left="1474" w:header="709" w:footer="709" w:gutter="0"/>
          <w:pgNumType w:start="1"/>
          <w:cols w:space="708"/>
          <w:titlePg/>
          <w:docGrid w:linePitch="299"/>
        </w:sectPr>
      </w:pPr>
      <w:r w:rsidRPr="0061618C">
        <w:rPr>
          <w:b/>
          <w:sz w:val="28"/>
          <w:szCs w:val="28"/>
        </w:rPr>
        <w:t>APRIL 2018</w:t>
      </w:r>
    </w:p>
    <w:p w:rsidR="0061618C" w:rsidRDefault="0061618C" w:rsidP="0061618C">
      <w:pPr>
        <w:jc w:val="right"/>
        <w:rPr>
          <w:szCs w:val="24"/>
        </w:rPr>
        <w:sectPr w:rsidR="0061618C" w:rsidSect="007C7E27">
          <w:type w:val="continuous"/>
          <w:pgSz w:w="11899" w:h="16838" w:code="9"/>
          <w:pgMar w:top="1701" w:right="1474" w:bottom="1701" w:left="1474" w:header="709" w:footer="709" w:gutter="0"/>
          <w:cols w:space="708"/>
          <w:titlePg/>
          <w:docGrid w:linePitch="299"/>
        </w:sect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Pr="0061618C" w:rsidRDefault="0061618C" w:rsidP="0061618C">
      <w:pPr>
        <w:rPr>
          <w:szCs w:val="24"/>
        </w:rPr>
      </w:pPr>
    </w:p>
    <w:p w:rsidR="0061618C" w:rsidRDefault="0061618C" w:rsidP="0061618C">
      <w:pPr>
        <w:rPr>
          <w:szCs w:val="24"/>
        </w:rPr>
      </w:pPr>
    </w:p>
    <w:tbl>
      <w:tblPr>
        <w:tblStyle w:val="TableGrid"/>
        <w:tblW w:w="0" w:type="auto"/>
        <w:tblLook w:val="04A0" w:firstRow="1" w:lastRow="0" w:firstColumn="1" w:lastColumn="0" w:noHBand="0" w:noVBand="1"/>
      </w:tblPr>
      <w:tblGrid>
        <w:gridCol w:w="2943"/>
        <w:gridCol w:w="6224"/>
      </w:tblGrid>
      <w:tr w:rsidR="0061618C" w:rsidTr="0061618C">
        <w:tc>
          <w:tcPr>
            <w:tcW w:w="2943" w:type="dxa"/>
          </w:tcPr>
          <w:p w:rsidR="0061618C" w:rsidRDefault="0061618C" w:rsidP="0061618C">
            <w:pPr>
              <w:rPr>
                <w:szCs w:val="24"/>
              </w:rPr>
            </w:pPr>
            <w:r w:rsidRPr="0061618C">
              <w:rPr>
                <w:szCs w:val="24"/>
              </w:rPr>
              <w:t>Paper issued</w:t>
            </w:r>
          </w:p>
        </w:tc>
        <w:tc>
          <w:tcPr>
            <w:tcW w:w="6224" w:type="dxa"/>
          </w:tcPr>
          <w:p w:rsidR="0061618C" w:rsidRDefault="0061618C" w:rsidP="0061618C">
            <w:pPr>
              <w:rPr>
                <w:szCs w:val="24"/>
              </w:rPr>
            </w:pPr>
            <w:r w:rsidRPr="0061618C">
              <w:rPr>
                <w:szCs w:val="24"/>
              </w:rPr>
              <w:t>20 April 2018</w:t>
            </w:r>
          </w:p>
        </w:tc>
      </w:tr>
      <w:tr w:rsidR="0061618C" w:rsidTr="0061618C">
        <w:tc>
          <w:tcPr>
            <w:tcW w:w="2943" w:type="dxa"/>
          </w:tcPr>
          <w:p w:rsidR="0061618C" w:rsidRPr="00364584" w:rsidRDefault="0061618C" w:rsidP="00CC0AA2">
            <w:r w:rsidRPr="00364584">
              <w:t>Commission contact officer</w:t>
            </w:r>
          </w:p>
        </w:tc>
        <w:tc>
          <w:tcPr>
            <w:tcW w:w="6224" w:type="dxa"/>
          </w:tcPr>
          <w:p w:rsidR="0061618C" w:rsidRDefault="00D25B35" w:rsidP="00D25B35">
            <w:pPr>
              <w:rPr>
                <w:szCs w:val="24"/>
              </w:rPr>
            </w:pPr>
            <w:r>
              <w:rPr>
                <w:szCs w:val="24"/>
              </w:rPr>
              <w:t>Jeff Evans</w:t>
            </w:r>
            <w:r w:rsidR="0061618C" w:rsidRPr="0061618C">
              <w:rPr>
                <w:szCs w:val="24"/>
              </w:rPr>
              <w:t>, 6229 88</w:t>
            </w:r>
            <w:r>
              <w:rPr>
                <w:szCs w:val="24"/>
              </w:rPr>
              <w:t>5</w:t>
            </w:r>
            <w:r w:rsidR="0061618C" w:rsidRPr="0061618C">
              <w:rPr>
                <w:szCs w:val="24"/>
              </w:rPr>
              <w:t xml:space="preserve">6, </w:t>
            </w:r>
            <w:hyperlink r:id="rId11" w:history="1">
              <w:r w:rsidRPr="00491559">
                <w:rPr>
                  <w:rStyle w:val="Hyperlink"/>
                  <w:szCs w:val="24"/>
                </w:rPr>
                <w:t>jeffrey.evans@cgc.gov.au</w:t>
              </w:r>
            </w:hyperlink>
            <w:r>
              <w:rPr>
                <w:szCs w:val="24"/>
              </w:rPr>
              <w:t xml:space="preserve"> </w:t>
            </w:r>
          </w:p>
        </w:tc>
      </w:tr>
      <w:tr w:rsidR="0061618C" w:rsidTr="0061618C">
        <w:tc>
          <w:tcPr>
            <w:tcW w:w="2943" w:type="dxa"/>
          </w:tcPr>
          <w:p w:rsidR="0061618C" w:rsidRPr="00364584" w:rsidRDefault="0061618C" w:rsidP="00CC0AA2">
            <w:r w:rsidRPr="00364584">
              <w:t>Submissions sought by</w:t>
            </w:r>
          </w:p>
        </w:tc>
        <w:tc>
          <w:tcPr>
            <w:tcW w:w="6224" w:type="dxa"/>
          </w:tcPr>
          <w:p w:rsidR="0061618C" w:rsidRPr="0061618C" w:rsidRDefault="0061618C" w:rsidP="0061618C">
            <w:pPr>
              <w:rPr>
                <w:szCs w:val="24"/>
              </w:rPr>
            </w:pPr>
            <w:r w:rsidRPr="0061618C">
              <w:rPr>
                <w:szCs w:val="24"/>
              </w:rPr>
              <w:t>31 August 2018.</w:t>
            </w:r>
          </w:p>
          <w:p w:rsidR="0061618C" w:rsidRPr="0061618C" w:rsidRDefault="0061618C" w:rsidP="0061618C">
            <w:pPr>
              <w:rPr>
                <w:szCs w:val="24"/>
              </w:rPr>
            </w:pPr>
            <w:r w:rsidRPr="0061618C">
              <w:rPr>
                <w:szCs w:val="24"/>
              </w:rPr>
              <w:t xml:space="preserve">Submissions should be emailed in Word format to </w:t>
            </w:r>
            <w:hyperlink r:id="rId12" w:history="1">
              <w:r w:rsidRPr="00491559">
                <w:rPr>
                  <w:rStyle w:val="Hyperlink"/>
                  <w:szCs w:val="24"/>
                </w:rPr>
                <w:t>secretary@cgc.gov.au</w:t>
              </w:r>
            </w:hyperlink>
            <w:r>
              <w:rPr>
                <w:szCs w:val="24"/>
              </w:rPr>
              <w:t xml:space="preserve"> </w:t>
            </w:r>
            <w:r w:rsidRPr="0061618C">
              <w:rPr>
                <w:szCs w:val="24"/>
              </w:rPr>
              <w:t>.</w:t>
            </w:r>
          </w:p>
          <w:p w:rsidR="0061618C" w:rsidRDefault="0061618C" w:rsidP="0061618C">
            <w:pPr>
              <w:rPr>
                <w:szCs w:val="24"/>
              </w:rPr>
            </w:pPr>
            <w:r w:rsidRPr="0061618C">
              <w:rPr>
                <w:szCs w:val="24"/>
              </w:rPr>
              <w:t>Submissions of more than 10 pages in length should include a summary section.</w:t>
            </w:r>
          </w:p>
        </w:tc>
      </w:tr>
      <w:tr w:rsidR="0061618C" w:rsidTr="0061618C">
        <w:tc>
          <w:tcPr>
            <w:tcW w:w="2943" w:type="dxa"/>
          </w:tcPr>
          <w:p w:rsidR="0061618C" w:rsidRDefault="0061618C" w:rsidP="00CC0AA2">
            <w:r w:rsidRPr="00364584">
              <w:t>Confidential material</w:t>
            </w:r>
          </w:p>
        </w:tc>
        <w:tc>
          <w:tcPr>
            <w:tcW w:w="6224" w:type="dxa"/>
          </w:tcPr>
          <w:p w:rsidR="0061618C" w:rsidRDefault="0061618C" w:rsidP="0061618C">
            <w:pPr>
              <w:rPr>
                <w:szCs w:val="24"/>
              </w:rPr>
            </w:pPr>
            <w:r w:rsidRPr="0061618C">
              <w:rPr>
                <w:szCs w:val="24"/>
              </w:rPr>
              <w:t>It is the Commission’s normal practice to make State submissions available on its website under the CC BY licence, allowing free use of content by third parties.</w:t>
            </w:r>
          </w:p>
          <w:p w:rsidR="0061618C" w:rsidRDefault="0061618C" w:rsidP="0061618C">
            <w:pPr>
              <w:rPr>
                <w:szCs w:val="24"/>
              </w:rPr>
            </w:pPr>
            <w:r>
              <w:rPr>
                <w:noProof/>
                <w:szCs w:val="24"/>
                <w:lang w:eastAsia="en-AU"/>
              </w:rPr>
              <w:drawing>
                <wp:inline distT="0" distB="0" distL="0" distR="0" wp14:anchorId="1A023514" wp14:editId="61BB1216">
                  <wp:extent cx="822960" cy="28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289560"/>
                          </a:xfrm>
                          <a:prstGeom prst="rect">
                            <a:avLst/>
                          </a:prstGeom>
                          <a:noFill/>
                          <a:ln>
                            <a:noFill/>
                          </a:ln>
                        </pic:spPr>
                      </pic:pic>
                    </a:graphicData>
                  </a:graphic>
                </wp:inline>
              </w:drawing>
            </w:r>
          </w:p>
          <w:p w:rsidR="0061618C" w:rsidRPr="0061618C" w:rsidRDefault="0061618C" w:rsidP="0061618C">
            <w:pPr>
              <w:rPr>
                <w:szCs w:val="24"/>
              </w:rPr>
            </w:pPr>
            <w:r w:rsidRPr="0061618C">
              <w:rPr>
                <w:szCs w:val="24"/>
              </w:rPr>
              <w:t xml:space="preserve">Further information on the CC BY licence can be found on the </w:t>
            </w:r>
            <w:hyperlink r:id="rId14" w:history="1">
              <w:r w:rsidRPr="0061618C">
                <w:rPr>
                  <w:rStyle w:val="Hyperlink"/>
                  <w:szCs w:val="24"/>
                </w:rPr>
                <w:t>Creative Commons website</w:t>
              </w:r>
            </w:hyperlink>
            <w:r w:rsidRPr="0061618C">
              <w:rPr>
                <w:szCs w:val="24"/>
              </w:rPr>
              <w:t xml:space="preserve"> (http://creativecommons.org). </w:t>
            </w:r>
          </w:p>
          <w:p w:rsidR="0061618C" w:rsidRDefault="0061618C" w:rsidP="0061618C">
            <w:pPr>
              <w:rPr>
                <w:szCs w:val="24"/>
              </w:rPr>
            </w:pPr>
            <w:r w:rsidRPr="0061618C">
              <w:rPr>
                <w:szCs w:val="24"/>
              </w:rPr>
              <w:t>Confidential material contained in submissions must be clearly identified or included in separate attachment/s, and details provided in the covering email. Identified confidential material will not be published on the Commission’s website.</w:t>
            </w:r>
          </w:p>
        </w:tc>
      </w:tr>
    </w:tbl>
    <w:p w:rsidR="0061618C" w:rsidRDefault="0061618C" w:rsidP="0061618C">
      <w:pPr>
        <w:rPr>
          <w:szCs w:val="24"/>
        </w:rPr>
        <w:sectPr w:rsidR="0061618C" w:rsidSect="0004123E">
          <w:footerReference w:type="first" r:id="rId15"/>
          <w:pgSz w:w="11899" w:h="16838" w:code="9"/>
          <w:pgMar w:top="1701" w:right="1474" w:bottom="1701" w:left="1474" w:header="709" w:footer="709" w:gutter="0"/>
          <w:cols w:space="708"/>
          <w:titlePg/>
          <w:docGrid w:linePitch="299"/>
        </w:sectPr>
      </w:pPr>
    </w:p>
    <w:p w:rsidR="0061618C" w:rsidRDefault="0061618C" w:rsidP="0061618C">
      <w:pPr>
        <w:pStyle w:val="Heading1"/>
      </w:pPr>
      <w:r>
        <w:lastRenderedPageBreak/>
        <w:t>Contents</w:t>
      </w:r>
    </w:p>
    <w:p w:rsidR="00D956AD" w:rsidRDefault="00D956AD" w:rsidP="00D956AD">
      <w:pPr>
        <w:pStyle w:val="TOC1"/>
        <w:rPr>
          <w:rFonts w:eastAsiaTheme="minorEastAsia"/>
          <w:b w:val="0"/>
          <w:bCs w:val="0"/>
          <w:caps w:val="0"/>
          <w:noProof/>
          <w:sz w:val="22"/>
          <w:szCs w:val="22"/>
          <w:lang w:eastAsia="en-AU"/>
        </w:rPr>
      </w:pPr>
      <w:r>
        <w:fldChar w:fldCharType="begin"/>
      </w:r>
      <w:r>
        <w:instrText xml:space="preserve"> TOC \o "2-2" \f \h \z \u \t "Heading 2,1,Heading 3,3,Heading 4,4" </w:instrText>
      </w:r>
      <w:r>
        <w:fldChar w:fldCharType="separate"/>
      </w:r>
      <w:hyperlink w:anchor="_Toc511727883" w:history="1"/>
    </w:p>
    <w:p w:rsidR="00D956AD" w:rsidRDefault="00086DF7" w:rsidP="00D25B35">
      <w:pPr>
        <w:pStyle w:val="TOC3"/>
        <w:ind w:left="0"/>
        <w:rPr>
          <w:rFonts w:eastAsiaTheme="minorEastAsia"/>
          <w:iCs w:val="0"/>
          <w:caps w:val="0"/>
          <w:noProof/>
          <w:sz w:val="22"/>
          <w:lang w:eastAsia="en-AU"/>
        </w:rPr>
      </w:pPr>
      <w:hyperlink w:anchor="_Toc511727884" w:history="1">
        <w:r w:rsidR="00D956AD" w:rsidRPr="00D956AD">
          <w:rPr>
            <w:rStyle w:val="Hyperlink"/>
            <w:b/>
            <w:noProof/>
          </w:rPr>
          <w:t>2015 REVIEW APPROACH</w:t>
        </w:r>
        <w:r w:rsidR="00D956AD">
          <w:rPr>
            <w:noProof/>
            <w:webHidden/>
          </w:rPr>
          <w:tab/>
        </w:r>
        <w:r w:rsidR="00D956AD">
          <w:rPr>
            <w:noProof/>
            <w:webHidden/>
          </w:rPr>
          <w:fldChar w:fldCharType="begin"/>
        </w:r>
        <w:r w:rsidR="00D956AD">
          <w:rPr>
            <w:noProof/>
            <w:webHidden/>
          </w:rPr>
          <w:instrText xml:space="preserve"> PAGEREF _Toc511727884 \h </w:instrText>
        </w:r>
        <w:r w:rsidR="00D956AD">
          <w:rPr>
            <w:noProof/>
            <w:webHidden/>
          </w:rPr>
        </w:r>
        <w:r w:rsidR="00D956AD">
          <w:rPr>
            <w:noProof/>
            <w:webHidden/>
          </w:rPr>
          <w:fldChar w:fldCharType="separate"/>
        </w:r>
        <w:r w:rsidR="00D956AD">
          <w:rPr>
            <w:noProof/>
            <w:webHidden/>
          </w:rPr>
          <w:t>1</w:t>
        </w:r>
        <w:r w:rsidR="00D956AD">
          <w:rPr>
            <w:noProof/>
            <w:webHidden/>
          </w:rPr>
          <w:fldChar w:fldCharType="end"/>
        </w:r>
      </w:hyperlink>
    </w:p>
    <w:p w:rsidR="00D956AD" w:rsidRDefault="00086DF7" w:rsidP="00D25B35">
      <w:pPr>
        <w:pStyle w:val="TOC4"/>
        <w:ind w:left="567"/>
        <w:rPr>
          <w:rFonts w:eastAsiaTheme="minorEastAsia"/>
          <w:noProof/>
          <w:sz w:val="22"/>
          <w:lang w:eastAsia="en-AU"/>
        </w:rPr>
      </w:pPr>
      <w:hyperlink w:anchor="_Toc511727885" w:history="1">
        <w:r w:rsidR="00D956AD" w:rsidRPr="00B40A70">
          <w:rPr>
            <w:rStyle w:val="Hyperlink"/>
            <w:noProof/>
          </w:rPr>
          <w:t>How was revenue capacity assessed?</w:t>
        </w:r>
        <w:r w:rsidR="00D956AD">
          <w:rPr>
            <w:noProof/>
            <w:webHidden/>
          </w:rPr>
          <w:tab/>
        </w:r>
        <w:r w:rsidR="00D956AD">
          <w:rPr>
            <w:noProof/>
            <w:webHidden/>
          </w:rPr>
          <w:fldChar w:fldCharType="begin"/>
        </w:r>
        <w:r w:rsidR="00D956AD">
          <w:rPr>
            <w:noProof/>
            <w:webHidden/>
          </w:rPr>
          <w:instrText xml:space="preserve"> PAGEREF _Toc511727885 \h </w:instrText>
        </w:r>
        <w:r w:rsidR="00D956AD">
          <w:rPr>
            <w:noProof/>
            <w:webHidden/>
          </w:rPr>
        </w:r>
        <w:r w:rsidR="00D956AD">
          <w:rPr>
            <w:noProof/>
            <w:webHidden/>
          </w:rPr>
          <w:fldChar w:fldCharType="separate"/>
        </w:r>
        <w:r w:rsidR="00D956AD">
          <w:rPr>
            <w:noProof/>
            <w:webHidden/>
          </w:rPr>
          <w:t>1</w:t>
        </w:r>
        <w:r w:rsidR="00D956AD">
          <w:rPr>
            <w:noProof/>
            <w:webHidden/>
          </w:rPr>
          <w:fldChar w:fldCharType="end"/>
        </w:r>
      </w:hyperlink>
    </w:p>
    <w:p w:rsidR="00D956AD" w:rsidRDefault="00086DF7" w:rsidP="00D25B35">
      <w:pPr>
        <w:pStyle w:val="TOC4"/>
        <w:ind w:left="567"/>
        <w:rPr>
          <w:rFonts w:eastAsiaTheme="minorEastAsia"/>
          <w:noProof/>
          <w:sz w:val="22"/>
          <w:lang w:eastAsia="en-AU"/>
        </w:rPr>
      </w:pPr>
      <w:hyperlink w:anchor="_Toc511727886" w:history="1">
        <w:r w:rsidR="00D956AD" w:rsidRPr="00B40A70">
          <w:rPr>
            <w:rStyle w:val="Hyperlink"/>
            <w:noProof/>
          </w:rPr>
          <w:t>GST redistribution</w:t>
        </w:r>
        <w:r w:rsidR="00D956AD">
          <w:rPr>
            <w:noProof/>
            <w:webHidden/>
          </w:rPr>
          <w:tab/>
        </w:r>
        <w:r w:rsidR="00D956AD">
          <w:rPr>
            <w:noProof/>
            <w:webHidden/>
          </w:rPr>
          <w:fldChar w:fldCharType="begin"/>
        </w:r>
        <w:r w:rsidR="00D956AD">
          <w:rPr>
            <w:noProof/>
            <w:webHidden/>
          </w:rPr>
          <w:instrText xml:space="preserve"> PAGEREF _Toc511727886 \h </w:instrText>
        </w:r>
        <w:r w:rsidR="00D956AD">
          <w:rPr>
            <w:noProof/>
            <w:webHidden/>
          </w:rPr>
        </w:r>
        <w:r w:rsidR="00D956AD">
          <w:rPr>
            <w:noProof/>
            <w:webHidden/>
          </w:rPr>
          <w:fldChar w:fldCharType="separate"/>
        </w:r>
        <w:r w:rsidR="00D956AD">
          <w:rPr>
            <w:noProof/>
            <w:webHidden/>
          </w:rPr>
          <w:t>2</w:t>
        </w:r>
        <w:r w:rsidR="00D956AD">
          <w:rPr>
            <w:noProof/>
            <w:webHidden/>
          </w:rPr>
          <w:fldChar w:fldCharType="end"/>
        </w:r>
      </w:hyperlink>
    </w:p>
    <w:p w:rsidR="00D956AD" w:rsidRPr="00D956AD" w:rsidRDefault="00086DF7" w:rsidP="00D25B35">
      <w:pPr>
        <w:pStyle w:val="TOC3"/>
        <w:ind w:left="0"/>
        <w:rPr>
          <w:rFonts w:eastAsiaTheme="minorEastAsia"/>
          <w:b/>
          <w:iCs w:val="0"/>
          <w:caps w:val="0"/>
          <w:noProof/>
          <w:sz w:val="22"/>
          <w:lang w:eastAsia="en-AU"/>
        </w:rPr>
      </w:pPr>
      <w:hyperlink w:anchor="_Toc511727887" w:history="1">
        <w:r w:rsidR="00D956AD" w:rsidRPr="00D956AD">
          <w:rPr>
            <w:rStyle w:val="Hyperlink"/>
            <w:b/>
            <w:noProof/>
          </w:rPr>
          <w:t>ISSUES AND ANALYSIS</w:t>
        </w:r>
        <w:r w:rsidR="00D956AD" w:rsidRPr="00D956AD">
          <w:rPr>
            <w:b/>
            <w:noProof/>
            <w:webHidden/>
          </w:rPr>
          <w:tab/>
        </w:r>
        <w:r w:rsidR="00D956AD" w:rsidRPr="00D956AD">
          <w:rPr>
            <w:b/>
            <w:noProof/>
            <w:webHidden/>
          </w:rPr>
          <w:fldChar w:fldCharType="begin"/>
        </w:r>
        <w:r w:rsidR="00D956AD" w:rsidRPr="00D956AD">
          <w:rPr>
            <w:b/>
            <w:noProof/>
            <w:webHidden/>
          </w:rPr>
          <w:instrText xml:space="preserve"> PAGEREF _Toc511727887 \h </w:instrText>
        </w:r>
        <w:r w:rsidR="00D956AD" w:rsidRPr="00D956AD">
          <w:rPr>
            <w:b/>
            <w:noProof/>
            <w:webHidden/>
          </w:rPr>
        </w:r>
        <w:r w:rsidR="00D956AD" w:rsidRPr="00D956AD">
          <w:rPr>
            <w:b/>
            <w:noProof/>
            <w:webHidden/>
          </w:rPr>
          <w:fldChar w:fldCharType="separate"/>
        </w:r>
        <w:r w:rsidR="00D956AD" w:rsidRPr="00D956AD">
          <w:rPr>
            <w:b/>
            <w:noProof/>
            <w:webHidden/>
          </w:rPr>
          <w:t>2</w:t>
        </w:r>
        <w:r w:rsidR="00D956AD" w:rsidRPr="00D956AD">
          <w:rPr>
            <w:b/>
            <w:noProof/>
            <w:webHidden/>
          </w:rPr>
          <w:fldChar w:fldCharType="end"/>
        </w:r>
      </w:hyperlink>
    </w:p>
    <w:p w:rsidR="00D956AD" w:rsidRDefault="00086DF7" w:rsidP="00D25B35">
      <w:pPr>
        <w:pStyle w:val="TOC4"/>
        <w:ind w:left="567"/>
        <w:rPr>
          <w:rFonts w:eastAsiaTheme="minorEastAsia"/>
          <w:noProof/>
          <w:sz w:val="22"/>
          <w:lang w:eastAsia="en-AU"/>
        </w:rPr>
      </w:pPr>
      <w:hyperlink w:anchor="_Toc511727888" w:history="1">
        <w:r w:rsidR="00D956AD" w:rsidRPr="00B40A70">
          <w:rPr>
            <w:rStyle w:val="Hyperlink"/>
            <w:noProof/>
          </w:rPr>
          <w:t>Presentation of stamp duty on vehicle transfers assessment</w:t>
        </w:r>
        <w:r w:rsidR="00D956AD">
          <w:rPr>
            <w:noProof/>
            <w:webHidden/>
          </w:rPr>
          <w:tab/>
        </w:r>
        <w:r w:rsidR="00D956AD">
          <w:rPr>
            <w:noProof/>
            <w:webHidden/>
          </w:rPr>
          <w:fldChar w:fldCharType="begin"/>
        </w:r>
        <w:r w:rsidR="00D956AD">
          <w:rPr>
            <w:noProof/>
            <w:webHidden/>
          </w:rPr>
          <w:instrText xml:space="preserve"> PAGEREF _Toc511727888 \h </w:instrText>
        </w:r>
        <w:r w:rsidR="00D956AD">
          <w:rPr>
            <w:noProof/>
            <w:webHidden/>
          </w:rPr>
        </w:r>
        <w:r w:rsidR="00D956AD">
          <w:rPr>
            <w:noProof/>
            <w:webHidden/>
          </w:rPr>
          <w:fldChar w:fldCharType="separate"/>
        </w:r>
        <w:r w:rsidR="00D956AD">
          <w:rPr>
            <w:noProof/>
            <w:webHidden/>
          </w:rPr>
          <w:t>3</w:t>
        </w:r>
        <w:r w:rsidR="00D956AD">
          <w:rPr>
            <w:noProof/>
            <w:webHidden/>
          </w:rPr>
          <w:fldChar w:fldCharType="end"/>
        </w:r>
      </w:hyperlink>
    </w:p>
    <w:p w:rsidR="00D956AD" w:rsidRDefault="00086DF7" w:rsidP="00D25B35">
      <w:pPr>
        <w:pStyle w:val="TOC4"/>
        <w:ind w:left="567"/>
        <w:rPr>
          <w:rFonts w:eastAsiaTheme="minorEastAsia"/>
          <w:noProof/>
          <w:sz w:val="22"/>
          <w:lang w:eastAsia="en-AU"/>
        </w:rPr>
      </w:pPr>
      <w:hyperlink w:anchor="_Toc511727889" w:history="1">
        <w:r w:rsidR="00D956AD" w:rsidRPr="00B40A70">
          <w:rPr>
            <w:rStyle w:val="Hyperlink"/>
            <w:noProof/>
          </w:rPr>
          <w:t>Other issues considered</w:t>
        </w:r>
        <w:r w:rsidR="00D956AD">
          <w:rPr>
            <w:noProof/>
            <w:webHidden/>
          </w:rPr>
          <w:tab/>
        </w:r>
        <w:r w:rsidR="00D956AD">
          <w:rPr>
            <w:noProof/>
            <w:webHidden/>
          </w:rPr>
          <w:fldChar w:fldCharType="begin"/>
        </w:r>
        <w:r w:rsidR="00D956AD">
          <w:rPr>
            <w:noProof/>
            <w:webHidden/>
          </w:rPr>
          <w:instrText xml:space="preserve"> PAGEREF _Toc511727889 \h </w:instrText>
        </w:r>
        <w:r w:rsidR="00D956AD">
          <w:rPr>
            <w:noProof/>
            <w:webHidden/>
          </w:rPr>
        </w:r>
        <w:r w:rsidR="00D956AD">
          <w:rPr>
            <w:noProof/>
            <w:webHidden/>
          </w:rPr>
          <w:fldChar w:fldCharType="separate"/>
        </w:r>
        <w:r w:rsidR="00D956AD">
          <w:rPr>
            <w:noProof/>
            <w:webHidden/>
          </w:rPr>
          <w:t>3</w:t>
        </w:r>
        <w:r w:rsidR="00D956AD">
          <w:rPr>
            <w:noProof/>
            <w:webHidden/>
          </w:rPr>
          <w:fldChar w:fldCharType="end"/>
        </w:r>
      </w:hyperlink>
    </w:p>
    <w:p w:rsidR="00D956AD" w:rsidRPr="00D956AD" w:rsidRDefault="00086DF7" w:rsidP="00D25B35">
      <w:pPr>
        <w:pStyle w:val="TOC3"/>
        <w:ind w:left="0"/>
        <w:rPr>
          <w:rFonts w:eastAsiaTheme="minorEastAsia"/>
          <w:b/>
          <w:iCs w:val="0"/>
          <w:caps w:val="0"/>
          <w:noProof/>
          <w:sz w:val="22"/>
          <w:lang w:eastAsia="en-AU"/>
        </w:rPr>
      </w:pPr>
      <w:hyperlink w:anchor="_Toc511727890" w:history="1">
        <w:r w:rsidR="00D956AD" w:rsidRPr="00D956AD">
          <w:rPr>
            <w:rStyle w:val="Hyperlink"/>
            <w:b/>
            <w:noProof/>
          </w:rPr>
          <w:t>CONCLUSION AND WAY FORWARD</w:t>
        </w:r>
        <w:r w:rsidR="00D956AD" w:rsidRPr="00D956AD">
          <w:rPr>
            <w:b/>
            <w:noProof/>
            <w:webHidden/>
          </w:rPr>
          <w:tab/>
        </w:r>
        <w:r w:rsidR="00D956AD" w:rsidRPr="00D956AD">
          <w:rPr>
            <w:b/>
            <w:noProof/>
            <w:webHidden/>
          </w:rPr>
          <w:fldChar w:fldCharType="begin"/>
        </w:r>
        <w:r w:rsidR="00D956AD" w:rsidRPr="00D956AD">
          <w:rPr>
            <w:b/>
            <w:noProof/>
            <w:webHidden/>
          </w:rPr>
          <w:instrText xml:space="preserve"> PAGEREF _Toc511727890 \h </w:instrText>
        </w:r>
        <w:r w:rsidR="00D956AD" w:rsidRPr="00D956AD">
          <w:rPr>
            <w:b/>
            <w:noProof/>
            <w:webHidden/>
          </w:rPr>
        </w:r>
        <w:r w:rsidR="00D956AD" w:rsidRPr="00D956AD">
          <w:rPr>
            <w:b/>
            <w:noProof/>
            <w:webHidden/>
          </w:rPr>
          <w:fldChar w:fldCharType="separate"/>
        </w:r>
        <w:r w:rsidR="00D956AD" w:rsidRPr="00D956AD">
          <w:rPr>
            <w:b/>
            <w:noProof/>
            <w:webHidden/>
          </w:rPr>
          <w:t>4</w:t>
        </w:r>
        <w:r w:rsidR="00D956AD" w:rsidRPr="00D956AD">
          <w:rPr>
            <w:b/>
            <w:noProof/>
            <w:webHidden/>
          </w:rPr>
          <w:fldChar w:fldCharType="end"/>
        </w:r>
      </w:hyperlink>
    </w:p>
    <w:p w:rsidR="00D956AD" w:rsidRDefault="00086DF7" w:rsidP="00D25B35">
      <w:pPr>
        <w:pStyle w:val="TOC4"/>
        <w:ind w:left="567"/>
        <w:rPr>
          <w:rFonts w:eastAsiaTheme="minorEastAsia"/>
          <w:noProof/>
          <w:sz w:val="22"/>
          <w:lang w:eastAsia="en-AU"/>
        </w:rPr>
      </w:pPr>
      <w:hyperlink w:anchor="_Toc511727891" w:history="1">
        <w:r w:rsidR="00D956AD" w:rsidRPr="00B40A70">
          <w:rPr>
            <w:rStyle w:val="Hyperlink"/>
            <w:noProof/>
          </w:rPr>
          <w:t>Proposed assessment structure</w:t>
        </w:r>
        <w:r w:rsidR="00D956AD">
          <w:rPr>
            <w:noProof/>
            <w:webHidden/>
          </w:rPr>
          <w:tab/>
        </w:r>
        <w:r w:rsidR="00D956AD">
          <w:rPr>
            <w:noProof/>
            <w:webHidden/>
          </w:rPr>
          <w:fldChar w:fldCharType="begin"/>
        </w:r>
        <w:r w:rsidR="00D956AD">
          <w:rPr>
            <w:noProof/>
            <w:webHidden/>
          </w:rPr>
          <w:instrText xml:space="preserve"> PAGEREF _Toc511727891 \h </w:instrText>
        </w:r>
        <w:r w:rsidR="00D956AD">
          <w:rPr>
            <w:noProof/>
            <w:webHidden/>
          </w:rPr>
        </w:r>
        <w:r w:rsidR="00D956AD">
          <w:rPr>
            <w:noProof/>
            <w:webHidden/>
          </w:rPr>
          <w:fldChar w:fldCharType="separate"/>
        </w:r>
        <w:r w:rsidR="00D956AD">
          <w:rPr>
            <w:noProof/>
            <w:webHidden/>
          </w:rPr>
          <w:t>5</w:t>
        </w:r>
        <w:r w:rsidR="00D956AD">
          <w:rPr>
            <w:noProof/>
            <w:webHidden/>
          </w:rPr>
          <w:fldChar w:fldCharType="end"/>
        </w:r>
      </w:hyperlink>
    </w:p>
    <w:p w:rsidR="00D956AD" w:rsidRDefault="00D956AD" w:rsidP="00D956AD">
      <w:pPr>
        <w:pStyle w:val="TOC1"/>
        <w:rPr>
          <w:rFonts w:eastAsiaTheme="minorEastAsia"/>
          <w:noProof/>
          <w:sz w:val="22"/>
          <w:lang w:eastAsia="en-AU"/>
        </w:rPr>
      </w:pPr>
      <w:r>
        <w:fldChar w:fldCharType="end"/>
      </w:r>
      <w:r>
        <w:fldChar w:fldCharType="begin"/>
      </w:r>
      <w:r>
        <w:instrText xml:space="preserve"> TOC \f \h \z \u \t "Heading 2,1,Heading 3,1,Heading 4,3" </w:instrText>
      </w:r>
      <w:r>
        <w:fldChar w:fldCharType="end"/>
      </w:r>
      <w:r>
        <w:fldChar w:fldCharType="begin"/>
      </w:r>
      <w:r>
        <w:instrText xml:space="preserve"> TOC \o "2-2" \f \h \z \u \t "Heading 2,1,Heading 3,3,Heading 4,4" </w:instrText>
      </w:r>
      <w:r>
        <w:fldChar w:fldCharType="separate"/>
      </w:r>
    </w:p>
    <w:p w:rsidR="0061618C" w:rsidRDefault="00D956AD" w:rsidP="0061618C">
      <w:pPr>
        <w:sectPr w:rsidR="0061618C" w:rsidSect="0004123E">
          <w:footerReference w:type="first" r:id="rId16"/>
          <w:pgSz w:w="11899" w:h="16838" w:code="9"/>
          <w:pgMar w:top="1701" w:right="1474" w:bottom="1701" w:left="1474" w:header="709" w:footer="709" w:gutter="0"/>
          <w:cols w:space="708"/>
          <w:titlePg/>
          <w:docGrid w:linePitch="299"/>
        </w:sectPr>
      </w:pPr>
      <w:r>
        <w:fldChar w:fldCharType="end"/>
      </w:r>
    </w:p>
    <w:p w:rsidR="0061618C" w:rsidRDefault="0061618C" w:rsidP="0061618C">
      <w:pPr>
        <w:pStyle w:val="Heading2"/>
      </w:pPr>
      <w:bookmarkStart w:id="1" w:name="_Toc511727831"/>
      <w:bookmarkStart w:id="2" w:name="_Toc511727841"/>
      <w:bookmarkStart w:id="3" w:name="_Toc511727883"/>
      <w:r>
        <w:lastRenderedPageBreak/>
        <w:t>MOTOR TAXES</w:t>
      </w:r>
      <w:bookmarkEnd w:id="1"/>
      <w:bookmarkEnd w:id="2"/>
      <w:bookmarkEnd w:id="3"/>
    </w:p>
    <w:p w:rsidR="0061618C" w:rsidRDefault="0061618C" w:rsidP="0061618C">
      <w:pPr>
        <w:pStyle w:val="CGCNumberedPara"/>
      </w:pPr>
      <w:r>
        <w:t>This paper provides the Commission staff proposals for the assessment of Motor taxes revenue for the 2020 Review.</w:t>
      </w:r>
    </w:p>
    <w:p w:rsidR="0061618C" w:rsidRDefault="0061618C" w:rsidP="0061618C">
      <w:pPr>
        <w:pStyle w:val="Heading3"/>
      </w:pPr>
      <w:bookmarkStart w:id="4" w:name="_Toc511727832"/>
      <w:bookmarkStart w:id="5" w:name="_Toc511727842"/>
      <w:bookmarkStart w:id="6" w:name="_Toc511727884"/>
      <w:r>
        <w:t>2015 REVIEW APPROACH</w:t>
      </w:r>
      <w:bookmarkEnd w:id="4"/>
      <w:bookmarkEnd w:id="5"/>
      <w:bookmarkEnd w:id="6"/>
    </w:p>
    <w:p w:rsidR="0061618C" w:rsidRDefault="0061618C" w:rsidP="0061618C">
      <w:pPr>
        <w:pStyle w:val="CGCNumberedPara"/>
      </w:pPr>
      <w:r>
        <w:t>The Motor taxes category comprises revenue from annual motor vehicle registration fees and associated charges. It includes fire and emergency services levies imposed on motor vehicles, traffic improvement and number plate fees, and revenues raised by the Commonwealth under its Federal Interstate Registration Scheme (FIRS).</w:t>
      </w:r>
      <w:r w:rsidR="0012348B">
        <w:rPr>
          <w:rStyle w:val="FootnoteReference"/>
        </w:rPr>
        <w:footnoteReference w:id="1"/>
      </w:r>
    </w:p>
    <w:p w:rsidR="0061618C" w:rsidRDefault="0061618C" w:rsidP="0061618C">
      <w:pPr>
        <w:pStyle w:val="CGCNumberedPara"/>
      </w:pPr>
      <w:r>
        <w:t xml:space="preserve">This category does not include revenue from stamp duty on motor vehicle transfers (assessed in the Stamp duty category), duty on compulsory third party insurance premiums (assessed in the Insurance tax category), or driver licence and permit fees (assessed in the </w:t>
      </w:r>
      <w:proofErr w:type="gramStart"/>
      <w:r>
        <w:t>Other</w:t>
      </w:r>
      <w:proofErr w:type="gramEnd"/>
      <w:r>
        <w:t xml:space="preserve"> revenue category).</w:t>
      </w:r>
    </w:p>
    <w:p w:rsidR="00754A4E" w:rsidRPr="00754A4E" w:rsidRDefault="0012348B" w:rsidP="00754A4E">
      <w:pPr>
        <w:pStyle w:val="CGCNumberedPara"/>
      </w:pPr>
      <w:r>
        <w:fldChar w:fldCharType="begin"/>
      </w:r>
      <w:r>
        <w:instrText xml:space="preserve"> REF _Ref511725139 \h </w:instrText>
      </w:r>
      <w:r>
        <w:fldChar w:fldCharType="separate"/>
      </w:r>
      <w:r>
        <w:t xml:space="preserve">Table </w:t>
      </w:r>
      <w:proofErr w:type="gramStart"/>
      <w:r>
        <w:rPr>
          <w:noProof/>
        </w:rPr>
        <w:t>1</w:t>
      </w:r>
      <w:r>
        <w:fldChar w:fldCharType="end"/>
      </w:r>
      <w:r>
        <w:t xml:space="preserve"> </w:t>
      </w:r>
      <w:r w:rsidR="00754A4E" w:rsidRPr="00754A4E">
        <w:t>shows</w:t>
      </w:r>
      <w:proofErr w:type="gramEnd"/>
      <w:r w:rsidR="00754A4E" w:rsidRPr="00754A4E">
        <w:t xml:space="preserve"> that States raised $7.8 billi</w:t>
      </w:r>
      <w:r>
        <w:t>on in motor tax revenue in 2016</w:t>
      </w:r>
      <w:r>
        <w:noBreakHyphen/>
      </w:r>
      <w:r w:rsidR="00754A4E" w:rsidRPr="00754A4E">
        <w:t>17, mostly from light vehicle registrations.</w:t>
      </w:r>
    </w:p>
    <w:p w:rsidR="0061618C" w:rsidRDefault="00754A4E" w:rsidP="00754A4E">
      <w:pPr>
        <w:pStyle w:val="Caption"/>
      </w:pPr>
      <w:bookmarkStart w:id="7" w:name="_Ref511725139"/>
      <w:r>
        <w:t xml:space="preserve">Table </w:t>
      </w:r>
      <w:fldSimple w:instr=" SEQ Table \* ARABIC ">
        <w:r w:rsidR="00674FA0">
          <w:rPr>
            <w:noProof/>
          </w:rPr>
          <w:t>1</w:t>
        </w:r>
      </w:fldSimple>
      <w:bookmarkEnd w:id="7"/>
      <w:r>
        <w:tab/>
        <w:t>Motor taxes revenue, 2016</w:t>
      </w:r>
      <w:r>
        <w:noBreakHyphen/>
        <w:t>17</w:t>
      </w:r>
    </w:p>
    <w:tbl>
      <w:tblPr>
        <w:tblW w:w="8940" w:type="dxa"/>
        <w:tblInd w:w="93" w:type="dxa"/>
        <w:tblLook w:val="04A0" w:firstRow="1" w:lastRow="0" w:firstColumn="1" w:lastColumn="0" w:noHBand="0" w:noVBand="1"/>
      </w:tblPr>
      <w:tblGrid>
        <w:gridCol w:w="2940"/>
        <w:gridCol w:w="3000"/>
        <w:gridCol w:w="3000"/>
      </w:tblGrid>
      <w:tr w:rsidR="001823A2" w:rsidRPr="001850FF" w:rsidTr="00793108">
        <w:trPr>
          <w:trHeight w:val="375"/>
        </w:trPr>
        <w:tc>
          <w:tcPr>
            <w:tcW w:w="2940" w:type="dxa"/>
            <w:tcBorders>
              <w:top w:val="single" w:sz="4" w:space="0" w:color="auto"/>
              <w:left w:val="nil"/>
              <w:bottom w:val="single" w:sz="4" w:space="0" w:color="auto"/>
              <w:right w:val="nil"/>
            </w:tcBorders>
            <w:shd w:val="clear" w:color="auto" w:fill="auto"/>
            <w:noWrap/>
            <w:vAlign w:val="center"/>
            <w:hideMark/>
          </w:tcPr>
          <w:p w:rsidR="001823A2" w:rsidRPr="001850FF" w:rsidRDefault="001823A2" w:rsidP="00793108">
            <w:pPr>
              <w:tabs>
                <w:tab w:val="clear" w:pos="567"/>
              </w:tabs>
              <w:spacing w:after="0" w:line="240" w:lineRule="auto"/>
              <w:rPr>
                <w:rFonts w:ascii="Calibri" w:eastAsia="Times New Roman" w:hAnsi="Calibri" w:cs="Times New Roman"/>
                <w:color w:val="000000"/>
                <w:sz w:val="20"/>
                <w:szCs w:val="20"/>
                <w:lang w:eastAsia="en-AU"/>
              </w:rPr>
            </w:pPr>
            <w:bookmarkStart w:id="8" w:name="RANGE!A5:C9"/>
            <w:r w:rsidRPr="001850FF">
              <w:rPr>
                <w:rFonts w:ascii="Calibri" w:eastAsia="Times New Roman" w:hAnsi="Calibri" w:cs="Times New Roman"/>
                <w:color w:val="000000"/>
                <w:sz w:val="20"/>
                <w:szCs w:val="20"/>
                <w:lang w:eastAsia="en-AU"/>
              </w:rPr>
              <w:t>Component</w:t>
            </w:r>
            <w:bookmarkEnd w:id="8"/>
          </w:p>
        </w:tc>
        <w:tc>
          <w:tcPr>
            <w:tcW w:w="3000" w:type="dxa"/>
            <w:tcBorders>
              <w:top w:val="single" w:sz="4" w:space="0" w:color="auto"/>
              <w:left w:val="nil"/>
              <w:bottom w:val="single" w:sz="4" w:space="0" w:color="auto"/>
              <w:right w:val="nil"/>
            </w:tcBorders>
            <w:shd w:val="clear" w:color="auto" w:fill="auto"/>
            <w:noWrap/>
            <w:vAlign w:val="center"/>
            <w:hideMark/>
          </w:tcPr>
          <w:p w:rsidR="001823A2" w:rsidRPr="001850FF"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Revenue</w:t>
            </w:r>
          </w:p>
        </w:tc>
        <w:tc>
          <w:tcPr>
            <w:tcW w:w="3000" w:type="dxa"/>
            <w:tcBorders>
              <w:top w:val="single" w:sz="4" w:space="0" w:color="auto"/>
              <w:left w:val="nil"/>
              <w:bottom w:val="single" w:sz="4" w:space="0" w:color="auto"/>
              <w:right w:val="nil"/>
            </w:tcBorders>
            <w:shd w:val="clear" w:color="auto" w:fill="auto"/>
            <w:noWrap/>
            <w:vAlign w:val="center"/>
            <w:hideMark/>
          </w:tcPr>
          <w:p w:rsidR="001823A2" w:rsidRPr="001850FF"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Proportion of total revenue</w:t>
            </w:r>
          </w:p>
        </w:tc>
      </w:tr>
      <w:tr w:rsidR="001823A2" w:rsidRPr="001850FF" w:rsidTr="00793108">
        <w:trPr>
          <w:trHeight w:val="259"/>
        </w:trPr>
        <w:tc>
          <w:tcPr>
            <w:tcW w:w="2940" w:type="dxa"/>
            <w:tcBorders>
              <w:top w:val="nil"/>
              <w:left w:val="nil"/>
              <w:bottom w:val="nil"/>
              <w:right w:val="nil"/>
            </w:tcBorders>
            <w:shd w:val="clear" w:color="auto" w:fill="auto"/>
            <w:noWrap/>
            <w:vAlign w:val="bottom"/>
            <w:hideMark/>
          </w:tcPr>
          <w:p w:rsidR="001823A2" w:rsidRPr="001850FF"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p>
        </w:tc>
        <w:tc>
          <w:tcPr>
            <w:tcW w:w="3000" w:type="dxa"/>
            <w:tcBorders>
              <w:top w:val="nil"/>
              <w:left w:val="nil"/>
              <w:bottom w:val="nil"/>
              <w:right w:val="nil"/>
            </w:tcBorders>
            <w:shd w:val="clear" w:color="auto" w:fill="auto"/>
            <w:noWrap/>
            <w:vAlign w:val="bottom"/>
            <w:hideMark/>
          </w:tcPr>
          <w:p w:rsidR="001823A2" w:rsidRPr="001850FF"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$m</w:t>
            </w:r>
          </w:p>
        </w:tc>
        <w:tc>
          <w:tcPr>
            <w:tcW w:w="3000" w:type="dxa"/>
            <w:tcBorders>
              <w:top w:val="nil"/>
              <w:left w:val="nil"/>
              <w:bottom w:val="nil"/>
              <w:right w:val="nil"/>
            </w:tcBorders>
            <w:shd w:val="clear" w:color="auto" w:fill="auto"/>
            <w:noWrap/>
            <w:vAlign w:val="bottom"/>
            <w:hideMark/>
          </w:tcPr>
          <w:p w:rsidR="001823A2" w:rsidRPr="001850FF"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w:t>
            </w:r>
          </w:p>
        </w:tc>
      </w:tr>
      <w:tr w:rsidR="001823A2" w:rsidRPr="007A1D09" w:rsidTr="00793108">
        <w:trPr>
          <w:trHeight w:val="315"/>
        </w:trPr>
        <w:tc>
          <w:tcPr>
            <w:tcW w:w="2940" w:type="dxa"/>
            <w:tcBorders>
              <w:top w:val="nil"/>
              <w:left w:val="nil"/>
              <w:right w:val="nil"/>
            </w:tcBorders>
            <w:shd w:val="clear" w:color="auto" w:fill="auto"/>
            <w:noWrap/>
            <w:vAlign w:val="bottom"/>
            <w:hideMark/>
          </w:tcPr>
          <w:p w:rsidR="001823A2" w:rsidRPr="001850FF" w:rsidRDefault="001823A2" w:rsidP="00793108">
            <w:pPr>
              <w:tabs>
                <w:tab w:val="clear" w:pos="567"/>
              </w:tabs>
              <w:spacing w:after="0" w:line="240" w:lineRule="auto"/>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Light vehicle registrations</w:t>
            </w:r>
          </w:p>
        </w:tc>
        <w:tc>
          <w:tcPr>
            <w:tcW w:w="3000" w:type="dxa"/>
            <w:tcBorders>
              <w:top w:val="nil"/>
              <w:left w:val="nil"/>
              <w:right w:val="nil"/>
            </w:tcBorders>
            <w:shd w:val="clear" w:color="auto" w:fill="auto"/>
            <w:noWrap/>
            <w:vAlign w:val="bottom"/>
            <w:hideMark/>
          </w:tcPr>
          <w:p w:rsidR="001823A2" w:rsidRPr="007A1D09"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7A1D09">
              <w:rPr>
                <w:rFonts w:ascii="Calibri" w:eastAsia="Times New Roman" w:hAnsi="Calibri" w:cs="Times New Roman"/>
                <w:color w:val="000000"/>
                <w:sz w:val="20"/>
                <w:szCs w:val="20"/>
                <w:lang w:eastAsia="en-AU"/>
              </w:rPr>
              <w:t>6 335</w:t>
            </w:r>
          </w:p>
        </w:tc>
        <w:tc>
          <w:tcPr>
            <w:tcW w:w="3000" w:type="dxa"/>
            <w:tcBorders>
              <w:top w:val="nil"/>
              <w:left w:val="nil"/>
              <w:right w:val="nil"/>
            </w:tcBorders>
            <w:shd w:val="clear" w:color="auto" w:fill="auto"/>
            <w:noWrap/>
            <w:vAlign w:val="bottom"/>
            <w:hideMark/>
          </w:tcPr>
          <w:p w:rsidR="001823A2" w:rsidRPr="007A1D09"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7A1D09">
              <w:rPr>
                <w:rFonts w:ascii="Calibri" w:eastAsia="Times New Roman" w:hAnsi="Calibri" w:cs="Times New Roman"/>
                <w:color w:val="000000"/>
                <w:sz w:val="20"/>
                <w:szCs w:val="20"/>
                <w:lang w:eastAsia="en-AU"/>
              </w:rPr>
              <w:t>81.2</w:t>
            </w:r>
          </w:p>
        </w:tc>
      </w:tr>
      <w:tr w:rsidR="001823A2" w:rsidRPr="007A1D09" w:rsidTr="00793108">
        <w:trPr>
          <w:trHeight w:val="315"/>
        </w:trPr>
        <w:tc>
          <w:tcPr>
            <w:tcW w:w="2940" w:type="dxa"/>
            <w:tcBorders>
              <w:top w:val="nil"/>
              <w:left w:val="nil"/>
              <w:right w:val="nil"/>
            </w:tcBorders>
            <w:shd w:val="clear" w:color="auto" w:fill="auto"/>
            <w:noWrap/>
            <w:vAlign w:val="bottom"/>
            <w:hideMark/>
          </w:tcPr>
          <w:p w:rsidR="001823A2" w:rsidRPr="001850FF" w:rsidRDefault="001823A2" w:rsidP="00793108">
            <w:pPr>
              <w:tabs>
                <w:tab w:val="clear" w:pos="567"/>
              </w:tabs>
              <w:spacing w:after="0" w:line="240" w:lineRule="auto"/>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Heavy vehicle registrations</w:t>
            </w:r>
          </w:p>
        </w:tc>
        <w:tc>
          <w:tcPr>
            <w:tcW w:w="3000" w:type="dxa"/>
            <w:tcBorders>
              <w:top w:val="nil"/>
              <w:left w:val="nil"/>
              <w:bottom w:val="single" w:sz="4" w:space="0" w:color="auto"/>
              <w:right w:val="nil"/>
            </w:tcBorders>
            <w:shd w:val="clear" w:color="auto" w:fill="auto"/>
            <w:noWrap/>
            <w:vAlign w:val="bottom"/>
            <w:hideMark/>
          </w:tcPr>
          <w:p w:rsidR="001823A2" w:rsidRPr="007A1D09"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7A1D09">
              <w:rPr>
                <w:rFonts w:ascii="Calibri" w:eastAsia="Times New Roman" w:hAnsi="Calibri" w:cs="Times New Roman"/>
                <w:color w:val="000000"/>
                <w:sz w:val="20"/>
                <w:szCs w:val="20"/>
                <w:lang w:eastAsia="en-AU"/>
              </w:rPr>
              <w:t>1 463</w:t>
            </w:r>
          </w:p>
        </w:tc>
        <w:tc>
          <w:tcPr>
            <w:tcW w:w="3000" w:type="dxa"/>
            <w:tcBorders>
              <w:top w:val="nil"/>
              <w:left w:val="nil"/>
              <w:bottom w:val="single" w:sz="4" w:space="0" w:color="auto"/>
              <w:right w:val="nil"/>
            </w:tcBorders>
            <w:shd w:val="clear" w:color="auto" w:fill="auto"/>
            <w:noWrap/>
            <w:vAlign w:val="bottom"/>
            <w:hideMark/>
          </w:tcPr>
          <w:p w:rsidR="001823A2" w:rsidRPr="007A1D09"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7A1D09">
              <w:rPr>
                <w:rFonts w:ascii="Calibri" w:eastAsia="Times New Roman" w:hAnsi="Calibri" w:cs="Times New Roman"/>
                <w:color w:val="000000"/>
                <w:sz w:val="20"/>
                <w:szCs w:val="20"/>
                <w:lang w:eastAsia="en-AU"/>
              </w:rPr>
              <w:t>18.8</w:t>
            </w:r>
          </w:p>
        </w:tc>
      </w:tr>
      <w:tr w:rsidR="001823A2" w:rsidRPr="007A1D09" w:rsidTr="00793108">
        <w:trPr>
          <w:trHeight w:val="315"/>
        </w:trPr>
        <w:tc>
          <w:tcPr>
            <w:tcW w:w="2940" w:type="dxa"/>
            <w:tcBorders>
              <w:left w:val="nil"/>
              <w:bottom w:val="single" w:sz="4" w:space="0" w:color="auto"/>
              <w:right w:val="nil"/>
            </w:tcBorders>
            <w:shd w:val="clear" w:color="auto" w:fill="auto"/>
            <w:noWrap/>
            <w:vAlign w:val="bottom"/>
            <w:hideMark/>
          </w:tcPr>
          <w:p w:rsidR="001823A2" w:rsidRPr="001850FF" w:rsidRDefault="001823A2" w:rsidP="00793108">
            <w:pPr>
              <w:tabs>
                <w:tab w:val="clear" w:pos="567"/>
              </w:tabs>
              <w:spacing w:after="0" w:line="240" w:lineRule="auto"/>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Total</w:t>
            </w:r>
          </w:p>
        </w:tc>
        <w:tc>
          <w:tcPr>
            <w:tcW w:w="3000" w:type="dxa"/>
            <w:tcBorders>
              <w:top w:val="single" w:sz="4" w:space="0" w:color="auto"/>
              <w:left w:val="nil"/>
              <w:bottom w:val="single" w:sz="4" w:space="0" w:color="auto"/>
              <w:right w:val="nil"/>
            </w:tcBorders>
            <w:shd w:val="clear" w:color="auto" w:fill="auto"/>
            <w:noWrap/>
            <w:vAlign w:val="bottom"/>
            <w:hideMark/>
          </w:tcPr>
          <w:p w:rsidR="001823A2" w:rsidRPr="007A1D09"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7A1D09">
              <w:rPr>
                <w:rFonts w:ascii="Calibri" w:eastAsia="Times New Roman" w:hAnsi="Calibri" w:cs="Times New Roman"/>
                <w:color w:val="000000"/>
                <w:sz w:val="20"/>
                <w:szCs w:val="20"/>
                <w:lang w:eastAsia="en-AU"/>
              </w:rPr>
              <w:t>7 798</w:t>
            </w:r>
          </w:p>
        </w:tc>
        <w:tc>
          <w:tcPr>
            <w:tcW w:w="3000" w:type="dxa"/>
            <w:tcBorders>
              <w:top w:val="single" w:sz="4" w:space="0" w:color="auto"/>
              <w:left w:val="nil"/>
              <w:bottom w:val="single" w:sz="4" w:space="0" w:color="auto"/>
              <w:right w:val="nil"/>
            </w:tcBorders>
            <w:shd w:val="clear" w:color="auto" w:fill="auto"/>
            <w:noWrap/>
            <w:vAlign w:val="bottom"/>
            <w:hideMark/>
          </w:tcPr>
          <w:p w:rsidR="001823A2" w:rsidRPr="007A1D09" w:rsidRDefault="001823A2" w:rsidP="00793108">
            <w:pPr>
              <w:tabs>
                <w:tab w:val="clear" w:pos="567"/>
              </w:tabs>
              <w:spacing w:after="0" w:line="240" w:lineRule="auto"/>
              <w:jc w:val="right"/>
              <w:rPr>
                <w:rFonts w:ascii="Calibri" w:eastAsia="Times New Roman" w:hAnsi="Calibri" w:cs="Times New Roman"/>
                <w:color w:val="000000"/>
                <w:sz w:val="20"/>
                <w:szCs w:val="20"/>
                <w:lang w:eastAsia="en-AU"/>
              </w:rPr>
            </w:pPr>
            <w:r w:rsidRPr="007A1D09">
              <w:rPr>
                <w:rFonts w:ascii="Calibri" w:eastAsia="Times New Roman" w:hAnsi="Calibri" w:cs="Times New Roman"/>
                <w:color w:val="000000"/>
                <w:sz w:val="20"/>
                <w:szCs w:val="20"/>
                <w:lang w:eastAsia="en-AU"/>
              </w:rPr>
              <w:t>100.0</w:t>
            </w:r>
          </w:p>
        </w:tc>
      </w:tr>
    </w:tbl>
    <w:p w:rsidR="00754A4E" w:rsidRDefault="00105A4D" w:rsidP="00105A4D">
      <w:pPr>
        <w:pStyle w:val="CGCTableFootnote"/>
      </w:pPr>
      <w:r w:rsidRPr="00105A4D">
        <w:t xml:space="preserve">Source: </w:t>
      </w:r>
      <w:r w:rsidRPr="00105A4D">
        <w:tab/>
        <w:t>State provided data.</w:t>
      </w:r>
    </w:p>
    <w:p w:rsidR="00105A4D" w:rsidRDefault="00105A4D" w:rsidP="00105A4D">
      <w:pPr>
        <w:pStyle w:val="Heading4"/>
      </w:pPr>
      <w:bookmarkStart w:id="9" w:name="_Toc511727833"/>
      <w:bookmarkStart w:id="10" w:name="_Toc511727843"/>
      <w:bookmarkStart w:id="11" w:name="_Toc511727885"/>
      <w:r>
        <w:t>How was revenue capacity assessed?</w:t>
      </w:r>
      <w:bookmarkEnd w:id="9"/>
      <w:bookmarkEnd w:id="10"/>
      <w:bookmarkEnd w:id="11"/>
    </w:p>
    <w:p w:rsidR="00105A4D" w:rsidRDefault="00105A4D" w:rsidP="00105A4D">
      <w:pPr>
        <w:pStyle w:val="CGCNumberedPara"/>
      </w:pPr>
      <w:r>
        <w:t>States’ capacities to raise motor taxes were assessed using the data on the total number of vehicles registered in each State. Motor tax revenue was assessed in two components, heavy vehicles and light vehicles, to recognise that:</w:t>
      </w:r>
    </w:p>
    <w:p w:rsidR="00105A4D" w:rsidRDefault="00105A4D" w:rsidP="0012348B">
      <w:pPr>
        <w:pStyle w:val="CGCBulletlist"/>
      </w:pPr>
      <w:r>
        <w:t>States impose substantially higher registration fees on heavy vehicles than on light vehicles</w:t>
      </w:r>
    </w:p>
    <w:p w:rsidR="00754A4E" w:rsidRDefault="00105A4D" w:rsidP="0012348B">
      <w:pPr>
        <w:pStyle w:val="CGCBulletlist"/>
      </w:pPr>
      <w:proofErr w:type="gramStart"/>
      <w:r>
        <w:t>the</w:t>
      </w:r>
      <w:proofErr w:type="gramEnd"/>
      <w:r>
        <w:t xml:space="preserve"> distribution of heavy and light vehicles differs between States.</w:t>
      </w:r>
    </w:p>
    <w:p w:rsidR="0012348B" w:rsidRDefault="0012348B" w:rsidP="0012348B">
      <w:pPr>
        <w:pStyle w:val="CGCNumberedPara"/>
      </w:pPr>
      <w:r>
        <w:lastRenderedPageBreak/>
        <w:t>Average registration charges were calculated for each component and applied to the number of vehicles in each State to calculate its assessed revenue for the component. The details of the two components are given below.</w:t>
      </w:r>
    </w:p>
    <w:p w:rsidR="0012348B" w:rsidRDefault="0012348B" w:rsidP="0012348B">
      <w:pPr>
        <w:pStyle w:val="CGCNumberedPara"/>
      </w:pPr>
      <w:r w:rsidRPr="0012348B">
        <w:rPr>
          <w:rStyle w:val="Heading6Char"/>
        </w:rPr>
        <w:t>Light vehicle registrations.</w:t>
      </w:r>
      <w:r>
        <w:t xml:space="preserve"> The number of passenger and light commercial vehicles registered in each State was used to measure its capacity to raise revenue from annual light vehicle registration fees. Those registration fees vary across States and are set according to the engine capacity, the number of cylinders and the use of the vehicle.</w:t>
      </w:r>
    </w:p>
    <w:p w:rsidR="0012348B" w:rsidRDefault="0012348B" w:rsidP="0012348B">
      <w:pPr>
        <w:pStyle w:val="CGCNumberedPara"/>
      </w:pPr>
      <w:r w:rsidRPr="0012348B">
        <w:rPr>
          <w:rStyle w:val="Heading6Char"/>
        </w:rPr>
        <w:t>Heavy vehicle registrations.</w:t>
      </w:r>
      <w:r>
        <w:t xml:space="preserve"> The number of heavy rigid and articulated trucks registered in each State was used to measure its capacity to raise revenue from annual heavy vehicle registration fees.  The National Transport Commission sets national registration charges for heavy vehicles. Those fees vary by heavy vehicle type and some States provide concessions or rebates on these charges.</w:t>
      </w:r>
    </w:p>
    <w:p w:rsidR="0012348B" w:rsidRDefault="0012348B" w:rsidP="0012348B">
      <w:pPr>
        <w:pStyle w:val="Heading4"/>
      </w:pPr>
      <w:bookmarkStart w:id="12" w:name="_Toc511727834"/>
      <w:bookmarkStart w:id="13" w:name="_Toc511727844"/>
      <w:bookmarkStart w:id="14" w:name="_Toc511727886"/>
      <w:r>
        <w:t>GST redistribution</w:t>
      </w:r>
      <w:bookmarkEnd w:id="12"/>
      <w:bookmarkEnd w:id="13"/>
      <w:bookmarkEnd w:id="14"/>
    </w:p>
    <w:p w:rsidR="0012348B" w:rsidRPr="0012348B" w:rsidRDefault="00D73225" w:rsidP="0012348B">
      <w:pPr>
        <w:pStyle w:val="CGCNumberedPara"/>
      </w:pPr>
      <w:r>
        <w:fldChar w:fldCharType="begin"/>
      </w:r>
      <w:r>
        <w:instrText xml:space="preserve"> REF _Ref511725965 \h </w:instrText>
      </w:r>
      <w:r>
        <w:fldChar w:fldCharType="separate"/>
      </w:r>
      <w:r>
        <w:t xml:space="preserve">Table </w:t>
      </w:r>
      <w:r>
        <w:rPr>
          <w:noProof/>
        </w:rPr>
        <w:t>2</w:t>
      </w:r>
      <w:r>
        <w:fldChar w:fldCharType="end"/>
      </w:r>
      <w:r>
        <w:t xml:space="preserve"> </w:t>
      </w:r>
      <w:r w:rsidR="0012348B" w:rsidRPr="0012348B">
        <w:t>shows the extent to which the assessment moves the GST distribution away f</w:t>
      </w:r>
      <w:r w:rsidR="007C364F">
        <w:t>rom an EPC distribution in 2018</w:t>
      </w:r>
      <w:r w:rsidR="007C364F">
        <w:noBreakHyphen/>
      </w:r>
      <w:r w:rsidR="0012348B" w:rsidRPr="0012348B">
        <w:t>19. It shows GST revenue is redistributed from States with an above average revenue raising capacity (Victoria, Queensland, Western Australia, South Australia and Tasmania) to States with a below average revenue capacity (New South Wales, the ACT and the Northern Territory).</w:t>
      </w:r>
    </w:p>
    <w:p w:rsidR="0012348B" w:rsidRDefault="0012348B" w:rsidP="0012348B">
      <w:pPr>
        <w:pStyle w:val="Caption"/>
      </w:pPr>
      <w:bookmarkStart w:id="15" w:name="_Ref511725965"/>
      <w:r>
        <w:t xml:space="preserve">Table </w:t>
      </w:r>
      <w:fldSimple w:instr=" SEQ Table \* ARABIC ">
        <w:r w:rsidR="00674FA0">
          <w:rPr>
            <w:noProof/>
          </w:rPr>
          <w:t>2</w:t>
        </w:r>
      </w:fldSimple>
      <w:bookmarkEnd w:id="15"/>
      <w:r>
        <w:tab/>
      </w:r>
      <w:r w:rsidRPr="0012348B">
        <w:t>GST redistribution, Motor taxes, 2018 Update</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7C7E27" w:rsidRPr="00FE3F73" w:rsidTr="00793108">
        <w:tc>
          <w:tcPr>
            <w:tcW w:w="1354" w:type="pct"/>
            <w:tcBorders>
              <w:top w:val="single" w:sz="6" w:space="0" w:color="auto"/>
              <w:bottom w:val="single" w:sz="6" w:space="0" w:color="auto"/>
            </w:tcBorders>
            <w:vAlign w:val="bottom"/>
          </w:tcPr>
          <w:p w:rsidR="007C7E27" w:rsidRPr="00FE3F73" w:rsidRDefault="007C7E27" w:rsidP="00793108">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7C7E27" w:rsidRPr="00FE3F73" w:rsidRDefault="007C7E27" w:rsidP="00793108">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7C7E27" w:rsidRPr="00FE3F73" w:rsidRDefault="007C7E27" w:rsidP="00793108">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7C7E27" w:rsidRPr="00FE3F73" w:rsidRDefault="007C7E27" w:rsidP="00793108">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7C7E27" w:rsidRPr="00FE3F73" w:rsidRDefault="007C7E27" w:rsidP="00793108">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7C7E27" w:rsidRPr="00FE3F73" w:rsidRDefault="007C7E27" w:rsidP="00793108">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7C7E27" w:rsidRPr="00FE3F73" w:rsidRDefault="007C7E27" w:rsidP="00793108">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rsidR="007C7E27" w:rsidRPr="00FE3F73" w:rsidRDefault="007C7E27" w:rsidP="00793108">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7C7E27" w:rsidRPr="00FE3F73" w:rsidRDefault="007C7E27" w:rsidP="00793108">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7C7E27" w:rsidRPr="00FE3F73" w:rsidRDefault="007C7E27" w:rsidP="00793108">
            <w:pPr>
              <w:pStyle w:val="TableColHeadings"/>
              <w:rPr>
                <w:rFonts w:cstheme="minorHAnsi"/>
              </w:rPr>
            </w:pPr>
            <w:proofErr w:type="spellStart"/>
            <w:r>
              <w:rPr>
                <w:rFonts w:cstheme="minorHAnsi"/>
              </w:rPr>
              <w:t>Redist</w:t>
            </w:r>
            <w:proofErr w:type="spellEnd"/>
          </w:p>
        </w:tc>
      </w:tr>
      <w:tr w:rsidR="007C7E27" w:rsidRPr="00FE3F73" w:rsidTr="00793108">
        <w:tc>
          <w:tcPr>
            <w:tcW w:w="1354" w:type="pct"/>
            <w:tcMar>
              <w:top w:w="0" w:type="dxa"/>
              <w:bottom w:w="0" w:type="dxa"/>
            </w:tcMar>
            <w:vAlign w:val="bottom"/>
          </w:tcPr>
          <w:p w:rsidR="007C7E27" w:rsidRPr="00FE3F73" w:rsidRDefault="007C7E27" w:rsidP="00793108">
            <w:pPr>
              <w:pStyle w:val="CGCTableStub"/>
              <w:spacing w:before="0" w:after="0" w:line="240" w:lineRule="auto"/>
              <w:jc w:val="right"/>
              <w:rPr>
                <w:rFonts w:cstheme="minorHAnsi"/>
              </w:rPr>
            </w:pPr>
          </w:p>
        </w:tc>
        <w:tc>
          <w:tcPr>
            <w:tcW w:w="405" w:type="pct"/>
            <w:tcMar>
              <w:top w:w="0" w:type="dxa"/>
              <w:bottom w:w="0" w:type="dxa"/>
            </w:tcMar>
            <w:vAlign w:val="bottom"/>
          </w:tcPr>
          <w:p w:rsidR="007C7E27" w:rsidRPr="00FE3F73" w:rsidRDefault="007C7E27" w:rsidP="00793108">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7C7E27" w:rsidRPr="00FE3F73" w:rsidRDefault="007C7E27" w:rsidP="00793108">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7C7E27" w:rsidRPr="00FE3F73" w:rsidRDefault="007C7E27" w:rsidP="00793108">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7C7E27" w:rsidRPr="00FE3F73" w:rsidRDefault="007C7E27" w:rsidP="00793108">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7C7E27" w:rsidRPr="00FE3F73" w:rsidRDefault="007C7E27" w:rsidP="00793108">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7C7E27" w:rsidRPr="00FE3F73" w:rsidRDefault="007C7E27" w:rsidP="00793108">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7C7E27" w:rsidRPr="00FE3F73" w:rsidRDefault="007C7E27" w:rsidP="00793108">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7C7E27" w:rsidRPr="00FE3F73" w:rsidRDefault="007C7E27" w:rsidP="00793108">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7C7E27" w:rsidRPr="00FE3F73" w:rsidRDefault="007C7E27" w:rsidP="00793108">
            <w:pPr>
              <w:pStyle w:val="TableRowNormal"/>
              <w:spacing w:before="0" w:after="0" w:line="240" w:lineRule="auto"/>
              <w:ind w:left="0" w:firstLine="0"/>
              <w:rPr>
                <w:rFonts w:cstheme="minorHAnsi"/>
              </w:rPr>
            </w:pPr>
            <w:r>
              <w:rPr>
                <w:rFonts w:cstheme="minorHAnsi"/>
              </w:rPr>
              <w:t>$m</w:t>
            </w:r>
          </w:p>
        </w:tc>
      </w:tr>
      <w:tr w:rsidR="007C7E27" w:rsidRPr="004D3B24" w:rsidTr="00793108">
        <w:tc>
          <w:tcPr>
            <w:tcW w:w="1354" w:type="pct"/>
            <w:vAlign w:val="bottom"/>
          </w:tcPr>
          <w:p w:rsidR="007C7E27" w:rsidRPr="004537EA" w:rsidRDefault="007C7E27" w:rsidP="00793108">
            <w:pPr>
              <w:pStyle w:val="CGCTableStub"/>
              <w:ind w:left="193" w:hanging="142"/>
              <w:rPr>
                <w:rFonts w:cstheme="minorHAnsi"/>
              </w:rPr>
            </w:pPr>
            <w:r w:rsidRPr="007C7E27">
              <w:rPr>
                <w:rFonts w:cstheme="minorHAnsi"/>
              </w:rPr>
              <w:t>Light vehicles</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181</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-22</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-52</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-73</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-28</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-23</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3</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13</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198</w:t>
            </w:r>
          </w:p>
        </w:tc>
      </w:tr>
      <w:tr w:rsidR="007C7E27" w:rsidRPr="004D3B24" w:rsidTr="00793108">
        <w:tc>
          <w:tcPr>
            <w:tcW w:w="1354" w:type="pct"/>
            <w:vAlign w:val="bottom"/>
          </w:tcPr>
          <w:p w:rsidR="007C7E27" w:rsidRPr="004537EA" w:rsidRDefault="007C7E27" w:rsidP="00793108">
            <w:pPr>
              <w:pStyle w:val="CGCTableStub"/>
              <w:ind w:left="193" w:hanging="142"/>
              <w:rPr>
                <w:rFonts w:cstheme="minorHAnsi"/>
              </w:rPr>
            </w:pPr>
            <w:r w:rsidRPr="007C7E27">
              <w:rPr>
                <w:rFonts w:cstheme="minorHAnsi"/>
              </w:rPr>
              <w:t>Heavy vehicles</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94</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12</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-25</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-89</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-3</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-5</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20</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-5</w:t>
            </w:r>
          </w:p>
        </w:tc>
        <w:tc>
          <w:tcPr>
            <w:tcW w:w="405" w:type="pct"/>
            <w:vAlign w:val="bottom"/>
          </w:tcPr>
          <w:p w:rsidR="007C7E27" w:rsidRPr="004D3B24" w:rsidRDefault="007C7E27" w:rsidP="00793108">
            <w:pPr>
              <w:pStyle w:val="TableRowNormal"/>
              <w:ind w:left="0" w:firstLine="0"/>
              <w:rPr>
                <w:rFonts w:cstheme="minorHAnsi"/>
              </w:rPr>
            </w:pPr>
            <w:r>
              <w:rPr>
                <w:rFonts w:cstheme="minorHAnsi"/>
              </w:rPr>
              <w:t>126</w:t>
            </w:r>
          </w:p>
        </w:tc>
      </w:tr>
      <w:tr w:rsidR="007C7E27" w:rsidRPr="004D3B24" w:rsidTr="00793108">
        <w:tc>
          <w:tcPr>
            <w:tcW w:w="1354" w:type="pct"/>
            <w:vAlign w:val="bottom"/>
          </w:tcPr>
          <w:p w:rsidR="007C7E27" w:rsidRPr="004537EA" w:rsidRDefault="007C7E27" w:rsidP="00793108">
            <w:pPr>
              <w:pStyle w:val="CGCTableStub"/>
              <w:ind w:left="193" w:hanging="142"/>
              <w:rPr>
                <w:rFonts w:cstheme="minorHAnsi"/>
              </w:rPr>
            </w:pPr>
            <w:r>
              <w:rPr>
                <w:rFonts w:cstheme="minorHAnsi"/>
              </w:rPr>
              <w:t>Total</w:t>
            </w:r>
          </w:p>
        </w:tc>
        <w:tc>
          <w:tcPr>
            <w:tcW w:w="405" w:type="pct"/>
            <w:tcBorders>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275</w:t>
            </w:r>
          </w:p>
        </w:tc>
        <w:tc>
          <w:tcPr>
            <w:tcW w:w="405" w:type="pct"/>
            <w:tcBorders>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-10</w:t>
            </w:r>
          </w:p>
        </w:tc>
        <w:tc>
          <w:tcPr>
            <w:tcW w:w="405" w:type="pct"/>
            <w:tcBorders>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-76</w:t>
            </w:r>
          </w:p>
        </w:tc>
        <w:tc>
          <w:tcPr>
            <w:tcW w:w="405" w:type="pct"/>
            <w:tcBorders>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-161</w:t>
            </w:r>
          </w:p>
        </w:tc>
        <w:tc>
          <w:tcPr>
            <w:tcW w:w="405" w:type="pct"/>
            <w:tcBorders>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-31</w:t>
            </w:r>
          </w:p>
        </w:tc>
        <w:tc>
          <w:tcPr>
            <w:tcW w:w="405" w:type="pct"/>
            <w:tcBorders>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-28</w:t>
            </w:r>
          </w:p>
        </w:tc>
        <w:tc>
          <w:tcPr>
            <w:tcW w:w="405" w:type="pct"/>
            <w:tcBorders>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24</w:t>
            </w:r>
          </w:p>
        </w:tc>
        <w:tc>
          <w:tcPr>
            <w:tcW w:w="405" w:type="pct"/>
            <w:tcBorders>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8</w:t>
            </w:r>
          </w:p>
        </w:tc>
        <w:tc>
          <w:tcPr>
            <w:tcW w:w="405" w:type="pct"/>
            <w:tcBorders>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307</w:t>
            </w:r>
          </w:p>
        </w:tc>
      </w:tr>
      <w:tr w:rsidR="007C7E27" w:rsidRPr="004D3B24" w:rsidTr="00793108">
        <w:tc>
          <w:tcPr>
            <w:tcW w:w="1354" w:type="pct"/>
            <w:tcBorders>
              <w:bottom w:val="single" w:sz="4" w:space="0" w:color="auto"/>
            </w:tcBorders>
            <w:vAlign w:val="bottom"/>
          </w:tcPr>
          <w:p w:rsidR="007C7E27" w:rsidRDefault="007C7E27" w:rsidP="00793108">
            <w:pPr>
              <w:pStyle w:val="CGCTableStub"/>
              <w:ind w:left="193" w:hanging="142"/>
              <w:rPr>
                <w:rFonts w:cstheme="minorHAnsi"/>
              </w:rPr>
            </w:pPr>
            <w:r>
              <w:rPr>
                <w:rFonts w:cstheme="minorHAnsi"/>
              </w:rPr>
              <w:t>Total ($pc)</w:t>
            </w:r>
          </w:p>
        </w:tc>
        <w:tc>
          <w:tcPr>
            <w:tcW w:w="405" w:type="pct"/>
            <w:tcBorders>
              <w:top w:val="single" w:sz="4" w:space="0" w:color="auto"/>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34</w:t>
            </w:r>
          </w:p>
        </w:tc>
        <w:tc>
          <w:tcPr>
            <w:tcW w:w="405" w:type="pct"/>
            <w:tcBorders>
              <w:top w:val="single" w:sz="4" w:space="0" w:color="auto"/>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-2</w:t>
            </w:r>
          </w:p>
        </w:tc>
        <w:tc>
          <w:tcPr>
            <w:tcW w:w="405" w:type="pct"/>
            <w:tcBorders>
              <w:top w:val="single" w:sz="4" w:space="0" w:color="auto"/>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-15</w:t>
            </w:r>
          </w:p>
        </w:tc>
        <w:tc>
          <w:tcPr>
            <w:tcW w:w="405" w:type="pct"/>
            <w:tcBorders>
              <w:top w:val="single" w:sz="4" w:space="0" w:color="auto"/>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-62</w:t>
            </w:r>
          </w:p>
        </w:tc>
        <w:tc>
          <w:tcPr>
            <w:tcW w:w="405" w:type="pct"/>
            <w:tcBorders>
              <w:top w:val="single" w:sz="4" w:space="0" w:color="auto"/>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-18</w:t>
            </w:r>
          </w:p>
        </w:tc>
        <w:tc>
          <w:tcPr>
            <w:tcW w:w="405" w:type="pct"/>
            <w:tcBorders>
              <w:top w:val="single" w:sz="4" w:space="0" w:color="auto"/>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-53</w:t>
            </w:r>
          </w:p>
        </w:tc>
        <w:tc>
          <w:tcPr>
            <w:tcW w:w="405" w:type="pct"/>
            <w:tcBorders>
              <w:top w:val="single" w:sz="4" w:space="0" w:color="auto"/>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57</w:t>
            </w:r>
          </w:p>
        </w:tc>
        <w:tc>
          <w:tcPr>
            <w:tcW w:w="405" w:type="pct"/>
            <w:tcBorders>
              <w:top w:val="single" w:sz="4" w:space="0" w:color="auto"/>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32</w:t>
            </w:r>
          </w:p>
        </w:tc>
        <w:tc>
          <w:tcPr>
            <w:tcW w:w="405" w:type="pct"/>
            <w:tcBorders>
              <w:top w:val="single" w:sz="4" w:space="0" w:color="auto"/>
              <w:bottom w:val="single" w:sz="4" w:space="0" w:color="auto"/>
            </w:tcBorders>
            <w:vAlign w:val="bottom"/>
          </w:tcPr>
          <w:p w:rsidR="007C7E27" w:rsidRPr="004D3B24" w:rsidRDefault="007C7E27" w:rsidP="00793108">
            <w:pPr>
              <w:pStyle w:val="TableRowNormal"/>
              <w:ind w:left="0" w:firstLine="0"/>
              <w:rPr>
                <w:rFonts w:cstheme="minorHAnsi"/>
              </w:rPr>
            </w:pPr>
            <w:r>
              <w:rPr>
                <w:rFonts w:cstheme="minorHAnsi"/>
              </w:rPr>
              <w:t>12</w:t>
            </w:r>
          </w:p>
        </w:tc>
      </w:tr>
    </w:tbl>
    <w:p w:rsidR="0012348B" w:rsidRDefault="007C7E27" w:rsidP="007C7E27">
      <w:pPr>
        <w:pStyle w:val="CGCTableFootnote"/>
      </w:pPr>
      <w:r w:rsidRPr="003E52D0">
        <w:t>Source:</w:t>
      </w:r>
      <w:r w:rsidRPr="003E52D0">
        <w:tab/>
      </w:r>
      <w:r w:rsidRPr="007A1D09">
        <w:t>2018 Update.</w:t>
      </w:r>
    </w:p>
    <w:p w:rsidR="0012348B" w:rsidRDefault="007C7E27" w:rsidP="007C7E27">
      <w:pPr>
        <w:pStyle w:val="Heading3"/>
      </w:pPr>
      <w:bookmarkStart w:id="16" w:name="_Toc511727835"/>
      <w:bookmarkStart w:id="17" w:name="_Toc511727845"/>
      <w:bookmarkStart w:id="18" w:name="_Toc511727887"/>
      <w:r w:rsidRPr="007C7E27">
        <w:t>ISSUES AND ANALYSIS</w:t>
      </w:r>
      <w:bookmarkEnd w:id="16"/>
      <w:bookmarkEnd w:id="17"/>
      <w:bookmarkEnd w:id="18"/>
    </w:p>
    <w:p w:rsidR="007C7E27" w:rsidRPr="007C7E27" w:rsidRDefault="007C7E27" w:rsidP="007C7E27">
      <w:pPr>
        <w:pStyle w:val="CGCNumberedPara"/>
      </w:pPr>
      <w:r w:rsidRPr="007C7E27">
        <w:t xml:space="preserve">There are no major issues in this assessment. It is achieving </w:t>
      </w:r>
      <w:proofErr w:type="spellStart"/>
      <w:r w:rsidRPr="007C7E27">
        <w:t>HFE</w:t>
      </w:r>
      <w:proofErr w:type="spellEnd"/>
      <w:r w:rsidRPr="007C7E27">
        <w:t xml:space="preserve">. The only change that Commission </w:t>
      </w:r>
      <w:proofErr w:type="gramStart"/>
      <w:r w:rsidRPr="007C7E27">
        <w:t>staff are</w:t>
      </w:r>
      <w:proofErr w:type="gramEnd"/>
      <w:r w:rsidRPr="007C7E27">
        <w:t xml:space="preserve"> proposing for the 2020 Review is to bring stamp duty on motor vehicle transfers back into the category. This is a presentational change only and will not affect the GST distribution.</w:t>
      </w:r>
    </w:p>
    <w:p w:rsidR="007C7E27" w:rsidRDefault="00AB274C" w:rsidP="00AB274C">
      <w:pPr>
        <w:pStyle w:val="Heading4"/>
      </w:pPr>
      <w:bookmarkStart w:id="19" w:name="_Toc511727836"/>
      <w:bookmarkStart w:id="20" w:name="_Toc511727846"/>
      <w:bookmarkStart w:id="21" w:name="_Toc511727888"/>
      <w:r w:rsidRPr="00AB274C">
        <w:lastRenderedPageBreak/>
        <w:t>Presentation of stamp duty on vehicle transfers assessment</w:t>
      </w:r>
      <w:bookmarkEnd w:id="19"/>
      <w:bookmarkEnd w:id="20"/>
      <w:bookmarkEnd w:id="21"/>
    </w:p>
    <w:p w:rsidR="00AB274C" w:rsidRDefault="00AB274C" w:rsidP="00AB274C">
      <w:pPr>
        <w:pStyle w:val="CGCNumberedPara"/>
      </w:pPr>
      <w:r>
        <w:t xml:space="preserve">In the 2015 Review, the assessment of stamp duty on the transfer of motor vehicle ownership was moved from the Motor taxes category to the Stamp duty category. The change was made on the basis that vehicle transfer duty was a transfer tax, more like conveyance duty than annual vehicle registration fees and associated charges. This was a presentational issue only and the assessment continued to be based on the value of vehicle transfers. </w:t>
      </w:r>
    </w:p>
    <w:p w:rsidR="00E879BF" w:rsidRDefault="00AB274C" w:rsidP="00E52E43">
      <w:pPr>
        <w:pStyle w:val="CGCNumberedPara"/>
      </w:pPr>
      <w:r>
        <w:t xml:space="preserve">Commission </w:t>
      </w:r>
      <w:proofErr w:type="gramStart"/>
      <w:r>
        <w:t>staff have</w:t>
      </w:r>
      <w:proofErr w:type="gramEnd"/>
      <w:r>
        <w:t xml:space="preserve"> reconsidered this issue. States impose a range of transaction taxes and they are assessed in several different categories. Presenting vehicle transfer duty in the Motor taxes category is consistent with its treatment in GFS. It is also simpler, in that it does not require an adjustment in the Commission's adjusted budget. For these reasons, Commission </w:t>
      </w:r>
      <w:proofErr w:type="gramStart"/>
      <w:r>
        <w:t>staff propose</w:t>
      </w:r>
      <w:proofErr w:type="gramEnd"/>
      <w:r>
        <w:t xml:space="preserve"> that the assessment of vehicle transfer duty be moved to the Motor taxes category. This will be a change in the presentation of the assessment only and will not affect the GST distribution. States' capacities to raise vehicle transfer duty will continue to be assessed based on the value of vehicles transferred.</w:t>
      </w:r>
    </w:p>
    <w:p w:rsidR="00E52E43" w:rsidRDefault="00E52E43" w:rsidP="00E52E43">
      <w:pPr>
        <w:pStyle w:val="CGCNumberedPara"/>
        <w:numPr>
          <w:ilvl w:val="0"/>
          <w:numId w:val="0"/>
        </w:numPr>
        <w:ind w:left="567" w:hanging="567"/>
      </w:pPr>
    </w:p>
    <w:tbl>
      <w:tblPr>
        <w:tblStyle w:val="TableGrid"/>
        <w:tblW w:w="0" w:type="auto"/>
        <w:tblLook w:val="04A0" w:firstRow="1" w:lastRow="0" w:firstColumn="1" w:lastColumn="0" w:noHBand="0" w:noVBand="1"/>
      </w:tblPr>
      <w:tblGrid>
        <w:gridCol w:w="9167"/>
      </w:tblGrid>
      <w:tr w:rsidR="00E879BF" w:rsidTr="00E879BF">
        <w:tc>
          <w:tcPr>
            <w:tcW w:w="9167" w:type="dxa"/>
            <w:tcBorders>
              <w:top w:val="nil"/>
              <w:left w:val="nil"/>
              <w:bottom w:val="nil"/>
              <w:right w:val="nil"/>
            </w:tcBorders>
            <w:shd w:val="clear" w:color="auto" w:fill="D9F3E6"/>
          </w:tcPr>
          <w:p w:rsidR="00E879BF" w:rsidRDefault="00E879BF" w:rsidP="00AB274C">
            <w:r w:rsidRPr="00E879BF">
              <w:t>Staff propose to recommend the Commission:</w:t>
            </w:r>
          </w:p>
          <w:p w:rsidR="00E879BF" w:rsidRDefault="00E879BF" w:rsidP="00E879BF">
            <w:pPr>
              <w:pStyle w:val="CGCBulletlist"/>
            </w:pPr>
            <w:r>
              <w:t>retain the 2015 Review Motor taxes capacity measures</w:t>
            </w:r>
          </w:p>
          <w:p w:rsidR="00E879BF" w:rsidRDefault="00E879BF" w:rsidP="00E879BF">
            <w:pPr>
              <w:pStyle w:val="CGCBulletlist"/>
            </w:pPr>
            <w:proofErr w:type="gramStart"/>
            <w:r>
              <w:t>present</w:t>
            </w:r>
            <w:proofErr w:type="gramEnd"/>
            <w:r>
              <w:t xml:space="preserve"> the assessment of stamp duty on motor vehicles transfers in the Motor taxes category.</w:t>
            </w:r>
          </w:p>
        </w:tc>
      </w:tr>
    </w:tbl>
    <w:p w:rsidR="00AB274C" w:rsidRDefault="00E879BF" w:rsidP="00E879BF">
      <w:pPr>
        <w:pStyle w:val="Heading4"/>
      </w:pPr>
      <w:bookmarkStart w:id="22" w:name="_Toc511727837"/>
      <w:bookmarkStart w:id="23" w:name="_Toc511727847"/>
      <w:bookmarkStart w:id="24" w:name="_Toc511727889"/>
      <w:r w:rsidRPr="00E879BF">
        <w:t>Other issues considered</w:t>
      </w:r>
      <w:bookmarkEnd w:id="22"/>
      <w:bookmarkEnd w:id="23"/>
      <w:bookmarkEnd w:id="24"/>
    </w:p>
    <w:p w:rsidR="00E879BF" w:rsidRDefault="00E879BF" w:rsidP="00E879BF">
      <w:pPr>
        <w:pStyle w:val="CGCNumberedPara"/>
      </w:pPr>
      <w:r w:rsidRPr="00E879BF">
        <w:rPr>
          <w:rStyle w:val="Heading6Char"/>
        </w:rPr>
        <w:t>Updating the split of revenue between heavy and light vehicles.</w:t>
      </w:r>
      <w:r>
        <w:t xml:space="preserve"> In the previous two reviews, several States were unable to provide a split of their vehicle registration revenue between heavy and light vehicles. The Commission estimates the split using data that were provided by States for the 2009 Update. </w:t>
      </w:r>
    </w:p>
    <w:p w:rsidR="00E879BF" w:rsidRDefault="00E879BF" w:rsidP="00E879BF">
      <w:pPr>
        <w:pStyle w:val="CGCNumberedPara"/>
      </w:pPr>
      <w:r>
        <w:t xml:space="preserve">In recent discussions, some States have indicated that they may be able to provide more recent data on the split. Commission </w:t>
      </w:r>
      <w:proofErr w:type="gramStart"/>
      <w:r>
        <w:t>staff intend</w:t>
      </w:r>
      <w:proofErr w:type="gramEnd"/>
      <w:r>
        <w:t xml:space="preserve"> to work with States to determine whether reliable data can be provided to update the allocation of revenue to the two components.</w:t>
      </w:r>
    </w:p>
    <w:p w:rsidR="00E879BF" w:rsidRDefault="00E879BF" w:rsidP="00E879BF">
      <w:pPr>
        <w:pStyle w:val="CGCNumberedPara"/>
      </w:pPr>
      <w:r w:rsidRPr="00E879BF">
        <w:rPr>
          <w:rStyle w:val="Heading6Char"/>
        </w:rPr>
        <w:t>Progressive rates of vehicle transfer duty.</w:t>
      </w:r>
      <w:r>
        <w:t xml:space="preserve"> Commission </w:t>
      </w:r>
      <w:proofErr w:type="gramStart"/>
      <w:r>
        <w:t>staff are</w:t>
      </w:r>
      <w:proofErr w:type="gramEnd"/>
      <w:r>
        <w:t xml:space="preserve"> proposing that the assessment of stamp duty on vehicle transfers be brought into the category. One issue in relation to that assessment is whether data are available to reliably estimate the impact of progressive rates of vehicle transfer duty. </w:t>
      </w:r>
    </w:p>
    <w:p w:rsidR="00E879BF" w:rsidRDefault="00E879BF" w:rsidP="00E879BF">
      <w:pPr>
        <w:pStyle w:val="CGCNumberedPara"/>
      </w:pPr>
      <w:r>
        <w:t xml:space="preserve">All States except the Northern Territory apply progressive rates of duty to vehicle transfers. The Commission could consider making an adjustment to reflect </w:t>
      </w:r>
      <w:r>
        <w:lastRenderedPageBreak/>
        <w:t>differences between States in the value distribution of vehicle sales, if reliable data were available and such an adjustment were material. To do so, the Commission would require data on the value distribution of vehicle sales in each State. In the 2015</w:t>
      </w:r>
      <w:r w:rsidR="007C6CBD">
        <w:t> </w:t>
      </w:r>
      <w:r>
        <w:t>Review, reliable data were not available for all States, but the data that were available suggested that an adjustment would not be material. Such an adjustment would also be complicated by the range of other criteria applied by States to determine the rate of vehicle transfer duty.</w:t>
      </w:r>
    </w:p>
    <w:p w:rsidR="00E879BF" w:rsidRDefault="00E879BF" w:rsidP="00E879BF">
      <w:pPr>
        <w:pStyle w:val="CGCNumberedPara"/>
      </w:pPr>
      <w:r>
        <w:t xml:space="preserve">The ABS cannot provide revenue data or number of vehicles by value range. Commission </w:t>
      </w:r>
      <w:proofErr w:type="gramStart"/>
      <w:r>
        <w:t>staff intend</w:t>
      </w:r>
      <w:proofErr w:type="gramEnd"/>
      <w:r>
        <w:t xml:space="preserve"> to work with States to determine whether States can provide these data and whether an adjustment is practical, given other differences in States vehicle transfer duty regimes. </w:t>
      </w:r>
    </w:p>
    <w:p w:rsidR="00E879BF" w:rsidRDefault="00E879BF" w:rsidP="00E879BF">
      <w:pPr>
        <w:pStyle w:val="CGCNumberedPara"/>
      </w:pPr>
      <w:r w:rsidRPr="00E879BF">
        <w:rPr>
          <w:rStyle w:val="Heading6Char"/>
        </w:rPr>
        <w:t>Treatment of motor tax concessions.</w:t>
      </w:r>
      <w:r>
        <w:t xml:space="preserve"> In the 2015 Review, data provided by the ABS and States on motor taxes revenue were net of concessions. Any concessions provided by States were treated as foregone revenue. This differed from the Commission's treatment of conveyance duty concessions provided to first home owners. These concessions were treated as an expense and an adjustment made to add the related revenue back into the Stamp duty category. </w:t>
      </w:r>
    </w:p>
    <w:p w:rsidR="00E879BF" w:rsidRDefault="00E879BF" w:rsidP="00E879BF">
      <w:pPr>
        <w:pStyle w:val="CGCNumberedPara"/>
      </w:pPr>
      <w:r>
        <w:t>One State has suggested that the treatment of motor taxes concessions should be reviewed and consideration given to whether the drivers of concessions are the same as the drivers of revenue.</w:t>
      </w:r>
    </w:p>
    <w:p w:rsidR="00E879BF" w:rsidRDefault="00E879BF" w:rsidP="00E879BF">
      <w:pPr>
        <w:pStyle w:val="CGCNumberedPara"/>
      </w:pPr>
      <w:r>
        <w:t xml:space="preserve">Commission </w:t>
      </w:r>
      <w:proofErr w:type="gramStart"/>
      <w:r>
        <w:t>staff consider</w:t>
      </w:r>
      <w:proofErr w:type="gramEnd"/>
      <w:r>
        <w:t xml:space="preserve"> that the drivers are unlikely to be the same. States' capacities to raise motor taxes reflect their number of vehicle registrations and the value of vehicle transfers. Motor taxes concessions, on the other hand, are likely to be related to the number of concession card holders. Publicly available information suggests that motor taxes concessions do not represent a significant expense for States. Commission </w:t>
      </w:r>
      <w:proofErr w:type="gramStart"/>
      <w:r>
        <w:t>staff plan</w:t>
      </w:r>
      <w:proofErr w:type="gramEnd"/>
      <w:r>
        <w:t xml:space="preserve"> to investigate this issue further. </w:t>
      </w:r>
    </w:p>
    <w:p w:rsidR="00E879BF" w:rsidRDefault="00E879BF" w:rsidP="00E879BF">
      <w:pPr>
        <w:pStyle w:val="CGCNumberedPara"/>
      </w:pPr>
      <w:r w:rsidRPr="00E879BF">
        <w:rPr>
          <w:rStyle w:val="Heading6Char"/>
        </w:rPr>
        <w:t>Elasticity adjustment.</w:t>
      </w:r>
      <w:r>
        <w:t xml:space="preserve"> The Commission has engaged a consultant to provide advice on whether it should consider reinstating elasticity adjustments and, if so, for which categories. The question whether an elasticity adjustment could be assessed in the Motor taxes category will be addressed by that consultancy.</w:t>
      </w:r>
    </w:p>
    <w:p w:rsidR="00E879BF" w:rsidRDefault="00E879BF" w:rsidP="00E879BF">
      <w:pPr>
        <w:pStyle w:val="Heading3"/>
      </w:pPr>
      <w:bookmarkStart w:id="25" w:name="_Toc511727838"/>
      <w:bookmarkStart w:id="26" w:name="_Toc511727848"/>
      <w:bookmarkStart w:id="27" w:name="_Toc511727890"/>
      <w:r w:rsidRPr="00E879BF">
        <w:t>CONCLUSION AND WAY FORWARD</w:t>
      </w:r>
      <w:bookmarkEnd w:id="25"/>
      <w:bookmarkEnd w:id="26"/>
      <w:bookmarkEnd w:id="27"/>
    </w:p>
    <w:p w:rsidR="00E879BF" w:rsidRDefault="00E879BF" w:rsidP="00E879BF">
      <w:pPr>
        <w:pStyle w:val="CGCNumberedPara"/>
      </w:pPr>
      <w:r>
        <w:t xml:space="preserve">There are no major issues in relation to the Motor taxes category. Commission </w:t>
      </w:r>
      <w:proofErr w:type="gramStart"/>
      <w:r>
        <w:t>staff intend</w:t>
      </w:r>
      <w:proofErr w:type="gramEnd"/>
      <w:r>
        <w:t xml:space="preserve"> to recommend that the assessment of stamp duty on vehicle transfers be moved back into the category. This is a presentational issue only, but will improve consistency with GFS. </w:t>
      </w:r>
    </w:p>
    <w:p w:rsidR="00E879BF" w:rsidRDefault="00E879BF" w:rsidP="00E879BF">
      <w:pPr>
        <w:pStyle w:val="CGCNumberedPara"/>
      </w:pPr>
      <w:r>
        <w:t xml:space="preserve">Commission staff will work with States on whether data can be provided to: </w:t>
      </w:r>
    </w:p>
    <w:p w:rsidR="00E879BF" w:rsidRDefault="00E879BF" w:rsidP="00E879BF">
      <w:pPr>
        <w:pStyle w:val="CGCBulletlist"/>
      </w:pPr>
      <w:r>
        <w:lastRenderedPageBreak/>
        <w:t>update the split of vehicle registration revenue between heavy and light vehicles</w:t>
      </w:r>
    </w:p>
    <w:p w:rsidR="00E879BF" w:rsidRDefault="00E879BF" w:rsidP="00E879BF">
      <w:pPr>
        <w:pStyle w:val="CGCBulletlist"/>
      </w:pPr>
      <w:proofErr w:type="gramStart"/>
      <w:r>
        <w:t>measure</w:t>
      </w:r>
      <w:proofErr w:type="gramEnd"/>
      <w:r>
        <w:t xml:space="preserve"> reliably the impact of progressive rates of vehicle transfer duty and determine whether an adjustment would be material.</w:t>
      </w:r>
    </w:p>
    <w:p w:rsidR="00E879BF" w:rsidRDefault="00E879BF" w:rsidP="00E879BF">
      <w:pPr>
        <w:pStyle w:val="Heading4"/>
      </w:pPr>
      <w:bookmarkStart w:id="28" w:name="_Toc511727839"/>
      <w:bookmarkStart w:id="29" w:name="_Toc511727849"/>
      <w:bookmarkStart w:id="30" w:name="_Toc511727891"/>
      <w:r w:rsidRPr="00E879BF">
        <w:t>Proposed assessment structure</w:t>
      </w:r>
      <w:bookmarkEnd w:id="28"/>
      <w:bookmarkEnd w:id="29"/>
      <w:bookmarkEnd w:id="30"/>
    </w:p>
    <w:p w:rsidR="00E879BF" w:rsidRDefault="00C0207F" w:rsidP="00E879BF">
      <w:pPr>
        <w:pStyle w:val="CGCNumberedPara"/>
      </w:pPr>
      <w:r>
        <w:fldChar w:fldCharType="begin"/>
      </w:r>
      <w:r>
        <w:instrText xml:space="preserve"> REF _Ref511727727 \h </w:instrText>
      </w:r>
      <w:r>
        <w:fldChar w:fldCharType="separate"/>
      </w:r>
      <w:r>
        <w:t xml:space="preserve">Table </w:t>
      </w:r>
      <w:r>
        <w:rPr>
          <w:noProof/>
        </w:rPr>
        <w:t>3</w:t>
      </w:r>
      <w:r>
        <w:fldChar w:fldCharType="end"/>
      </w:r>
      <w:r>
        <w:t xml:space="preserve"> </w:t>
      </w:r>
      <w:r w:rsidR="00E879BF" w:rsidRPr="00E879BF">
        <w:t>shows the proposed assessment structure for Motor taxes in the 2020</w:t>
      </w:r>
      <w:r>
        <w:t> </w:t>
      </w:r>
      <w:r w:rsidR="00E879BF" w:rsidRPr="00E879BF">
        <w:t>Review.</w:t>
      </w:r>
    </w:p>
    <w:p w:rsidR="00E879BF" w:rsidRDefault="00674FA0" w:rsidP="00674FA0">
      <w:pPr>
        <w:pStyle w:val="Caption"/>
      </w:pPr>
      <w:bookmarkStart w:id="31" w:name="_Ref511727727"/>
      <w:r>
        <w:t xml:space="preserve">Table </w:t>
      </w:r>
      <w:fldSimple w:instr=" SEQ Table \* ARABIC ">
        <w:r>
          <w:rPr>
            <w:noProof/>
          </w:rPr>
          <w:t>3</w:t>
        </w:r>
      </w:fldSimple>
      <w:bookmarkEnd w:id="31"/>
      <w:r>
        <w:tab/>
      </w:r>
      <w:r w:rsidRPr="00674FA0">
        <w:t>Proposed Motor taxes category structure, 2020 Review</w:t>
      </w:r>
    </w:p>
    <w:tbl>
      <w:tblPr>
        <w:tblW w:w="8960" w:type="dxa"/>
        <w:tblInd w:w="93" w:type="dxa"/>
        <w:tblLook w:val="04A0" w:firstRow="1" w:lastRow="0" w:firstColumn="1" w:lastColumn="0" w:noHBand="0" w:noVBand="1"/>
      </w:tblPr>
      <w:tblGrid>
        <w:gridCol w:w="2425"/>
        <w:gridCol w:w="2410"/>
        <w:gridCol w:w="4125"/>
      </w:tblGrid>
      <w:tr w:rsidR="00C0207F" w:rsidRPr="005F02A1" w:rsidTr="00793108">
        <w:trPr>
          <w:trHeight w:val="375"/>
        </w:trPr>
        <w:tc>
          <w:tcPr>
            <w:tcW w:w="2425" w:type="dxa"/>
            <w:tcBorders>
              <w:top w:val="single" w:sz="4" w:space="0" w:color="auto"/>
              <w:left w:val="nil"/>
              <w:bottom w:val="single" w:sz="4" w:space="0" w:color="auto"/>
              <w:right w:val="nil"/>
            </w:tcBorders>
            <w:shd w:val="clear" w:color="auto" w:fill="auto"/>
            <w:vAlign w:val="center"/>
            <w:hideMark/>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bookmarkStart w:id="32" w:name="RANGE!A4:C7"/>
            <w:r w:rsidRPr="005F02A1">
              <w:rPr>
                <w:rFonts w:ascii="Calibri" w:eastAsia="Times New Roman" w:hAnsi="Calibri" w:cs="Times New Roman"/>
                <w:color w:val="000000"/>
                <w:sz w:val="20"/>
                <w:szCs w:val="20"/>
                <w:lang w:eastAsia="en-AU"/>
              </w:rPr>
              <w:t>Component</w:t>
            </w:r>
            <w:bookmarkEnd w:id="32"/>
          </w:p>
        </w:tc>
        <w:tc>
          <w:tcPr>
            <w:tcW w:w="2410" w:type="dxa"/>
            <w:tcBorders>
              <w:top w:val="single" w:sz="4" w:space="0" w:color="auto"/>
              <w:left w:val="nil"/>
              <w:bottom w:val="single" w:sz="4" w:space="0" w:color="auto"/>
              <w:right w:val="nil"/>
            </w:tcBorders>
            <w:shd w:val="clear" w:color="auto" w:fill="auto"/>
            <w:vAlign w:val="center"/>
            <w:hideMark/>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Disability</w:t>
            </w:r>
          </w:p>
        </w:tc>
        <w:tc>
          <w:tcPr>
            <w:tcW w:w="4125" w:type="dxa"/>
            <w:tcBorders>
              <w:top w:val="single" w:sz="4" w:space="0" w:color="auto"/>
              <w:left w:val="nil"/>
              <w:bottom w:val="single" w:sz="4" w:space="0" w:color="auto"/>
              <w:right w:val="nil"/>
            </w:tcBorders>
            <w:shd w:val="clear" w:color="auto" w:fill="auto"/>
            <w:vAlign w:val="center"/>
            <w:hideMark/>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Influence measured by disability</w:t>
            </w:r>
          </w:p>
        </w:tc>
      </w:tr>
      <w:tr w:rsidR="00C0207F" w:rsidRPr="005F02A1" w:rsidTr="00793108">
        <w:trPr>
          <w:trHeight w:val="549"/>
        </w:trPr>
        <w:tc>
          <w:tcPr>
            <w:tcW w:w="2425" w:type="dxa"/>
            <w:tcBorders>
              <w:top w:val="nil"/>
              <w:left w:val="nil"/>
              <w:right w:val="nil"/>
            </w:tcBorders>
            <w:shd w:val="clear" w:color="auto" w:fill="auto"/>
            <w:hideMark/>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Light vehicle registrations</w:t>
            </w:r>
          </w:p>
        </w:tc>
        <w:tc>
          <w:tcPr>
            <w:tcW w:w="2410" w:type="dxa"/>
            <w:tcBorders>
              <w:top w:val="nil"/>
              <w:left w:val="nil"/>
              <w:right w:val="nil"/>
            </w:tcBorders>
            <w:shd w:val="clear" w:color="auto" w:fill="auto"/>
            <w:hideMark/>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Number of light vehicles</w:t>
            </w:r>
          </w:p>
        </w:tc>
        <w:tc>
          <w:tcPr>
            <w:tcW w:w="4125" w:type="dxa"/>
            <w:tcBorders>
              <w:top w:val="nil"/>
              <w:left w:val="nil"/>
              <w:right w:val="nil"/>
            </w:tcBorders>
            <w:shd w:val="clear" w:color="auto" w:fill="auto"/>
            <w:hideMark/>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 xml:space="preserve">Recognises the </w:t>
            </w:r>
            <w:r>
              <w:rPr>
                <w:rFonts w:ascii="Calibri" w:eastAsia="Times New Roman" w:hAnsi="Calibri" w:cs="Times New Roman"/>
                <w:color w:val="000000"/>
                <w:sz w:val="20"/>
                <w:szCs w:val="20"/>
                <w:lang w:eastAsia="en-AU"/>
              </w:rPr>
              <w:t xml:space="preserve">additional </w:t>
            </w:r>
            <w:r w:rsidRPr="005F02A1">
              <w:rPr>
                <w:rFonts w:ascii="Calibri" w:eastAsia="Times New Roman" w:hAnsi="Calibri" w:cs="Times New Roman"/>
                <w:color w:val="000000"/>
                <w:sz w:val="20"/>
                <w:szCs w:val="20"/>
                <w:lang w:eastAsia="en-AU"/>
              </w:rPr>
              <w:t xml:space="preserve">revenue </w:t>
            </w:r>
            <w:r>
              <w:rPr>
                <w:rFonts w:ascii="Calibri" w:eastAsia="Times New Roman" w:hAnsi="Calibri" w:cs="Times New Roman"/>
                <w:color w:val="000000"/>
                <w:sz w:val="20"/>
                <w:szCs w:val="20"/>
                <w:lang w:eastAsia="en-AU"/>
              </w:rPr>
              <w:t xml:space="preserve">capacity of </w:t>
            </w:r>
            <w:r w:rsidRPr="005F02A1">
              <w:rPr>
                <w:rFonts w:ascii="Calibri" w:eastAsia="Times New Roman" w:hAnsi="Calibri" w:cs="Times New Roman"/>
                <w:color w:val="000000"/>
                <w:sz w:val="20"/>
                <w:szCs w:val="20"/>
                <w:lang w:eastAsia="en-AU"/>
              </w:rPr>
              <w:t xml:space="preserve">States </w:t>
            </w:r>
            <w:r>
              <w:rPr>
                <w:rFonts w:ascii="Calibri" w:eastAsia="Times New Roman" w:hAnsi="Calibri" w:cs="Times New Roman"/>
                <w:color w:val="000000"/>
                <w:sz w:val="20"/>
                <w:szCs w:val="20"/>
                <w:lang w:eastAsia="en-AU"/>
              </w:rPr>
              <w:t xml:space="preserve">with a greater number of </w:t>
            </w:r>
            <w:r w:rsidRPr="005F02A1">
              <w:rPr>
                <w:rFonts w:ascii="Calibri" w:eastAsia="Times New Roman" w:hAnsi="Calibri" w:cs="Times New Roman"/>
                <w:color w:val="000000"/>
                <w:sz w:val="20"/>
                <w:szCs w:val="20"/>
                <w:lang w:eastAsia="en-AU"/>
              </w:rPr>
              <w:t>light vehicles.</w:t>
            </w:r>
          </w:p>
        </w:tc>
      </w:tr>
      <w:tr w:rsidR="00C0207F" w:rsidRPr="005F02A1" w:rsidTr="00793108">
        <w:trPr>
          <w:trHeight w:val="553"/>
        </w:trPr>
        <w:tc>
          <w:tcPr>
            <w:tcW w:w="2425" w:type="dxa"/>
            <w:tcBorders>
              <w:top w:val="nil"/>
              <w:left w:val="nil"/>
              <w:bottom w:val="nil"/>
              <w:right w:val="nil"/>
            </w:tcBorders>
            <w:shd w:val="clear" w:color="auto" w:fill="auto"/>
            <w:hideMark/>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Heavy vehicle registrations</w:t>
            </w:r>
          </w:p>
        </w:tc>
        <w:tc>
          <w:tcPr>
            <w:tcW w:w="2410" w:type="dxa"/>
            <w:tcBorders>
              <w:top w:val="nil"/>
              <w:left w:val="nil"/>
              <w:bottom w:val="nil"/>
              <w:right w:val="nil"/>
            </w:tcBorders>
            <w:shd w:val="clear" w:color="auto" w:fill="auto"/>
            <w:hideMark/>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Number of heavy vehicles</w:t>
            </w:r>
          </w:p>
        </w:tc>
        <w:tc>
          <w:tcPr>
            <w:tcW w:w="4125" w:type="dxa"/>
            <w:tcBorders>
              <w:top w:val="nil"/>
              <w:left w:val="nil"/>
              <w:bottom w:val="nil"/>
              <w:right w:val="nil"/>
            </w:tcBorders>
            <w:shd w:val="clear" w:color="auto" w:fill="auto"/>
            <w:hideMark/>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 xml:space="preserve">Recognises the </w:t>
            </w:r>
            <w:r>
              <w:rPr>
                <w:rFonts w:ascii="Calibri" w:eastAsia="Times New Roman" w:hAnsi="Calibri" w:cs="Times New Roman"/>
                <w:color w:val="000000"/>
                <w:sz w:val="20"/>
                <w:szCs w:val="20"/>
                <w:lang w:eastAsia="en-AU"/>
              </w:rPr>
              <w:t xml:space="preserve">additional </w:t>
            </w:r>
            <w:r w:rsidRPr="005F02A1">
              <w:rPr>
                <w:rFonts w:ascii="Calibri" w:eastAsia="Times New Roman" w:hAnsi="Calibri" w:cs="Times New Roman"/>
                <w:color w:val="000000"/>
                <w:sz w:val="20"/>
                <w:szCs w:val="20"/>
                <w:lang w:eastAsia="en-AU"/>
              </w:rPr>
              <w:t xml:space="preserve">revenue </w:t>
            </w:r>
            <w:r>
              <w:rPr>
                <w:rFonts w:ascii="Calibri" w:eastAsia="Times New Roman" w:hAnsi="Calibri" w:cs="Times New Roman"/>
                <w:color w:val="000000"/>
                <w:sz w:val="20"/>
                <w:szCs w:val="20"/>
                <w:lang w:eastAsia="en-AU"/>
              </w:rPr>
              <w:t xml:space="preserve">capacity of </w:t>
            </w:r>
            <w:r w:rsidRPr="005F02A1">
              <w:rPr>
                <w:rFonts w:ascii="Calibri" w:eastAsia="Times New Roman" w:hAnsi="Calibri" w:cs="Times New Roman"/>
                <w:color w:val="000000"/>
                <w:sz w:val="20"/>
                <w:szCs w:val="20"/>
                <w:lang w:eastAsia="en-AU"/>
              </w:rPr>
              <w:t xml:space="preserve">States </w:t>
            </w:r>
            <w:r>
              <w:rPr>
                <w:rFonts w:ascii="Calibri" w:eastAsia="Times New Roman" w:hAnsi="Calibri" w:cs="Times New Roman"/>
                <w:color w:val="000000"/>
                <w:sz w:val="20"/>
                <w:szCs w:val="20"/>
                <w:lang w:eastAsia="en-AU"/>
              </w:rPr>
              <w:t xml:space="preserve">with a greater number of </w:t>
            </w:r>
            <w:r w:rsidRPr="005F02A1">
              <w:rPr>
                <w:rFonts w:ascii="Calibri" w:eastAsia="Times New Roman" w:hAnsi="Calibri" w:cs="Times New Roman"/>
                <w:color w:val="000000"/>
                <w:sz w:val="20"/>
                <w:szCs w:val="20"/>
                <w:lang w:eastAsia="en-AU"/>
              </w:rPr>
              <w:t>heavy vehicles.</w:t>
            </w:r>
          </w:p>
        </w:tc>
      </w:tr>
      <w:tr w:rsidR="00C0207F" w:rsidRPr="005F02A1" w:rsidTr="00793108">
        <w:trPr>
          <w:trHeight w:val="553"/>
        </w:trPr>
        <w:tc>
          <w:tcPr>
            <w:tcW w:w="2425" w:type="dxa"/>
            <w:tcBorders>
              <w:top w:val="nil"/>
              <w:left w:val="nil"/>
              <w:bottom w:val="single" w:sz="4" w:space="0" w:color="auto"/>
              <w:right w:val="nil"/>
            </w:tcBorders>
            <w:shd w:val="clear" w:color="auto" w:fill="auto"/>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Stamp duty on motor vehicle transfers</w:t>
            </w:r>
          </w:p>
        </w:tc>
        <w:tc>
          <w:tcPr>
            <w:tcW w:w="2410" w:type="dxa"/>
            <w:tcBorders>
              <w:top w:val="nil"/>
              <w:left w:val="nil"/>
              <w:bottom w:val="single" w:sz="4" w:space="0" w:color="auto"/>
              <w:right w:val="nil"/>
            </w:tcBorders>
            <w:shd w:val="clear" w:color="auto" w:fill="auto"/>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Value of motor vehicle transfers</w:t>
            </w:r>
          </w:p>
        </w:tc>
        <w:tc>
          <w:tcPr>
            <w:tcW w:w="4125" w:type="dxa"/>
            <w:tcBorders>
              <w:top w:val="nil"/>
              <w:left w:val="nil"/>
              <w:bottom w:val="single" w:sz="4" w:space="0" w:color="auto"/>
              <w:right w:val="nil"/>
            </w:tcBorders>
            <w:shd w:val="clear" w:color="auto" w:fill="auto"/>
          </w:tcPr>
          <w:p w:rsidR="00C0207F" w:rsidRPr="005F02A1" w:rsidRDefault="00C0207F" w:rsidP="00793108">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Recognises the additional revenue capacity of States with a higher total value of vehicles sold.</w:t>
            </w:r>
          </w:p>
        </w:tc>
      </w:tr>
    </w:tbl>
    <w:p w:rsidR="00674FA0" w:rsidRPr="00674FA0" w:rsidRDefault="00674FA0" w:rsidP="00674FA0"/>
    <w:sectPr w:rsidR="00674FA0" w:rsidRPr="00674FA0" w:rsidSect="007C7E27">
      <w:footerReference w:type="first" r:id="rId17"/>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8C" w:rsidRDefault="0061618C">
      <w:r>
        <w:separator/>
      </w:r>
    </w:p>
  </w:endnote>
  <w:endnote w:type="continuationSeparator" w:id="0">
    <w:p w:rsidR="0061618C" w:rsidRDefault="0061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086DF7">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27" w:rsidRPr="003929D2" w:rsidRDefault="007C7E27" w:rsidP="004C583B">
    <w:pPr>
      <w:pStyle w:val="Footer"/>
      <w:jc w:val="right"/>
      <w:rPr>
        <w:b/>
      </w:rPr>
    </w:pPr>
  </w:p>
  <w:p w:rsidR="00AB1A13" w:rsidRPr="007E487F" w:rsidRDefault="00AB1A13" w:rsidP="00DC0F02">
    <w:pPr>
      <w:pStyle w:val="Footer"/>
      <w:tabs>
        <w:tab w:val="right" w:pos="8931"/>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91" w:rsidRPr="003929D2" w:rsidRDefault="00A92E91" w:rsidP="004C583B">
    <w:pPr>
      <w:pStyle w:val="Footer"/>
      <w:jc w:val="right"/>
      <w:rPr>
        <w:b/>
      </w:rPr>
    </w:pPr>
  </w:p>
  <w:p w:rsidR="00A92E91" w:rsidRPr="007E487F" w:rsidRDefault="00A92E91" w:rsidP="00DC0F02">
    <w:pPr>
      <w:pStyle w:val="Footer"/>
      <w:tabs>
        <w:tab w:val="right" w:pos="8931"/>
      </w:tabs>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91" w:rsidRPr="003929D2" w:rsidRDefault="00A92E91" w:rsidP="004C583B">
    <w:pPr>
      <w:pStyle w:val="Footer"/>
      <w:jc w:val="right"/>
      <w:rPr>
        <w:b/>
      </w:rPr>
    </w:pPr>
  </w:p>
  <w:p w:rsidR="00A92E91" w:rsidRPr="007E487F" w:rsidRDefault="00A92E91" w:rsidP="00DC0F02">
    <w:pPr>
      <w:pStyle w:val="Footer"/>
      <w:tabs>
        <w:tab w:val="right" w:pos="8931"/>
      </w:tabs>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915807210"/>
      <w:docPartObj>
        <w:docPartGallery w:val="Page Numbers (Bottom of Page)"/>
        <w:docPartUnique/>
      </w:docPartObj>
    </w:sdtPr>
    <w:sdtEndPr/>
    <w:sdtContent>
      <w:p w:rsidR="00A92E91" w:rsidRPr="003929D2" w:rsidRDefault="00A92E91" w:rsidP="004C583B">
        <w:pPr>
          <w:pStyle w:val="Footer"/>
          <w:jc w:val="right"/>
          <w:rPr>
            <w:b/>
          </w:rPr>
        </w:pPr>
        <w:r w:rsidRPr="003929D2">
          <w:rPr>
            <w:b/>
          </w:rPr>
          <w:fldChar w:fldCharType="begin"/>
        </w:r>
        <w:r w:rsidRPr="003929D2">
          <w:rPr>
            <w:b/>
          </w:rPr>
          <w:instrText xml:space="preserve"> PAGE  \* Arabic  \* MERGEFORMAT </w:instrText>
        </w:r>
        <w:r w:rsidRPr="003929D2">
          <w:rPr>
            <w:b/>
          </w:rPr>
          <w:fldChar w:fldCharType="separate"/>
        </w:r>
        <w:r w:rsidR="00086DF7">
          <w:rPr>
            <w:b/>
            <w:noProof/>
          </w:rPr>
          <w:t>1</w:t>
        </w:r>
        <w:r w:rsidRPr="003929D2">
          <w:rPr>
            <w:b/>
          </w:rPr>
          <w:fldChar w:fldCharType="end"/>
        </w:r>
      </w:p>
    </w:sdtContent>
  </w:sdt>
  <w:p w:rsidR="00A92E91" w:rsidRPr="007E487F" w:rsidRDefault="00A92E91" w:rsidP="00DC0F02">
    <w:pPr>
      <w:pStyle w:val="Footer"/>
      <w:tabs>
        <w:tab w:val="right" w:pos="8931"/>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8C" w:rsidRDefault="0061618C">
      <w:r>
        <w:separator/>
      </w:r>
    </w:p>
  </w:footnote>
  <w:footnote w:type="continuationSeparator" w:id="0">
    <w:p w:rsidR="0061618C" w:rsidRDefault="0061618C">
      <w:r>
        <w:continuationSeparator/>
      </w:r>
    </w:p>
  </w:footnote>
  <w:footnote w:id="1">
    <w:p w:rsidR="0012348B" w:rsidRDefault="0012348B">
      <w:pPr>
        <w:pStyle w:val="FootnoteText"/>
      </w:pPr>
      <w:r>
        <w:rPr>
          <w:rStyle w:val="FootnoteReference"/>
        </w:rPr>
        <w:footnoteRef/>
      </w:r>
      <w:r>
        <w:t xml:space="preserve"> </w:t>
      </w:r>
      <w:r>
        <w:tab/>
        <w:t>The FIRS is an alternative to State based registration for heavy vehicles weighing more than 4.5 tonnes. The revenue is collected by the Commonwealth and paid to States.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8C"/>
    <w:rsid w:val="00016FE0"/>
    <w:rsid w:val="00022EA9"/>
    <w:rsid w:val="00024745"/>
    <w:rsid w:val="00032F41"/>
    <w:rsid w:val="0004123E"/>
    <w:rsid w:val="00041748"/>
    <w:rsid w:val="00041E84"/>
    <w:rsid w:val="000424EA"/>
    <w:rsid w:val="00056373"/>
    <w:rsid w:val="00061111"/>
    <w:rsid w:val="000624BB"/>
    <w:rsid w:val="000648E8"/>
    <w:rsid w:val="00086DF7"/>
    <w:rsid w:val="00093796"/>
    <w:rsid w:val="000A3898"/>
    <w:rsid w:val="000A52A1"/>
    <w:rsid w:val="000B2942"/>
    <w:rsid w:val="000B3557"/>
    <w:rsid w:val="000B64E3"/>
    <w:rsid w:val="000C5DCD"/>
    <w:rsid w:val="000D053E"/>
    <w:rsid w:val="000D1354"/>
    <w:rsid w:val="000D7C54"/>
    <w:rsid w:val="000E0210"/>
    <w:rsid w:val="000E6AA5"/>
    <w:rsid w:val="000E7F56"/>
    <w:rsid w:val="000F1CDA"/>
    <w:rsid w:val="001039C2"/>
    <w:rsid w:val="001040AD"/>
    <w:rsid w:val="00105A4D"/>
    <w:rsid w:val="0011178C"/>
    <w:rsid w:val="00112CF0"/>
    <w:rsid w:val="001211AB"/>
    <w:rsid w:val="001218B8"/>
    <w:rsid w:val="0012348B"/>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23A2"/>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E769A"/>
    <w:rsid w:val="004F40BA"/>
    <w:rsid w:val="00500ACD"/>
    <w:rsid w:val="00504061"/>
    <w:rsid w:val="00505BAE"/>
    <w:rsid w:val="00506956"/>
    <w:rsid w:val="00515380"/>
    <w:rsid w:val="005176CA"/>
    <w:rsid w:val="005177E7"/>
    <w:rsid w:val="00537A77"/>
    <w:rsid w:val="00541A14"/>
    <w:rsid w:val="00543F9C"/>
    <w:rsid w:val="00546745"/>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1618C"/>
    <w:rsid w:val="00622669"/>
    <w:rsid w:val="00622FE1"/>
    <w:rsid w:val="00625CE5"/>
    <w:rsid w:val="00635027"/>
    <w:rsid w:val="00644A7B"/>
    <w:rsid w:val="006556D9"/>
    <w:rsid w:val="00661C46"/>
    <w:rsid w:val="006652D3"/>
    <w:rsid w:val="00667CF3"/>
    <w:rsid w:val="00674FA0"/>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54A4E"/>
    <w:rsid w:val="00762AFB"/>
    <w:rsid w:val="00765BA8"/>
    <w:rsid w:val="00766007"/>
    <w:rsid w:val="00770A26"/>
    <w:rsid w:val="007A1364"/>
    <w:rsid w:val="007A24A0"/>
    <w:rsid w:val="007A4AB2"/>
    <w:rsid w:val="007A5E68"/>
    <w:rsid w:val="007B1BF7"/>
    <w:rsid w:val="007C364F"/>
    <w:rsid w:val="007C404B"/>
    <w:rsid w:val="007C4BAE"/>
    <w:rsid w:val="007C6CBD"/>
    <w:rsid w:val="007C7E27"/>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93B"/>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52D5"/>
    <w:rsid w:val="009677F8"/>
    <w:rsid w:val="00971146"/>
    <w:rsid w:val="00972A9A"/>
    <w:rsid w:val="00991675"/>
    <w:rsid w:val="00992008"/>
    <w:rsid w:val="00996409"/>
    <w:rsid w:val="00996D00"/>
    <w:rsid w:val="009A03DC"/>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2E91"/>
    <w:rsid w:val="00A9681E"/>
    <w:rsid w:val="00AA007A"/>
    <w:rsid w:val="00AB073E"/>
    <w:rsid w:val="00AB1A13"/>
    <w:rsid w:val="00AB274C"/>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0159"/>
    <w:rsid w:val="00B62590"/>
    <w:rsid w:val="00B6729F"/>
    <w:rsid w:val="00B82627"/>
    <w:rsid w:val="00B90AA7"/>
    <w:rsid w:val="00B94335"/>
    <w:rsid w:val="00BA65E5"/>
    <w:rsid w:val="00BB09DF"/>
    <w:rsid w:val="00BB3FC5"/>
    <w:rsid w:val="00BC2B3B"/>
    <w:rsid w:val="00BC4579"/>
    <w:rsid w:val="00BC76B9"/>
    <w:rsid w:val="00BD3D24"/>
    <w:rsid w:val="00C0018A"/>
    <w:rsid w:val="00C00905"/>
    <w:rsid w:val="00C0207F"/>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25B35"/>
    <w:rsid w:val="00D43096"/>
    <w:rsid w:val="00D46AB2"/>
    <w:rsid w:val="00D47815"/>
    <w:rsid w:val="00D656EB"/>
    <w:rsid w:val="00D73225"/>
    <w:rsid w:val="00D771FD"/>
    <w:rsid w:val="00D7796D"/>
    <w:rsid w:val="00D81B18"/>
    <w:rsid w:val="00D83541"/>
    <w:rsid w:val="00D93A16"/>
    <w:rsid w:val="00D9496D"/>
    <w:rsid w:val="00D956A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2E43"/>
    <w:rsid w:val="00E571BB"/>
    <w:rsid w:val="00E74435"/>
    <w:rsid w:val="00E758AD"/>
    <w:rsid w:val="00E77D4E"/>
    <w:rsid w:val="00E879BF"/>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6511E"/>
    <w:rsid w:val="00F70110"/>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StubChar">
    <w:name w:val="CGC Table Stub Char"/>
    <w:basedOn w:val="DefaultParagraphFont"/>
    <w:link w:val="CGCTableStub"/>
    <w:rsid w:val="00105A4D"/>
    <w:rPr>
      <w:sz w:val="20"/>
      <w:szCs w:val="20"/>
    </w:rPr>
  </w:style>
  <w:style w:type="character" w:customStyle="1" w:styleId="TableRowNormalChar">
    <w:name w:val="TableRowNormal Char"/>
    <w:basedOn w:val="DefaultParagraphFont"/>
    <w:link w:val="TableRowNormal"/>
    <w:locked/>
    <w:rsid w:val="00105A4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StubChar">
    <w:name w:val="CGC Table Stub Char"/>
    <w:basedOn w:val="DefaultParagraphFont"/>
    <w:link w:val="CGCTableStub"/>
    <w:rsid w:val="00105A4D"/>
    <w:rPr>
      <w:sz w:val="20"/>
      <w:szCs w:val="20"/>
    </w:rPr>
  </w:style>
  <w:style w:type="character" w:customStyle="1" w:styleId="TableRowNormalChar">
    <w:name w:val="TableRowNormal Char"/>
    <w:basedOn w:val="DefaultParagraphFont"/>
    <w:link w:val="TableRowNormal"/>
    <w:locked/>
    <w:rsid w:val="00105A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cretary@cgc.gov.au"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ffrey.evans@cgc.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1694</Words>
  <Characters>10078</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2018-04-18T01:09:00Z</dcterms:created>
  <dcterms:modified xsi:type="dcterms:W3CDTF">2018-04-18T01:10:00Z</dcterms:modified>
</cp:coreProperties>
</file>