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3E6" w:rsidRPr="00970E6D" w:rsidRDefault="003163E6" w:rsidP="003163E6">
      <w:pPr>
        <w:tabs>
          <w:tab w:val="clear" w:pos="567"/>
        </w:tabs>
        <w:jc w:val="center"/>
        <w:rPr>
          <w:b/>
          <w:bCs/>
        </w:rPr>
      </w:pPr>
      <w:bookmarkStart w:id="0" w:name="Content"/>
      <w:bookmarkStart w:id="1" w:name="_Toc106707122"/>
      <w:bookmarkStart w:id="2" w:name="_Toc155675722"/>
      <w:bookmarkStart w:id="3" w:name="_Toc155675934"/>
      <w:bookmarkStart w:id="4" w:name="_Toc155675975"/>
      <w:bookmarkStart w:id="5" w:name="_Toc155676245"/>
      <w:bookmarkStart w:id="6" w:name="_Toc174415768"/>
      <w:bookmarkStart w:id="7" w:name="_Toc106707725"/>
      <w:bookmarkStart w:id="8" w:name="_Toc155675935"/>
      <w:bookmarkStart w:id="9" w:name="_Toc174415770"/>
      <w:bookmarkStart w:id="10" w:name="_Toc174415844"/>
      <w:bookmarkStart w:id="11" w:name="_Toc174415935"/>
      <w:bookmarkStart w:id="12" w:name="_Toc174416620"/>
      <w:bookmarkStart w:id="13" w:name="_Toc174416662"/>
      <w:bookmarkStart w:id="14" w:name="_Toc174416675"/>
      <w:bookmarkStart w:id="15" w:name="_GoBack"/>
      <w:bookmarkEnd w:id="0"/>
      <w:bookmarkEnd w:id="15"/>
      <w:r w:rsidRPr="00970E6D">
        <w:rPr>
          <w:noProof/>
          <w:lang w:eastAsia="en-AU"/>
        </w:rPr>
        <w:drawing>
          <wp:inline distT="0" distB="0" distL="0" distR="0" wp14:anchorId="40C4C964" wp14:editId="586ED7A5">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7"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3163E6" w:rsidRPr="00970E6D" w:rsidRDefault="003163E6" w:rsidP="003163E6">
      <w:pPr>
        <w:tabs>
          <w:tab w:val="clear" w:pos="567"/>
        </w:tabs>
        <w:jc w:val="center"/>
        <w:rPr>
          <w:b/>
          <w:sz w:val="40"/>
          <w:szCs w:val="40"/>
        </w:rPr>
      </w:pPr>
    </w:p>
    <w:p w:rsidR="003163E6" w:rsidRPr="00970E6D" w:rsidRDefault="003163E6" w:rsidP="003163E6">
      <w:pPr>
        <w:tabs>
          <w:tab w:val="clear" w:pos="567"/>
        </w:tabs>
        <w:jc w:val="center"/>
        <w:rPr>
          <w:b/>
          <w:sz w:val="40"/>
          <w:szCs w:val="40"/>
        </w:rPr>
      </w:pPr>
    </w:p>
    <w:p w:rsidR="003163E6" w:rsidRPr="00970E6D" w:rsidRDefault="003163E6" w:rsidP="003163E6">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rsidR="003163E6" w:rsidRPr="00970E6D" w:rsidRDefault="003163E6" w:rsidP="003163E6">
      <w:pPr>
        <w:tabs>
          <w:tab w:val="clear" w:pos="567"/>
        </w:tabs>
        <w:jc w:val="center"/>
        <w:rPr>
          <w:b/>
          <w:sz w:val="40"/>
          <w:szCs w:val="40"/>
        </w:rPr>
      </w:pPr>
    </w:p>
    <w:p w:rsidR="003163E6" w:rsidRPr="00970E6D" w:rsidRDefault="003163E6" w:rsidP="003163E6">
      <w:pPr>
        <w:tabs>
          <w:tab w:val="clear" w:pos="567"/>
        </w:tabs>
        <w:jc w:val="center"/>
        <w:rPr>
          <w:b/>
          <w:sz w:val="40"/>
          <w:szCs w:val="40"/>
        </w:rPr>
      </w:pPr>
    </w:p>
    <w:p w:rsidR="003163E6" w:rsidRPr="00970E6D" w:rsidRDefault="003163E6" w:rsidP="003163E6">
      <w:pPr>
        <w:tabs>
          <w:tab w:val="clear" w:pos="567"/>
        </w:tabs>
        <w:jc w:val="center"/>
        <w:rPr>
          <w:b/>
          <w:sz w:val="40"/>
          <w:szCs w:val="40"/>
        </w:rPr>
      </w:pPr>
    </w:p>
    <w:p w:rsidR="003163E6" w:rsidRPr="00970E6D" w:rsidRDefault="003163E6" w:rsidP="003163E6">
      <w:pPr>
        <w:tabs>
          <w:tab w:val="clear" w:pos="567"/>
        </w:tabs>
        <w:jc w:val="center"/>
        <w:rPr>
          <w:b/>
          <w:sz w:val="40"/>
          <w:szCs w:val="40"/>
        </w:rPr>
      </w:pPr>
    </w:p>
    <w:p w:rsidR="003163E6" w:rsidRPr="00970E6D" w:rsidRDefault="003163E6" w:rsidP="003163E6">
      <w:pPr>
        <w:tabs>
          <w:tab w:val="clear" w:pos="567"/>
        </w:tabs>
        <w:jc w:val="center"/>
        <w:rPr>
          <w:bCs/>
          <w:sz w:val="40"/>
          <w:szCs w:val="40"/>
        </w:rPr>
      </w:pPr>
      <w:r>
        <w:rPr>
          <w:b/>
          <w:sz w:val="40"/>
          <w:szCs w:val="40"/>
        </w:rPr>
        <w:t>GAMBLING</w:t>
      </w:r>
      <w:r w:rsidR="0032073C">
        <w:rPr>
          <w:b/>
          <w:sz w:val="40"/>
          <w:szCs w:val="40"/>
        </w:rPr>
        <w:t xml:space="preserve"> TAXES</w:t>
      </w:r>
    </w:p>
    <w:p w:rsidR="003163E6" w:rsidRPr="00970E6D" w:rsidRDefault="003163E6" w:rsidP="003163E6">
      <w:pPr>
        <w:tabs>
          <w:tab w:val="clear" w:pos="567"/>
        </w:tabs>
        <w:jc w:val="center"/>
        <w:rPr>
          <w:b/>
          <w:sz w:val="40"/>
          <w:szCs w:val="40"/>
        </w:rPr>
      </w:pPr>
    </w:p>
    <w:p w:rsidR="003163E6" w:rsidRPr="00970E6D" w:rsidRDefault="003163E6" w:rsidP="003163E6">
      <w:pPr>
        <w:tabs>
          <w:tab w:val="clear" w:pos="567"/>
        </w:tabs>
        <w:jc w:val="center"/>
        <w:rPr>
          <w:b/>
          <w:sz w:val="40"/>
          <w:szCs w:val="40"/>
        </w:rPr>
      </w:pPr>
    </w:p>
    <w:p w:rsidR="003163E6" w:rsidRPr="00970E6D" w:rsidRDefault="003163E6" w:rsidP="003163E6">
      <w:pPr>
        <w:tabs>
          <w:tab w:val="clear" w:pos="567"/>
        </w:tabs>
        <w:jc w:val="center"/>
        <w:rPr>
          <w:b/>
          <w:sz w:val="40"/>
          <w:szCs w:val="40"/>
        </w:rPr>
      </w:pPr>
    </w:p>
    <w:p w:rsidR="003163E6" w:rsidRPr="00970E6D" w:rsidRDefault="003163E6" w:rsidP="003163E6">
      <w:pPr>
        <w:tabs>
          <w:tab w:val="clear" w:pos="567"/>
        </w:tabs>
        <w:jc w:val="center"/>
        <w:rPr>
          <w:b/>
          <w:sz w:val="40"/>
          <w:szCs w:val="40"/>
        </w:rPr>
      </w:pPr>
    </w:p>
    <w:p w:rsidR="003163E6" w:rsidRPr="00970E6D" w:rsidRDefault="00211AA2" w:rsidP="003163E6">
      <w:pPr>
        <w:tabs>
          <w:tab w:val="clear" w:pos="567"/>
        </w:tabs>
        <w:jc w:val="center"/>
        <w:rPr>
          <w:b/>
          <w:sz w:val="40"/>
          <w:szCs w:val="40"/>
        </w:rPr>
      </w:pPr>
      <w:r>
        <w:rPr>
          <w:b/>
          <w:sz w:val="40"/>
          <w:szCs w:val="40"/>
        </w:rPr>
        <w:t xml:space="preserve">STAFF </w:t>
      </w:r>
      <w:r w:rsidR="003163E6">
        <w:rPr>
          <w:b/>
          <w:sz w:val="40"/>
          <w:szCs w:val="40"/>
        </w:rPr>
        <w:t>DRAFT ASSESSMENT PAPER</w:t>
      </w:r>
      <w:r w:rsidR="003163E6">
        <w:rPr>
          <w:b/>
          <w:sz w:val="40"/>
          <w:szCs w:val="40"/>
        </w:rPr>
        <w:br/>
      </w:r>
      <w:proofErr w:type="spellStart"/>
      <w:r w:rsidR="003163E6">
        <w:rPr>
          <w:b/>
          <w:sz w:val="40"/>
          <w:szCs w:val="40"/>
        </w:rPr>
        <w:t>CGC</w:t>
      </w:r>
      <w:proofErr w:type="spellEnd"/>
      <w:r w:rsidR="003163E6">
        <w:rPr>
          <w:b/>
          <w:sz w:val="40"/>
          <w:szCs w:val="40"/>
        </w:rPr>
        <w:t xml:space="preserve"> 20</w:t>
      </w:r>
      <w:r w:rsidR="003163E6" w:rsidRPr="00970E6D">
        <w:rPr>
          <w:b/>
          <w:sz w:val="40"/>
          <w:szCs w:val="40"/>
        </w:rPr>
        <w:t>1</w:t>
      </w:r>
      <w:r w:rsidR="003163E6">
        <w:rPr>
          <w:b/>
          <w:sz w:val="40"/>
          <w:szCs w:val="40"/>
        </w:rPr>
        <w:t>8</w:t>
      </w:r>
      <w:r w:rsidR="003163E6" w:rsidRPr="00970E6D">
        <w:rPr>
          <w:b/>
          <w:sz w:val="40"/>
          <w:szCs w:val="40"/>
        </w:rPr>
        <w:t>-</w:t>
      </w:r>
      <w:r w:rsidR="007635BA">
        <w:rPr>
          <w:b/>
          <w:sz w:val="40"/>
          <w:szCs w:val="40"/>
        </w:rPr>
        <w:t>01/07</w:t>
      </w:r>
      <w:r w:rsidR="003163E6">
        <w:rPr>
          <w:b/>
          <w:sz w:val="40"/>
          <w:szCs w:val="40"/>
        </w:rPr>
        <w:t>-S</w:t>
      </w:r>
    </w:p>
    <w:p w:rsidR="003163E6" w:rsidRPr="00970E6D" w:rsidRDefault="003163E6" w:rsidP="003163E6">
      <w:pPr>
        <w:tabs>
          <w:tab w:val="clear" w:pos="567"/>
        </w:tabs>
        <w:jc w:val="center"/>
        <w:rPr>
          <w:b/>
          <w:sz w:val="40"/>
          <w:szCs w:val="40"/>
        </w:rPr>
      </w:pPr>
    </w:p>
    <w:p w:rsidR="003163E6" w:rsidRPr="00970E6D" w:rsidRDefault="003163E6" w:rsidP="003163E6">
      <w:pPr>
        <w:tabs>
          <w:tab w:val="clear" w:pos="567"/>
        </w:tabs>
        <w:jc w:val="center"/>
        <w:rPr>
          <w:b/>
          <w:sz w:val="40"/>
          <w:szCs w:val="40"/>
        </w:rPr>
      </w:pPr>
    </w:p>
    <w:p w:rsidR="003163E6" w:rsidRPr="00970E6D" w:rsidRDefault="003163E6" w:rsidP="003163E6">
      <w:pPr>
        <w:tabs>
          <w:tab w:val="clear" w:pos="567"/>
        </w:tabs>
        <w:jc w:val="center"/>
        <w:rPr>
          <w:b/>
          <w:sz w:val="40"/>
          <w:szCs w:val="40"/>
        </w:rPr>
      </w:pPr>
    </w:p>
    <w:p w:rsidR="003163E6" w:rsidRPr="00970E6D" w:rsidRDefault="003163E6" w:rsidP="003163E6">
      <w:pPr>
        <w:tabs>
          <w:tab w:val="clear" w:pos="567"/>
        </w:tabs>
        <w:jc w:val="center"/>
        <w:rPr>
          <w:sz w:val="40"/>
          <w:szCs w:val="40"/>
        </w:rPr>
      </w:pPr>
    </w:p>
    <w:p w:rsidR="003163E6" w:rsidRDefault="003163E6" w:rsidP="003163E6">
      <w:pPr>
        <w:tabs>
          <w:tab w:val="clear" w:pos="567"/>
        </w:tabs>
        <w:jc w:val="right"/>
        <w:rPr>
          <w:b/>
          <w:sz w:val="28"/>
          <w:szCs w:val="28"/>
        </w:rPr>
      </w:pPr>
      <w:r>
        <w:rPr>
          <w:b/>
          <w:sz w:val="28"/>
          <w:szCs w:val="28"/>
        </w:rPr>
        <w:t>APRIL 2018</w:t>
      </w:r>
    </w:p>
    <w:p w:rsidR="003163E6" w:rsidRPr="00970E6D" w:rsidRDefault="008834B5" w:rsidP="008834B5">
      <w:pPr>
        <w:tabs>
          <w:tab w:val="clear" w:pos="567"/>
        </w:tabs>
        <w:jc w:val="right"/>
      </w:pPr>
      <w:r>
        <w:rPr>
          <w:b/>
          <w:sz w:val="28"/>
          <w:szCs w:val="28"/>
        </w:rPr>
        <w:t>(REVISED 8 JUNE 2018)</w:t>
      </w:r>
    </w:p>
    <w:p w:rsidR="003163E6" w:rsidRPr="00970E6D" w:rsidRDefault="003163E6" w:rsidP="003163E6">
      <w:pPr>
        <w:tabs>
          <w:tab w:val="clear" w:pos="567"/>
        </w:tabs>
        <w:sectPr w:rsidR="003163E6" w:rsidRPr="00970E6D" w:rsidSect="00F16C1A">
          <w:footerReference w:type="default" r:id="rId8"/>
          <w:pgSz w:w="11899" w:h="16838" w:code="9"/>
          <w:pgMar w:top="1701" w:right="1474" w:bottom="1701" w:left="1474" w:header="709" w:footer="709" w:gutter="0"/>
          <w:cols w:space="708"/>
          <w:titlePg/>
          <w:docGrid w:linePitch="299"/>
        </w:sectPr>
      </w:pPr>
    </w:p>
    <w:p w:rsidR="0032073C" w:rsidRDefault="0032073C" w:rsidP="0032073C"/>
    <w:p w:rsidR="0032073C" w:rsidRDefault="0032073C" w:rsidP="0032073C"/>
    <w:p w:rsidR="0032073C" w:rsidRDefault="0032073C" w:rsidP="0032073C"/>
    <w:p w:rsidR="0032073C" w:rsidRDefault="0032073C" w:rsidP="0032073C"/>
    <w:p w:rsidR="0032073C" w:rsidRDefault="0032073C" w:rsidP="0032073C"/>
    <w:p w:rsidR="0032073C" w:rsidRDefault="0032073C" w:rsidP="0032073C"/>
    <w:p w:rsidR="0032073C" w:rsidRDefault="0032073C" w:rsidP="0032073C"/>
    <w:p w:rsidR="0032073C" w:rsidRDefault="0032073C" w:rsidP="0032073C"/>
    <w:p w:rsidR="0032073C" w:rsidRDefault="0032073C" w:rsidP="0032073C"/>
    <w:p w:rsidR="0032073C" w:rsidRDefault="0032073C" w:rsidP="0032073C"/>
    <w:p w:rsidR="0032073C" w:rsidRDefault="0032073C" w:rsidP="0032073C"/>
    <w:p w:rsidR="0032073C" w:rsidRDefault="0032073C" w:rsidP="0032073C"/>
    <w:p w:rsidR="0032073C" w:rsidRDefault="0032073C" w:rsidP="0032073C"/>
    <w:p w:rsidR="0032073C" w:rsidRDefault="0032073C" w:rsidP="0032073C"/>
    <w:p w:rsidR="0032073C" w:rsidRDefault="0032073C" w:rsidP="0032073C"/>
    <w:tbl>
      <w:tblPr>
        <w:tblStyle w:val="TableGrid"/>
        <w:tblW w:w="5000" w:type="pct"/>
        <w:tblLook w:val="04A0" w:firstRow="1" w:lastRow="0" w:firstColumn="1" w:lastColumn="0" w:noHBand="0" w:noVBand="1"/>
      </w:tblPr>
      <w:tblGrid>
        <w:gridCol w:w="2870"/>
        <w:gridCol w:w="6071"/>
      </w:tblGrid>
      <w:tr w:rsidR="0032073C" w:rsidRPr="00970E6D" w:rsidTr="00F16C1A">
        <w:tc>
          <w:tcPr>
            <w:tcW w:w="1605" w:type="pct"/>
          </w:tcPr>
          <w:p w:rsidR="0032073C" w:rsidRPr="00970E6D" w:rsidRDefault="0032073C" w:rsidP="00F16C1A">
            <w:pPr>
              <w:tabs>
                <w:tab w:val="clear" w:pos="567"/>
              </w:tabs>
            </w:pPr>
            <w:r w:rsidRPr="00970E6D">
              <w:t>Paper issued</w:t>
            </w:r>
          </w:p>
        </w:tc>
        <w:tc>
          <w:tcPr>
            <w:tcW w:w="3395" w:type="pct"/>
          </w:tcPr>
          <w:p w:rsidR="0032073C" w:rsidRPr="00970E6D" w:rsidRDefault="005A4042" w:rsidP="00F16C1A">
            <w:pPr>
              <w:tabs>
                <w:tab w:val="clear" w:pos="567"/>
              </w:tabs>
            </w:pPr>
            <w:r w:rsidRPr="005A4042">
              <w:t>20</w:t>
            </w:r>
            <w:r w:rsidR="0032073C" w:rsidRPr="00970E6D">
              <w:t xml:space="preserve"> </w:t>
            </w:r>
            <w:r w:rsidR="0032073C">
              <w:t>April</w:t>
            </w:r>
            <w:r w:rsidR="0032073C" w:rsidRPr="00970E6D">
              <w:t xml:space="preserve"> 20</w:t>
            </w:r>
            <w:r w:rsidR="0032073C">
              <w:t>18</w:t>
            </w:r>
          </w:p>
        </w:tc>
      </w:tr>
      <w:tr w:rsidR="0032073C" w:rsidRPr="00970E6D" w:rsidTr="00F16C1A">
        <w:tc>
          <w:tcPr>
            <w:tcW w:w="1605" w:type="pct"/>
          </w:tcPr>
          <w:p w:rsidR="0032073C" w:rsidRPr="00970E6D" w:rsidRDefault="0032073C" w:rsidP="00F16C1A">
            <w:pPr>
              <w:tabs>
                <w:tab w:val="clear" w:pos="567"/>
              </w:tabs>
            </w:pPr>
            <w:r w:rsidRPr="00970E6D">
              <w:t>Commission contact officer</w:t>
            </w:r>
          </w:p>
        </w:tc>
        <w:tc>
          <w:tcPr>
            <w:tcW w:w="3395" w:type="pct"/>
          </w:tcPr>
          <w:p w:rsidR="0032073C" w:rsidRPr="00970E6D" w:rsidRDefault="0032073C" w:rsidP="00F16C1A">
            <w:pPr>
              <w:tabs>
                <w:tab w:val="clear" w:pos="567"/>
              </w:tabs>
            </w:pPr>
            <w:r>
              <w:t xml:space="preserve">Jeff Evans, 6229 8856, </w:t>
            </w:r>
            <w:hyperlink r:id="rId9" w:history="1">
              <w:r w:rsidRPr="00A7008D">
                <w:rPr>
                  <w:rStyle w:val="Hyperlink"/>
                </w:rPr>
                <w:t>Jeffrey.evans@cgc.gov.au</w:t>
              </w:r>
            </w:hyperlink>
          </w:p>
        </w:tc>
      </w:tr>
      <w:tr w:rsidR="0032073C" w:rsidRPr="00970E6D" w:rsidTr="00F16C1A">
        <w:tc>
          <w:tcPr>
            <w:tcW w:w="1605" w:type="pct"/>
          </w:tcPr>
          <w:p w:rsidR="0032073C" w:rsidRPr="00970E6D" w:rsidRDefault="0032073C" w:rsidP="00F16C1A">
            <w:pPr>
              <w:tabs>
                <w:tab w:val="clear" w:pos="567"/>
              </w:tabs>
            </w:pPr>
            <w:r w:rsidRPr="00970E6D">
              <w:t>Submissions sought by</w:t>
            </w:r>
          </w:p>
        </w:tc>
        <w:tc>
          <w:tcPr>
            <w:tcW w:w="3395" w:type="pct"/>
          </w:tcPr>
          <w:p w:rsidR="005A4042" w:rsidRDefault="005A4042" w:rsidP="00F16C1A">
            <w:pPr>
              <w:tabs>
                <w:tab w:val="clear" w:pos="567"/>
              </w:tabs>
            </w:pPr>
            <w:r>
              <w:t>31 August 2018</w:t>
            </w:r>
            <w:r w:rsidR="0032073C" w:rsidRPr="00970E6D">
              <w:t xml:space="preserve">.  </w:t>
            </w:r>
          </w:p>
          <w:p w:rsidR="0032073C" w:rsidRPr="00970E6D" w:rsidRDefault="0032073C" w:rsidP="00F16C1A">
            <w:pPr>
              <w:tabs>
                <w:tab w:val="clear" w:pos="567"/>
              </w:tabs>
            </w:pPr>
            <w:r w:rsidRPr="00970E6D">
              <w:t xml:space="preserve">Submissions should be emailed in Word format to </w:t>
            </w:r>
            <w:hyperlink r:id="rId10" w:history="1">
              <w:r w:rsidRPr="00970E6D">
                <w:rPr>
                  <w:rStyle w:val="Hyperlink"/>
                </w:rPr>
                <w:t>secretary@cgc.gov.au</w:t>
              </w:r>
            </w:hyperlink>
            <w:r w:rsidRPr="00970E6D">
              <w:t xml:space="preserve"> .</w:t>
            </w:r>
          </w:p>
          <w:p w:rsidR="0032073C" w:rsidRPr="00970E6D" w:rsidRDefault="0032073C" w:rsidP="00F16C1A">
            <w:pPr>
              <w:tabs>
                <w:tab w:val="clear" w:pos="567"/>
              </w:tabs>
            </w:pPr>
            <w:r w:rsidRPr="00970E6D">
              <w:t xml:space="preserve">Submissions of more than </w:t>
            </w:r>
            <w:r>
              <w:t>10</w:t>
            </w:r>
            <w:r w:rsidRPr="00970E6D">
              <w:t xml:space="preserve"> pages in length should include a summary section.</w:t>
            </w:r>
          </w:p>
        </w:tc>
      </w:tr>
      <w:tr w:rsidR="0032073C" w:rsidRPr="00970E6D" w:rsidTr="00F16C1A">
        <w:tblPrEx>
          <w:tblLook w:val="01E0" w:firstRow="1" w:lastRow="1" w:firstColumn="1" w:lastColumn="1" w:noHBand="0" w:noVBand="0"/>
        </w:tblPrEx>
        <w:tc>
          <w:tcPr>
            <w:tcW w:w="1605" w:type="pct"/>
            <w:tcBorders>
              <w:top w:val="single" w:sz="4" w:space="0" w:color="auto"/>
              <w:left w:val="single" w:sz="4" w:space="0" w:color="auto"/>
              <w:bottom w:val="single" w:sz="4" w:space="0" w:color="auto"/>
              <w:right w:val="single" w:sz="4" w:space="0" w:color="auto"/>
            </w:tcBorders>
          </w:tcPr>
          <w:p w:rsidR="0032073C" w:rsidRPr="00970E6D" w:rsidRDefault="0032073C" w:rsidP="00F16C1A">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rsidR="0032073C" w:rsidRPr="005A4042" w:rsidRDefault="0032073C" w:rsidP="00F16C1A">
            <w:pPr>
              <w:tabs>
                <w:tab w:val="clear" w:pos="567"/>
              </w:tabs>
            </w:pPr>
            <w:r w:rsidRPr="005A4042">
              <w:t xml:space="preserve">It is the Commission’s normal practice to make State submissions available on its website under the CC BY licence, allowing free use of content by third parties. </w:t>
            </w:r>
          </w:p>
          <w:p w:rsidR="0032073C" w:rsidRPr="00CF1294" w:rsidRDefault="0032073C" w:rsidP="00F16C1A">
            <w:pPr>
              <w:tabs>
                <w:tab w:val="clear" w:pos="567"/>
              </w:tabs>
            </w:pPr>
            <w:r w:rsidRPr="00CF1294">
              <w:rPr>
                <w:noProof/>
                <w:lang w:eastAsia="en-AU"/>
              </w:rPr>
              <w:drawing>
                <wp:inline distT="0" distB="0" distL="0" distR="0" wp14:anchorId="2F53B85F" wp14:editId="39D4EFC6">
                  <wp:extent cx="828675" cy="295275"/>
                  <wp:effectExtent l="19050" t="0" r="9525" b="0"/>
                  <wp:docPr id="2"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1"/>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32073C" w:rsidRPr="00CF1294" w:rsidRDefault="0032073C" w:rsidP="00F16C1A">
            <w:pPr>
              <w:tabs>
                <w:tab w:val="clear" w:pos="567"/>
              </w:tabs>
            </w:pPr>
            <w:r w:rsidRPr="00CF1294">
              <w:t xml:space="preserve">Further information on the CC BY licence can be found </w:t>
            </w:r>
            <w:r w:rsidRPr="00EC79CF">
              <w:t xml:space="preserve">on the </w:t>
            </w:r>
            <w:hyperlink r:id="rId12" w:history="1">
              <w:r w:rsidRPr="00841145">
                <w:rPr>
                  <w:rStyle w:val="Hyperlink"/>
                </w:rPr>
                <w:t>Creative Commons website</w:t>
              </w:r>
            </w:hyperlink>
            <w:r w:rsidRPr="00EC79CF">
              <w:t xml:space="preserve"> </w:t>
            </w:r>
            <w:r>
              <w:t>(</w:t>
            </w:r>
            <w:r w:rsidRPr="00841145">
              <w:t>http://creativecommons.org</w:t>
            </w:r>
            <w:r>
              <w:t>).</w:t>
            </w:r>
            <w:r w:rsidRPr="00CF1294">
              <w:t xml:space="preserve"> </w:t>
            </w:r>
          </w:p>
          <w:p w:rsidR="0032073C" w:rsidRPr="00970E6D" w:rsidRDefault="0032073C" w:rsidP="00F16C1A">
            <w:pPr>
              <w:tabs>
                <w:tab w:val="clear" w:pos="567"/>
              </w:tabs>
            </w:pPr>
            <w:r w:rsidRPr="00CF1294">
              <w:t>Confidential material contained in submissions must be clearly identified or included in separate attachment/s, and details provided in the covering email. Identified confidential materia</w:t>
            </w:r>
            <w:r w:rsidR="005A4042">
              <w:t>l will not be published on the C</w:t>
            </w:r>
            <w:r w:rsidRPr="00CF1294">
              <w:t>ommission’s website.</w:t>
            </w:r>
          </w:p>
        </w:tc>
      </w:tr>
    </w:tbl>
    <w:p w:rsidR="003163E6" w:rsidRPr="00970E6D" w:rsidRDefault="003163E6" w:rsidP="003163E6">
      <w:pPr>
        <w:tabs>
          <w:tab w:val="clear" w:pos="567"/>
        </w:tabs>
        <w:sectPr w:rsidR="003163E6" w:rsidRPr="00970E6D" w:rsidSect="00F16C1A">
          <w:headerReference w:type="first" r:id="rId13"/>
          <w:footerReference w:type="first" r:id="rId14"/>
          <w:pgSz w:w="11899" w:h="16838" w:code="9"/>
          <w:pgMar w:top="1701" w:right="1474" w:bottom="1701" w:left="1474" w:header="709" w:footer="709" w:gutter="0"/>
          <w:cols w:space="708"/>
          <w:vAlign w:val="bottom"/>
          <w:titlePg/>
          <w:docGrid w:linePitch="299"/>
        </w:sectPr>
      </w:pPr>
    </w:p>
    <w:p w:rsidR="003163E6" w:rsidRPr="00970E6D" w:rsidRDefault="003163E6" w:rsidP="003163E6">
      <w:pPr>
        <w:pStyle w:val="Heading1"/>
      </w:pPr>
      <w:r w:rsidRPr="00970E6D">
        <w:lastRenderedPageBreak/>
        <w:t>C</w:t>
      </w:r>
      <w:bookmarkEnd w:id="1"/>
      <w:bookmarkEnd w:id="2"/>
      <w:bookmarkEnd w:id="3"/>
      <w:bookmarkEnd w:id="4"/>
      <w:bookmarkEnd w:id="5"/>
      <w:bookmarkEnd w:id="6"/>
      <w:r>
        <w:t>ontents</w:t>
      </w:r>
    </w:p>
    <w:p w:rsidR="00C6711D" w:rsidRDefault="00FB5C13">
      <w:pPr>
        <w:pStyle w:val="TOC1"/>
        <w:rPr>
          <w:rFonts w:eastAsiaTheme="minorEastAsia"/>
          <w:b w:val="0"/>
          <w:bCs w:val="0"/>
          <w:caps w:val="0"/>
          <w:noProof/>
          <w:sz w:val="22"/>
          <w:szCs w:val="22"/>
          <w:lang w:eastAsia="en-AU"/>
        </w:rPr>
      </w:pPr>
      <w:r>
        <w:fldChar w:fldCharType="begin"/>
      </w:r>
      <w:r>
        <w:instrText xml:space="preserve"> TOC \f \h \z \u \t "Heading 2,1,Heading 3,1,Heading 4,3" </w:instrText>
      </w:r>
      <w:r>
        <w:fldChar w:fldCharType="separate"/>
      </w:r>
      <w:hyperlink w:anchor="_Toc509399131" w:history="1"/>
    </w:p>
    <w:p w:rsidR="00C6711D" w:rsidRDefault="001133A0">
      <w:pPr>
        <w:pStyle w:val="TOC1"/>
        <w:rPr>
          <w:rFonts w:eastAsiaTheme="minorEastAsia"/>
          <w:b w:val="0"/>
          <w:bCs w:val="0"/>
          <w:caps w:val="0"/>
          <w:noProof/>
          <w:sz w:val="22"/>
          <w:szCs w:val="22"/>
          <w:lang w:eastAsia="en-AU"/>
        </w:rPr>
      </w:pPr>
      <w:hyperlink w:anchor="_Toc509399132" w:history="1">
        <w:r w:rsidR="00C6711D" w:rsidRPr="006319D2">
          <w:rPr>
            <w:rStyle w:val="Hyperlink"/>
            <w:noProof/>
          </w:rPr>
          <w:t>2015 REVIEW APPROACH</w:t>
        </w:r>
        <w:r w:rsidR="00C6711D">
          <w:rPr>
            <w:noProof/>
            <w:webHidden/>
          </w:rPr>
          <w:tab/>
        </w:r>
        <w:r w:rsidR="00C6711D">
          <w:rPr>
            <w:noProof/>
            <w:webHidden/>
          </w:rPr>
          <w:fldChar w:fldCharType="begin"/>
        </w:r>
        <w:r w:rsidR="00C6711D">
          <w:rPr>
            <w:noProof/>
            <w:webHidden/>
          </w:rPr>
          <w:instrText xml:space="preserve"> PAGEREF _Toc509399132 \h </w:instrText>
        </w:r>
        <w:r w:rsidR="00C6711D">
          <w:rPr>
            <w:noProof/>
            <w:webHidden/>
          </w:rPr>
        </w:r>
        <w:r w:rsidR="00C6711D">
          <w:rPr>
            <w:noProof/>
            <w:webHidden/>
          </w:rPr>
          <w:fldChar w:fldCharType="separate"/>
        </w:r>
        <w:r>
          <w:rPr>
            <w:noProof/>
            <w:webHidden/>
          </w:rPr>
          <w:t>1</w:t>
        </w:r>
        <w:r w:rsidR="00C6711D">
          <w:rPr>
            <w:noProof/>
            <w:webHidden/>
          </w:rPr>
          <w:fldChar w:fldCharType="end"/>
        </w:r>
      </w:hyperlink>
    </w:p>
    <w:p w:rsidR="00C6711D" w:rsidRDefault="001133A0">
      <w:pPr>
        <w:pStyle w:val="TOC1"/>
        <w:rPr>
          <w:rFonts w:eastAsiaTheme="minorEastAsia"/>
          <w:b w:val="0"/>
          <w:bCs w:val="0"/>
          <w:caps w:val="0"/>
          <w:noProof/>
          <w:sz w:val="22"/>
          <w:szCs w:val="22"/>
          <w:lang w:eastAsia="en-AU"/>
        </w:rPr>
      </w:pPr>
      <w:hyperlink w:anchor="_Toc509399133" w:history="1">
        <w:r w:rsidR="00C6711D" w:rsidRPr="006319D2">
          <w:rPr>
            <w:rStyle w:val="Hyperlink"/>
            <w:noProof/>
          </w:rPr>
          <w:t>ISSUES AND ANALYSIS</w:t>
        </w:r>
        <w:r w:rsidR="00C6711D">
          <w:rPr>
            <w:noProof/>
            <w:webHidden/>
          </w:rPr>
          <w:tab/>
        </w:r>
        <w:r w:rsidR="00C6711D">
          <w:rPr>
            <w:noProof/>
            <w:webHidden/>
          </w:rPr>
          <w:fldChar w:fldCharType="begin"/>
        </w:r>
        <w:r w:rsidR="00C6711D">
          <w:rPr>
            <w:noProof/>
            <w:webHidden/>
          </w:rPr>
          <w:instrText xml:space="preserve"> PAGEREF _Toc509399133 \h </w:instrText>
        </w:r>
        <w:r w:rsidR="00C6711D">
          <w:rPr>
            <w:noProof/>
            <w:webHidden/>
          </w:rPr>
        </w:r>
        <w:r w:rsidR="00C6711D">
          <w:rPr>
            <w:noProof/>
            <w:webHidden/>
          </w:rPr>
          <w:fldChar w:fldCharType="separate"/>
        </w:r>
        <w:r>
          <w:rPr>
            <w:noProof/>
            <w:webHidden/>
          </w:rPr>
          <w:t>3</w:t>
        </w:r>
        <w:r w:rsidR="00C6711D">
          <w:rPr>
            <w:noProof/>
            <w:webHidden/>
          </w:rPr>
          <w:fldChar w:fldCharType="end"/>
        </w:r>
      </w:hyperlink>
    </w:p>
    <w:p w:rsidR="00C6711D" w:rsidRDefault="001133A0">
      <w:pPr>
        <w:pStyle w:val="TOC3"/>
        <w:rPr>
          <w:rFonts w:eastAsiaTheme="minorEastAsia"/>
          <w:iCs w:val="0"/>
          <w:caps w:val="0"/>
          <w:noProof/>
          <w:sz w:val="22"/>
          <w:lang w:eastAsia="en-AU"/>
        </w:rPr>
      </w:pPr>
      <w:hyperlink w:anchor="_Toc509399134" w:history="1">
        <w:r w:rsidR="00211AA2" w:rsidRPr="006319D2">
          <w:rPr>
            <w:rStyle w:val="Hyperlink"/>
            <w:caps w:val="0"/>
            <w:noProof/>
          </w:rPr>
          <w:t>What are the drivers of gambling?</w:t>
        </w:r>
        <w:r w:rsidR="00C6711D">
          <w:rPr>
            <w:noProof/>
            <w:webHidden/>
          </w:rPr>
          <w:tab/>
        </w:r>
        <w:r w:rsidR="00C6711D">
          <w:rPr>
            <w:noProof/>
            <w:webHidden/>
          </w:rPr>
          <w:fldChar w:fldCharType="begin"/>
        </w:r>
        <w:r w:rsidR="00C6711D">
          <w:rPr>
            <w:noProof/>
            <w:webHidden/>
          </w:rPr>
          <w:instrText xml:space="preserve"> PAGEREF _Toc509399134 \h </w:instrText>
        </w:r>
        <w:r w:rsidR="00C6711D">
          <w:rPr>
            <w:noProof/>
            <w:webHidden/>
          </w:rPr>
        </w:r>
        <w:r w:rsidR="00C6711D">
          <w:rPr>
            <w:noProof/>
            <w:webHidden/>
          </w:rPr>
          <w:fldChar w:fldCharType="separate"/>
        </w:r>
        <w:r>
          <w:rPr>
            <w:noProof/>
            <w:webHidden/>
          </w:rPr>
          <w:t>5</w:t>
        </w:r>
        <w:r w:rsidR="00C6711D">
          <w:rPr>
            <w:noProof/>
            <w:webHidden/>
          </w:rPr>
          <w:fldChar w:fldCharType="end"/>
        </w:r>
      </w:hyperlink>
    </w:p>
    <w:p w:rsidR="00C6711D" w:rsidRDefault="001133A0">
      <w:pPr>
        <w:pStyle w:val="TOC3"/>
        <w:rPr>
          <w:rFonts w:eastAsiaTheme="minorEastAsia"/>
          <w:iCs w:val="0"/>
          <w:caps w:val="0"/>
          <w:noProof/>
          <w:sz w:val="22"/>
          <w:lang w:eastAsia="en-AU"/>
        </w:rPr>
      </w:pPr>
      <w:hyperlink w:anchor="_Toc509399135" w:history="1">
        <w:r w:rsidR="00211AA2">
          <w:rPr>
            <w:rStyle w:val="Hyperlink"/>
            <w:caps w:val="0"/>
            <w:noProof/>
          </w:rPr>
          <w:t>W</w:t>
        </w:r>
        <w:r w:rsidR="00211AA2" w:rsidRPr="006319D2">
          <w:rPr>
            <w:rStyle w:val="Hyperlink"/>
            <w:caps w:val="0"/>
            <w:noProof/>
          </w:rPr>
          <w:t>hat an assessment might look like</w:t>
        </w:r>
        <w:r w:rsidR="00C6711D">
          <w:rPr>
            <w:noProof/>
            <w:webHidden/>
          </w:rPr>
          <w:tab/>
        </w:r>
        <w:r w:rsidR="00C6711D">
          <w:rPr>
            <w:noProof/>
            <w:webHidden/>
          </w:rPr>
          <w:fldChar w:fldCharType="begin"/>
        </w:r>
        <w:r w:rsidR="00C6711D">
          <w:rPr>
            <w:noProof/>
            <w:webHidden/>
          </w:rPr>
          <w:instrText xml:space="preserve"> PAGEREF _Toc509399135 \h </w:instrText>
        </w:r>
        <w:r w:rsidR="00C6711D">
          <w:rPr>
            <w:noProof/>
            <w:webHidden/>
          </w:rPr>
        </w:r>
        <w:r w:rsidR="00C6711D">
          <w:rPr>
            <w:noProof/>
            <w:webHidden/>
          </w:rPr>
          <w:fldChar w:fldCharType="separate"/>
        </w:r>
        <w:r>
          <w:rPr>
            <w:noProof/>
            <w:webHidden/>
          </w:rPr>
          <w:t>9</w:t>
        </w:r>
        <w:r w:rsidR="00C6711D">
          <w:rPr>
            <w:noProof/>
            <w:webHidden/>
          </w:rPr>
          <w:fldChar w:fldCharType="end"/>
        </w:r>
      </w:hyperlink>
    </w:p>
    <w:p w:rsidR="00C6711D" w:rsidRDefault="001133A0">
      <w:pPr>
        <w:pStyle w:val="TOC3"/>
        <w:rPr>
          <w:rFonts w:eastAsiaTheme="minorEastAsia"/>
          <w:iCs w:val="0"/>
          <w:caps w:val="0"/>
          <w:noProof/>
          <w:sz w:val="22"/>
          <w:lang w:eastAsia="en-AU"/>
        </w:rPr>
      </w:pPr>
      <w:hyperlink w:anchor="_Toc509399136" w:history="1">
        <w:r w:rsidR="00211AA2">
          <w:rPr>
            <w:rStyle w:val="Hyperlink"/>
            <w:caps w:val="0"/>
            <w:noProof/>
          </w:rPr>
          <w:t>P</w:t>
        </w:r>
        <w:r w:rsidR="00211AA2" w:rsidRPr="006319D2">
          <w:rPr>
            <w:rStyle w:val="Hyperlink"/>
            <w:caps w:val="0"/>
            <w:noProof/>
          </w:rPr>
          <w:t>roposed assessment structure</w:t>
        </w:r>
        <w:r w:rsidR="00C6711D">
          <w:rPr>
            <w:noProof/>
            <w:webHidden/>
          </w:rPr>
          <w:tab/>
        </w:r>
        <w:r w:rsidR="00C6711D">
          <w:rPr>
            <w:noProof/>
            <w:webHidden/>
          </w:rPr>
          <w:fldChar w:fldCharType="begin"/>
        </w:r>
        <w:r w:rsidR="00C6711D">
          <w:rPr>
            <w:noProof/>
            <w:webHidden/>
          </w:rPr>
          <w:instrText xml:space="preserve"> PAGEREF _Toc509399136 \h </w:instrText>
        </w:r>
        <w:r w:rsidR="00C6711D">
          <w:rPr>
            <w:noProof/>
            <w:webHidden/>
          </w:rPr>
        </w:r>
        <w:r w:rsidR="00C6711D">
          <w:rPr>
            <w:noProof/>
            <w:webHidden/>
          </w:rPr>
          <w:fldChar w:fldCharType="separate"/>
        </w:r>
        <w:r>
          <w:rPr>
            <w:noProof/>
            <w:webHidden/>
          </w:rPr>
          <w:t>10</w:t>
        </w:r>
        <w:r w:rsidR="00C6711D">
          <w:rPr>
            <w:noProof/>
            <w:webHidden/>
          </w:rPr>
          <w:fldChar w:fldCharType="end"/>
        </w:r>
      </w:hyperlink>
    </w:p>
    <w:p w:rsidR="003163E6" w:rsidRDefault="00FB5C13" w:rsidP="003163E6">
      <w:pPr>
        <w:tabs>
          <w:tab w:val="clear" w:pos="567"/>
        </w:tabs>
      </w:pPr>
      <w:r>
        <w:fldChar w:fldCharType="end"/>
      </w:r>
    </w:p>
    <w:p w:rsidR="00FB5C13" w:rsidRPr="00970E6D" w:rsidRDefault="00FB5C13" w:rsidP="003163E6">
      <w:pPr>
        <w:tabs>
          <w:tab w:val="clear" w:pos="567"/>
        </w:tabs>
      </w:pPr>
    </w:p>
    <w:p w:rsidR="003163E6" w:rsidRPr="00970E6D" w:rsidRDefault="003163E6" w:rsidP="003163E6">
      <w:pPr>
        <w:tabs>
          <w:tab w:val="clear" w:pos="567"/>
        </w:tabs>
      </w:pPr>
    </w:p>
    <w:p w:rsidR="003163E6" w:rsidRPr="00970E6D" w:rsidRDefault="003163E6" w:rsidP="003163E6">
      <w:pPr>
        <w:tabs>
          <w:tab w:val="clear" w:pos="567"/>
        </w:tabs>
        <w:sectPr w:rsidR="003163E6" w:rsidRPr="00970E6D" w:rsidSect="00F16C1A">
          <w:headerReference w:type="first" r:id="rId15"/>
          <w:footerReference w:type="first" r:id="rId16"/>
          <w:pgSz w:w="11899" w:h="16838" w:code="9"/>
          <w:pgMar w:top="1701" w:right="1474" w:bottom="1701" w:left="1474" w:header="709" w:footer="709" w:gutter="0"/>
          <w:pgNumType w:fmt="lowerRoman" w:start="1"/>
          <w:cols w:space="708"/>
          <w:titlePg/>
          <w:docGrid w:linePitch="299"/>
        </w:sectPr>
      </w:pPr>
    </w:p>
    <w:p w:rsidR="003163E6" w:rsidRDefault="00FB5C13" w:rsidP="003163E6">
      <w:pPr>
        <w:pStyle w:val="Heading2"/>
      </w:pPr>
      <w:bookmarkStart w:id="16" w:name="_Toc509399131"/>
      <w:r>
        <w:lastRenderedPageBreak/>
        <w:t>Gambling taxes</w:t>
      </w:r>
      <w:bookmarkEnd w:id="16"/>
    </w:p>
    <w:p w:rsidR="002C0EE9" w:rsidRPr="002C0EE9" w:rsidRDefault="002C0EE9" w:rsidP="002C0EE9">
      <w:pPr>
        <w:pStyle w:val="CGCNumberedPara"/>
      </w:pPr>
      <w:r>
        <w:t xml:space="preserve">This paper provides the Commission staff proposals for the assessment of </w:t>
      </w:r>
      <w:r w:rsidR="00A506F4">
        <w:t>revenue from g</w:t>
      </w:r>
      <w:r>
        <w:t>ambling tax</w:t>
      </w:r>
      <w:r w:rsidR="00FD63E9">
        <w:t>es</w:t>
      </w:r>
      <w:r>
        <w:t xml:space="preserve"> for the 2020 Review.</w:t>
      </w:r>
    </w:p>
    <w:p w:rsidR="003163E6" w:rsidRPr="00F83306" w:rsidRDefault="003163E6" w:rsidP="003163E6">
      <w:pPr>
        <w:pStyle w:val="Heading3"/>
      </w:pPr>
      <w:bookmarkStart w:id="17" w:name="_Toc509341580"/>
      <w:bookmarkStart w:id="18" w:name="_Toc509399132"/>
      <w:r w:rsidRPr="00F83306">
        <w:t>2015 REVIEW APPROACH</w:t>
      </w:r>
      <w:bookmarkEnd w:id="17"/>
      <w:bookmarkEnd w:id="18"/>
    </w:p>
    <w:p w:rsidR="008A4575" w:rsidRDefault="003163E6" w:rsidP="003163E6">
      <w:pPr>
        <w:pStyle w:val="CGCNumberedPara"/>
        <w:numPr>
          <w:ilvl w:val="1"/>
          <w:numId w:val="3"/>
        </w:numPr>
      </w:pPr>
      <w:r>
        <w:t>Gambling tax</w:t>
      </w:r>
      <w:r w:rsidR="008A4575">
        <w:t>es</w:t>
      </w:r>
      <w:r>
        <w:t xml:space="preserve"> comprise</w:t>
      </w:r>
      <w:r w:rsidR="008A4575">
        <w:t xml:space="preserve"> revenue from</w:t>
      </w:r>
      <w:r>
        <w:t xml:space="preserve"> a mix of </w:t>
      </w:r>
      <w:r w:rsidR="008A4575">
        <w:t xml:space="preserve">direct taxes on the main forms of gambling, licence fees and other levies and </w:t>
      </w:r>
      <w:r>
        <w:t>contributions</w:t>
      </w:r>
      <w:r w:rsidR="008A4575">
        <w:t xml:space="preserve">. The main forms of gambling </w:t>
      </w:r>
      <w:r w:rsidR="0049116B">
        <w:t xml:space="preserve">taxes </w:t>
      </w:r>
      <w:r w:rsidR="008A4575">
        <w:t>are:</w:t>
      </w:r>
    </w:p>
    <w:p w:rsidR="008A4575" w:rsidRDefault="008A4575" w:rsidP="008A4575">
      <w:pPr>
        <w:pStyle w:val="CGCBulletlist"/>
      </w:pPr>
      <w:r>
        <w:t>racing taxes — the net proceeds from all taxes or commissions on bookmakers and totalisators</w:t>
      </w:r>
    </w:p>
    <w:p w:rsidR="008A4575" w:rsidRDefault="008A4575" w:rsidP="008A4575">
      <w:pPr>
        <w:pStyle w:val="CGCBulletlist"/>
      </w:pPr>
      <w:r>
        <w:t xml:space="preserve">lottery taxes — the net proceeds from State lotteries, taxes on lottery subscriptions (including soccer pools, </w:t>
      </w:r>
      <w:r w:rsidR="001C0963">
        <w:t>K</w:t>
      </w:r>
      <w:r>
        <w:t>eno and minor lotteries) and shares of profits of private operators</w:t>
      </w:r>
    </w:p>
    <w:p w:rsidR="008A4575" w:rsidRDefault="008A4575" w:rsidP="008A4575">
      <w:pPr>
        <w:pStyle w:val="CGCBulletlist"/>
      </w:pPr>
      <w:r>
        <w:t>gaming machine taxes — the net proceeds from taxes and licences associated with poker machines in clubs, pubs and hotels and taxes on Club Keno games operated in clubs, pubs and hotels</w:t>
      </w:r>
    </w:p>
    <w:p w:rsidR="00F2401A" w:rsidRDefault="008A4575" w:rsidP="008A4575">
      <w:pPr>
        <w:pStyle w:val="CGCBulletlist"/>
      </w:pPr>
      <w:proofErr w:type="gramStart"/>
      <w:r>
        <w:t>casino</w:t>
      </w:r>
      <w:proofErr w:type="gramEnd"/>
      <w:r>
        <w:t xml:space="preserve"> taxes — the taxes and levies on the holders of </w:t>
      </w:r>
      <w:r w:rsidR="00F2401A">
        <w:t>casino licences</w:t>
      </w:r>
      <w:r>
        <w:t>, including one</w:t>
      </w:r>
      <w:r>
        <w:noBreakHyphen/>
        <w:t>off premiums/licence fees. It</w:t>
      </w:r>
      <w:r w:rsidR="00F2401A">
        <w:t xml:space="preserve"> also</w:t>
      </w:r>
      <w:r>
        <w:t xml:space="preserve"> includes </w:t>
      </w:r>
      <w:r w:rsidR="00F2401A">
        <w:t xml:space="preserve">net proceeds of </w:t>
      </w:r>
      <w:r>
        <w:t xml:space="preserve">taxes on </w:t>
      </w:r>
      <w:r w:rsidR="00F2401A">
        <w:t>gaming</w:t>
      </w:r>
      <w:r>
        <w:t xml:space="preserve"> machines in casinos</w:t>
      </w:r>
    </w:p>
    <w:p w:rsidR="003163E6" w:rsidRDefault="00F2401A" w:rsidP="008A4575">
      <w:pPr>
        <w:pStyle w:val="CGCBulletlist"/>
      </w:pPr>
      <w:r>
        <w:t>sports betting taxes — the taxes and levies on approved types of local, national or international sporting activities (other than the established forms of horse and greyhound racing), whether on or off</w:t>
      </w:r>
      <w:r w:rsidR="0032032B">
        <w:t xml:space="preserve"> </w:t>
      </w:r>
      <w:r>
        <w:t>course, in person, by telephone or via the internet</w:t>
      </w:r>
      <w:r w:rsidR="003163E6">
        <w:t>.</w:t>
      </w:r>
    </w:p>
    <w:p w:rsidR="003163E6" w:rsidRDefault="00F53CCB" w:rsidP="003163E6">
      <w:pPr>
        <w:pStyle w:val="CGCNumberedPara"/>
        <w:numPr>
          <w:ilvl w:val="1"/>
          <w:numId w:val="3"/>
        </w:numPr>
      </w:pPr>
      <w:r>
        <w:t>Data on the revenue States raise from gambling taxes can be obtained from the A</w:t>
      </w:r>
      <w:r w:rsidR="0049116B">
        <w:t>BS</w:t>
      </w:r>
      <w:r>
        <w:t>’ Taxation revenue publication</w:t>
      </w:r>
      <w:r w:rsidR="0049116B">
        <w:t xml:space="preserve"> (see source to </w:t>
      </w:r>
      <w:r w:rsidR="0049116B">
        <w:fldChar w:fldCharType="begin"/>
      </w:r>
      <w:r w:rsidR="0049116B">
        <w:instrText xml:space="preserve"> REF _Ref465061101 \h </w:instrText>
      </w:r>
      <w:r w:rsidR="0049116B">
        <w:fldChar w:fldCharType="separate"/>
      </w:r>
      <w:r w:rsidR="001133A0" w:rsidRPr="00620EFF">
        <w:t>Table </w:t>
      </w:r>
      <w:r w:rsidR="001133A0">
        <w:rPr>
          <w:noProof/>
        </w:rPr>
        <w:t>1</w:t>
      </w:r>
      <w:r w:rsidR="0049116B">
        <w:fldChar w:fldCharType="end"/>
      </w:r>
      <w:r w:rsidR="0049116B">
        <w:t>)</w:t>
      </w:r>
      <w:r>
        <w:t>.</w:t>
      </w:r>
      <w:r w:rsidR="00E44BD6">
        <w:t xml:space="preserve"> These data are from the same source as the ABS GFS data.</w:t>
      </w:r>
      <w:r>
        <w:t xml:space="preserve"> The latest available data are for 2015-16. </w:t>
      </w:r>
      <w:r w:rsidR="003163E6">
        <w:fldChar w:fldCharType="begin"/>
      </w:r>
      <w:r w:rsidR="003163E6">
        <w:instrText xml:space="preserve"> REF _Ref465061101 \h </w:instrText>
      </w:r>
      <w:r w:rsidR="003163E6">
        <w:fldChar w:fldCharType="separate"/>
      </w:r>
      <w:r w:rsidR="001133A0" w:rsidRPr="00620EFF">
        <w:t>Table </w:t>
      </w:r>
      <w:r w:rsidR="001133A0">
        <w:rPr>
          <w:noProof/>
        </w:rPr>
        <w:t>1</w:t>
      </w:r>
      <w:r w:rsidR="003163E6">
        <w:fldChar w:fldCharType="end"/>
      </w:r>
      <w:r w:rsidR="003163E6">
        <w:t xml:space="preserve"> shows </w:t>
      </w:r>
      <w:r w:rsidR="00F2401A">
        <w:t xml:space="preserve">revenue from </w:t>
      </w:r>
      <w:r w:rsidR="003163E6">
        <w:t>gambling tax</w:t>
      </w:r>
      <w:r w:rsidR="00F2401A">
        <w:t>es</w:t>
      </w:r>
      <w:r w:rsidR="003163E6">
        <w:t xml:space="preserve"> to</w:t>
      </w:r>
      <w:r w:rsidR="003163E6" w:rsidRPr="0034019E">
        <w:t>talle</w:t>
      </w:r>
      <w:r w:rsidR="003163E6" w:rsidRPr="00620EFF">
        <w:t xml:space="preserve">d </w:t>
      </w:r>
      <w:r w:rsidR="004D073B">
        <w:t xml:space="preserve">almost </w:t>
      </w:r>
      <w:r w:rsidR="003163E6" w:rsidRPr="00620EFF">
        <w:t>$</w:t>
      </w:r>
      <w:r>
        <w:t>6.1 </w:t>
      </w:r>
      <w:r w:rsidR="003163E6" w:rsidRPr="00620EFF">
        <w:t xml:space="preserve">billion in </w:t>
      </w:r>
      <w:r>
        <w:t>that year</w:t>
      </w:r>
      <w:r w:rsidR="003163E6" w:rsidRPr="00620EFF">
        <w:t>.</w:t>
      </w:r>
    </w:p>
    <w:p w:rsidR="003163E6" w:rsidRDefault="003163E6" w:rsidP="003163E6">
      <w:pPr>
        <w:pStyle w:val="CGCTableHeading"/>
      </w:pPr>
      <w:bookmarkStart w:id="19" w:name="_Ref465061101"/>
      <w:r w:rsidRPr="00620EFF">
        <w:t>Table </w:t>
      </w:r>
      <w:r w:rsidR="001133A0">
        <w:fldChar w:fldCharType="begin"/>
      </w:r>
      <w:r w:rsidR="001133A0">
        <w:instrText xml:space="preserve"> SEQ Table \* ARABIC </w:instrText>
      </w:r>
      <w:r w:rsidR="001133A0">
        <w:fldChar w:fldCharType="separate"/>
      </w:r>
      <w:r w:rsidR="001133A0">
        <w:rPr>
          <w:noProof/>
        </w:rPr>
        <w:t>1</w:t>
      </w:r>
      <w:r w:rsidR="001133A0">
        <w:rPr>
          <w:noProof/>
        </w:rPr>
        <w:fldChar w:fldCharType="end"/>
      </w:r>
      <w:bookmarkEnd w:id="19"/>
      <w:r w:rsidRPr="00620EFF">
        <w:tab/>
        <w:t>Gambling taxation, 201</w:t>
      </w:r>
      <w:r w:rsidR="00F53CCB">
        <w:t>5</w:t>
      </w:r>
      <w:r w:rsidR="00F53CCB">
        <w:noBreakHyphen/>
        <w:t>1</w:t>
      </w:r>
      <w:r w:rsidRPr="00620EFF">
        <w:t>6</w:t>
      </w:r>
    </w:p>
    <w:tbl>
      <w:tblPr>
        <w:tblW w:w="5000" w:type="pct"/>
        <w:tblCellMar>
          <w:left w:w="85" w:type="dxa"/>
          <w:right w:w="85" w:type="dxa"/>
        </w:tblCellMar>
        <w:tblLook w:val="0000" w:firstRow="0" w:lastRow="0" w:firstColumn="0" w:lastColumn="0" w:noHBand="0" w:noVBand="0"/>
      </w:tblPr>
      <w:tblGrid>
        <w:gridCol w:w="1755"/>
        <w:gridCol w:w="801"/>
        <w:gridCol w:w="800"/>
        <w:gridCol w:w="800"/>
        <w:gridCol w:w="800"/>
        <w:gridCol w:w="800"/>
        <w:gridCol w:w="800"/>
        <w:gridCol w:w="800"/>
        <w:gridCol w:w="800"/>
        <w:gridCol w:w="795"/>
      </w:tblGrid>
      <w:tr w:rsidR="003163E6" w:rsidRPr="00FE3F73" w:rsidTr="00F16C1A">
        <w:tc>
          <w:tcPr>
            <w:tcW w:w="980" w:type="pct"/>
            <w:tcBorders>
              <w:top w:val="single" w:sz="6" w:space="0" w:color="auto"/>
              <w:bottom w:val="single" w:sz="6" w:space="0" w:color="auto"/>
            </w:tcBorders>
            <w:vAlign w:val="bottom"/>
          </w:tcPr>
          <w:p w:rsidR="003163E6" w:rsidRPr="00FE3F73" w:rsidRDefault="003163E6" w:rsidP="00F16C1A">
            <w:pPr>
              <w:pStyle w:val="CGCTableStub"/>
              <w:spacing w:line="240" w:lineRule="auto"/>
              <w:ind w:left="142" w:hanging="142"/>
              <w:rPr>
                <w:rFonts w:cstheme="minorHAnsi"/>
              </w:rPr>
            </w:pPr>
          </w:p>
        </w:tc>
        <w:tc>
          <w:tcPr>
            <w:tcW w:w="447" w:type="pct"/>
            <w:tcBorders>
              <w:top w:val="single" w:sz="6" w:space="0" w:color="auto"/>
              <w:bottom w:val="single" w:sz="6" w:space="0" w:color="auto"/>
            </w:tcBorders>
            <w:vAlign w:val="bottom"/>
          </w:tcPr>
          <w:p w:rsidR="003163E6" w:rsidRPr="00FE3F73" w:rsidRDefault="003163E6" w:rsidP="00F16C1A">
            <w:pPr>
              <w:pStyle w:val="TableColHeadings"/>
              <w:rPr>
                <w:rFonts w:cstheme="minorHAnsi"/>
              </w:rPr>
            </w:pPr>
            <w:r w:rsidRPr="00FE3F73">
              <w:rPr>
                <w:rFonts w:cstheme="minorHAnsi"/>
              </w:rPr>
              <w:t>NSW</w:t>
            </w:r>
          </w:p>
        </w:tc>
        <w:tc>
          <w:tcPr>
            <w:tcW w:w="447" w:type="pct"/>
            <w:tcBorders>
              <w:top w:val="single" w:sz="6" w:space="0" w:color="auto"/>
              <w:bottom w:val="single" w:sz="6" w:space="0" w:color="auto"/>
            </w:tcBorders>
            <w:vAlign w:val="bottom"/>
          </w:tcPr>
          <w:p w:rsidR="003163E6" w:rsidRPr="00FE3F73" w:rsidRDefault="003163E6" w:rsidP="00F16C1A">
            <w:pPr>
              <w:pStyle w:val="TableColHeadings"/>
              <w:rPr>
                <w:rFonts w:cstheme="minorHAnsi"/>
              </w:rPr>
            </w:pPr>
            <w:r w:rsidRPr="00FE3F73">
              <w:rPr>
                <w:rFonts w:cstheme="minorHAnsi"/>
              </w:rPr>
              <w:t>Vic</w:t>
            </w:r>
          </w:p>
        </w:tc>
        <w:tc>
          <w:tcPr>
            <w:tcW w:w="447" w:type="pct"/>
            <w:tcBorders>
              <w:top w:val="single" w:sz="6" w:space="0" w:color="auto"/>
              <w:bottom w:val="single" w:sz="6" w:space="0" w:color="auto"/>
            </w:tcBorders>
            <w:vAlign w:val="bottom"/>
          </w:tcPr>
          <w:p w:rsidR="003163E6" w:rsidRPr="00FE3F73" w:rsidRDefault="003163E6" w:rsidP="00F16C1A">
            <w:pPr>
              <w:pStyle w:val="TableColHeadings"/>
              <w:rPr>
                <w:rFonts w:cstheme="minorHAnsi"/>
              </w:rPr>
            </w:pPr>
            <w:r w:rsidRPr="00FE3F73">
              <w:rPr>
                <w:rFonts w:cstheme="minorHAnsi"/>
              </w:rPr>
              <w:t>Qld</w:t>
            </w:r>
          </w:p>
        </w:tc>
        <w:tc>
          <w:tcPr>
            <w:tcW w:w="447" w:type="pct"/>
            <w:tcBorders>
              <w:top w:val="single" w:sz="6" w:space="0" w:color="auto"/>
              <w:bottom w:val="single" w:sz="6" w:space="0" w:color="auto"/>
            </w:tcBorders>
            <w:vAlign w:val="bottom"/>
          </w:tcPr>
          <w:p w:rsidR="003163E6" w:rsidRPr="00FE3F73" w:rsidRDefault="003163E6" w:rsidP="00F16C1A">
            <w:pPr>
              <w:pStyle w:val="TableColHeadings"/>
              <w:rPr>
                <w:rFonts w:cstheme="minorHAnsi"/>
              </w:rPr>
            </w:pPr>
            <w:r w:rsidRPr="00FE3F73">
              <w:rPr>
                <w:rFonts w:cstheme="minorHAnsi"/>
              </w:rPr>
              <w:t>WA</w:t>
            </w:r>
          </w:p>
        </w:tc>
        <w:tc>
          <w:tcPr>
            <w:tcW w:w="447" w:type="pct"/>
            <w:tcBorders>
              <w:top w:val="single" w:sz="6" w:space="0" w:color="auto"/>
              <w:bottom w:val="single" w:sz="6" w:space="0" w:color="auto"/>
            </w:tcBorders>
            <w:vAlign w:val="bottom"/>
          </w:tcPr>
          <w:p w:rsidR="003163E6" w:rsidRPr="00FE3F73" w:rsidRDefault="003163E6" w:rsidP="00F16C1A">
            <w:pPr>
              <w:pStyle w:val="TableColHeadings"/>
              <w:rPr>
                <w:rFonts w:cstheme="minorHAnsi"/>
              </w:rPr>
            </w:pPr>
            <w:r w:rsidRPr="00FE3F73">
              <w:rPr>
                <w:rFonts w:cstheme="minorHAnsi"/>
              </w:rPr>
              <w:t>SA</w:t>
            </w:r>
          </w:p>
        </w:tc>
        <w:tc>
          <w:tcPr>
            <w:tcW w:w="447" w:type="pct"/>
            <w:tcBorders>
              <w:top w:val="single" w:sz="6" w:space="0" w:color="auto"/>
              <w:bottom w:val="single" w:sz="6" w:space="0" w:color="auto"/>
            </w:tcBorders>
            <w:vAlign w:val="bottom"/>
          </w:tcPr>
          <w:p w:rsidR="003163E6" w:rsidRPr="00FE3F73" w:rsidRDefault="003163E6" w:rsidP="00F16C1A">
            <w:pPr>
              <w:pStyle w:val="TableColHeadings"/>
              <w:rPr>
                <w:rFonts w:cstheme="minorHAnsi"/>
              </w:rPr>
            </w:pPr>
            <w:proofErr w:type="spellStart"/>
            <w:r w:rsidRPr="00FE3F73">
              <w:rPr>
                <w:rFonts w:cstheme="minorHAnsi"/>
              </w:rPr>
              <w:t>Tas</w:t>
            </w:r>
            <w:proofErr w:type="spellEnd"/>
          </w:p>
        </w:tc>
        <w:tc>
          <w:tcPr>
            <w:tcW w:w="447" w:type="pct"/>
            <w:tcBorders>
              <w:top w:val="single" w:sz="6" w:space="0" w:color="auto"/>
              <w:bottom w:val="single" w:sz="6" w:space="0" w:color="auto"/>
            </w:tcBorders>
            <w:vAlign w:val="bottom"/>
          </w:tcPr>
          <w:p w:rsidR="003163E6" w:rsidRPr="00FE3F73" w:rsidRDefault="003163E6" w:rsidP="00F16C1A">
            <w:pPr>
              <w:pStyle w:val="TableColHeadings"/>
              <w:rPr>
                <w:rFonts w:cstheme="minorHAnsi"/>
              </w:rPr>
            </w:pPr>
            <w:r w:rsidRPr="00FE3F73">
              <w:rPr>
                <w:rFonts w:cstheme="minorHAnsi"/>
              </w:rPr>
              <w:t>ACT</w:t>
            </w:r>
          </w:p>
        </w:tc>
        <w:tc>
          <w:tcPr>
            <w:tcW w:w="447" w:type="pct"/>
            <w:tcBorders>
              <w:top w:val="single" w:sz="6" w:space="0" w:color="auto"/>
              <w:bottom w:val="single" w:sz="6" w:space="0" w:color="auto"/>
            </w:tcBorders>
            <w:vAlign w:val="bottom"/>
          </w:tcPr>
          <w:p w:rsidR="003163E6" w:rsidRPr="00FE3F73" w:rsidRDefault="003163E6" w:rsidP="00F16C1A">
            <w:pPr>
              <w:pStyle w:val="TableColHeadings"/>
              <w:rPr>
                <w:rFonts w:cstheme="minorHAnsi"/>
              </w:rPr>
            </w:pPr>
            <w:r w:rsidRPr="00FE3F73">
              <w:rPr>
                <w:rFonts w:cstheme="minorHAnsi"/>
              </w:rPr>
              <w:t>NT</w:t>
            </w:r>
          </w:p>
        </w:tc>
        <w:tc>
          <w:tcPr>
            <w:tcW w:w="445" w:type="pct"/>
            <w:tcBorders>
              <w:top w:val="single" w:sz="6" w:space="0" w:color="auto"/>
              <w:bottom w:val="single" w:sz="6" w:space="0" w:color="auto"/>
            </w:tcBorders>
            <w:vAlign w:val="bottom"/>
          </w:tcPr>
          <w:p w:rsidR="003163E6" w:rsidRPr="00FE3F73" w:rsidRDefault="003163E6" w:rsidP="00F16C1A">
            <w:pPr>
              <w:pStyle w:val="TableColHeadings"/>
              <w:rPr>
                <w:rFonts w:cstheme="minorHAnsi"/>
              </w:rPr>
            </w:pPr>
            <w:r>
              <w:rPr>
                <w:rFonts w:cstheme="minorHAnsi"/>
              </w:rPr>
              <w:t>Total</w:t>
            </w:r>
          </w:p>
        </w:tc>
      </w:tr>
      <w:tr w:rsidR="003163E6" w:rsidRPr="00FE3F73" w:rsidTr="00F16C1A">
        <w:tc>
          <w:tcPr>
            <w:tcW w:w="980" w:type="pct"/>
            <w:tcMar>
              <w:top w:w="0" w:type="dxa"/>
              <w:bottom w:w="0" w:type="dxa"/>
            </w:tcMar>
            <w:vAlign w:val="bottom"/>
          </w:tcPr>
          <w:p w:rsidR="003163E6" w:rsidRPr="00FE3F73" w:rsidRDefault="003163E6" w:rsidP="00F16C1A">
            <w:pPr>
              <w:pStyle w:val="CGCTableStub"/>
              <w:spacing w:before="0" w:after="0" w:line="240" w:lineRule="auto"/>
              <w:jc w:val="right"/>
              <w:rPr>
                <w:rFonts w:cstheme="minorHAnsi"/>
              </w:rPr>
            </w:pPr>
          </w:p>
        </w:tc>
        <w:tc>
          <w:tcPr>
            <w:tcW w:w="447" w:type="pct"/>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$m</w:t>
            </w:r>
          </w:p>
        </w:tc>
        <w:tc>
          <w:tcPr>
            <w:tcW w:w="447" w:type="pct"/>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$m</w:t>
            </w:r>
          </w:p>
        </w:tc>
        <w:tc>
          <w:tcPr>
            <w:tcW w:w="447" w:type="pct"/>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$m</w:t>
            </w:r>
          </w:p>
        </w:tc>
        <w:tc>
          <w:tcPr>
            <w:tcW w:w="447" w:type="pct"/>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$m</w:t>
            </w:r>
          </w:p>
        </w:tc>
        <w:tc>
          <w:tcPr>
            <w:tcW w:w="447" w:type="pct"/>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$m</w:t>
            </w:r>
          </w:p>
        </w:tc>
        <w:tc>
          <w:tcPr>
            <w:tcW w:w="447" w:type="pct"/>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$m</w:t>
            </w:r>
          </w:p>
        </w:tc>
        <w:tc>
          <w:tcPr>
            <w:tcW w:w="447" w:type="pct"/>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$m</w:t>
            </w:r>
          </w:p>
        </w:tc>
        <w:tc>
          <w:tcPr>
            <w:tcW w:w="447" w:type="pct"/>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$m</w:t>
            </w:r>
          </w:p>
        </w:tc>
        <w:tc>
          <w:tcPr>
            <w:tcW w:w="445" w:type="pct"/>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$m</w:t>
            </w:r>
          </w:p>
        </w:tc>
      </w:tr>
      <w:tr w:rsidR="003163E6" w:rsidRPr="00FE3F73" w:rsidTr="00F16C1A">
        <w:tc>
          <w:tcPr>
            <w:tcW w:w="980" w:type="pct"/>
            <w:tcBorders>
              <w:bottom w:val="single" w:sz="4" w:space="0" w:color="auto"/>
            </w:tcBorders>
            <w:vAlign w:val="bottom"/>
          </w:tcPr>
          <w:p w:rsidR="003163E6" w:rsidRPr="00FE3F73" w:rsidRDefault="003163E6" w:rsidP="00F16C1A">
            <w:pPr>
              <w:pStyle w:val="CGCTableStub"/>
              <w:tabs>
                <w:tab w:val="left" w:pos="142"/>
                <w:tab w:val="left" w:pos="425"/>
                <w:tab w:val="left" w:pos="709"/>
                <w:tab w:val="left" w:pos="851"/>
              </w:tabs>
              <w:ind w:left="142" w:hanging="142"/>
              <w:rPr>
                <w:rFonts w:cstheme="minorHAnsi"/>
              </w:rPr>
            </w:pPr>
            <w:r>
              <w:rPr>
                <w:rFonts w:cstheme="minorHAnsi"/>
              </w:rPr>
              <w:t>Gambling taxation</w:t>
            </w:r>
          </w:p>
        </w:tc>
        <w:tc>
          <w:tcPr>
            <w:tcW w:w="447" w:type="pct"/>
            <w:tcBorders>
              <w:bottom w:val="single" w:sz="4" w:space="0" w:color="auto"/>
            </w:tcBorders>
            <w:vAlign w:val="bottom"/>
          </w:tcPr>
          <w:p w:rsidR="003163E6" w:rsidRPr="0034019E" w:rsidRDefault="00F53CCB" w:rsidP="00F16C1A">
            <w:pPr>
              <w:pStyle w:val="TableRowNormal"/>
              <w:ind w:left="0" w:firstLine="0"/>
              <w:rPr>
                <w:rFonts w:cstheme="minorHAnsi"/>
              </w:rPr>
            </w:pPr>
            <w:r>
              <w:rPr>
                <w:rFonts w:cstheme="minorHAnsi"/>
              </w:rPr>
              <w:t>2 250</w:t>
            </w:r>
          </w:p>
        </w:tc>
        <w:tc>
          <w:tcPr>
            <w:tcW w:w="447" w:type="pct"/>
            <w:tcBorders>
              <w:bottom w:val="single" w:sz="4" w:space="0" w:color="auto"/>
            </w:tcBorders>
            <w:vAlign w:val="bottom"/>
          </w:tcPr>
          <w:p w:rsidR="003163E6" w:rsidRPr="0034019E" w:rsidRDefault="00F53CCB" w:rsidP="00F16C1A">
            <w:pPr>
              <w:pStyle w:val="TableRowNormal"/>
              <w:ind w:left="0" w:firstLine="0"/>
              <w:rPr>
                <w:rFonts w:cstheme="minorHAnsi"/>
              </w:rPr>
            </w:pPr>
            <w:r>
              <w:rPr>
                <w:rFonts w:cstheme="minorHAnsi"/>
              </w:rPr>
              <w:t>1 834</w:t>
            </w:r>
          </w:p>
        </w:tc>
        <w:tc>
          <w:tcPr>
            <w:tcW w:w="447" w:type="pct"/>
            <w:tcBorders>
              <w:bottom w:val="single" w:sz="4" w:space="0" w:color="auto"/>
            </w:tcBorders>
            <w:vAlign w:val="bottom"/>
          </w:tcPr>
          <w:p w:rsidR="003163E6" w:rsidRPr="0034019E" w:rsidRDefault="00F53CCB" w:rsidP="00F16C1A">
            <w:pPr>
              <w:pStyle w:val="TableRowNormal"/>
              <w:ind w:left="0" w:firstLine="0"/>
              <w:rPr>
                <w:rFonts w:cstheme="minorHAnsi"/>
              </w:rPr>
            </w:pPr>
            <w:r>
              <w:rPr>
                <w:rFonts w:cstheme="minorHAnsi"/>
              </w:rPr>
              <w:t>1 136</w:t>
            </w:r>
          </w:p>
        </w:tc>
        <w:tc>
          <w:tcPr>
            <w:tcW w:w="447" w:type="pct"/>
            <w:tcBorders>
              <w:bottom w:val="single" w:sz="4" w:space="0" w:color="auto"/>
            </w:tcBorders>
            <w:vAlign w:val="bottom"/>
          </w:tcPr>
          <w:p w:rsidR="003163E6" w:rsidRPr="0034019E" w:rsidRDefault="00F53CCB" w:rsidP="00F16C1A">
            <w:pPr>
              <w:pStyle w:val="TableRowNormal"/>
              <w:ind w:left="0" w:firstLine="0"/>
              <w:rPr>
                <w:rFonts w:cstheme="minorHAnsi"/>
              </w:rPr>
            </w:pPr>
            <w:r>
              <w:rPr>
                <w:rFonts w:cstheme="minorHAnsi"/>
              </w:rPr>
              <w:t>226</w:t>
            </w:r>
          </w:p>
        </w:tc>
        <w:tc>
          <w:tcPr>
            <w:tcW w:w="447" w:type="pct"/>
            <w:tcBorders>
              <w:bottom w:val="single" w:sz="4" w:space="0" w:color="auto"/>
            </w:tcBorders>
            <w:vAlign w:val="bottom"/>
          </w:tcPr>
          <w:p w:rsidR="003163E6" w:rsidRPr="0034019E" w:rsidRDefault="00F53CCB" w:rsidP="00F16C1A">
            <w:pPr>
              <w:pStyle w:val="TableRowNormal"/>
              <w:ind w:left="0" w:firstLine="0"/>
              <w:rPr>
                <w:rFonts w:cstheme="minorHAnsi"/>
              </w:rPr>
            </w:pPr>
            <w:r>
              <w:rPr>
                <w:rFonts w:cstheme="minorHAnsi"/>
              </w:rPr>
              <w:t>384</w:t>
            </w:r>
          </w:p>
        </w:tc>
        <w:tc>
          <w:tcPr>
            <w:tcW w:w="447" w:type="pct"/>
            <w:tcBorders>
              <w:bottom w:val="single" w:sz="4" w:space="0" w:color="auto"/>
            </w:tcBorders>
            <w:vAlign w:val="bottom"/>
          </w:tcPr>
          <w:p w:rsidR="003163E6" w:rsidRPr="0034019E" w:rsidRDefault="00F53CCB" w:rsidP="00F16C1A">
            <w:pPr>
              <w:pStyle w:val="TableRowNormal"/>
              <w:ind w:left="0" w:firstLine="0"/>
              <w:rPr>
                <w:rFonts w:cstheme="minorHAnsi"/>
              </w:rPr>
            </w:pPr>
            <w:r>
              <w:rPr>
                <w:rFonts w:cstheme="minorHAnsi"/>
              </w:rPr>
              <w:t>97</w:t>
            </w:r>
          </w:p>
        </w:tc>
        <w:tc>
          <w:tcPr>
            <w:tcW w:w="447" w:type="pct"/>
            <w:tcBorders>
              <w:bottom w:val="single" w:sz="4" w:space="0" w:color="auto"/>
            </w:tcBorders>
            <w:vAlign w:val="bottom"/>
          </w:tcPr>
          <w:p w:rsidR="003163E6" w:rsidRPr="0034019E" w:rsidRDefault="00F53CCB" w:rsidP="00F16C1A">
            <w:pPr>
              <w:pStyle w:val="TableRowNormal"/>
              <w:ind w:left="0" w:firstLine="0"/>
              <w:rPr>
                <w:rFonts w:cstheme="minorHAnsi"/>
              </w:rPr>
            </w:pPr>
            <w:r>
              <w:rPr>
                <w:rFonts w:cstheme="minorHAnsi"/>
              </w:rPr>
              <w:t>51</w:t>
            </w:r>
          </w:p>
        </w:tc>
        <w:tc>
          <w:tcPr>
            <w:tcW w:w="447" w:type="pct"/>
            <w:tcBorders>
              <w:bottom w:val="single" w:sz="4" w:space="0" w:color="auto"/>
            </w:tcBorders>
            <w:vAlign w:val="bottom"/>
          </w:tcPr>
          <w:p w:rsidR="003163E6" w:rsidRPr="0034019E" w:rsidRDefault="00F53CCB" w:rsidP="00F16C1A">
            <w:pPr>
              <w:pStyle w:val="TableRowNormal"/>
              <w:ind w:left="0" w:firstLine="0"/>
              <w:rPr>
                <w:rFonts w:cstheme="minorHAnsi"/>
              </w:rPr>
            </w:pPr>
            <w:r>
              <w:rPr>
                <w:rFonts w:cstheme="minorHAnsi"/>
              </w:rPr>
              <w:t>73</w:t>
            </w:r>
          </w:p>
        </w:tc>
        <w:tc>
          <w:tcPr>
            <w:tcW w:w="445" w:type="pct"/>
            <w:tcBorders>
              <w:bottom w:val="single" w:sz="4" w:space="0" w:color="auto"/>
            </w:tcBorders>
            <w:vAlign w:val="bottom"/>
          </w:tcPr>
          <w:p w:rsidR="003163E6" w:rsidRPr="0034019E" w:rsidRDefault="00F53CCB" w:rsidP="00F16C1A">
            <w:pPr>
              <w:pStyle w:val="TableRowNormal"/>
              <w:ind w:left="0" w:firstLine="0"/>
              <w:rPr>
                <w:rFonts w:cstheme="minorHAnsi"/>
              </w:rPr>
            </w:pPr>
            <w:r>
              <w:rPr>
                <w:rFonts w:cstheme="minorHAnsi"/>
              </w:rPr>
              <w:t>6 051</w:t>
            </w:r>
          </w:p>
        </w:tc>
      </w:tr>
    </w:tbl>
    <w:p w:rsidR="003163E6" w:rsidRDefault="003163E6" w:rsidP="003163E6">
      <w:pPr>
        <w:pStyle w:val="CGCTableFootnote"/>
      </w:pPr>
      <w:r>
        <w:t>Source:</w:t>
      </w:r>
      <w:r>
        <w:tab/>
      </w:r>
      <w:r w:rsidR="00F53CCB">
        <w:t>ABS, Taxation revenue, Australia, 2015-16, Cat</w:t>
      </w:r>
      <w:r w:rsidR="0049116B">
        <w:t>.</w:t>
      </w:r>
      <w:r w:rsidR="00F53CCB">
        <w:t xml:space="preserve"> No</w:t>
      </w:r>
      <w:r w:rsidR="0049116B">
        <w:t>.</w:t>
      </w:r>
      <w:r w:rsidR="00F53CCB">
        <w:t xml:space="preserve"> 5506.0</w:t>
      </w:r>
      <w:r>
        <w:t>.</w:t>
      </w:r>
    </w:p>
    <w:p w:rsidR="003163E6" w:rsidRDefault="003163E6" w:rsidP="003163E6">
      <w:pPr>
        <w:pStyle w:val="CGCNumberedPara"/>
        <w:numPr>
          <w:ilvl w:val="1"/>
          <w:numId w:val="3"/>
        </w:numPr>
      </w:pPr>
      <w:r>
        <w:lastRenderedPageBreak/>
        <w:t>If separately assessed, gambling t</w:t>
      </w:r>
      <w:r w:rsidRPr="00620EFF">
        <w:t>ax</w:t>
      </w:r>
      <w:r w:rsidR="00F2401A">
        <w:t>es</w:t>
      </w:r>
      <w:r w:rsidRPr="00620EFF">
        <w:t xml:space="preserve"> would be the second smallest revenue category.</w:t>
      </w:r>
      <w:r w:rsidR="00F2401A">
        <w:rPr>
          <w:rStyle w:val="FootnoteReference"/>
        </w:rPr>
        <w:footnoteReference w:id="1"/>
      </w:r>
      <w:r w:rsidRPr="00620EFF">
        <w:t xml:space="preserve"> </w:t>
      </w:r>
      <w:r>
        <w:fldChar w:fldCharType="begin"/>
      </w:r>
      <w:r>
        <w:instrText xml:space="preserve"> REF _Ref451853837 \h </w:instrText>
      </w:r>
      <w:r>
        <w:fldChar w:fldCharType="separate"/>
      </w:r>
      <w:r w:rsidR="001133A0">
        <w:t>Table </w:t>
      </w:r>
      <w:r w:rsidR="001133A0">
        <w:rPr>
          <w:noProof/>
        </w:rPr>
        <w:t>2</w:t>
      </w:r>
      <w:r>
        <w:fldChar w:fldCharType="end"/>
      </w:r>
      <w:r>
        <w:t xml:space="preserve"> shows </w:t>
      </w:r>
      <w:r w:rsidR="003F62E3">
        <w:t>revenue from g</w:t>
      </w:r>
      <w:r>
        <w:t>ambling tax</w:t>
      </w:r>
      <w:r w:rsidR="003F62E3">
        <w:t>es</w:t>
      </w:r>
      <w:r>
        <w:t xml:space="preserve"> compri</w:t>
      </w:r>
      <w:r w:rsidRPr="00620EFF">
        <w:t>sed 4.</w:t>
      </w:r>
      <w:r w:rsidR="00F53CCB">
        <w:t>7</w:t>
      </w:r>
      <w:r w:rsidRPr="00620EFF">
        <w:t>% of States’ own source revenues in 201</w:t>
      </w:r>
      <w:r w:rsidR="00F53CCB">
        <w:t>5-16</w:t>
      </w:r>
      <w:r>
        <w:t>.</w:t>
      </w:r>
      <w:r w:rsidR="003F62E3">
        <w:t xml:space="preserve"> However, the proportion varie</w:t>
      </w:r>
      <w:r w:rsidR="00E44BD6">
        <w:t>s</w:t>
      </w:r>
      <w:r w:rsidR="003F62E3">
        <w:t xml:space="preserve"> significantly </w:t>
      </w:r>
      <w:r w:rsidR="00F53CCB">
        <w:t>by</w:t>
      </w:r>
      <w:r w:rsidR="003F62E3">
        <w:t xml:space="preserve"> State. </w:t>
      </w:r>
      <w:r w:rsidR="00F53CCB">
        <w:t xml:space="preserve">Western Australia’s low </w:t>
      </w:r>
      <w:r w:rsidR="00586048">
        <w:t>revenue from</w:t>
      </w:r>
      <w:r w:rsidR="00F53CCB">
        <w:t xml:space="preserve"> poker machines and the </w:t>
      </w:r>
      <w:proofErr w:type="spellStart"/>
      <w:r w:rsidR="00F53CCB">
        <w:t>ACT’s</w:t>
      </w:r>
      <w:proofErr w:type="spellEnd"/>
      <w:r w:rsidR="00F53CCB">
        <w:t xml:space="preserve"> lower revenue from all forms of gambling is evident from</w:t>
      </w:r>
      <w:r w:rsidR="00F53CCB" w:rsidRPr="00687201">
        <w:t xml:space="preserve"> </w:t>
      </w:r>
      <w:r w:rsidR="003F62E3" w:rsidRPr="00687201">
        <w:fldChar w:fldCharType="begin"/>
      </w:r>
      <w:r w:rsidR="003F62E3" w:rsidRPr="00687201">
        <w:instrText xml:space="preserve"> REF _Ref508974503 \h </w:instrText>
      </w:r>
      <w:r w:rsidR="003F62E3">
        <w:instrText xml:space="preserve"> \* MERGEFORMAT </w:instrText>
      </w:r>
      <w:r w:rsidR="003F62E3" w:rsidRPr="00687201">
        <w:fldChar w:fldCharType="separate"/>
      </w:r>
      <w:r w:rsidR="001133A0">
        <w:t>Table 3</w:t>
      </w:r>
      <w:r w:rsidR="003F62E3" w:rsidRPr="00687201">
        <w:fldChar w:fldCharType="end"/>
      </w:r>
      <w:r w:rsidR="003F62E3">
        <w:t>.</w:t>
      </w:r>
    </w:p>
    <w:p w:rsidR="003163E6" w:rsidRDefault="003163E6" w:rsidP="003163E6">
      <w:pPr>
        <w:pStyle w:val="CGCTableHeading"/>
      </w:pPr>
      <w:bookmarkStart w:id="20" w:name="_Ref451853837"/>
      <w:r>
        <w:t>Table </w:t>
      </w:r>
      <w:r w:rsidR="001133A0">
        <w:fldChar w:fldCharType="begin"/>
      </w:r>
      <w:r w:rsidR="001133A0">
        <w:instrText xml:space="preserve"> SEQ Table \* ARABIC </w:instrText>
      </w:r>
      <w:r w:rsidR="001133A0">
        <w:fldChar w:fldCharType="separate"/>
      </w:r>
      <w:r w:rsidR="001133A0">
        <w:rPr>
          <w:noProof/>
        </w:rPr>
        <w:t>2</w:t>
      </w:r>
      <w:r w:rsidR="001133A0">
        <w:rPr>
          <w:noProof/>
        </w:rPr>
        <w:fldChar w:fldCharType="end"/>
      </w:r>
      <w:bookmarkEnd w:id="20"/>
      <w:r>
        <w:tab/>
      </w:r>
      <w:bookmarkStart w:id="21" w:name="OLE_LINK1"/>
      <w:r>
        <w:t>Gambling taxation as a percentage of total State own source revenue, 201</w:t>
      </w:r>
      <w:r w:rsidR="00F53CCB">
        <w:t>5</w:t>
      </w:r>
      <w:r w:rsidR="00F53CCB">
        <w:noBreakHyphen/>
      </w:r>
      <w:r>
        <w:t>1</w:t>
      </w:r>
      <w:bookmarkEnd w:id="21"/>
      <w:r w:rsidR="00F53CCB">
        <w:t>6</w:t>
      </w:r>
    </w:p>
    <w:tbl>
      <w:tblPr>
        <w:tblW w:w="5000" w:type="pct"/>
        <w:tblCellMar>
          <w:left w:w="85" w:type="dxa"/>
          <w:right w:w="85" w:type="dxa"/>
        </w:tblCellMar>
        <w:tblLook w:val="0000" w:firstRow="0" w:lastRow="0" w:firstColumn="0" w:lastColumn="0" w:noHBand="0" w:noVBand="0"/>
      </w:tblPr>
      <w:tblGrid>
        <w:gridCol w:w="2000"/>
        <w:gridCol w:w="569"/>
        <w:gridCol w:w="799"/>
        <w:gridCol w:w="799"/>
        <w:gridCol w:w="799"/>
        <w:gridCol w:w="799"/>
        <w:gridCol w:w="799"/>
        <w:gridCol w:w="799"/>
        <w:gridCol w:w="799"/>
        <w:gridCol w:w="789"/>
      </w:tblGrid>
      <w:tr w:rsidR="003163E6" w:rsidRPr="00FE3F73" w:rsidTr="00F16C1A">
        <w:tc>
          <w:tcPr>
            <w:tcW w:w="1118" w:type="pct"/>
            <w:tcBorders>
              <w:top w:val="single" w:sz="6" w:space="0" w:color="auto"/>
              <w:bottom w:val="single" w:sz="6" w:space="0" w:color="auto"/>
            </w:tcBorders>
            <w:vAlign w:val="bottom"/>
          </w:tcPr>
          <w:p w:rsidR="003163E6" w:rsidRPr="00FE3F73" w:rsidRDefault="003163E6" w:rsidP="00F16C1A">
            <w:pPr>
              <w:pStyle w:val="CGCTableStub"/>
              <w:spacing w:line="240" w:lineRule="auto"/>
              <w:ind w:left="142" w:hanging="142"/>
              <w:rPr>
                <w:rFonts w:cstheme="minorHAnsi"/>
              </w:rPr>
            </w:pPr>
          </w:p>
        </w:tc>
        <w:tc>
          <w:tcPr>
            <w:tcW w:w="312" w:type="pct"/>
            <w:tcBorders>
              <w:top w:val="single" w:sz="6" w:space="0" w:color="auto"/>
              <w:bottom w:val="single" w:sz="4" w:space="0" w:color="auto"/>
            </w:tcBorders>
            <w:vAlign w:val="bottom"/>
          </w:tcPr>
          <w:p w:rsidR="003163E6" w:rsidRPr="00FE3F73" w:rsidRDefault="003163E6" w:rsidP="00F16C1A">
            <w:pPr>
              <w:pStyle w:val="TableColHeadings"/>
              <w:rPr>
                <w:rFonts w:cstheme="minorHAnsi"/>
              </w:rPr>
            </w:pPr>
            <w:r w:rsidRPr="00FE3F73">
              <w:rPr>
                <w:rFonts w:cstheme="minorHAnsi"/>
              </w:rPr>
              <w:t>NSW</w:t>
            </w:r>
          </w:p>
        </w:tc>
        <w:tc>
          <w:tcPr>
            <w:tcW w:w="447" w:type="pct"/>
            <w:tcBorders>
              <w:top w:val="single" w:sz="6" w:space="0" w:color="auto"/>
              <w:bottom w:val="single" w:sz="4" w:space="0" w:color="auto"/>
            </w:tcBorders>
            <w:vAlign w:val="bottom"/>
          </w:tcPr>
          <w:p w:rsidR="003163E6" w:rsidRPr="00FE3F73" w:rsidRDefault="003163E6" w:rsidP="00F16C1A">
            <w:pPr>
              <w:pStyle w:val="TableColHeadings"/>
              <w:rPr>
                <w:rFonts w:cstheme="minorHAnsi"/>
              </w:rPr>
            </w:pPr>
            <w:r w:rsidRPr="00FE3F73">
              <w:rPr>
                <w:rFonts w:cstheme="minorHAnsi"/>
              </w:rPr>
              <w:t>Vic</w:t>
            </w:r>
          </w:p>
        </w:tc>
        <w:tc>
          <w:tcPr>
            <w:tcW w:w="447" w:type="pct"/>
            <w:tcBorders>
              <w:top w:val="single" w:sz="6" w:space="0" w:color="auto"/>
              <w:bottom w:val="single" w:sz="4" w:space="0" w:color="auto"/>
            </w:tcBorders>
            <w:vAlign w:val="bottom"/>
          </w:tcPr>
          <w:p w:rsidR="003163E6" w:rsidRPr="00FE3F73" w:rsidRDefault="003163E6" w:rsidP="00F16C1A">
            <w:pPr>
              <w:pStyle w:val="TableColHeadings"/>
              <w:rPr>
                <w:rFonts w:cstheme="minorHAnsi"/>
              </w:rPr>
            </w:pPr>
            <w:r w:rsidRPr="00FE3F73">
              <w:rPr>
                <w:rFonts w:cstheme="minorHAnsi"/>
              </w:rPr>
              <w:t>Qld</w:t>
            </w:r>
          </w:p>
        </w:tc>
        <w:tc>
          <w:tcPr>
            <w:tcW w:w="447" w:type="pct"/>
            <w:tcBorders>
              <w:top w:val="single" w:sz="6" w:space="0" w:color="auto"/>
              <w:bottom w:val="single" w:sz="4" w:space="0" w:color="auto"/>
            </w:tcBorders>
            <w:vAlign w:val="bottom"/>
          </w:tcPr>
          <w:p w:rsidR="003163E6" w:rsidRPr="00FE3F73" w:rsidRDefault="003163E6" w:rsidP="00F16C1A">
            <w:pPr>
              <w:pStyle w:val="TableColHeadings"/>
              <w:rPr>
                <w:rFonts w:cstheme="minorHAnsi"/>
              </w:rPr>
            </w:pPr>
            <w:r w:rsidRPr="00FE3F73">
              <w:rPr>
                <w:rFonts w:cstheme="minorHAnsi"/>
              </w:rPr>
              <w:t>WA</w:t>
            </w:r>
          </w:p>
        </w:tc>
        <w:tc>
          <w:tcPr>
            <w:tcW w:w="447" w:type="pct"/>
            <w:tcBorders>
              <w:top w:val="single" w:sz="6" w:space="0" w:color="auto"/>
              <w:bottom w:val="single" w:sz="4" w:space="0" w:color="auto"/>
            </w:tcBorders>
            <w:vAlign w:val="bottom"/>
          </w:tcPr>
          <w:p w:rsidR="003163E6" w:rsidRPr="00FE3F73" w:rsidRDefault="003163E6" w:rsidP="00F16C1A">
            <w:pPr>
              <w:pStyle w:val="TableColHeadings"/>
              <w:rPr>
                <w:rFonts w:cstheme="minorHAnsi"/>
              </w:rPr>
            </w:pPr>
            <w:r w:rsidRPr="00FE3F73">
              <w:rPr>
                <w:rFonts w:cstheme="minorHAnsi"/>
              </w:rPr>
              <w:t>SA</w:t>
            </w:r>
          </w:p>
        </w:tc>
        <w:tc>
          <w:tcPr>
            <w:tcW w:w="447" w:type="pct"/>
            <w:tcBorders>
              <w:top w:val="single" w:sz="6" w:space="0" w:color="auto"/>
              <w:bottom w:val="single" w:sz="4" w:space="0" w:color="auto"/>
            </w:tcBorders>
            <w:vAlign w:val="bottom"/>
          </w:tcPr>
          <w:p w:rsidR="003163E6" w:rsidRPr="00FE3F73" w:rsidRDefault="003163E6" w:rsidP="00F16C1A">
            <w:pPr>
              <w:pStyle w:val="TableColHeadings"/>
              <w:rPr>
                <w:rFonts w:cstheme="minorHAnsi"/>
              </w:rPr>
            </w:pPr>
            <w:proofErr w:type="spellStart"/>
            <w:r w:rsidRPr="00FE3F73">
              <w:rPr>
                <w:rFonts w:cstheme="minorHAnsi"/>
              </w:rPr>
              <w:t>Tas</w:t>
            </w:r>
            <w:proofErr w:type="spellEnd"/>
          </w:p>
        </w:tc>
        <w:tc>
          <w:tcPr>
            <w:tcW w:w="447" w:type="pct"/>
            <w:tcBorders>
              <w:top w:val="single" w:sz="6" w:space="0" w:color="auto"/>
              <w:bottom w:val="single" w:sz="4" w:space="0" w:color="auto"/>
            </w:tcBorders>
            <w:vAlign w:val="bottom"/>
          </w:tcPr>
          <w:p w:rsidR="003163E6" w:rsidRPr="00FE3F73" w:rsidRDefault="003163E6" w:rsidP="00F16C1A">
            <w:pPr>
              <w:pStyle w:val="TableColHeadings"/>
              <w:rPr>
                <w:rFonts w:cstheme="minorHAnsi"/>
              </w:rPr>
            </w:pPr>
            <w:r w:rsidRPr="00FE3F73">
              <w:rPr>
                <w:rFonts w:cstheme="minorHAnsi"/>
              </w:rPr>
              <w:t>ACT</w:t>
            </w:r>
          </w:p>
        </w:tc>
        <w:tc>
          <w:tcPr>
            <w:tcW w:w="447" w:type="pct"/>
            <w:tcBorders>
              <w:top w:val="single" w:sz="6" w:space="0" w:color="auto"/>
              <w:bottom w:val="single" w:sz="4" w:space="0" w:color="auto"/>
            </w:tcBorders>
            <w:vAlign w:val="bottom"/>
          </w:tcPr>
          <w:p w:rsidR="003163E6" w:rsidRPr="00FE3F73" w:rsidRDefault="003163E6" w:rsidP="00F16C1A">
            <w:pPr>
              <w:pStyle w:val="TableColHeadings"/>
              <w:rPr>
                <w:rFonts w:cstheme="minorHAnsi"/>
              </w:rPr>
            </w:pPr>
            <w:r w:rsidRPr="00FE3F73">
              <w:rPr>
                <w:rFonts w:cstheme="minorHAnsi"/>
              </w:rPr>
              <w:t>NT</w:t>
            </w:r>
          </w:p>
        </w:tc>
        <w:tc>
          <w:tcPr>
            <w:tcW w:w="441" w:type="pct"/>
            <w:tcBorders>
              <w:top w:val="single" w:sz="6" w:space="0" w:color="auto"/>
              <w:bottom w:val="single" w:sz="4" w:space="0" w:color="auto"/>
            </w:tcBorders>
            <w:vAlign w:val="bottom"/>
          </w:tcPr>
          <w:p w:rsidR="003163E6" w:rsidRPr="00FE3F73" w:rsidRDefault="003163E6" w:rsidP="00F16C1A">
            <w:pPr>
              <w:pStyle w:val="TableColHeadings"/>
              <w:rPr>
                <w:rFonts w:cstheme="minorHAnsi"/>
              </w:rPr>
            </w:pPr>
            <w:r>
              <w:rPr>
                <w:rFonts w:cstheme="minorHAnsi"/>
              </w:rPr>
              <w:t>Total</w:t>
            </w:r>
          </w:p>
        </w:tc>
      </w:tr>
      <w:tr w:rsidR="003163E6" w:rsidRPr="00FE3F73" w:rsidTr="00F16C1A">
        <w:tc>
          <w:tcPr>
            <w:tcW w:w="1118" w:type="pct"/>
            <w:tcMar>
              <w:top w:w="0" w:type="dxa"/>
              <w:bottom w:w="0" w:type="dxa"/>
            </w:tcMar>
            <w:vAlign w:val="bottom"/>
          </w:tcPr>
          <w:p w:rsidR="003163E6" w:rsidRPr="00FE3F73" w:rsidRDefault="003163E6" w:rsidP="00F16C1A">
            <w:pPr>
              <w:pStyle w:val="CGCTableStub"/>
              <w:spacing w:before="0" w:after="0" w:line="240" w:lineRule="auto"/>
              <w:jc w:val="right"/>
              <w:rPr>
                <w:rFonts w:cstheme="minorHAnsi"/>
              </w:rPr>
            </w:pPr>
          </w:p>
        </w:tc>
        <w:tc>
          <w:tcPr>
            <w:tcW w:w="312" w:type="pct"/>
            <w:tcBorders>
              <w:top w:val="single" w:sz="4" w:space="0" w:color="auto"/>
            </w:tcBorders>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w:t>
            </w:r>
          </w:p>
        </w:tc>
        <w:tc>
          <w:tcPr>
            <w:tcW w:w="447" w:type="pct"/>
            <w:tcBorders>
              <w:top w:val="single" w:sz="4" w:space="0" w:color="auto"/>
            </w:tcBorders>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w:t>
            </w:r>
          </w:p>
        </w:tc>
        <w:tc>
          <w:tcPr>
            <w:tcW w:w="447" w:type="pct"/>
            <w:tcBorders>
              <w:top w:val="single" w:sz="4" w:space="0" w:color="auto"/>
            </w:tcBorders>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w:t>
            </w:r>
          </w:p>
        </w:tc>
        <w:tc>
          <w:tcPr>
            <w:tcW w:w="447" w:type="pct"/>
            <w:tcBorders>
              <w:top w:val="single" w:sz="4" w:space="0" w:color="auto"/>
            </w:tcBorders>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w:t>
            </w:r>
          </w:p>
        </w:tc>
        <w:tc>
          <w:tcPr>
            <w:tcW w:w="447" w:type="pct"/>
            <w:tcBorders>
              <w:top w:val="single" w:sz="4" w:space="0" w:color="auto"/>
            </w:tcBorders>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w:t>
            </w:r>
          </w:p>
        </w:tc>
        <w:tc>
          <w:tcPr>
            <w:tcW w:w="447" w:type="pct"/>
            <w:tcBorders>
              <w:top w:val="single" w:sz="4" w:space="0" w:color="auto"/>
            </w:tcBorders>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w:t>
            </w:r>
          </w:p>
        </w:tc>
        <w:tc>
          <w:tcPr>
            <w:tcW w:w="447" w:type="pct"/>
            <w:tcBorders>
              <w:top w:val="single" w:sz="4" w:space="0" w:color="auto"/>
            </w:tcBorders>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w:t>
            </w:r>
          </w:p>
        </w:tc>
        <w:tc>
          <w:tcPr>
            <w:tcW w:w="447" w:type="pct"/>
            <w:tcBorders>
              <w:top w:val="single" w:sz="4" w:space="0" w:color="auto"/>
            </w:tcBorders>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w:t>
            </w:r>
          </w:p>
        </w:tc>
        <w:tc>
          <w:tcPr>
            <w:tcW w:w="441" w:type="pct"/>
            <w:tcBorders>
              <w:top w:val="single" w:sz="4" w:space="0" w:color="auto"/>
            </w:tcBorders>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w:t>
            </w:r>
          </w:p>
        </w:tc>
      </w:tr>
      <w:tr w:rsidR="00075006" w:rsidRPr="00FE3F73" w:rsidTr="00F16C1A">
        <w:tc>
          <w:tcPr>
            <w:tcW w:w="1118" w:type="pct"/>
            <w:tcBorders>
              <w:bottom w:val="single" w:sz="4" w:space="0" w:color="auto"/>
            </w:tcBorders>
            <w:vAlign w:val="bottom"/>
          </w:tcPr>
          <w:p w:rsidR="00075006" w:rsidRPr="007357CF" w:rsidRDefault="00075006" w:rsidP="00F16C1A">
            <w:pPr>
              <w:pStyle w:val="TableRowNormal"/>
              <w:ind w:left="0" w:firstLine="0"/>
              <w:jc w:val="left"/>
              <w:rPr>
                <w:rFonts w:cstheme="minorHAnsi"/>
              </w:rPr>
            </w:pPr>
            <w:r>
              <w:rPr>
                <w:rFonts w:cstheme="minorHAnsi"/>
              </w:rPr>
              <w:t>Total</w:t>
            </w:r>
          </w:p>
        </w:tc>
        <w:tc>
          <w:tcPr>
            <w:tcW w:w="312" w:type="pct"/>
            <w:tcBorders>
              <w:bottom w:val="single" w:sz="4" w:space="0" w:color="auto"/>
            </w:tcBorders>
            <w:vAlign w:val="bottom"/>
          </w:tcPr>
          <w:p w:rsidR="00075006" w:rsidRPr="00075006" w:rsidRDefault="00075006" w:rsidP="00EF38AE">
            <w:pPr>
              <w:pStyle w:val="TableRowNormal"/>
              <w:ind w:left="0" w:firstLine="0"/>
              <w:rPr>
                <w:rFonts w:cstheme="minorHAnsi"/>
              </w:rPr>
            </w:pPr>
            <w:r w:rsidRPr="00075006">
              <w:rPr>
                <w:rFonts w:cstheme="minorHAnsi"/>
              </w:rPr>
              <w:t>5.4</w:t>
            </w:r>
          </w:p>
        </w:tc>
        <w:tc>
          <w:tcPr>
            <w:tcW w:w="447" w:type="pct"/>
            <w:tcBorders>
              <w:bottom w:val="single" w:sz="4" w:space="0" w:color="auto"/>
            </w:tcBorders>
            <w:vAlign w:val="bottom"/>
          </w:tcPr>
          <w:p w:rsidR="00075006" w:rsidRPr="00075006" w:rsidRDefault="00075006" w:rsidP="00EF38AE">
            <w:pPr>
              <w:pStyle w:val="TableRowNormal"/>
              <w:ind w:left="0" w:firstLine="0"/>
              <w:rPr>
                <w:rFonts w:cstheme="minorHAnsi"/>
              </w:rPr>
            </w:pPr>
            <w:r w:rsidRPr="00075006">
              <w:rPr>
                <w:rFonts w:cstheme="minorHAnsi"/>
              </w:rPr>
              <w:t>6.3</w:t>
            </w:r>
          </w:p>
        </w:tc>
        <w:tc>
          <w:tcPr>
            <w:tcW w:w="447" w:type="pct"/>
            <w:tcBorders>
              <w:bottom w:val="single" w:sz="4" w:space="0" w:color="auto"/>
            </w:tcBorders>
            <w:vAlign w:val="bottom"/>
          </w:tcPr>
          <w:p w:rsidR="00075006" w:rsidRPr="00075006" w:rsidRDefault="00075006" w:rsidP="00EF38AE">
            <w:pPr>
              <w:pStyle w:val="TableRowNormal"/>
              <w:ind w:left="0" w:firstLine="0"/>
              <w:rPr>
                <w:rFonts w:cstheme="minorHAnsi"/>
              </w:rPr>
            </w:pPr>
            <w:r w:rsidRPr="00075006">
              <w:rPr>
                <w:rFonts w:cstheme="minorHAnsi"/>
              </w:rPr>
              <w:t>4.3</w:t>
            </w:r>
          </w:p>
        </w:tc>
        <w:tc>
          <w:tcPr>
            <w:tcW w:w="447" w:type="pct"/>
            <w:tcBorders>
              <w:bottom w:val="single" w:sz="4" w:space="0" w:color="auto"/>
            </w:tcBorders>
            <w:vAlign w:val="bottom"/>
          </w:tcPr>
          <w:p w:rsidR="00075006" w:rsidRPr="00075006" w:rsidRDefault="00075006" w:rsidP="00EF38AE">
            <w:pPr>
              <w:pStyle w:val="TableRowNormal"/>
              <w:ind w:left="0" w:firstLine="0"/>
              <w:rPr>
                <w:rFonts w:cstheme="minorHAnsi"/>
              </w:rPr>
            </w:pPr>
            <w:r w:rsidRPr="00075006">
              <w:rPr>
                <w:rFonts w:cstheme="minorHAnsi"/>
              </w:rPr>
              <w:t>1.2</w:t>
            </w:r>
          </w:p>
        </w:tc>
        <w:tc>
          <w:tcPr>
            <w:tcW w:w="447" w:type="pct"/>
            <w:tcBorders>
              <w:bottom w:val="single" w:sz="4" w:space="0" w:color="auto"/>
            </w:tcBorders>
            <w:vAlign w:val="bottom"/>
          </w:tcPr>
          <w:p w:rsidR="00075006" w:rsidRPr="00075006" w:rsidRDefault="00075006" w:rsidP="00EF38AE">
            <w:pPr>
              <w:pStyle w:val="TableRowNormal"/>
              <w:ind w:left="0" w:firstLine="0"/>
              <w:rPr>
                <w:rFonts w:cstheme="minorHAnsi"/>
              </w:rPr>
            </w:pPr>
            <w:r w:rsidRPr="00075006">
              <w:rPr>
                <w:rFonts w:cstheme="minorHAnsi"/>
              </w:rPr>
              <w:t>5.3</w:t>
            </w:r>
          </w:p>
        </w:tc>
        <w:tc>
          <w:tcPr>
            <w:tcW w:w="447" w:type="pct"/>
            <w:tcBorders>
              <w:bottom w:val="single" w:sz="4" w:space="0" w:color="auto"/>
            </w:tcBorders>
            <w:vAlign w:val="bottom"/>
          </w:tcPr>
          <w:p w:rsidR="00075006" w:rsidRPr="00075006" w:rsidRDefault="00075006" w:rsidP="00EF38AE">
            <w:pPr>
              <w:pStyle w:val="TableRowNormal"/>
              <w:ind w:left="0" w:firstLine="0"/>
              <w:rPr>
                <w:rFonts w:cstheme="minorHAnsi"/>
              </w:rPr>
            </w:pPr>
            <w:r w:rsidRPr="00075006">
              <w:rPr>
                <w:rFonts w:cstheme="minorHAnsi"/>
              </w:rPr>
              <w:t>5.4</w:t>
            </w:r>
          </w:p>
        </w:tc>
        <w:tc>
          <w:tcPr>
            <w:tcW w:w="447" w:type="pct"/>
            <w:tcBorders>
              <w:bottom w:val="single" w:sz="4" w:space="0" w:color="auto"/>
            </w:tcBorders>
            <w:vAlign w:val="bottom"/>
          </w:tcPr>
          <w:p w:rsidR="00075006" w:rsidRPr="00075006" w:rsidRDefault="00075006" w:rsidP="00EF38AE">
            <w:pPr>
              <w:pStyle w:val="TableRowNormal"/>
              <w:ind w:left="0" w:firstLine="0"/>
              <w:rPr>
                <w:rFonts w:cstheme="minorHAnsi"/>
              </w:rPr>
            </w:pPr>
            <w:r w:rsidRPr="00075006">
              <w:rPr>
                <w:rFonts w:cstheme="minorHAnsi"/>
              </w:rPr>
              <w:t>1.8</w:t>
            </w:r>
          </w:p>
        </w:tc>
        <w:tc>
          <w:tcPr>
            <w:tcW w:w="447" w:type="pct"/>
            <w:tcBorders>
              <w:bottom w:val="single" w:sz="4" w:space="0" w:color="auto"/>
            </w:tcBorders>
            <w:vAlign w:val="bottom"/>
          </w:tcPr>
          <w:p w:rsidR="00075006" w:rsidRPr="00075006" w:rsidRDefault="00075006" w:rsidP="00EF38AE">
            <w:pPr>
              <w:pStyle w:val="TableRowNormal"/>
              <w:ind w:left="0" w:firstLine="0"/>
              <w:rPr>
                <w:rFonts w:cstheme="minorHAnsi"/>
              </w:rPr>
            </w:pPr>
            <w:r w:rsidRPr="00075006">
              <w:rPr>
                <w:rFonts w:cstheme="minorHAnsi"/>
              </w:rPr>
              <w:t>6.4</w:t>
            </w:r>
          </w:p>
        </w:tc>
        <w:tc>
          <w:tcPr>
            <w:tcW w:w="441" w:type="pct"/>
            <w:tcBorders>
              <w:bottom w:val="single" w:sz="4" w:space="0" w:color="auto"/>
            </w:tcBorders>
            <w:vAlign w:val="bottom"/>
          </w:tcPr>
          <w:p w:rsidR="00075006" w:rsidRPr="00075006" w:rsidRDefault="00075006" w:rsidP="00EF38AE">
            <w:pPr>
              <w:pStyle w:val="TableRowNormal"/>
              <w:ind w:left="0" w:firstLine="0"/>
              <w:rPr>
                <w:rFonts w:cstheme="minorHAnsi"/>
              </w:rPr>
            </w:pPr>
            <w:r w:rsidRPr="00075006">
              <w:rPr>
                <w:rFonts w:cstheme="minorHAnsi"/>
              </w:rPr>
              <w:t>4.7</w:t>
            </w:r>
          </w:p>
        </w:tc>
      </w:tr>
    </w:tbl>
    <w:p w:rsidR="003163E6" w:rsidRDefault="003163E6" w:rsidP="003163E6">
      <w:pPr>
        <w:pStyle w:val="CGCTableFootnote"/>
      </w:pPr>
      <w:r>
        <w:t>Source:</w:t>
      </w:r>
      <w:r>
        <w:tab/>
      </w:r>
      <w:r w:rsidR="00F53CCB">
        <w:t>ABS, Taxation revenue, Australia, 2015-16, Cat No 5506.0</w:t>
      </w:r>
      <w:r>
        <w:t>.</w:t>
      </w:r>
    </w:p>
    <w:p w:rsidR="003163E6" w:rsidRDefault="003163E6" w:rsidP="003163E6">
      <w:pPr>
        <w:pStyle w:val="CGCNumberedPara"/>
        <w:numPr>
          <w:ilvl w:val="1"/>
          <w:numId w:val="3"/>
        </w:numPr>
      </w:pPr>
      <w:r>
        <w:t>There are significant differences between States in their approach to raising revenue from gambling activity. State</w:t>
      </w:r>
      <w:r w:rsidR="00A530A1">
        <w:t xml:space="preserve"> policies</w:t>
      </w:r>
      <w:r>
        <w:t xml:space="preserve"> vary in</w:t>
      </w:r>
      <w:r w:rsidR="00A530A1">
        <w:t xml:space="preserve"> relation to</w:t>
      </w:r>
      <w:r>
        <w:t>:</w:t>
      </w:r>
    </w:p>
    <w:p w:rsidR="003163E6" w:rsidRDefault="006D5D3C" w:rsidP="003163E6">
      <w:pPr>
        <w:pStyle w:val="CGCBulletlist"/>
        <w:numPr>
          <w:ilvl w:val="0"/>
          <w:numId w:val="1"/>
        </w:numPr>
        <w:tabs>
          <w:tab w:val="clear" w:pos="927"/>
        </w:tabs>
        <w:ind w:left="1134" w:hanging="567"/>
      </w:pPr>
      <w:r>
        <w:t xml:space="preserve">The </w:t>
      </w:r>
      <w:r w:rsidR="001C0963">
        <w:t>gambling activities</w:t>
      </w:r>
      <w:r w:rsidR="003163E6">
        <w:t xml:space="preserve"> allow</w:t>
      </w:r>
      <w:r w:rsidR="001C0963">
        <w:t>ed</w:t>
      </w:r>
      <w:r w:rsidR="003163E6">
        <w:t xml:space="preserve"> and t</w:t>
      </w:r>
      <w:r w:rsidR="00A530A1">
        <w:t>he extent t</w:t>
      </w:r>
      <w:r w:rsidR="003163E6">
        <w:t>o wh</w:t>
      </w:r>
      <w:r w:rsidR="00A530A1">
        <w:t>ich they are allowed. F</w:t>
      </w:r>
      <w:r w:rsidR="003163E6">
        <w:t>or example, Western Australia does not allow electronic gaming machines outside of its single casino, while the ACT has only recently allowed electronic gaming machines (with restrictions) in its casino</w:t>
      </w:r>
      <w:r>
        <w:t>.</w:t>
      </w:r>
    </w:p>
    <w:p w:rsidR="003163E6" w:rsidRDefault="006D5D3C" w:rsidP="003163E6">
      <w:pPr>
        <w:pStyle w:val="CGCBulletlist"/>
        <w:numPr>
          <w:ilvl w:val="0"/>
          <w:numId w:val="1"/>
        </w:numPr>
        <w:tabs>
          <w:tab w:val="clear" w:pos="927"/>
        </w:tabs>
        <w:ind w:left="1134" w:hanging="567"/>
      </w:pPr>
      <w:r>
        <w:t>T</w:t>
      </w:r>
      <w:r w:rsidR="003163E6">
        <w:t xml:space="preserve">he tax regimes </w:t>
      </w:r>
      <w:r w:rsidR="001C0963">
        <w:t>applied</w:t>
      </w:r>
      <w:r w:rsidR="00A530A1">
        <w:t xml:space="preserve"> to the </w:t>
      </w:r>
      <w:r w:rsidR="003163E6">
        <w:t>different forms of gambling</w:t>
      </w:r>
      <w:r w:rsidR="00A530A1">
        <w:t>. F</w:t>
      </w:r>
      <w:r w:rsidR="003163E6">
        <w:t>or example, tax rates on lotteries range from 40% to over 70% in different States</w:t>
      </w:r>
      <w:r>
        <w:t>. South Australia has recently introduced a point-of-consumption tax on the net wagering revenue of betting companies offering services to South Australia (mostly online betting companies based in the Northern Territory</w:t>
      </w:r>
      <w:r w:rsidR="00FD63E9">
        <w:t>,</w:t>
      </w:r>
      <w:r>
        <w:t xml:space="preserve"> which has a low tax rate for </w:t>
      </w:r>
      <w:r w:rsidR="00E855EC">
        <w:t>online betting revenue</w:t>
      </w:r>
      <w:r>
        <w:t>).</w:t>
      </w:r>
    </w:p>
    <w:p w:rsidR="003163E6" w:rsidRDefault="006D5D3C" w:rsidP="003163E6">
      <w:pPr>
        <w:pStyle w:val="CGCBulletlist"/>
        <w:numPr>
          <w:ilvl w:val="0"/>
          <w:numId w:val="1"/>
        </w:numPr>
        <w:tabs>
          <w:tab w:val="clear" w:pos="927"/>
        </w:tabs>
        <w:ind w:left="1134" w:hanging="567"/>
      </w:pPr>
      <w:r>
        <w:t>L</w:t>
      </w:r>
      <w:r w:rsidR="003163E6">
        <w:t>icence fees applied to gambling venues</w:t>
      </w:r>
      <w:r w:rsidR="00A530A1">
        <w:t>. F</w:t>
      </w:r>
      <w:r w:rsidR="003163E6">
        <w:t>or example, casinos in all States except the Northern Territory pay a licence fee in addition to the relevant taxes</w:t>
      </w:r>
      <w:r w:rsidR="00A530A1">
        <w:t>. T</w:t>
      </w:r>
      <w:r w:rsidR="003163E6">
        <w:t>hese licence fees vary widely between States</w:t>
      </w:r>
      <w:r>
        <w:t>.</w:t>
      </w:r>
    </w:p>
    <w:p w:rsidR="003163E6" w:rsidRDefault="006D5D3C" w:rsidP="003163E6">
      <w:pPr>
        <w:pStyle w:val="CGCBulletlist"/>
        <w:numPr>
          <w:ilvl w:val="0"/>
          <w:numId w:val="1"/>
        </w:numPr>
        <w:tabs>
          <w:tab w:val="clear" w:pos="927"/>
        </w:tabs>
        <w:ind w:left="1134" w:hanging="567"/>
      </w:pPr>
      <w:r>
        <w:t>L</w:t>
      </w:r>
      <w:r w:rsidR="00A530A1">
        <w:t>evies and other</w:t>
      </w:r>
      <w:r w:rsidR="003163E6">
        <w:t xml:space="preserve"> contributions applied to gambling operators</w:t>
      </w:r>
      <w:r w:rsidR="00A530A1">
        <w:t>. F</w:t>
      </w:r>
      <w:r w:rsidR="003163E6">
        <w:t>or example, New South Wales clubs can reduce the tax payable on gaming machine revenue by contributing up to 1.85% of gaming revenue in excess of $1</w:t>
      </w:r>
      <w:r w:rsidR="00A530A1">
        <w:t> </w:t>
      </w:r>
      <w:r w:rsidR="003163E6">
        <w:t xml:space="preserve">million to eligible </w:t>
      </w:r>
      <w:r w:rsidR="00A530A1">
        <w:t>community projects</w:t>
      </w:r>
      <w:r w:rsidR="003163E6" w:rsidRPr="00687201">
        <w:t>.</w:t>
      </w:r>
    </w:p>
    <w:p w:rsidR="003163E6" w:rsidRDefault="003F62E3" w:rsidP="003163E6">
      <w:pPr>
        <w:pStyle w:val="CGCNumberedPara"/>
        <w:numPr>
          <w:ilvl w:val="1"/>
          <w:numId w:val="3"/>
        </w:numPr>
      </w:pPr>
      <w:r>
        <w:t>The significance of State polic</w:t>
      </w:r>
      <w:r w:rsidR="001C0963">
        <w:t xml:space="preserve">y differences </w:t>
      </w:r>
      <w:r w:rsidR="00575BF8">
        <w:t>is</w:t>
      </w:r>
      <w:r w:rsidR="001C0963">
        <w:t xml:space="preserve"> evident</w:t>
      </w:r>
      <w:r>
        <w:t xml:space="preserve"> in </w:t>
      </w:r>
      <w:r w:rsidR="003163E6" w:rsidRPr="00687201">
        <w:fldChar w:fldCharType="begin"/>
      </w:r>
      <w:r w:rsidR="003163E6" w:rsidRPr="00687201">
        <w:instrText xml:space="preserve"> REF _Ref508974503 \h </w:instrText>
      </w:r>
      <w:r w:rsidR="003163E6">
        <w:instrText xml:space="preserve"> \* MERGEFORMAT </w:instrText>
      </w:r>
      <w:r w:rsidR="003163E6" w:rsidRPr="00687201">
        <w:fldChar w:fldCharType="separate"/>
      </w:r>
      <w:r w:rsidR="001133A0">
        <w:t>Table 3</w:t>
      </w:r>
      <w:r w:rsidR="003163E6" w:rsidRPr="00687201">
        <w:fldChar w:fldCharType="end"/>
      </w:r>
      <w:r>
        <w:t>. It</w:t>
      </w:r>
      <w:r w:rsidR="003163E6">
        <w:t xml:space="preserve"> shows </w:t>
      </w:r>
      <w:r>
        <w:t>States</w:t>
      </w:r>
      <w:r w:rsidR="00F53CCB">
        <w:t>’</w:t>
      </w:r>
      <w:r>
        <w:t xml:space="preserve"> </w:t>
      </w:r>
      <w:r w:rsidR="004D073B">
        <w:t>per </w:t>
      </w:r>
      <w:r w:rsidR="00F53CCB">
        <w:t>capita</w:t>
      </w:r>
      <w:r>
        <w:t xml:space="preserve"> </w:t>
      </w:r>
      <w:r w:rsidR="00575BF8">
        <w:t xml:space="preserve">tax </w:t>
      </w:r>
      <w:r>
        <w:t>revenue from the differen</w:t>
      </w:r>
      <w:r w:rsidR="00F53CCB">
        <w:t>t</w:t>
      </w:r>
      <w:r>
        <w:t xml:space="preserve"> forms of gambling</w:t>
      </w:r>
      <w:r w:rsidR="00F53CCB">
        <w:t xml:space="preserve"> in</w:t>
      </w:r>
      <w:r>
        <w:t xml:space="preserve"> </w:t>
      </w:r>
      <w:r w:rsidR="003163E6">
        <w:t>2015</w:t>
      </w:r>
      <w:r>
        <w:noBreakHyphen/>
      </w:r>
      <w:r w:rsidR="003163E6">
        <w:t>16</w:t>
      </w:r>
      <w:r>
        <w:t>.</w:t>
      </w:r>
    </w:p>
    <w:p w:rsidR="003163E6" w:rsidRDefault="003163E6" w:rsidP="003163E6">
      <w:pPr>
        <w:pStyle w:val="CGCTableHeading"/>
      </w:pPr>
      <w:bookmarkStart w:id="22" w:name="_Ref508974503"/>
      <w:r>
        <w:lastRenderedPageBreak/>
        <w:t>Table </w:t>
      </w:r>
      <w:r w:rsidR="001133A0">
        <w:fldChar w:fldCharType="begin"/>
      </w:r>
      <w:r w:rsidR="001133A0">
        <w:instrText xml:space="preserve"> SEQ Table \* ARABIC </w:instrText>
      </w:r>
      <w:r w:rsidR="001133A0">
        <w:fldChar w:fldCharType="separate"/>
      </w:r>
      <w:r w:rsidR="001133A0">
        <w:rPr>
          <w:noProof/>
        </w:rPr>
        <w:t>3</w:t>
      </w:r>
      <w:r w:rsidR="001133A0">
        <w:rPr>
          <w:noProof/>
        </w:rPr>
        <w:fldChar w:fldCharType="end"/>
      </w:r>
      <w:bookmarkEnd w:id="22"/>
      <w:r>
        <w:tab/>
      </w:r>
      <w:r w:rsidR="00A530A1">
        <w:t xml:space="preserve">Per capita gambling taxes by form of </w:t>
      </w:r>
      <w:r>
        <w:t>gambling, 2015-16</w:t>
      </w:r>
    </w:p>
    <w:tbl>
      <w:tblPr>
        <w:tblW w:w="5000" w:type="pct"/>
        <w:tblCellMar>
          <w:left w:w="85" w:type="dxa"/>
          <w:right w:w="85" w:type="dxa"/>
        </w:tblCellMar>
        <w:tblLook w:val="0000" w:firstRow="0" w:lastRow="0" w:firstColumn="0" w:lastColumn="0" w:noHBand="0" w:noVBand="0"/>
      </w:tblPr>
      <w:tblGrid>
        <w:gridCol w:w="1996"/>
        <w:gridCol w:w="765"/>
        <w:gridCol w:w="765"/>
        <w:gridCol w:w="765"/>
        <w:gridCol w:w="765"/>
        <w:gridCol w:w="765"/>
        <w:gridCol w:w="765"/>
        <w:gridCol w:w="765"/>
        <w:gridCol w:w="765"/>
        <w:gridCol w:w="835"/>
      </w:tblGrid>
      <w:tr w:rsidR="003163E6" w:rsidRPr="00FE3F73" w:rsidTr="00F16C1A">
        <w:tc>
          <w:tcPr>
            <w:tcW w:w="1118" w:type="pct"/>
            <w:tcBorders>
              <w:top w:val="single" w:sz="6" w:space="0" w:color="auto"/>
              <w:bottom w:val="single" w:sz="6" w:space="0" w:color="auto"/>
            </w:tcBorders>
            <w:vAlign w:val="bottom"/>
          </w:tcPr>
          <w:p w:rsidR="003163E6" w:rsidRPr="00FE3F73" w:rsidRDefault="003163E6" w:rsidP="00F16C1A">
            <w:pPr>
              <w:pStyle w:val="CGCTableStub"/>
              <w:spacing w:line="240" w:lineRule="auto"/>
              <w:ind w:left="142" w:hanging="142"/>
              <w:rPr>
                <w:rFonts w:cstheme="minorHAnsi"/>
              </w:rPr>
            </w:pPr>
          </w:p>
        </w:tc>
        <w:tc>
          <w:tcPr>
            <w:tcW w:w="431" w:type="pct"/>
            <w:tcBorders>
              <w:top w:val="single" w:sz="6" w:space="0" w:color="auto"/>
              <w:bottom w:val="single" w:sz="4" w:space="0" w:color="auto"/>
            </w:tcBorders>
            <w:vAlign w:val="bottom"/>
          </w:tcPr>
          <w:p w:rsidR="003163E6" w:rsidRPr="00FE3F73" w:rsidRDefault="003163E6" w:rsidP="00F16C1A">
            <w:pPr>
              <w:pStyle w:val="TableColHeadings"/>
              <w:rPr>
                <w:rFonts w:cstheme="minorHAnsi"/>
              </w:rPr>
            </w:pPr>
            <w:r w:rsidRPr="00FE3F73">
              <w:rPr>
                <w:rFonts w:cstheme="minorHAnsi"/>
              </w:rPr>
              <w:t>NSW</w:t>
            </w:r>
          </w:p>
        </w:tc>
        <w:tc>
          <w:tcPr>
            <w:tcW w:w="431" w:type="pct"/>
            <w:tcBorders>
              <w:top w:val="single" w:sz="6" w:space="0" w:color="auto"/>
              <w:bottom w:val="single" w:sz="4" w:space="0" w:color="auto"/>
            </w:tcBorders>
            <w:vAlign w:val="bottom"/>
          </w:tcPr>
          <w:p w:rsidR="003163E6" w:rsidRPr="00FE3F73" w:rsidRDefault="003163E6" w:rsidP="00F16C1A">
            <w:pPr>
              <w:pStyle w:val="TableColHeadings"/>
              <w:rPr>
                <w:rFonts w:cstheme="minorHAnsi"/>
              </w:rPr>
            </w:pPr>
            <w:r w:rsidRPr="00FE3F73">
              <w:rPr>
                <w:rFonts w:cstheme="minorHAnsi"/>
              </w:rPr>
              <w:t>Vic</w:t>
            </w:r>
          </w:p>
        </w:tc>
        <w:tc>
          <w:tcPr>
            <w:tcW w:w="431" w:type="pct"/>
            <w:tcBorders>
              <w:top w:val="single" w:sz="6" w:space="0" w:color="auto"/>
              <w:bottom w:val="single" w:sz="4" w:space="0" w:color="auto"/>
            </w:tcBorders>
            <w:vAlign w:val="bottom"/>
          </w:tcPr>
          <w:p w:rsidR="003163E6" w:rsidRPr="00FE3F73" w:rsidRDefault="003163E6" w:rsidP="00F16C1A">
            <w:pPr>
              <w:pStyle w:val="TableColHeadings"/>
              <w:rPr>
                <w:rFonts w:cstheme="minorHAnsi"/>
              </w:rPr>
            </w:pPr>
            <w:r w:rsidRPr="00FE3F73">
              <w:rPr>
                <w:rFonts w:cstheme="minorHAnsi"/>
              </w:rPr>
              <w:t>Qld</w:t>
            </w:r>
          </w:p>
        </w:tc>
        <w:tc>
          <w:tcPr>
            <w:tcW w:w="431" w:type="pct"/>
            <w:tcBorders>
              <w:top w:val="single" w:sz="6" w:space="0" w:color="auto"/>
              <w:bottom w:val="single" w:sz="4" w:space="0" w:color="auto"/>
            </w:tcBorders>
            <w:vAlign w:val="bottom"/>
          </w:tcPr>
          <w:p w:rsidR="003163E6" w:rsidRPr="00FE3F73" w:rsidRDefault="003163E6" w:rsidP="00F16C1A">
            <w:pPr>
              <w:pStyle w:val="TableColHeadings"/>
              <w:rPr>
                <w:rFonts w:cstheme="minorHAnsi"/>
              </w:rPr>
            </w:pPr>
            <w:r w:rsidRPr="00FE3F73">
              <w:rPr>
                <w:rFonts w:cstheme="minorHAnsi"/>
              </w:rPr>
              <w:t>WA</w:t>
            </w:r>
          </w:p>
        </w:tc>
        <w:tc>
          <w:tcPr>
            <w:tcW w:w="431" w:type="pct"/>
            <w:tcBorders>
              <w:top w:val="single" w:sz="6" w:space="0" w:color="auto"/>
              <w:bottom w:val="single" w:sz="4" w:space="0" w:color="auto"/>
            </w:tcBorders>
            <w:vAlign w:val="bottom"/>
          </w:tcPr>
          <w:p w:rsidR="003163E6" w:rsidRPr="00FE3F73" w:rsidRDefault="003163E6" w:rsidP="00F16C1A">
            <w:pPr>
              <w:pStyle w:val="TableColHeadings"/>
              <w:rPr>
                <w:rFonts w:cstheme="minorHAnsi"/>
              </w:rPr>
            </w:pPr>
            <w:r w:rsidRPr="00FE3F73">
              <w:rPr>
                <w:rFonts w:cstheme="minorHAnsi"/>
              </w:rPr>
              <w:t>SA</w:t>
            </w:r>
          </w:p>
        </w:tc>
        <w:tc>
          <w:tcPr>
            <w:tcW w:w="431" w:type="pct"/>
            <w:tcBorders>
              <w:top w:val="single" w:sz="6" w:space="0" w:color="auto"/>
              <w:bottom w:val="single" w:sz="4" w:space="0" w:color="auto"/>
            </w:tcBorders>
            <w:vAlign w:val="bottom"/>
          </w:tcPr>
          <w:p w:rsidR="003163E6" w:rsidRPr="00FE3F73" w:rsidRDefault="003163E6" w:rsidP="00F16C1A">
            <w:pPr>
              <w:pStyle w:val="TableColHeadings"/>
              <w:rPr>
                <w:rFonts w:cstheme="minorHAnsi"/>
              </w:rPr>
            </w:pPr>
            <w:proofErr w:type="spellStart"/>
            <w:r w:rsidRPr="00FE3F73">
              <w:rPr>
                <w:rFonts w:cstheme="minorHAnsi"/>
              </w:rPr>
              <w:t>Tas</w:t>
            </w:r>
            <w:proofErr w:type="spellEnd"/>
          </w:p>
        </w:tc>
        <w:tc>
          <w:tcPr>
            <w:tcW w:w="431" w:type="pct"/>
            <w:tcBorders>
              <w:top w:val="single" w:sz="6" w:space="0" w:color="auto"/>
              <w:bottom w:val="single" w:sz="4" w:space="0" w:color="auto"/>
            </w:tcBorders>
            <w:vAlign w:val="bottom"/>
          </w:tcPr>
          <w:p w:rsidR="003163E6" w:rsidRPr="00FE3F73" w:rsidRDefault="003163E6" w:rsidP="00F16C1A">
            <w:pPr>
              <w:pStyle w:val="TableColHeadings"/>
              <w:rPr>
                <w:rFonts w:cstheme="minorHAnsi"/>
              </w:rPr>
            </w:pPr>
            <w:r w:rsidRPr="00FE3F73">
              <w:rPr>
                <w:rFonts w:cstheme="minorHAnsi"/>
              </w:rPr>
              <w:t>ACT</w:t>
            </w:r>
          </w:p>
        </w:tc>
        <w:tc>
          <w:tcPr>
            <w:tcW w:w="431" w:type="pct"/>
            <w:tcBorders>
              <w:top w:val="single" w:sz="6" w:space="0" w:color="auto"/>
              <w:bottom w:val="single" w:sz="4" w:space="0" w:color="auto"/>
            </w:tcBorders>
            <w:vAlign w:val="bottom"/>
          </w:tcPr>
          <w:p w:rsidR="003163E6" w:rsidRPr="00FE3F73" w:rsidRDefault="003163E6" w:rsidP="00F16C1A">
            <w:pPr>
              <w:pStyle w:val="TableColHeadings"/>
              <w:rPr>
                <w:rFonts w:cstheme="minorHAnsi"/>
              </w:rPr>
            </w:pPr>
            <w:r w:rsidRPr="00FE3F73">
              <w:rPr>
                <w:rFonts w:cstheme="minorHAnsi"/>
              </w:rPr>
              <w:t>NT</w:t>
            </w:r>
          </w:p>
        </w:tc>
        <w:tc>
          <w:tcPr>
            <w:tcW w:w="431" w:type="pct"/>
            <w:tcBorders>
              <w:top w:val="single" w:sz="6" w:space="0" w:color="auto"/>
              <w:bottom w:val="single" w:sz="4" w:space="0" w:color="auto"/>
            </w:tcBorders>
            <w:vAlign w:val="bottom"/>
          </w:tcPr>
          <w:p w:rsidR="003163E6" w:rsidRPr="00FE3F73" w:rsidRDefault="003163E6" w:rsidP="00F16C1A">
            <w:pPr>
              <w:pStyle w:val="TableColHeadings"/>
              <w:rPr>
                <w:rFonts w:cstheme="minorHAnsi"/>
              </w:rPr>
            </w:pPr>
            <w:r>
              <w:rPr>
                <w:rFonts w:cstheme="minorHAnsi"/>
              </w:rPr>
              <w:t>Average</w:t>
            </w:r>
          </w:p>
        </w:tc>
      </w:tr>
      <w:tr w:rsidR="003163E6" w:rsidRPr="00FE3F73" w:rsidTr="00F16C1A">
        <w:tc>
          <w:tcPr>
            <w:tcW w:w="1118" w:type="pct"/>
            <w:tcMar>
              <w:top w:w="0" w:type="dxa"/>
              <w:bottom w:w="0" w:type="dxa"/>
            </w:tcMar>
            <w:vAlign w:val="bottom"/>
          </w:tcPr>
          <w:p w:rsidR="003163E6" w:rsidRPr="00FE3F73" w:rsidRDefault="003163E6" w:rsidP="00F16C1A">
            <w:pPr>
              <w:pStyle w:val="CGCTableStub"/>
              <w:spacing w:before="0" w:after="0" w:line="240" w:lineRule="auto"/>
              <w:jc w:val="right"/>
              <w:rPr>
                <w:rFonts w:cstheme="minorHAnsi"/>
              </w:rPr>
            </w:pPr>
          </w:p>
        </w:tc>
        <w:tc>
          <w:tcPr>
            <w:tcW w:w="431" w:type="pct"/>
            <w:tcBorders>
              <w:top w:val="single" w:sz="4" w:space="0" w:color="auto"/>
            </w:tcBorders>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$pc</w:t>
            </w:r>
          </w:p>
        </w:tc>
        <w:tc>
          <w:tcPr>
            <w:tcW w:w="431" w:type="pct"/>
            <w:tcBorders>
              <w:top w:val="single" w:sz="4" w:space="0" w:color="auto"/>
            </w:tcBorders>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$pc</w:t>
            </w:r>
          </w:p>
        </w:tc>
        <w:tc>
          <w:tcPr>
            <w:tcW w:w="431" w:type="pct"/>
            <w:tcBorders>
              <w:top w:val="single" w:sz="4" w:space="0" w:color="auto"/>
            </w:tcBorders>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$pc</w:t>
            </w:r>
          </w:p>
        </w:tc>
        <w:tc>
          <w:tcPr>
            <w:tcW w:w="431" w:type="pct"/>
            <w:tcBorders>
              <w:top w:val="single" w:sz="4" w:space="0" w:color="auto"/>
            </w:tcBorders>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$pc</w:t>
            </w:r>
          </w:p>
        </w:tc>
        <w:tc>
          <w:tcPr>
            <w:tcW w:w="431" w:type="pct"/>
            <w:tcBorders>
              <w:top w:val="single" w:sz="4" w:space="0" w:color="auto"/>
            </w:tcBorders>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$pc</w:t>
            </w:r>
          </w:p>
        </w:tc>
        <w:tc>
          <w:tcPr>
            <w:tcW w:w="431" w:type="pct"/>
            <w:tcBorders>
              <w:top w:val="single" w:sz="4" w:space="0" w:color="auto"/>
            </w:tcBorders>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$pc</w:t>
            </w:r>
          </w:p>
        </w:tc>
        <w:tc>
          <w:tcPr>
            <w:tcW w:w="431" w:type="pct"/>
            <w:tcBorders>
              <w:top w:val="single" w:sz="4" w:space="0" w:color="auto"/>
            </w:tcBorders>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$pc</w:t>
            </w:r>
          </w:p>
        </w:tc>
        <w:tc>
          <w:tcPr>
            <w:tcW w:w="431" w:type="pct"/>
            <w:tcBorders>
              <w:top w:val="single" w:sz="4" w:space="0" w:color="auto"/>
            </w:tcBorders>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$pc</w:t>
            </w:r>
          </w:p>
        </w:tc>
        <w:tc>
          <w:tcPr>
            <w:tcW w:w="431" w:type="pct"/>
            <w:tcBorders>
              <w:top w:val="single" w:sz="4" w:space="0" w:color="auto"/>
            </w:tcBorders>
            <w:tcMar>
              <w:top w:w="0" w:type="dxa"/>
              <w:bottom w:w="0" w:type="dxa"/>
            </w:tcMar>
            <w:vAlign w:val="bottom"/>
          </w:tcPr>
          <w:p w:rsidR="003163E6" w:rsidRPr="00FE3F73" w:rsidRDefault="003163E6" w:rsidP="00F16C1A">
            <w:pPr>
              <w:pStyle w:val="TableRowNormal"/>
              <w:spacing w:before="0" w:after="0" w:line="240" w:lineRule="auto"/>
              <w:ind w:left="0" w:firstLine="0"/>
              <w:rPr>
                <w:rFonts w:cstheme="minorHAnsi"/>
              </w:rPr>
            </w:pPr>
            <w:r>
              <w:rPr>
                <w:rFonts w:cstheme="minorHAnsi"/>
              </w:rPr>
              <w:t>$pc</w:t>
            </w:r>
          </w:p>
        </w:tc>
      </w:tr>
      <w:tr w:rsidR="003163E6" w:rsidRPr="00FE3F73" w:rsidTr="00F16C1A">
        <w:tc>
          <w:tcPr>
            <w:tcW w:w="1118" w:type="pct"/>
            <w:vAlign w:val="bottom"/>
          </w:tcPr>
          <w:p w:rsidR="003163E6" w:rsidRPr="007357CF" w:rsidRDefault="003163E6" w:rsidP="00F16C1A">
            <w:pPr>
              <w:pStyle w:val="TableRowNormal"/>
              <w:ind w:left="0" w:firstLine="0"/>
              <w:jc w:val="left"/>
              <w:rPr>
                <w:rFonts w:cstheme="minorHAnsi"/>
              </w:rPr>
            </w:pPr>
            <w:r>
              <w:rPr>
                <w:rFonts w:cstheme="minorHAnsi"/>
              </w:rPr>
              <w:t>Gaming machines</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190</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180</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155</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0</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167</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101</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84</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144</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154</w:t>
            </w:r>
          </w:p>
        </w:tc>
      </w:tr>
      <w:tr w:rsidR="003163E6" w:rsidRPr="00FE3F73" w:rsidTr="00F16C1A">
        <w:tc>
          <w:tcPr>
            <w:tcW w:w="1118" w:type="pct"/>
            <w:vAlign w:val="bottom"/>
          </w:tcPr>
          <w:p w:rsidR="003163E6" w:rsidRDefault="003163E6" w:rsidP="00F16C1A">
            <w:pPr>
              <w:pStyle w:val="TableRowNormal"/>
              <w:ind w:left="0" w:firstLine="0"/>
              <w:jc w:val="left"/>
              <w:rPr>
                <w:rFonts w:cstheme="minorHAnsi"/>
              </w:rPr>
            </w:pPr>
            <w:r>
              <w:rPr>
                <w:rFonts w:cstheme="minorHAnsi"/>
              </w:rPr>
              <w:t>Lotteries</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49</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71</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58</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49</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44</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79</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38</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107</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57</w:t>
            </w:r>
          </w:p>
        </w:tc>
      </w:tr>
      <w:tr w:rsidR="003163E6" w:rsidRPr="00FE3F73" w:rsidTr="00F16C1A">
        <w:tc>
          <w:tcPr>
            <w:tcW w:w="1118" w:type="pct"/>
            <w:vAlign w:val="bottom"/>
          </w:tcPr>
          <w:p w:rsidR="003163E6" w:rsidRDefault="003163E6" w:rsidP="00F16C1A">
            <w:pPr>
              <w:pStyle w:val="TableRowNormal"/>
              <w:ind w:left="0" w:firstLine="0"/>
              <w:jc w:val="left"/>
              <w:rPr>
                <w:rFonts w:cstheme="minorHAnsi"/>
              </w:rPr>
            </w:pPr>
            <w:r>
              <w:rPr>
                <w:rFonts w:cstheme="minorHAnsi"/>
              </w:rPr>
              <w:t>Casinos</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37</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36</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21</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25</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11</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8</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5</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21</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29</w:t>
            </w:r>
          </w:p>
        </w:tc>
      </w:tr>
      <w:tr w:rsidR="003163E6" w:rsidRPr="00FE3F73" w:rsidTr="00F16C1A">
        <w:tc>
          <w:tcPr>
            <w:tcW w:w="1118" w:type="pct"/>
            <w:vAlign w:val="bottom"/>
          </w:tcPr>
          <w:p w:rsidR="003163E6" w:rsidRDefault="003163E6" w:rsidP="00F16C1A">
            <w:pPr>
              <w:pStyle w:val="TableRowNormal"/>
              <w:ind w:left="0" w:firstLine="0"/>
              <w:jc w:val="left"/>
              <w:rPr>
                <w:rFonts w:cstheme="minorHAnsi"/>
              </w:rPr>
            </w:pPr>
            <w:r>
              <w:rPr>
                <w:rFonts w:cstheme="minorHAnsi"/>
              </w:rPr>
              <w:t>Racing</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16</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13</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2</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13</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4</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0</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3</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29</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11</w:t>
            </w:r>
          </w:p>
        </w:tc>
      </w:tr>
      <w:tr w:rsidR="003163E6" w:rsidRPr="00FE3F73" w:rsidTr="00F16C1A">
        <w:tc>
          <w:tcPr>
            <w:tcW w:w="1118" w:type="pct"/>
            <w:vAlign w:val="bottom"/>
          </w:tcPr>
          <w:p w:rsidR="003163E6" w:rsidRDefault="003163E6" w:rsidP="00F16C1A">
            <w:pPr>
              <w:pStyle w:val="TableRowNormal"/>
              <w:ind w:left="0" w:firstLine="0"/>
              <w:jc w:val="left"/>
              <w:rPr>
                <w:rFonts w:cstheme="minorHAnsi"/>
              </w:rPr>
            </w:pPr>
            <w:r>
              <w:rPr>
                <w:rFonts w:cstheme="minorHAnsi"/>
              </w:rPr>
              <w:t>Other</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2</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6</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0</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0</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0</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0</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0</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0</w:t>
            </w:r>
          </w:p>
        </w:tc>
        <w:tc>
          <w:tcPr>
            <w:tcW w:w="431" w:type="pct"/>
            <w:vAlign w:val="bottom"/>
          </w:tcPr>
          <w:p w:rsidR="003163E6" w:rsidRPr="00620EFF" w:rsidRDefault="003163E6" w:rsidP="00F16C1A">
            <w:pPr>
              <w:pStyle w:val="TableRowNormal"/>
              <w:ind w:left="0" w:firstLine="0"/>
              <w:rPr>
                <w:rFonts w:cstheme="minorHAnsi"/>
              </w:rPr>
            </w:pPr>
            <w:r>
              <w:rPr>
                <w:rFonts w:cstheme="minorHAnsi"/>
              </w:rPr>
              <w:t>2</w:t>
            </w:r>
          </w:p>
        </w:tc>
      </w:tr>
      <w:tr w:rsidR="003163E6" w:rsidRPr="00FE3F73" w:rsidTr="00F16C1A">
        <w:tc>
          <w:tcPr>
            <w:tcW w:w="1118" w:type="pct"/>
            <w:tcBorders>
              <w:bottom w:val="single" w:sz="4" w:space="0" w:color="auto"/>
            </w:tcBorders>
            <w:vAlign w:val="bottom"/>
          </w:tcPr>
          <w:p w:rsidR="003163E6" w:rsidRDefault="003163E6" w:rsidP="00F16C1A">
            <w:pPr>
              <w:pStyle w:val="TableRowNormal"/>
              <w:ind w:left="0" w:firstLine="0"/>
              <w:jc w:val="left"/>
              <w:rPr>
                <w:rFonts w:cstheme="minorHAnsi"/>
              </w:rPr>
            </w:pPr>
            <w:r>
              <w:rPr>
                <w:rFonts w:cstheme="minorHAnsi"/>
              </w:rPr>
              <w:t>Total</w:t>
            </w:r>
          </w:p>
        </w:tc>
        <w:tc>
          <w:tcPr>
            <w:tcW w:w="431" w:type="pct"/>
            <w:tcBorders>
              <w:bottom w:val="single" w:sz="4" w:space="0" w:color="auto"/>
            </w:tcBorders>
            <w:vAlign w:val="bottom"/>
          </w:tcPr>
          <w:p w:rsidR="003163E6" w:rsidRPr="00620EFF" w:rsidRDefault="003163E6" w:rsidP="00F16C1A">
            <w:pPr>
              <w:pStyle w:val="TableRowNormal"/>
              <w:ind w:left="0" w:firstLine="0"/>
              <w:rPr>
                <w:rFonts w:cstheme="minorHAnsi"/>
              </w:rPr>
            </w:pPr>
            <w:r>
              <w:rPr>
                <w:rFonts w:cstheme="minorHAnsi"/>
              </w:rPr>
              <w:t>293</w:t>
            </w:r>
          </w:p>
        </w:tc>
        <w:tc>
          <w:tcPr>
            <w:tcW w:w="431" w:type="pct"/>
            <w:tcBorders>
              <w:bottom w:val="single" w:sz="4" w:space="0" w:color="auto"/>
            </w:tcBorders>
            <w:vAlign w:val="bottom"/>
          </w:tcPr>
          <w:p w:rsidR="003163E6" w:rsidRPr="00620EFF" w:rsidRDefault="003163E6" w:rsidP="00F16C1A">
            <w:pPr>
              <w:pStyle w:val="TableRowNormal"/>
              <w:ind w:left="0" w:firstLine="0"/>
              <w:rPr>
                <w:rFonts w:cstheme="minorHAnsi"/>
              </w:rPr>
            </w:pPr>
            <w:r>
              <w:rPr>
                <w:rFonts w:cstheme="minorHAnsi"/>
              </w:rPr>
              <w:t>306</w:t>
            </w:r>
          </w:p>
        </w:tc>
        <w:tc>
          <w:tcPr>
            <w:tcW w:w="431" w:type="pct"/>
            <w:tcBorders>
              <w:bottom w:val="single" w:sz="4" w:space="0" w:color="auto"/>
            </w:tcBorders>
            <w:vAlign w:val="bottom"/>
          </w:tcPr>
          <w:p w:rsidR="003163E6" w:rsidRPr="00620EFF" w:rsidRDefault="003163E6" w:rsidP="00F16C1A">
            <w:pPr>
              <w:pStyle w:val="TableRowNormal"/>
              <w:ind w:left="0" w:firstLine="0"/>
              <w:rPr>
                <w:rFonts w:cstheme="minorHAnsi"/>
              </w:rPr>
            </w:pPr>
            <w:r>
              <w:rPr>
                <w:rFonts w:cstheme="minorHAnsi"/>
              </w:rPr>
              <w:t>236</w:t>
            </w:r>
          </w:p>
        </w:tc>
        <w:tc>
          <w:tcPr>
            <w:tcW w:w="431" w:type="pct"/>
            <w:tcBorders>
              <w:bottom w:val="single" w:sz="4" w:space="0" w:color="auto"/>
            </w:tcBorders>
            <w:vAlign w:val="bottom"/>
          </w:tcPr>
          <w:p w:rsidR="003163E6" w:rsidRPr="00620EFF" w:rsidRDefault="003163E6" w:rsidP="00F16C1A">
            <w:pPr>
              <w:pStyle w:val="TableRowNormal"/>
              <w:ind w:left="0" w:firstLine="0"/>
              <w:rPr>
                <w:rFonts w:cstheme="minorHAnsi"/>
              </w:rPr>
            </w:pPr>
            <w:r>
              <w:rPr>
                <w:rFonts w:cstheme="minorHAnsi"/>
              </w:rPr>
              <w:t>87</w:t>
            </w:r>
          </w:p>
        </w:tc>
        <w:tc>
          <w:tcPr>
            <w:tcW w:w="431" w:type="pct"/>
            <w:tcBorders>
              <w:bottom w:val="single" w:sz="4" w:space="0" w:color="auto"/>
            </w:tcBorders>
            <w:vAlign w:val="bottom"/>
          </w:tcPr>
          <w:p w:rsidR="003163E6" w:rsidRPr="00620EFF" w:rsidRDefault="003163E6" w:rsidP="00F16C1A">
            <w:pPr>
              <w:pStyle w:val="TableRowNormal"/>
              <w:ind w:left="0" w:firstLine="0"/>
              <w:rPr>
                <w:rFonts w:cstheme="minorHAnsi"/>
              </w:rPr>
            </w:pPr>
            <w:r>
              <w:rPr>
                <w:rFonts w:cstheme="minorHAnsi"/>
              </w:rPr>
              <w:t>226</w:t>
            </w:r>
          </w:p>
        </w:tc>
        <w:tc>
          <w:tcPr>
            <w:tcW w:w="431" w:type="pct"/>
            <w:tcBorders>
              <w:bottom w:val="single" w:sz="4" w:space="0" w:color="auto"/>
            </w:tcBorders>
            <w:vAlign w:val="bottom"/>
          </w:tcPr>
          <w:p w:rsidR="003163E6" w:rsidRPr="00620EFF" w:rsidRDefault="003163E6" w:rsidP="00F16C1A">
            <w:pPr>
              <w:pStyle w:val="TableRowNormal"/>
              <w:ind w:left="0" w:firstLine="0"/>
              <w:rPr>
                <w:rFonts w:cstheme="minorHAnsi"/>
              </w:rPr>
            </w:pPr>
            <w:r>
              <w:rPr>
                <w:rFonts w:cstheme="minorHAnsi"/>
              </w:rPr>
              <w:t>187</w:t>
            </w:r>
          </w:p>
        </w:tc>
        <w:tc>
          <w:tcPr>
            <w:tcW w:w="431" w:type="pct"/>
            <w:tcBorders>
              <w:bottom w:val="single" w:sz="4" w:space="0" w:color="auto"/>
            </w:tcBorders>
            <w:vAlign w:val="bottom"/>
          </w:tcPr>
          <w:p w:rsidR="003163E6" w:rsidRPr="00620EFF" w:rsidRDefault="003163E6" w:rsidP="00F16C1A">
            <w:pPr>
              <w:pStyle w:val="TableRowNormal"/>
              <w:ind w:left="0" w:firstLine="0"/>
              <w:rPr>
                <w:rFonts w:cstheme="minorHAnsi"/>
              </w:rPr>
            </w:pPr>
            <w:r>
              <w:rPr>
                <w:rFonts w:cstheme="minorHAnsi"/>
              </w:rPr>
              <w:t>130</w:t>
            </w:r>
          </w:p>
        </w:tc>
        <w:tc>
          <w:tcPr>
            <w:tcW w:w="431" w:type="pct"/>
            <w:tcBorders>
              <w:bottom w:val="single" w:sz="4" w:space="0" w:color="auto"/>
            </w:tcBorders>
            <w:vAlign w:val="bottom"/>
          </w:tcPr>
          <w:p w:rsidR="003163E6" w:rsidRPr="00620EFF" w:rsidRDefault="003163E6" w:rsidP="00F16C1A">
            <w:pPr>
              <w:pStyle w:val="TableRowNormal"/>
              <w:ind w:left="0" w:firstLine="0"/>
              <w:rPr>
                <w:rFonts w:cstheme="minorHAnsi"/>
              </w:rPr>
            </w:pPr>
            <w:r>
              <w:rPr>
                <w:rFonts w:cstheme="minorHAnsi"/>
              </w:rPr>
              <w:t>299</w:t>
            </w:r>
          </w:p>
        </w:tc>
        <w:tc>
          <w:tcPr>
            <w:tcW w:w="431" w:type="pct"/>
            <w:tcBorders>
              <w:bottom w:val="single" w:sz="4" w:space="0" w:color="auto"/>
            </w:tcBorders>
            <w:vAlign w:val="bottom"/>
          </w:tcPr>
          <w:p w:rsidR="003163E6" w:rsidRPr="00620EFF" w:rsidRDefault="003163E6" w:rsidP="00F16C1A">
            <w:pPr>
              <w:pStyle w:val="TableRowNormal"/>
              <w:ind w:left="0" w:firstLine="0"/>
              <w:rPr>
                <w:rFonts w:cstheme="minorHAnsi"/>
              </w:rPr>
            </w:pPr>
            <w:r>
              <w:rPr>
                <w:rFonts w:cstheme="minorHAnsi"/>
              </w:rPr>
              <w:t>253</w:t>
            </w:r>
          </w:p>
        </w:tc>
      </w:tr>
    </w:tbl>
    <w:p w:rsidR="003163E6" w:rsidRDefault="003163E6" w:rsidP="003163E6">
      <w:pPr>
        <w:pStyle w:val="CGCTableFootnote"/>
      </w:pPr>
      <w:r>
        <w:t>Source:</w:t>
      </w:r>
      <w:r>
        <w:tab/>
        <w:t>ABS</w:t>
      </w:r>
      <w:r w:rsidR="00A530A1">
        <w:t>, T</w:t>
      </w:r>
      <w:r>
        <w:t>axation revenue</w:t>
      </w:r>
      <w:r w:rsidR="00A530A1">
        <w:t>, Australia, 2015-16, Cat No 5506.0</w:t>
      </w:r>
      <w:r>
        <w:t>.</w:t>
      </w:r>
    </w:p>
    <w:p w:rsidR="0090153F" w:rsidRDefault="003163E6" w:rsidP="006B159E">
      <w:pPr>
        <w:pStyle w:val="CGCNumberedPara"/>
      </w:pPr>
      <w:r>
        <w:t>In the</w:t>
      </w:r>
      <w:r w:rsidR="006B159E">
        <w:t xml:space="preserve"> </w:t>
      </w:r>
      <w:r>
        <w:t>2015 Review, gambling tax</w:t>
      </w:r>
      <w:r w:rsidR="00C46F34">
        <w:t xml:space="preserve">es were gathered together and </w:t>
      </w:r>
      <w:r>
        <w:t>assessed equal per capita (</w:t>
      </w:r>
      <w:proofErr w:type="spellStart"/>
      <w:r>
        <w:t>EPC</w:t>
      </w:r>
      <w:proofErr w:type="spellEnd"/>
      <w:r>
        <w:t xml:space="preserve">) </w:t>
      </w:r>
      <w:r w:rsidR="00C46F34">
        <w:t xml:space="preserve">in the </w:t>
      </w:r>
      <w:proofErr w:type="gramStart"/>
      <w:r w:rsidR="00C46F34">
        <w:t>Other</w:t>
      </w:r>
      <w:proofErr w:type="gramEnd"/>
      <w:r w:rsidR="00C46F34">
        <w:t xml:space="preserve"> revenue category</w:t>
      </w:r>
      <w:r>
        <w:t xml:space="preserve">. </w:t>
      </w:r>
      <w:r w:rsidR="0090153F">
        <w:t xml:space="preserve">An </w:t>
      </w:r>
      <w:proofErr w:type="spellStart"/>
      <w:r w:rsidR="0090153F">
        <w:t>EPC</w:t>
      </w:r>
      <w:proofErr w:type="spellEnd"/>
      <w:r w:rsidR="0090153F">
        <w:t xml:space="preserve"> approach means States are assessed to have the same capacity to raise gambling revenue (per capita).</w:t>
      </w:r>
    </w:p>
    <w:p w:rsidR="003163E6" w:rsidRDefault="003163E6" w:rsidP="003163E6">
      <w:pPr>
        <w:pStyle w:val="CGCNumberedPara"/>
        <w:numPr>
          <w:ilvl w:val="1"/>
          <w:numId w:val="3"/>
        </w:numPr>
      </w:pPr>
      <w:r>
        <w:t xml:space="preserve">The Commission </w:t>
      </w:r>
      <w:r w:rsidR="00C46F34">
        <w:t>adopted</w:t>
      </w:r>
      <w:r>
        <w:t xml:space="preserve"> this approach because </w:t>
      </w:r>
      <w:r w:rsidR="00C46F34">
        <w:t xml:space="preserve">the </w:t>
      </w:r>
      <w:r w:rsidR="001C0963">
        <w:t>effect of</w:t>
      </w:r>
      <w:r w:rsidR="00C46F34">
        <w:t xml:space="preserve"> State policies meant </w:t>
      </w:r>
      <w:r>
        <w:t>it was unable to develop</w:t>
      </w:r>
      <w:r w:rsidR="001C0963" w:rsidRPr="001C0963">
        <w:t xml:space="preserve"> </w:t>
      </w:r>
      <w:r w:rsidR="001C0963">
        <w:t>a policy neutral</w:t>
      </w:r>
      <w:r>
        <w:t>:</w:t>
      </w:r>
    </w:p>
    <w:p w:rsidR="003163E6" w:rsidRDefault="00C46F34" w:rsidP="003163E6">
      <w:pPr>
        <w:pStyle w:val="CGCBulletlist"/>
        <w:numPr>
          <w:ilvl w:val="0"/>
          <w:numId w:val="1"/>
        </w:numPr>
        <w:tabs>
          <w:tab w:val="clear" w:pos="927"/>
        </w:tabs>
        <w:ind w:left="1134" w:hanging="567"/>
      </w:pPr>
      <w:r>
        <w:t>capacity measure for each form of gambling</w:t>
      </w:r>
    </w:p>
    <w:p w:rsidR="003163E6" w:rsidRDefault="003163E6" w:rsidP="003163E6">
      <w:pPr>
        <w:pStyle w:val="CGCBulletlist"/>
        <w:numPr>
          <w:ilvl w:val="0"/>
          <w:numId w:val="1"/>
        </w:numPr>
        <w:tabs>
          <w:tab w:val="clear" w:pos="927"/>
        </w:tabs>
        <w:ind w:left="1134" w:hanging="567"/>
      </w:pPr>
      <w:proofErr w:type="gramStart"/>
      <w:r>
        <w:t>broad</w:t>
      </w:r>
      <w:proofErr w:type="gramEnd"/>
      <w:r>
        <w:t xml:space="preserve"> assessment </w:t>
      </w:r>
      <w:r w:rsidR="00C46F34">
        <w:t>of</w:t>
      </w:r>
      <w:r>
        <w:t xml:space="preserve"> </w:t>
      </w:r>
      <w:r w:rsidR="00C46F34">
        <w:t xml:space="preserve">all </w:t>
      </w:r>
      <w:r>
        <w:t>gambling that was material.</w:t>
      </w:r>
    </w:p>
    <w:p w:rsidR="00FB555C" w:rsidRDefault="00FB555C" w:rsidP="00FB555C">
      <w:pPr>
        <w:pStyle w:val="CGCNumberedPara"/>
      </w:pPr>
      <w:r>
        <w:t xml:space="preserve">In response to concerns about data reliability, policy neutrality and the degree of substitutability between different forms of gambling, the Commission has, over time, moved away from turnover measures to a broad assessment of gambling taxes and then to a discounted broad assessment. The introduction of materiality thresholds in the 2010 Review meant that the discounted broad assessment became immaterial. As a result, the Commission assessed gambling revenue </w:t>
      </w:r>
      <w:proofErr w:type="spellStart"/>
      <w:r>
        <w:t>EPC</w:t>
      </w:r>
      <w:proofErr w:type="spellEnd"/>
      <w:r>
        <w:t xml:space="preserve"> in both the 2010 and 2015 Reviews.</w:t>
      </w:r>
    </w:p>
    <w:p w:rsidR="00FF450D" w:rsidRDefault="00C46F34" w:rsidP="00C41742">
      <w:pPr>
        <w:pStyle w:val="CGCNumberedPara"/>
        <w:numPr>
          <w:ilvl w:val="1"/>
          <w:numId w:val="3"/>
        </w:numPr>
      </w:pPr>
      <w:r>
        <w:t>T</w:t>
      </w:r>
      <w:r w:rsidR="003163E6">
        <w:t xml:space="preserve">he Commission </w:t>
      </w:r>
      <w:r>
        <w:t>last made</w:t>
      </w:r>
      <w:r w:rsidR="003163E6">
        <w:t xml:space="preserve"> a differential assessment of gambling</w:t>
      </w:r>
      <w:r>
        <w:t xml:space="preserve"> taxes in the 2009 Update</w:t>
      </w:r>
      <w:r w:rsidR="006A4883">
        <w:t xml:space="preserve"> using methods developed in the 2004 Review</w:t>
      </w:r>
      <w:r>
        <w:t>. Th</w:t>
      </w:r>
      <w:r w:rsidR="00B13227">
        <w:t>at</w:t>
      </w:r>
      <w:r>
        <w:t xml:space="preserve"> assessment was based on a broad </w:t>
      </w:r>
      <w:r w:rsidR="00075006">
        <w:t>measure</w:t>
      </w:r>
      <w:r>
        <w:t xml:space="preserve"> of capacity </w:t>
      </w:r>
      <w:r w:rsidR="00B13227">
        <w:t xml:space="preserve">— </w:t>
      </w:r>
      <w:r w:rsidR="0032032B">
        <w:t xml:space="preserve">gross </w:t>
      </w:r>
      <w:r w:rsidR="003163E6">
        <w:t>household disposable income</w:t>
      </w:r>
      <w:r w:rsidR="001C0963">
        <w:t xml:space="preserve"> (</w:t>
      </w:r>
      <w:proofErr w:type="spellStart"/>
      <w:r w:rsidR="001C0963">
        <w:t>GHDI</w:t>
      </w:r>
      <w:proofErr w:type="spellEnd"/>
      <w:r w:rsidR="001C0963">
        <w:t>)</w:t>
      </w:r>
      <w:r w:rsidR="00B13227">
        <w:t xml:space="preserve">. </w:t>
      </w:r>
      <w:r w:rsidR="0032032B">
        <w:t>It chose this measure because there was evidence to support a relationship between income and gambling expenditure. As influences other than income</w:t>
      </w:r>
      <w:r w:rsidR="001C0963">
        <w:t xml:space="preserve"> also</w:t>
      </w:r>
      <w:r w:rsidR="0032032B">
        <w:t xml:space="preserve"> affected gambling activity, the Commission </w:t>
      </w:r>
      <w:r w:rsidR="001C0963">
        <w:t xml:space="preserve">discounted the </w:t>
      </w:r>
      <w:r w:rsidR="0032032B">
        <w:t>assessment</w:t>
      </w:r>
      <w:r w:rsidR="001C0963">
        <w:t xml:space="preserve"> by 50%.</w:t>
      </w:r>
    </w:p>
    <w:p w:rsidR="003163E6" w:rsidRDefault="003163E6" w:rsidP="003163E6">
      <w:pPr>
        <w:pStyle w:val="Heading3"/>
      </w:pPr>
      <w:bookmarkStart w:id="23" w:name="_Toc509341581"/>
      <w:bookmarkStart w:id="24" w:name="_Toc509399133"/>
      <w:r>
        <w:t>ISSUES AND ANALYSIS</w:t>
      </w:r>
      <w:bookmarkEnd w:id="23"/>
      <w:bookmarkEnd w:id="24"/>
    </w:p>
    <w:p w:rsidR="00F16C1A" w:rsidRDefault="00F16C1A" w:rsidP="003163E6">
      <w:pPr>
        <w:pStyle w:val="CGCNumberedPara"/>
        <w:numPr>
          <w:ilvl w:val="1"/>
          <w:numId w:val="3"/>
        </w:numPr>
      </w:pPr>
      <w:r>
        <w:t xml:space="preserve">The assessment guidelines </w:t>
      </w:r>
      <w:r w:rsidR="001C0963">
        <w:t xml:space="preserve">applying </w:t>
      </w:r>
      <w:r>
        <w:t xml:space="preserve">for the 2020 Review </w:t>
      </w:r>
      <w:r w:rsidR="001C0963">
        <w:t>were set out in a Commission</w:t>
      </w:r>
      <w:r>
        <w:t xml:space="preserve"> position paper.</w:t>
      </w:r>
      <w:r>
        <w:rPr>
          <w:rStyle w:val="FootnoteReference"/>
        </w:rPr>
        <w:footnoteReference w:id="2"/>
      </w:r>
      <w:r w:rsidR="00822984">
        <w:t xml:space="preserve"> An assessment will only be made when:</w:t>
      </w:r>
    </w:p>
    <w:p w:rsidR="00822984" w:rsidRDefault="00822984" w:rsidP="00822984">
      <w:pPr>
        <w:pStyle w:val="CGCBulletlist"/>
      </w:pPr>
      <w:r>
        <w:lastRenderedPageBreak/>
        <w:t>a case for the assessment has been established</w:t>
      </w:r>
    </w:p>
    <w:p w:rsidR="00822984" w:rsidRDefault="00822984" w:rsidP="00822984">
      <w:pPr>
        <w:pStyle w:val="CGCBulletlist"/>
      </w:pPr>
      <w:r>
        <w:t>a reliable method has been devised</w:t>
      </w:r>
    </w:p>
    <w:p w:rsidR="00AE1565" w:rsidRDefault="00822984" w:rsidP="00822984">
      <w:pPr>
        <w:pStyle w:val="CGCBulletlist"/>
      </w:pPr>
      <w:r>
        <w:t>data are available that are fit for purpose and of suitable quality</w:t>
      </w:r>
    </w:p>
    <w:p w:rsidR="00822984" w:rsidRDefault="00AE1565" w:rsidP="00822984">
      <w:pPr>
        <w:pStyle w:val="CGCBulletlist"/>
      </w:pPr>
      <w:proofErr w:type="gramStart"/>
      <w:r>
        <w:t>the</w:t>
      </w:r>
      <w:proofErr w:type="gramEnd"/>
      <w:r>
        <w:t xml:space="preserve"> assessment is material</w:t>
      </w:r>
      <w:r w:rsidR="00822984">
        <w:t>.</w:t>
      </w:r>
    </w:p>
    <w:p w:rsidR="0090153F" w:rsidRDefault="0090153F" w:rsidP="003163E6">
      <w:pPr>
        <w:pStyle w:val="CGCNumberedPara"/>
        <w:numPr>
          <w:ilvl w:val="1"/>
          <w:numId w:val="3"/>
        </w:numPr>
      </w:pPr>
      <w:r>
        <w:t xml:space="preserve">If </w:t>
      </w:r>
      <w:r w:rsidR="006A4883">
        <w:t>the Commission is</w:t>
      </w:r>
      <w:r>
        <w:t xml:space="preserve"> unable to develop a gambling asses</w:t>
      </w:r>
      <w:r w:rsidR="00A932C7">
        <w:t>sment that satisfies these four</w:t>
      </w:r>
      <w:r>
        <w:t xml:space="preserve"> guidelines, then gambling taxes </w:t>
      </w:r>
      <w:r w:rsidR="0038449D">
        <w:t>may</w:t>
      </w:r>
      <w:r>
        <w:t xml:space="preserve"> be assessed </w:t>
      </w:r>
      <w:proofErr w:type="spellStart"/>
      <w:r>
        <w:t>EPC</w:t>
      </w:r>
      <w:proofErr w:type="spellEnd"/>
      <w:r>
        <w:t xml:space="preserve"> in the 2020 Review.</w:t>
      </w:r>
    </w:p>
    <w:p w:rsidR="00E316BF" w:rsidRDefault="006A4883" w:rsidP="003163E6">
      <w:pPr>
        <w:pStyle w:val="CGCNumberedPara"/>
        <w:numPr>
          <w:ilvl w:val="1"/>
          <w:numId w:val="3"/>
        </w:numPr>
      </w:pPr>
      <w:r>
        <w:t xml:space="preserve">It might be expected that </w:t>
      </w:r>
      <w:r w:rsidR="00822984">
        <w:t xml:space="preserve">States have the capacity to raise different amounts of revenue from gambling taxes, in part, because of the </w:t>
      </w:r>
      <w:r w:rsidR="00E316BF">
        <w:t>effect of differences in the propensity of their residents to engage in gambling</w:t>
      </w:r>
      <w:r w:rsidR="009176FF">
        <w:t>.</w:t>
      </w:r>
      <w:r>
        <w:t xml:space="preserve"> However</w:t>
      </w:r>
      <w:r w:rsidR="00E51927">
        <w:t>,</w:t>
      </w:r>
      <w:r>
        <w:t xml:space="preserve"> since the 2004 Review the Commission has been unable to establish the conceptual case for a differential assessment of gambling revenue, because it has been unable to identify the underlying factors that drive gambling expenditure. The advent of online gambling, where taxation in one State might relate to the activities of residents from another State, or from overseas, has added further complication.</w:t>
      </w:r>
    </w:p>
    <w:p w:rsidR="00E316BF" w:rsidRDefault="001C0963" w:rsidP="003163E6">
      <w:pPr>
        <w:pStyle w:val="CGCNumberedPara"/>
        <w:numPr>
          <w:ilvl w:val="1"/>
          <w:numId w:val="3"/>
        </w:numPr>
      </w:pPr>
      <w:r>
        <w:t>So, the case for an</w:t>
      </w:r>
      <w:r w:rsidR="00F16C1A">
        <w:t xml:space="preserve"> assessment </w:t>
      </w:r>
      <w:r>
        <w:t>rests on</w:t>
      </w:r>
      <w:r w:rsidR="00F16C1A">
        <w:t xml:space="preserve"> whether</w:t>
      </w:r>
      <w:r w:rsidR="00E316BF">
        <w:t>:</w:t>
      </w:r>
    </w:p>
    <w:p w:rsidR="006A4883" w:rsidRDefault="006A4883" w:rsidP="00E316BF">
      <w:pPr>
        <w:pStyle w:val="CGCBulletlist"/>
      </w:pPr>
      <w:r>
        <w:t>underlying factors driving gambling expenditure can be identified</w:t>
      </w:r>
    </w:p>
    <w:p w:rsidR="00E316BF" w:rsidRDefault="00F16C1A" w:rsidP="00E316BF">
      <w:pPr>
        <w:pStyle w:val="CGCBulletlist"/>
      </w:pPr>
      <w:r>
        <w:t xml:space="preserve">a </w:t>
      </w:r>
      <w:r w:rsidR="00822984">
        <w:t>reliable method of</w:t>
      </w:r>
      <w:r>
        <w:t xml:space="preserve"> assess</w:t>
      </w:r>
      <w:r w:rsidR="006A4883">
        <w:t>ing the effect of these factors</w:t>
      </w:r>
      <w:r>
        <w:t xml:space="preserve"> </w:t>
      </w:r>
      <w:r w:rsidR="00822984">
        <w:t>can be developed</w:t>
      </w:r>
    </w:p>
    <w:p w:rsidR="00F16C1A" w:rsidRDefault="009176FF" w:rsidP="00E316BF">
      <w:pPr>
        <w:pStyle w:val="CGCBulletlist"/>
      </w:pPr>
      <w:proofErr w:type="gramStart"/>
      <w:r>
        <w:t>that</w:t>
      </w:r>
      <w:proofErr w:type="gramEnd"/>
      <w:r w:rsidR="00E316BF">
        <w:t xml:space="preserve"> assessment would be</w:t>
      </w:r>
      <w:r w:rsidR="00822984">
        <w:t xml:space="preserve"> material</w:t>
      </w:r>
      <w:r w:rsidR="00F16C1A">
        <w:t>.</w:t>
      </w:r>
    </w:p>
    <w:p w:rsidR="00F16C1A" w:rsidRDefault="00F16C1A" w:rsidP="003163E6">
      <w:pPr>
        <w:pStyle w:val="CGCNumberedPara"/>
        <w:numPr>
          <w:ilvl w:val="1"/>
          <w:numId w:val="3"/>
        </w:numPr>
      </w:pPr>
      <w:r>
        <w:t xml:space="preserve">The </w:t>
      </w:r>
      <w:r w:rsidR="00E316BF">
        <w:t>main</w:t>
      </w:r>
      <w:r>
        <w:t xml:space="preserve"> issues </w:t>
      </w:r>
      <w:r w:rsidR="00E316BF">
        <w:t>in developing a</w:t>
      </w:r>
      <w:r w:rsidR="009176FF">
        <w:t xml:space="preserve">n </w:t>
      </w:r>
      <w:r w:rsidR="00E316BF">
        <w:t xml:space="preserve">assessment </w:t>
      </w:r>
      <w:r w:rsidR="009176FF">
        <w:t xml:space="preserve">method </w:t>
      </w:r>
      <w:r w:rsidR="00E316BF">
        <w:t>have remained largely unchanged. They are</w:t>
      </w:r>
      <w:r>
        <w:t>:</w:t>
      </w:r>
    </w:p>
    <w:p w:rsidR="00F16C1A" w:rsidRDefault="00E316BF" w:rsidP="00F16C1A">
      <w:pPr>
        <w:pStyle w:val="CGCBulletlist"/>
      </w:pPr>
      <w:r>
        <w:t>t</w:t>
      </w:r>
      <w:r w:rsidR="00F16C1A">
        <w:t>he degree of substitutability betw</w:t>
      </w:r>
      <w:r>
        <w:t xml:space="preserve">een </w:t>
      </w:r>
      <w:r w:rsidR="009176FF">
        <w:t xml:space="preserve">the </w:t>
      </w:r>
      <w:r>
        <w:t>different forms of gambling</w:t>
      </w:r>
    </w:p>
    <w:p w:rsidR="00F16C1A" w:rsidRDefault="00E316BF" w:rsidP="00F16C1A">
      <w:pPr>
        <w:pStyle w:val="CGCBulletlist"/>
      </w:pPr>
      <w:r>
        <w:t>the effect of State policies</w:t>
      </w:r>
    </w:p>
    <w:p w:rsidR="00E316BF" w:rsidRDefault="00E316BF" w:rsidP="00F16C1A">
      <w:pPr>
        <w:pStyle w:val="CGCBulletlist"/>
      </w:pPr>
      <w:proofErr w:type="gramStart"/>
      <w:r>
        <w:t>the</w:t>
      </w:r>
      <w:proofErr w:type="gramEnd"/>
      <w:r>
        <w:t xml:space="preserve"> effect of differences in the propensity to engage in gambling.</w:t>
      </w:r>
    </w:p>
    <w:p w:rsidR="00E316BF" w:rsidRDefault="00E316BF" w:rsidP="003163E6">
      <w:pPr>
        <w:pStyle w:val="CGCNumberedPara"/>
        <w:numPr>
          <w:ilvl w:val="1"/>
          <w:numId w:val="3"/>
        </w:numPr>
      </w:pPr>
      <w:r>
        <w:t xml:space="preserve">If the degree of substitutability </w:t>
      </w:r>
      <w:r w:rsidR="00804F8B">
        <w:t xml:space="preserve">is </w:t>
      </w:r>
      <w:r>
        <w:t xml:space="preserve">deemed to be low, it </w:t>
      </w:r>
      <w:r w:rsidR="0090153F">
        <w:t>would</w:t>
      </w:r>
      <w:r>
        <w:t xml:space="preserve"> be possible to develop assessments for each form of gambling. If the degree of </w:t>
      </w:r>
      <w:r w:rsidR="00804F8B">
        <w:t xml:space="preserve">substitutability is deemed to be high, assessing all gambling taxes together </w:t>
      </w:r>
      <w:r w:rsidR="0090153F">
        <w:t>would be</w:t>
      </w:r>
      <w:r w:rsidR="00804F8B">
        <w:t xml:space="preserve"> more appropriate. </w:t>
      </w:r>
      <w:r w:rsidR="001C0963">
        <w:t>As early as its 1993 Review, t</w:t>
      </w:r>
      <w:r w:rsidR="00804F8B">
        <w:t xml:space="preserve">he Commission </w:t>
      </w:r>
      <w:r w:rsidR="001C0963">
        <w:t>found</w:t>
      </w:r>
      <w:r w:rsidR="00804F8B">
        <w:t xml:space="preserve"> the degree of substitutability </w:t>
      </w:r>
      <w:r w:rsidR="001C0963">
        <w:t>to be</w:t>
      </w:r>
      <w:r w:rsidR="00804F8B">
        <w:t xml:space="preserve"> high.</w:t>
      </w:r>
    </w:p>
    <w:p w:rsidR="00804F8B" w:rsidRDefault="00804F8B" w:rsidP="003163E6">
      <w:pPr>
        <w:pStyle w:val="CGCNumberedPara"/>
        <w:numPr>
          <w:ilvl w:val="1"/>
          <w:numId w:val="3"/>
        </w:numPr>
      </w:pPr>
      <w:r>
        <w:t xml:space="preserve">If State policy differences are material, adjustments may be required to ameliorate or remove them from the chosen capacity measure. </w:t>
      </w:r>
      <w:r w:rsidR="001C0963">
        <w:t>The data in</w:t>
      </w:r>
      <w:r>
        <w:t xml:space="preserve"> </w:t>
      </w:r>
      <w:r w:rsidRPr="00687201">
        <w:fldChar w:fldCharType="begin"/>
      </w:r>
      <w:r w:rsidRPr="00687201">
        <w:instrText xml:space="preserve"> REF _Ref508974503 \h </w:instrText>
      </w:r>
      <w:r>
        <w:instrText xml:space="preserve"> \* MERGEFORMAT </w:instrText>
      </w:r>
      <w:r w:rsidRPr="00687201">
        <w:fldChar w:fldCharType="separate"/>
      </w:r>
      <w:r w:rsidR="001133A0">
        <w:t>Table 3</w:t>
      </w:r>
      <w:r w:rsidRPr="00687201">
        <w:fldChar w:fldCharType="end"/>
      </w:r>
      <w:r>
        <w:t xml:space="preserve"> </w:t>
      </w:r>
      <w:r w:rsidR="001C0963">
        <w:t>suggest</w:t>
      </w:r>
      <w:r>
        <w:t xml:space="preserve"> the differences in State policies </w:t>
      </w:r>
      <w:r w:rsidR="001C0963">
        <w:t>are likely to be</w:t>
      </w:r>
      <w:r>
        <w:t xml:space="preserve"> material.</w:t>
      </w:r>
    </w:p>
    <w:p w:rsidR="009176FF" w:rsidRDefault="009176FF" w:rsidP="003163E6">
      <w:pPr>
        <w:pStyle w:val="CGCNumberedPara"/>
        <w:numPr>
          <w:ilvl w:val="1"/>
          <w:numId w:val="3"/>
        </w:numPr>
      </w:pPr>
      <w:r>
        <w:t xml:space="preserve">After considering these issues </w:t>
      </w:r>
      <w:r w:rsidR="001C0963">
        <w:t xml:space="preserve">in </w:t>
      </w:r>
      <w:r>
        <w:t>its 2010 Review, the Commission concluded:</w:t>
      </w:r>
    </w:p>
    <w:p w:rsidR="009176FF" w:rsidRDefault="009176FF" w:rsidP="009176FF">
      <w:pPr>
        <w:pStyle w:val="CGCQuotation"/>
      </w:pPr>
      <w:r w:rsidRPr="00572145">
        <w:t xml:space="preserve">We have decided to assess gambling revenue </w:t>
      </w:r>
      <w:proofErr w:type="spellStart"/>
      <w:r w:rsidRPr="00572145">
        <w:t>EPC</w:t>
      </w:r>
      <w:proofErr w:type="spellEnd"/>
      <w:r w:rsidRPr="00572145">
        <w:t xml:space="preserve"> because neither we nor the States were able to develop a reliable assessment. We consider differences in State policies on regulatory and related matters affect the interstate comparability of ABS estimates of gambling expenditure in each State and those effects cannot be reliably removed. Nor is it possible to construct policy neutral proxies by reference to the underlying factors that drive gambling expenditure. While the literature indicates personal </w:t>
      </w:r>
      <w:r w:rsidRPr="00572145">
        <w:lastRenderedPageBreak/>
        <w:t>income is not a good guide to gambling expenditure, it provides limited guidance on which socio-economic and behavioural factors are relevant. In any case, growth in online gambling, which facilitates gambling by overseas or interstate residents, has been weakening the link between gambling expenditure by residents of a State and the revenue raised by that State</w:t>
      </w:r>
      <w:r>
        <w:t>.</w:t>
      </w:r>
      <w:r>
        <w:rPr>
          <w:rStyle w:val="FootnoteReference"/>
        </w:rPr>
        <w:footnoteReference w:id="3"/>
      </w:r>
    </w:p>
    <w:p w:rsidR="008C30A9" w:rsidRDefault="008C30A9" w:rsidP="003163E6">
      <w:pPr>
        <w:pStyle w:val="CGCNumberedPara"/>
        <w:numPr>
          <w:ilvl w:val="1"/>
          <w:numId w:val="3"/>
        </w:numPr>
      </w:pPr>
      <w:r>
        <w:t xml:space="preserve">Developing an assessment method for the 2020 Review requires the resolution of </w:t>
      </w:r>
      <w:r w:rsidR="001C0963">
        <w:t>these</w:t>
      </w:r>
      <w:r>
        <w:t xml:space="preserve"> issues</w:t>
      </w:r>
      <w:r w:rsidR="001C0963">
        <w:t>, in particular</w:t>
      </w:r>
      <w:r>
        <w:t>:</w:t>
      </w:r>
    </w:p>
    <w:p w:rsidR="008C30A9" w:rsidRDefault="0090153F" w:rsidP="008C30A9">
      <w:pPr>
        <w:pStyle w:val="CGCBulletlist"/>
      </w:pPr>
      <w:r>
        <w:t xml:space="preserve">the choice of </w:t>
      </w:r>
      <w:r w:rsidR="001C0963">
        <w:t xml:space="preserve">an aggregated </w:t>
      </w:r>
      <w:r w:rsidR="008C30A9">
        <w:t xml:space="preserve">or </w:t>
      </w:r>
      <w:r w:rsidR="001C0963">
        <w:t>disaggregated gambling assessment</w:t>
      </w:r>
    </w:p>
    <w:p w:rsidR="008C30A9" w:rsidRDefault="00111F68" w:rsidP="008C30A9">
      <w:pPr>
        <w:pStyle w:val="CGCBulletlist"/>
      </w:pPr>
      <w:proofErr w:type="gramStart"/>
      <w:r>
        <w:t>the</w:t>
      </w:r>
      <w:proofErr w:type="gramEnd"/>
      <w:r>
        <w:t xml:space="preserve"> </w:t>
      </w:r>
      <w:r w:rsidR="0090153F">
        <w:t xml:space="preserve">identification of the </w:t>
      </w:r>
      <w:r>
        <w:t>drivers of gambling</w:t>
      </w:r>
      <w:r w:rsidR="008C30A9">
        <w:t>.</w:t>
      </w:r>
    </w:p>
    <w:p w:rsidR="00840527" w:rsidRPr="006F07EE" w:rsidRDefault="00111F68" w:rsidP="00840527">
      <w:pPr>
        <w:pStyle w:val="Heading4"/>
      </w:pPr>
      <w:bookmarkStart w:id="25" w:name="_Toc509341583"/>
      <w:bookmarkStart w:id="26" w:name="_Toc509399134"/>
      <w:r>
        <w:t>What are the</w:t>
      </w:r>
      <w:r w:rsidR="00840527">
        <w:t xml:space="preserve"> drivers of gambling</w:t>
      </w:r>
      <w:r>
        <w:t>?</w:t>
      </w:r>
      <w:bookmarkEnd w:id="25"/>
      <w:bookmarkEnd w:id="26"/>
    </w:p>
    <w:p w:rsidR="003163E6" w:rsidRDefault="003163E6" w:rsidP="003163E6">
      <w:pPr>
        <w:pStyle w:val="CGCNumberedPara"/>
        <w:numPr>
          <w:ilvl w:val="1"/>
          <w:numId w:val="3"/>
        </w:numPr>
      </w:pPr>
      <w:r>
        <w:t xml:space="preserve">Gambling activity in Australia has been the subject of considerable research. However, there have been no Australian studies linking gambling expenditure to potential drivers of gambling activity that could be used by the Commission to construct a differential assessment of gambling revenue. </w:t>
      </w:r>
    </w:p>
    <w:p w:rsidR="003163E6" w:rsidRPr="00123C01" w:rsidRDefault="003163E6" w:rsidP="003163E6">
      <w:pPr>
        <w:pStyle w:val="CGCNumberedPara"/>
        <w:numPr>
          <w:ilvl w:val="1"/>
          <w:numId w:val="3"/>
        </w:numPr>
      </w:pPr>
      <w:r>
        <w:t>In the 2015 Review</w:t>
      </w:r>
      <w:r w:rsidR="00111F68">
        <w:t>, the Commission explored</w:t>
      </w:r>
      <w:r w:rsidRPr="00123C01">
        <w:t xml:space="preserve"> a range of </w:t>
      </w:r>
      <w:r>
        <w:t xml:space="preserve">research and found that different studies suggested different drivers of overall gambling activity. The </w:t>
      </w:r>
      <w:r w:rsidR="00111F68">
        <w:t>Commission</w:t>
      </w:r>
      <w:r>
        <w:t xml:space="preserve"> also reviewed studies </w:t>
      </w:r>
      <w:r w:rsidR="0090153F">
        <w:t>investigating</w:t>
      </w:r>
      <w:r>
        <w:t xml:space="preserve"> the different forms of gambling</w:t>
      </w:r>
      <w:r w:rsidR="00111F68">
        <w:t>. It found</w:t>
      </w:r>
      <w:r>
        <w:t xml:space="preserve"> a lack of reliable and comparable data that would </w:t>
      </w:r>
      <w:r w:rsidR="00111F68">
        <w:t>allow it to</w:t>
      </w:r>
      <w:r>
        <w:t xml:space="preserve"> </w:t>
      </w:r>
      <w:r w:rsidR="0090153F">
        <w:t>link</w:t>
      </w:r>
      <w:r>
        <w:t xml:space="preserve"> gambling </w:t>
      </w:r>
      <w:r w:rsidR="001C0963">
        <w:t>activity</w:t>
      </w:r>
      <w:r>
        <w:t xml:space="preserve"> </w:t>
      </w:r>
      <w:r w:rsidR="0090153F">
        <w:t>to drivers</w:t>
      </w:r>
      <w:r>
        <w:t xml:space="preserve"> </w:t>
      </w:r>
      <w:r w:rsidR="00111F68">
        <w:t xml:space="preserve">beyond </w:t>
      </w:r>
      <w:r w:rsidR="001C0963">
        <w:t xml:space="preserve">a </w:t>
      </w:r>
      <w:r w:rsidR="00111F68">
        <w:t>State</w:t>
      </w:r>
      <w:r w:rsidR="001C0963">
        <w:t>’s</w:t>
      </w:r>
      <w:r w:rsidR="00111F68">
        <w:t xml:space="preserve"> control.</w:t>
      </w:r>
    </w:p>
    <w:p w:rsidR="003163E6" w:rsidRDefault="00111F68" w:rsidP="003163E6">
      <w:pPr>
        <w:pStyle w:val="CGCNumberedPara"/>
        <w:numPr>
          <w:ilvl w:val="1"/>
          <w:numId w:val="3"/>
        </w:numPr>
      </w:pPr>
      <w:r>
        <w:t xml:space="preserve">Commission staff have </w:t>
      </w:r>
      <w:r w:rsidR="001C0963">
        <w:t>reviewed</w:t>
      </w:r>
      <w:r>
        <w:t xml:space="preserve"> recent literature </w:t>
      </w:r>
      <w:r w:rsidR="001C0963">
        <w:t>on</w:t>
      </w:r>
      <w:r>
        <w:t xml:space="preserve"> gambling research. </w:t>
      </w:r>
      <w:r w:rsidR="001C0963">
        <w:t>There is</w:t>
      </w:r>
      <w:r>
        <w:t xml:space="preserve"> a</w:t>
      </w:r>
      <w:r w:rsidR="003163E6">
        <w:t xml:space="preserve"> </w:t>
      </w:r>
      <w:r w:rsidR="001C0963">
        <w:t xml:space="preserve">new </w:t>
      </w:r>
      <w:r w:rsidR="003163E6">
        <w:t>study</w:t>
      </w:r>
      <w:r>
        <w:rPr>
          <w:rStyle w:val="FootnoteReference"/>
        </w:rPr>
        <w:footnoteReference w:id="4"/>
      </w:r>
      <w:r w:rsidR="003163E6">
        <w:t xml:space="preserve"> </w:t>
      </w:r>
      <w:r w:rsidR="00524DD7">
        <w:t>that provides information on the characteristics of gamblers. The study makes use of data from</w:t>
      </w:r>
      <w:r w:rsidR="00003CB2">
        <w:t xml:space="preserve"> the</w:t>
      </w:r>
      <w:r w:rsidR="00524DD7">
        <w:t xml:space="preserve"> Household, Income and Labour Dynamics Survey (HILDA)</w:t>
      </w:r>
      <w:r w:rsidR="003163E6">
        <w:t xml:space="preserve">. The recent inclusion of questions </w:t>
      </w:r>
      <w:r w:rsidR="00C24A50">
        <w:t>on</w:t>
      </w:r>
      <w:r w:rsidR="003163E6">
        <w:t xml:space="preserve"> gambling activity </w:t>
      </w:r>
      <w:r w:rsidR="00C24A50">
        <w:t>means</w:t>
      </w:r>
      <w:r w:rsidR="003163E6">
        <w:t xml:space="preserve"> HILDA </w:t>
      </w:r>
      <w:r w:rsidR="00C24A50">
        <w:t>could be a</w:t>
      </w:r>
      <w:r w:rsidR="003163E6">
        <w:t xml:space="preserve"> source of data the Commission </w:t>
      </w:r>
      <w:r w:rsidR="00C24A50">
        <w:t xml:space="preserve">could use </w:t>
      </w:r>
      <w:r w:rsidR="003163E6">
        <w:t xml:space="preserve">to </w:t>
      </w:r>
      <w:r w:rsidR="00C24A50">
        <w:t>develop a gambling</w:t>
      </w:r>
      <w:r w:rsidR="003163E6">
        <w:t xml:space="preserve"> assessment.</w:t>
      </w:r>
    </w:p>
    <w:p w:rsidR="003163E6" w:rsidRDefault="00524DD7" w:rsidP="003163E6">
      <w:pPr>
        <w:pStyle w:val="Heading5"/>
      </w:pPr>
      <w:r>
        <w:t>A capacity me</w:t>
      </w:r>
      <w:r w:rsidR="00AE1565">
        <w:t xml:space="preserve">asure based on the </w:t>
      </w:r>
      <w:r w:rsidR="0022740D">
        <w:t>socio-demographic</w:t>
      </w:r>
      <w:r>
        <w:t xml:space="preserve"> characteristics of gamblers</w:t>
      </w:r>
    </w:p>
    <w:p w:rsidR="003163E6" w:rsidRDefault="003163E6" w:rsidP="003163E6">
      <w:pPr>
        <w:pStyle w:val="CGCNumberedPara"/>
        <w:numPr>
          <w:ilvl w:val="1"/>
          <w:numId w:val="3"/>
        </w:numPr>
      </w:pPr>
      <w:r>
        <w:t xml:space="preserve">HILDA is a nationally representative longitudinal panel study of Australian households </w:t>
      </w:r>
      <w:r w:rsidR="00C24A50">
        <w:t>that</w:t>
      </w:r>
      <w:r>
        <w:t xml:space="preserve"> commenced in 2001. The survey collects data on a wide range of aspects of Australian life, including key </w:t>
      </w:r>
      <w:r w:rsidR="0022740D">
        <w:t>socio-demographic</w:t>
      </w:r>
      <w:r>
        <w:t xml:space="preserve"> characteristics of respondents. Questions about gambling activity and expenditure were included for the first time in wave 15 (conducted throughout 2015), and 15 245 individuals responded to the </w:t>
      </w:r>
      <w:r>
        <w:lastRenderedPageBreak/>
        <w:t xml:space="preserve">gambling module. These data </w:t>
      </w:r>
      <w:r w:rsidR="00C24A50">
        <w:t>allow an</w:t>
      </w:r>
      <w:r>
        <w:t xml:space="preserve"> examination of the links between </w:t>
      </w:r>
      <w:r w:rsidR="0022740D">
        <w:t>socio-demographic</w:t>
      </w:r>
      <w:r>
        <w:t xml:space="preserve"> characteristics and gambling activity and expenditure.</w:t>
      </w:r>
    </w:p>
    <w:p w:rsidR="003163E6" w:rsidRDefault="003163E6" w:rsidP="003163E6">
      <w:pPr>
        <w:pStyle w:val="CGCNumberedPara"/>
        <w:numPr>
          <w:ilvl w:val="1"/>
          <w:numId w:val="3"/>
        </w:numPr>
      </w:pPr>
      <w:r>
        <w:t>The HILDA gambling module asks respondents about their participation in a series o</w:t>
      </w:r>
      <w:r w:rsidR="00C24A50">
        <w:t>f gambling activities during a ‘</w:t>
      </w:r>
      <w:r>
        <w:t>typical month</w:t>
      </w:r>
      <w:r w:rsidR="00C24A50">
        <w:t>’</w:t>
      </w:r>
      <w:r>
        <w:t xml:space="preserve">, and roughly how much money they spent (on average) on </w:t>
      </w:r>
      <w:r w:rsidR="00C24A50">
        <w:t>a range of gambling</w:t>
      </w:r>
      <w:r>
        <w:t xml:space="preserve"> activities</w:t>
      </w:r>
      <w:r w:rsidR="00C24A50">
        <w:t>.</w:t>
      </w:r>
      <w:r>
        <w:rPr>
          <w:rStyle w:val="FootnoteReference"/>
        </w:rPr>
        <w:footnoteReference w:id="5"/>
      </w:r>
      <w:r>
        <w:t xml:space="preserve"> The focus on specific types of gambling</w:t>
      </w:r>
      <w:r w:rsidR="00C24A50">
        <w:t xml:space="preserve"> might mean the Commission could use a single source of data to link </w:t>
      </w:r>
      <w:r>
        <w:t xml:space="preserve">the </w:t>
      </w:r>
      <w:r w:rsidR="0022740D">
        <w:t>socio-demographic</w:t>
      </w:r>
      <w:r>
        <w:t xml:space="preserve"> characteristics of participants </w:t>
      </w:r>
      <w:r w:rsidR="00C24A50">
        <w:t>to</w:t>
      </w:r>
      <w:r>
        <w:t xml:space="preserve"> different </w:t>
      </w:r>
      <w:r w:rsidR="00C24A50">
        <w:t>forms</w:t>
      </w:r>
      <w:r>
        <w:t xml:space="preserve"> of gambling.</w:t>
      </w:r>
    </w:p>
    <w:p w:rsidR="003163E6" w:rsidRDefault="003163E6" w:rsidP="003163E6">
      <w:pPr>
        <w:pStyle w:val="CGCNumberedPara"/>
        <w:numPr>
          <w:ilvl w:val="1"/>
          <w:numId w:val="3"/>
        </w:numPr>
      </w:pPr>
      <w:r>
        <w:t>Armstrong and Carroll found that, compared to the general Australian adult population, regular gamblers were significantly (</w:t>
      </w:r>
      <w:r>
        <w:rPr>
          <w:i/>
        </w:rPr>
        <w:t>p</w:t>
      </w:r>
      <w:r>
        <w:t xml:space="preserve"> &lt; 0.05) more likely to:</w:t>
      </w:r>
    </w:p>
    <w:p w:rsidR="003163E6" w:rsidRDefault="003163E6" w:rsidP="003163E6">
      <w:pPr>
        <w:pStyle w:val="CGCBulletlist"/>
        <w:numPr>
          <w:ilvl w:val="0"/>
          <w:numId w:val="1"/>
        </w:numPr>
        <w:tabs>
          <w:tab w:val="clear" w:pos="927"/>
        </w:tabs>
        <w:ind w:left="1134" w:hanging="567"/>
      </w:pPr>
      <w:r>
        <w:t>be male</w:t>
      </w:r>
    </w:p>
    <w:p w:rsidR="003163E6" w:rsidRDefault="003163E6" w:rsidP="003163E6">
      <w:pPr>
        <w:pStyle w:val="CGCBulletlist"/>
        <w:numPr>
          <w:ilvl w:val="0"/>
          <w:numId w:val="1"/>
        </w:numPr>
        <w:tabs>
          <w:tab w:val="clear" w:pos="927"/>
        </w:tabs>
        <w:ind w:left="1134" w:hanging="567"/>
      </w:pPr>
      <w:r>
        <w:t>be 50 years and older</w:t>
      </w:r>
    </w:p>
    <w:p w:rsidR="003163E6" w:rsidRDefault="003163E6" w:rsidP="003163E6">
      <w:pPr>
        <w:pStyle w:val="CGCBulletlist"/>
        <w:numPr>
          <w:ilvl w:val="0"/>
          <w:numId w:val="1"/>
        </w:numPr>
        <w:tabs>
          <w:tab w:val="clear" w:pos="927"/>
        </w:tabs>
        <w:ind w:left="1134" w:hanging="567"/>
      </w:pPr>
      <w:r>
        <w:t>have 10 years or less schooling, or to have a certificate/diploma as their highest level of education</w:t>
      </w:r>
    </w:p>
    <w:p w:rsidR="003163E6" w:rsidRDefault="003163E6" w:rsidP="003163E6">
      <w:pPr>
        <w:pStyle w:val="CGCBulletlist"/>
        <w:numPr>
          <w:ilvl w:val="0"/>
          <w:numId w:val="1"/>
        </w:numPr>
        <w:tabs>
          <w:tab w:val="clear" w:pos="927"/>
        </w:tabs>
        <w:ind w:left="1134" w:hanging="567"/>
      </w:pPr>
      <w:r>
        <w:t>be retired</w:t>
      </w:r>
    </w:p>
    <w:p w:rsidR="003163E6" w:rsidRDefault="003163E6" w:rsidP="003163E6">
      <w:pPr>
        <w:pStyle w:val="CGCBulletlist"/>
        <w:numPr>
          <w:ilvl w:val="0"/>
          <w:numId w:val="1"/>
        </w:numPr>
        <w:tabs>
          <w:tab w:val="clear" w:pos="927"/>
        </w:tabs>
        <w:ind w:left="1134" w:hanging="567"/>
      </w:pPr>
      <w:r>
        <w:t>live alone or with their partner and no others</w:t>
      </w:r>
    </w:p>
    <w:p w:rsidR="003163E6" w:rsidRDefault="003163E6" w:rsidP="003163E6">
      <w:pPr>
        <w:pStyle w:val="CGCBulletlist"/>
        <w:numPr>
          <w:ilvl w:val="0"/>
          <w:numId w:val="1"/>
        </w:numPr>
        <w:tabs>
          <w:tab w:val="clear" w:pos="927"/>
        </w:tabs>
        <w:ind w:left="1134" w:hanging="567"/>
      </w:pPr>
      <w:r>
        <w:t>live outside a major city</w:t>
      </w:r>
    </w:p>
    <w:p w:rsidR="003163E6" w:rsidRDefault="003163E6" w:rsidP="003163E6">
      <w:pPr>
        <w:pStyle w:val="CGCBulletlist"/>
        <w:numPr>
          <w:ilvl w:val="0"/>
          <w:numId w:val="1"/>
        </w:numPr>
        <w:tabs>
          <w:tab w:val="clear" w:pos="927"/>
        </w:tabs>
        <w:ind w:left="1134" w:hanging="567"/>
      </w:pPr>
      <w:proofErr w:type="gramStart"/>
      <w:r>
        <w:t>draw</w:t>
      </w:r>
      <w:proofErr w:type="gramEnd"/>
      <w:r>
        <w:t xml:space="preserve"> on welfare as their main source of income.</w:t>
      </w:r>
    </w:p>
    <w:p w:rsidR="003163E6" w:rsidRDefault="003163E6" w:rsidP="003163E6">
      <w:pPr>
        <w:pStyle w:val="CGCNumberedPara"/>
        <w:numPr>
          <w:ilvl w:val="1"/>
          <w:numId w:val="3"/>
        </w:numPr>
      </w:pPr>
      <w:r>
        <w:t>The</w:t>
      </w:r>
      <w:r w:rsidR="00C24A50">
        <w:t>y found</w:t>
      </w:r>
      <w:r>
        <w:t xml:space="preserve"> no significant association between </w:t>
      </w:r>
      <w:proofErr w:type="spellStart"/>
      <w:r>
        <w:t>equivalised</w:t>
      </w:r>
      <w:proofErr w:type="spellEnd"/>
      <w:r>
        <w:t xml:space="preserve"> disposable household income and gambling participation.</w:t>
      </w:r>
    </w:p>
    <w:p w:rsidR="003163E6" w:rsidRDefault="003163E6" w:rsidP="003163E6">
      <w:pPr>
        <w:pStyle w:val="CGCNumberedPara"/>
        <w:numPr>
          <w:ilvl w:val="1"/>
          <w:numId w:val="3"/>
        </w:numPr>
      </w:pPr>
      <w:r>
        <w:t xml:space="preserve">Armstrong and Carroll also provided a breakdown of </w:t>
      </w:r>
      <w:r w:rsidR="0022740D">
        <w:t>socio-demographic</w:t>
      </w:r>
      <w:r>
        <w:t xml:space="preserve"> characteristics of regular gamblers by type of gambling activity. The</w:t>
      </w:r>
      <w:r w:rsidR="00C24A50">
        <w:t>y found different</w:t>
      </w:r>
      <w:r>
        <w:t xml:space="preserve"> </w:t>
      </w:r>
      <w:r w:rsidR="0022740D">
        <w:t>socio-demographic</w:t>
      </w:r>
      <w:r>
        <w:t xml:space="preserve"> characteristics </w:t>
      </w:r>
      <w:r w:rsidR="00C24A50">
        <w:t xml:space="preserve">were related to </w:t>
      </w:r>
      <w:r>
        <w:t>different gambling activit</w:t>
      </w:r>
      <w:r w:rsidR="0090153F">
        <w:t>ies</w:t>
      </w:r>
      <w:r>
        <w:t xml:space="preserve">. </w:t>
      </w:r>
      <w:r w:rsidR="00C24A50">
        <w:t>Their work might support a disaggregated gambling assessment</w:t>
      </w:r>
      <w:r>
        <w:t>.</w:t>
      </w:r>
    </w:p>
    <w:p w:rsidR="003163E6" w:rsidRDefault="003163E6" w:rsidP="003163E6">
      <w:pPr>
        <w:pStyle w:val="CGCNumberedPara"/>
        <w:numPr>
          <w:ilvl w:val="1"/>
          <w:numId w:val="3"/>
        </w:numPr>
      </w:pPr>
      <w:r>
        <w:t xml:space="preserve">While providing a promising potential source of information linking </w:t>
      </w:r>
      <w:r w:rsidR="0022740D">
        <w:t>socio-demographic</w:t>
      </w:r>
      <w:r w:rsidR="00C24A50">
        <w:t xml:space="preserve"> characteristics and</w:t>
      </w:r>
      <w:r>
        <w:t xml:space="preserve"> gambling activity, HILDA</w:t>
      </w:r>
      <w:r w:rsidR="00C24A50">
        <w:t xml:space="preserve"> dat</w:t>
      </w:r>
      <w:r>
        <w:t>a have some limitations.</w:t>
      </w:r>
      <w:r w:rsidR="00524DD7">
        <w:t xml:space="preserve"> These </w:t>
      </w:r>
      <w:r w:rsidR="00003CB2">
        <w:t>are</w:t>
      </w:r>
      <w:r w:rsidR="00524DD7">
        <w:t xml:space="preserve"> a</w:t>
      </w:r>
      <w:r>
        <w:t xml:space="preserve"> possible lack of representativeness from non-response (though this is somewhat ameliorated by the inclusion of weights </w:t>
      </w:r>
      <w:r w:rsidR="00C24A50">
        <w:t>in</w:t>
      </w:r>
      <w:r>
        <w:t xml:space="preserve"> the HILDA dataset) and potential problems with response bias and recall.</w:t>
      </w:r>
    </w:p>
    <w:p w:rsidR="003163E6" w:rsidRDefault="003163E6" w:rsidP="003163E6">
      <w:pPr>
        <w:pStyle w:val="CGCNumberedPara"/>
        <w:numPr>
          <w:ilvl w:val="1"/>
          <w:numId w:val="3"/>
        </w:numPr>
      </w:pPr>
      <w:r>
        <w:t xml:space="preserve">The HILDA survey questions ask about gambling activity and expenditure in a typical month, which excludes occasional or one-off participation in gambling. While this helps to create a </w:t>
      </w:r>
      <w:r w:rsidR="0022740D">
        <w:t>socio-demographic</w:t>
      </w:r>
      <w:r>
        <w:t xml:space="preserve"> profile of regular gamblers, it does not capture all gambling activity.</w:t>
      </w:r>
      <w:r w:rsidR="00524DD7">
        <w:rPr>
          <w:rStyle w:val="FootnoteReference"/>
        </w:rPr>
        <w:footnoteReference w:id="6"/>
      </w:r>
    </w:p>
    <w:p w:rsidR="003163E6" w:rsidRDefault="003163E6" w:rsidP="003163E6">
      <w:pPr>
        <w:pStyle w:val="CGCNumberedPara"/>
        <w:numPr>
          <w:ilvl w:val="1"/>
          <w:numId w:val="3"/>
        </w:numPr>
      </w:pPr>
      <w:r>
        <w:lastRenderedPageBreak/>
        <w:t xml:space="preserve">State policy differences </w:t>
      </w:r>
      <w:r w:rsidR="0090153F">
        <w:t>could affect</w:t>
      </w:r>
      <w:r>
        <w:t xml:space="preserve"> the </w:t>
      </w:r>
      <w:r w:rsidR="0022740D">
        <w:t>socio-demographic</w:t>
      </w:r>
      <w:r w:rsidR="00E75F36">
        <w:t xml:space="preserve"> characteristics identified as drivers</w:t>
      </w:r>
      <w:r>
        <w:t xml:space="preserve"> of gambling activity. For example, HILDA participants in major cities were significantly less likely to have used electronic gaming machines, and those in inner regional areas were significantly more likely to have used them. This is unlikely to be the case in Western Australia, which has gaming machines only in its inner-city casino. </w:t>
      </w:r>
      <w:r w:rsidR="0090153F">
        <w:t>Such State differences could</w:t>
      </w:r>
      <w:r w:rsidR="00E75F36">
        <w:t xml:space="preserve"> impede the development of a</w:t>
      </w:r>
      <w:r>
        <w:t xml:space="preserve"> policy</w:t>
      </w:r>
      <w:r w:rsidR="00524DD7">
        <w:t xml:space="preserve"> </w:t>
      </w:r>
      <w:r>
        <w:t xml:space="preserve">neutral assessment based on </w:t>
      </w:r>
      <w:r w:rsidR="00AE1565">
        <w:t xml:space="preserve">the </w:t>
      </w:r>
      <w:r w:rsidR="0022740D">
        <w:t>socio-demographic</w:t>
      </w:r>
      <w:r w:rsidR="00524DD7">
        <w:t xml:space="preserve"> characteristics of gamblers</w:t>
      </w:r>
      <w:r>
        <w:t>.</w:t>
      </w:r>
    </w:p>
    <w:p w:rsidR="003163E6" w:rsidRDefault="003163E6" w:rsidP="003163E6">
      <w:pPr>
        <w:pStyle w:val="CGCNumberedPara"/>
        <w:numPr>
          <w:ilvl w:val="1"/>
          <w:numId w:val="3"/>
        </w:numPr>
      </w:pPr>
      <w:r w:rsidRPr="00BF1C3A">
        <w:t xml:space="preserve">Notwithstanding these possible limitations of the HILDA data, </w:t>
      </w:r>
      <w:r w:rsidR="00524DD7">
        <w:t xml:space="preserve">Commission staff propose to continue </w:t>
      </w:r>
      <w:r w:rsidRPr="00BF1C3A">
        <w:t>explor</w:t>
      </w:r>
      <w:r w:rsidR="00524DD7">
        <w:t>ing</w:t>
      </w:r>
      <w:r w:rsidRPr="00BF1C3A">
        <w:t xml:space="preserve"> the data, </w:t>
      </w:r>
      <w:r w:rsidR="00E75F36">
        <w:t>to investigate the links</w:t>
      </w:r>
      <w:r w:rsidRPr="00BF1C3A">
        <w:t xml:space="preserve"> between </w:t>
      </w:r>
      <w:r w:rsidR="0022740D">
        <w:t>socio-demographic</w:t>
      </w:r>
      <w:r w:rsidRPr="00BF1C3A">
        <w:t xml:space="preserve"> characteristics and gambling </w:t>
      </w:r>
      <w:r w:rsidR="00E75F36">
        <w:t>activity</w:t>
      </w:r>
      <w:r w:rsidRPr="00BF1C3A">
        <w:t>.</w:t>
      </w:r>
    </w:p>
    <w:p w:rsidR="005D7AE5" w:rsidRDefault="00E75F36" w:rsidP="005D7AE5">
      <w:pPr>
        <w:pStyle w:val="CGCNumberedPara"/>
        <w:numPr>
          <w:ilvl w:val="1"/>
          <w:numId w:val="3"/>
        </w:numPr>
      </w:pPr>
      <w:r>
        <w:t xml:space="preserve">In the past, Commission staff have investigated other population based measures, including </w:t>
      </w:r>
      <w:r w:rsidR="005D7AE5">
        <w:t>household expenditure, number</w:t>
      </w:r>
      <w:r>
        <w:t>s</w:t>
      </w:r>
      <w:r w:rsidR="005D7AE5">
        <w:t xml:space="preserve"> of </w:t>
      </w:r>
      <w:r>
        <w:t>people in population subgroups</w:t>
      </w:r>
      <w:r w:rsidR="005D7AE5">
        <w:t xml:space="preserve">, and the proportion of </w:t>
      </w:r>
      <w:r>
        <w:t xml:space="preserve">people </w:t>
      </w:r>
      <w:r w:rsidR="005D7AE5">
        <w:t>on high and low incomes.</w:t>
      </w:r>
      <w:r>
        <w:t xml:space="preserve"> </w:t>
      </w:r>
      <w:r w:rsidR="0090153F">
        <w:t>Past experience suggests that people based measures are unlikely to pass the Commission’s disability materiality threshold of $35 per capita, so t</w:t>
      </w:r>
      <w:r>
        <w:t>his avenue of research is less promising.</w:t>
      </w:r>
    </w:p>
    <w:p w:rsidR="005D7AE5" w:rsidRDefault="005D7AE5" w:rsidP="005D7AE5">
      <w:pPr>
        <w:pStyle w:val="CGCNumberedPara"/>
        <w:numPr>
          <w:ilvl w:val="1"/>
          <w:numId w:val="3"/>
        </w:numPr>
      </w:pPr>
      <w:r>
        <w:fldChar w:fldCharType="begin"/>
      </w:r>
      <w:r>
        <w:instrText xml:space="preserve"> REF _Ref509219256 \h </w:instrText>
      </w:r>
      <w:r>
        <w:fldChar w:fldCharType="separate"/>
      </w:r>
      <w:r w:rsidR="001133A0">
        <w:t>Table </w:t>
      </w:r>
      <w:r w:rsidR="001133A0">
        <w:rPr>
          <w:noProof/>
        </w:rPr>
        <w:t>4</w:t>
      </w:r>
      <w:r>
        <w:fldChar w:fldCharType="end"/>
      </w:r>
      <w:r>
        <w:t xml:space="preserve"> shows the variation between States in the proportion of their populations falling </w:t>
      </w:r>
      <w:r w:rsidR="00E75F36">
        <w:t>within</w:t>
      </w:r>
      <w:r>
        <w:t xml:space="preserve"> different demographic groups.</w:t>
      </w:r>
    </w:p>
    <w:p w:rsidR="005D7AE5" w:rsidRDefault="005D7AE5" w:rsidP="005D7AE5">
      <w:pPr>
        <w:pStyle w:val="CGCTableHeading"/>
        <w:ind w:left="0" w:firstLine="0"/>
      </w:pPr>
      <w:bookmarkStart w:id="27" w:name="_Ref509219256"/>
      <w:r>
        <w:t>Table </w:t>
      </w:r>
      <w:r w:rsidR="001133A0">
        <w:fldChar w:fldCharType="begin"/>
      </w:r>
      <w:r w:rsidR="001133A0">
        <w:instrText xml:space="preserve"> SEQ Table \* ARABIC </w:instrText>
      </w:r>
      <w:r w:rsidR="001133A0">
        <w:fldChar w:fldCharType="separate"/>
      </w:r>
      <w:r w:rsidR="001133A0">
        <w:rPr>
          <w:noProof/>
        </w:rPr>
        <w:t>4</w:t>
      </w:r>
      <w:r w:rsidR="001133A0">
        <w:rPr>
          <w:noProof/>
        </w:rPr>
        <w:fldChar w:fldCharType="end"/>
      </w:r>
      <w:bookmarkEnd w:id="27"/>
      <w:r>
        <w:tab/>
        <w:t>State proportions of populations in different demographic groups, 2015-16</w:t>
      </w:r>
    </w:p>
    <w:tbl>
      <w:tblPr>
        <w:tblW w:w="5000" w:type="pct"/>
        <w:tblLayout w:type="fixed"/>
        <w:tblCellMar>
          <w:left w:w="85" w:type="dxa"/>
          <w:right w:w="85" w:type="dxa"/>
        </w:tblCellMar>
        <w:tblLook w:val="0000" w:firstRow="0" w:lastRow="0" w:firstColumn="0" w:lastColumn="0" w:noHBand="0" w:noVBand="0"/>
      </w:tblPr>
      <w:tblGrid>
        <w:gridCol w:w="2576"/>
        <w:gridCol w:w="707"/>
        <w:gridCol w:w="709"/>
        <w:gridCol w:w="709"/>
        <w:gridCol w:w="709"/>
        <w:gridCol w:w="707"/>
        <w:gridCol w:w="709"/>
        <w:gridCol w:w="709"/>
        <w:gridCol w:w="709"/>
        <w:gridCol w:w="707"/>
      </w:tblGrid>
      <w:tr w:rsidR="005D7AE5" w:rsidRPr="00FE3F73" w:rsidTr="008759F1">
        <w:tc>
          <w:tcPr>
            <w:tcW w:w="1439" w:type="pct"/>
            <w:tcBorders>
              <w:top w:val="single" w:sz="6" w:space="0" w:color="auto"/>
              <w:bottom w:val="single" w:sz="6" w:space="0" w:color="auto"/>
            </w:tcBorders>
            <w:vAlign w:val="bottom"/>
          </w:tcPr>
          <w:p w:rsidR="005D7AE5" w:rsidRPr="00FE3F73" w:rsidRDefault="005D7AE5" w:rsidP="001C0963">
            <w:pPr>
              <w:pStyle w:val="CGCTableStub"/>
              <w:spacing w:line="240" w:lineRule="auto"/>
              <w:ind w:left="142" w:hanging="142"/>
              <w:rPr>
                <w:rFonts w:cstheme="minorHAnsi"/>
              </w:rPr>
            </w:pPr>
          </w:p>
        </w:tc>
        <w:tc>
          <w:tcPr>
            <w:tcW w:w="395" w:type="pct"/>
            <w:tcBorders>
              <w:top w:val="single" w:sz="6" w:space="0" w:color="auto"/>
              <w:bottom w:val="single" w:sz="4" w:space="0" w:color="auto"/>
            </w:tcBorders>
            <w:vAlign w:val="bottom"/>
          </w:tcPr>
          <w:p w:rsidR="005D7AE5" w:rsidRPr="00FE3F73" w:rsidRDefault="005D7AE5" w:rsidP="001C0963">
            <w:pPr>
              <w:pStyle w:val="TableColHeadings"/>
              <w:rPr>
                <w:rFonts w:cstheme="minorHAnsi"/>
              </w:rPr>
            </w:pPr>
            <w:r w:rsidRPr="00FE3F73">
              <w:rPr>
                <w:rFonts w:cstheme="minorHAnsi"/>
              </w:rPr>
              <w:t>NSW</w:t>
            </w:r>
          </w:p>
        </w:tc>
        <w:tc>
          <w:tcPr>
            <w:tcW w:w="396" w:type="pct"/>
            <w:tcBorders>
              <w:top w:val="single" w:sz="6" w:space="0" w:color="auto"/>
              <w:bottom w:val="single" w:sz="4" w:space="0" w:color="auto"/>
            </w:tcBorders>
            <w:vAlign w:val="bottom"/>
          </w:tcPr>
          <w:p w:rsidR="005D7AE5" w:rsidRPr="00FE3F73" w:rsidRDefault="005D7AE5" w:rsidP="001C0963">
            <w:pPr>
              <w:pStyle w:val="TableColHeadings"/>
              <w:rPr>
                <w:rFonts w:cstheme="minorHAnsi"/>
              </w:rPr>
            </w:pPr>
            <w:r w:rsidRPr="00FE3F73">
              <w:rPr>
                <w:rFonts w:cstheme="minorHAnsi"/>
              </w:rPr>
              <w:t>Vic</w:t>
            </w:r>
          </w:p>
        </w:tc>
        <w:tc>
          <w:tcPr>
            <w:tcW w:w="396" w:type="pct"/>
            <w:tcBorders>
              <w:top w:val="single" w:sz="6" w:space="0" w:color="auto"/>
              <w:bottom w:val="single" w:sz="4" w:space="0" w:color="auto"/>
            </w:tcBorders>
            <w:vAlign w:val="bottom"/>
          </w:tcPr>
          <w:p w:rsidR="005D7AE5" w:rsidRPr="00FE3F73" w:rsidRDefault="005D7AE5" w:rsidP="001C0963">
            <w:pPr>
              <w:pStyle w:val="TableColHeadings"/>
              <w:rPr>
                <w:rFonts w:cstheme="minorHAnsi"/>
              </w:rPr>
            </w:pPr>
            <w:r w:rsidRPr="00FE3F73">
              <w:rPr>
                <w:rFonts w:cstheme="minorHAnsi"/>
              </w:rPr>
              <w:t>Qld</w:t>
            </w:r>
          </w:p>
        </w:tc>
        <w:tc>
          <w:tcPr>
            <w:tcW w:w="396" w:type="pct"/>
            <w:tcBorders>
              <w:top w:val="single" w:sz="6" w:space="0" w:color="auto"/>
              <w:bottom w:val="single" w:sz="4" w:space="0" w:color="auto"/>
            </w:tcBorders>
            <w:vAlign w:val="bottom"/>
          </w:tcPr>
          <w:p w:rsidR="005D7AE5" w:rsidRPr="00FE3F73" w:rsidRDefault="005D7AE5" w:rsidP="001C0963">
            <w:pPr>
              <w:pStyle w:val="TableColHeadings"/>
              <w:rPr>
                <w:rFonts w:cstheme="minorHAnsi"/>
              </w:rPr>
            </w:pPr>
            <w:r w:rsidRPr="00FE3F73">
              <w:rPr>
                <w:rFonts w:cstheme="minorHAnsi"/>
              </w:rPr>
              <w:t>WA</w:t>
            </w:r>
          </w:p>
        </w:tc>
        <w:tc>
          <w:tcPr>
            <w:tcW w:w="395" w:type="pct"/>
            <w:tcBorders>
              <w:top w:val="single" w:sz="6" w:space="0" w:color="auto"/>
              <w:bottom w:val="single" w:sz="4" w:space="0" w:color="auto"/>
            </w:tcBorders>
            <w:vAlign w:val="bottom"/>
          </w:tcPr>
          <w:p w:rsidR="005D7AE5" w:rsidRPr="00FE3F73" w:rsidRDefault="005D7AE5" w:rsidP="001C0963">
            <w:pPr>
              <w:pStyle w:val="TableColHeadings"/>
              <w:rPr>
                <w:rFonts w:cstheme="minorHAnsi"/>
              </w:rPr>
            </w:pPr>
            <w:r w:rsidRPr="00FE3F73">
              <w:rPr>
                <w:rFonts w:cstheme="minorHAnsi"/>
              </w:rPr>
              <w:t>SA</w:t>
            </w:r>
          </w:p>
        </w:tc>
        <w:tc>
          <w:tcPr>
            <w:tcW w:w="396" w:type="pct"/>
            <w:tcBorders>
              <w:top w:val="single" w:sz="6" w:space="0" w:color="auto"/>
              <w:bottom w:val="single" w:sz="4" w:space="0" w:color="auto"/>
            </w:tcBorders>
            <w:vAlign w:val="bottom"/>
          </w:tcPr>
          <w:p w:rsidR="005D7AE5" w:rsidRPr="00FE3F73" w:rsidRDefault="005D7AE5" w:rsidP="001C0963">
            <w:pPr>
              <w:pStyle w:val="TableColHeadings"/>
              <w:rPr>
                <w:rFonts w:cstheme="minorHAnsi"/>
              </w:rPr>
            </w:pPr>
            <w:proofErr w:type="spellStart"/>
            <w:r w:rsidRPr="00FE3F73">
              <w:rPr>
                <w:rFonts w:cstheme="minorHAnsi"/>
              </w:rPr>
              <w:t>Tas</w:t>
            </w:r>
            <w:proofErr w:type="spellEnd"/>
          </w:p>
        </w:tc>
        <w:tc>
          <w:tcPr>
            <w:tcW w:w="396" w:type="pct"/>
            <w:tcBorders>
              <w:top w:val="single" w:sz="6" w:space="0" w:color="auto"/>
              <w:bottom w:val="single" w:sz="4" w:space="0" w:color="auto"/>
            </w:tcBorders>
            <w:vAlign w:val="bottom"/>
          </w:tcPr>
          <w:p w:rsidR="005D7AE5" w:rsidRPr="00FE3F73" w:rsidRDefault="008759F1" w:rsidP="001C0963">
            <w:pPr>
              <w:pStyle w:val="TableColHeadings"/>
              <w:rPr>
                <w:rFonts w:cstheme="minorHAnsi"/>
              </w:rPr>
            </w:pPr>
            <w:r>
              <w:rPr>
                <w:rFonts w:cstheme="minorHAnsi"/>
              </w:rPr>
              <w:t>AC</w:t>
            </w:r>
            <w:r w:rsidR="005D7AE5">
              <w:rPr>
                <w:rFonts w:cstheme="minorHAnsi"/>
              </w:rPr>
              <w:t>T</w:t>
            </w:r>
          </w:p>
        </w:tc>
        <w:tc>
          <w:tcPr>
            <w:tcW w:w="396" w:type="pct"/>
            <w:tcBorders>
              <w:top w:val="single" w:sz="6" w:space="0" w:color="auto"/>
              <w:bottom w:val="single" w:sz="4" w:space="0" w:color="auto"/>
            </w:tcBorders>
            <w:vAlign w:val="bottom"/>
          </w:tcPr>
          <w:p w:rsidR="005D7AE5" w:rsidRPr="00FE3F73" w:rsidRDefault="008759F1" w:rsidP="001C0963">
            <w:pPr>
              <w:pStyle w:val="TableColHeadings"/>
              <w:rPr>
                <w:rFonts w:cstheme="minorHAnsi"/>
              </w:rPr>
            </w:pPr>
            <w:r>
              <w:rPr>
                <w:rFonts w:cstheme="minorHAnsi"/>
              </w:rPr>
              <w:t>N</w:t>
            </w:r>
            <w:r w:rsidR="005D7AE5">
              <w:rPr>
                <w:rFonts w:cstheme="minorHAnsi"/>
              </w:rPr>
              <w:t>T</w:t>
            </w:r>
          </w:p>
        </w:tc>
        <w:tc>
          <w:tcPr>
            <w:tcW w:w="395" w:type="pct"/>
            <w:tcBorders>
              <w:top w:val="single" w:sz="6" w:space="0" w:color="auto"/>
              <w:bottom w:val="single" w:sz="4" w:space="0" w:color="auto"/>
            </w:tcBorders>
            <w:vAlign w:val="bottom"/>
          </w:tcPr>
          <w:p w:rsidR="005D7AE5" w:rsidRPr="00FE3F73" w:rsidRDefault="005D7AE5" w:rsidP="001C0963">
            <w:pPr>
              <w:pStyle w:val="TableColHeadings"/>
              <w:rPr>
                <w:rFonts w:cstheme="minorHAnsi"/>
              </w:rPr>
            </w:pPr>
            <w:r>
              <w:rPr>
                <w:rFonts w:cstheme="minorHAnsi"/>
              </w:rPr>
              <w:t>Ave</w:t>
            </w:r>
          </w:p>
        </w:tc>
      </w:tr>
      <w:tr w:rsidR="008759F1" w:rsidRPr="00FE3F73" w:rsidTr="008759F1">
        <w:tc>
          <w:tcPr>
            <w:tcW w:w="1439" w:type="pct"/>
            <w:vAlign w:val="bottom"/>
          </w:tcPr>
          <w:p w:rsidR="008759F1" w:rsidRPr="003B5E83" w:rsidRDefault="008759F1" w:rsidP="008759F1">
            <w:pPr>
              <w:pStyle w:val="TableRowNormal"/>
              <w:ind w:left="0" w:firstLine="0"/>
              <w:jc w:val="left"/>
              <w:rPr>
                <w:rFonts w:cstheme="minorHAnsi"/>
                <w:vertAlign w:val="superscript"/>
              </w:rPr>
            </w:pPr>
            <w:r>
              <w:rPr>
                <w:rFonts w:cstheme="minorHAnsi"/>
              </w:rPr>
              <w:t>Average household weekly expenditure on goods and services ($)</w:t>
            </w:r>
            <w:r w:rsidRPr="004D073B">
              <w:rPr>
                <w:rFonts w:cstheme="minorHAnsi"/>
                <w:vertAlign w:val="superscript"/>
              </w:rPr>
              <w:t>(a)</w:t>
            </w:r>
          </w:p>
        </w:tc>
        <w:tc>
          <w:tcPr>
            <w:tcW w:w="395" w:type="pct"/>
            <w:vAlign w:val="bottom"/>
          </w:tcPr>
          <w:p w:rsidR="008759F1" w:rsidRPr="00620EFF" w:rsidRDefault="008759F1" w:rsidP="008759F1">
            <w:pPr>
              <w:pStyle w:val="TableRowNormal"/>
              <w:ind w:left="0" w:firstLine="0"/>
              <w:rPr>
                <w:rFonts w:cstheme="minorHAnsi"/>
              </w:rPr>
            </w:pPr>
            <w:r>
              <w:rPr>
                <w:rFonts w:cstheme="minorHAnsi"/>
              </w:rPr>
              <w:t>1 525</w:t>
            </w:r>
          </w:p>
        </w:tc>
        <w:tc>
          <w:tcPr>
            <w:tcW w:w="396" w:type="pct"/>
            <w:vAlign w:val="bottom"/>
          </w:tcPr>
          <w:p w:rsidR="008759F1" w:rsidRPr="00620EFF" w:rsidRDefault="008759F1" w:rsidP="008759F1">
            <w:pPr>
              <w:pStyle w:val="TableRowNormal"/>
              <w:ind w:left="0" w:firstLine="0"/>
              <w:rPr>
                <w:rFonts w:cstheme="minorHAnsi"/>
              </w:rPr>
            </w:pPr>
            <w:r>
              <w:rPr>
                <w:rFonts w:cstheme="minorHAnsi"/>
              </w:rPr>
              <w:t>1 430</w:t>
            </w:r>
          </w:p>
        </w:tc>
        <w:tc>
          <w:tcPr>
            <w:tcW w:w="396" w:type="pct"/>
            <w:vAlign w:val="bottom"/>
          </w:tcPr>
          <w:p w:rsidR="008759F1" w:rsidRPr="00620EFF" w:rsidRDefault="008759F1" w:rsidP="008759F1">
            <w:pPr>
              <w:pStyle w:val="TableRowNormal"/>
              <w:ind w:left="0" w:firstLine="0"/>
              <w:rPr>
                <w:rFonts w:cstheme="minorHAnsi"/>
              </w:rPr>
            </w:pPr>
            <w:r>
              <w:rPr>
                <w:rFonts w:cstheme="minorHAnsi"/>
              </w:rPr>
              <w:t>1 359</w:t>
            </w:r>
          </w:p>
        </w:tc>
        <w:tc>
          <w:tcPr>
            <w:tcW w:w="396" w:type="pct"/>
            <w:vAlign w:val="bottom"/>
          </w:tcPr>
          <w:p w:rsidR="008759F1" w:rsidRPr="00620EFF" w:rsidRDefault="008759F1" w:rsidP="008759F1">
            <w:pPr>
              <w:pStyle w:val="TableRowNormal"/>
              <w:ind w:left="0" w:firstLine="0"/>
              <w:rPr>
                <w:rFonts w:cstheme="minorHAnsi"/>
              </w:rPr>
            </w:pPr>
            <w:r>
              <w:rPr>
                <w:rFonts w:cstheme="minorHAnsi"/>
              </w:rPr>
              <w:t>1 429</w:t>
            </w:r>
          </w:p>
        </w:tc>
        <w:tc>
          <w:tcPr>
            <w:tcW w:w="395" w:type="pct"/>
            <w:vAlign w:val="bottom"/>
          </w:tcPr>
          <w:p w:rsidR="008759F1" w:rsidRPr="00620EFF" w:rsidRDefault="008759F1" w:rsidP="008759F1">
            <w:pPr>
              <w:pStyle w:val="TableRowNormal"/>
              <w:ind w:left="0" w:firstLine="0"/>
              <w:rPr>
                <w:rFonts w:cstheme="minorHAnsi"/>
              </w:rPr>
            </w:pPr>
            <w:r>
              <w:rPr>
                <w:rFonts w:cstheme="minorHAnsi"/>
              </w:rPr>
              <w:t>1 192</w:t>
            </w:r>
          </w:p>
        </w:tc>
        <w:tc>
          <w:tcPr>
            <w:tcW w:w="396" w:type="pct"/>
            <w:vAlign w:val="bottom"/>
          </w:tcPr>
          <w:p w:rsidR="008759F1" w:rsidRPr="00620EFF" w:rsidRDefault="008759F1" w:rsidP="008759F1">
            <w:pPr>
              <w:pStyle w:val="TableRowNormal"/>
              <w:ind w:left="0" w:firstLine="0"/>
              <w:rPr>
                <w:rFonts w:cstheme="minorHAnsi"/>
              </w:rPr>
            </w:pPr>
            <w:r>
              <w:rPr>
                <w:rFonts w:cstheme="minorHAnsi"/>
              </w:rPr>
              <w:t>1 141</w:t>
            </w:r>
          </w:p>
        </w:tc>
        <w:tc>
          <w:tcPr>
            <w:tcW w:w="396" w:type="pct"/>
            <w:vAlign w:val="bottom"/>
          </w:tcPr>
          <w:p w:rsidR="008759F1" w:rsidRPr="00620EFF" w:rsidRDefault="008759F1" w:rsidP="008759F1">
            <w:pPr>
              <w:pStyle w:val="TableRowNormal"/>
              <w:ind w:left="0" w:firstLine="0"/>
              <w:rPr>
                <w:rFonts w:cstheme="minorHAnsi"/>
              </w:rPr>
            </w:pPr>
            <w:r>
              <w:rPr>
                <w:rFonts w:cstheme="minorHAnsi"/>
              </w:rPr>
              <w:t>1 670</w:t>
            </w:r>
          </w:p>
        </w:tc>
        <w:tc>
          <w:tcPr>
            <w:tcW w:w="396" w:type="pct"/>
            <w:vAlign w:val="bottom"/>
          </w:tcPr>
          <w:p w:rsidR="008759F1" w:rsidRPr="00620EFF" w:rsidRDefault="008759F1" w:rsidP="008759F1">
            <w:pPr>
              <w:pStyle w:val="TableRowNormal"/>
              <w:ind w:left="0" w:firstLine="0"/>
              <w:rPr>
                <w:rFonts w:cstheme="minorHAnsi"/>
              </w:rPr>
            </w:pPr>
            <w:r>
              <w:rPr>
                <w:rFonts w:cstheme="minorHAnsi"/>
              </w:rPr>
              <w:t>1 700</w:t>
            </w:r>
          </w:p>
        </w:tc>
        <w:tc>
          <w:tcPr>
            <w:tcW w:w="395" w:type="pct"/>
            <w:vAlign w:val="bottom"/>
          </w:tcPr>
          <w:p w:rsidR="008759F1" w:rsidRPr="00620EFF" w:rsidRDefault="008759F1" w:rsidP="008759F1">
            <w:pPr>
              <w:pStyle w:val="TableRowNormal"/>
              <w:ind w:left="0" w:firstLine="0"/>
              <w:rPr>
                <w:rFonts w:cstheme="minorHAnsi"/>
              </w:rPr>
            </w:pPr>
            <w:r>
              <w:rPr>
                <w:rFonts w:cstheme="minorHAnsi"/>
              </w:rPr>
              <w:t>1 431</w:t>
            </w:r>
          </w:p>
        </w:tc>
      </w:tr>
      <w:tr w:rsidR="008759F1" w:rsidRPr="00FE3F73" w:rsidTr="008759F1">
        <w:tc>
          <w:tcPr>
            <w:tcW w:w="1439" w:type="pct"/>
            <w:vAlign w:val="bottom"/>
          </w:tcPr>
          <w:p w:rsidR="008759F1" w:rsidRDefault="008759F1" w:rsidP="008759F1">
            <w:pPr>
              <w:pStyle w:val="TableRowNormal"/>
              <w:ind w:left="0" w:firstLine="0"/>
              <w:jc w:val="left"/>
              <w:rPr>
                <w:rFonts w:cstheme="minorHAnsi"/>
              </w:rPr>
            </w:pPr>
            <w:r>
              <w:rPr>
                <w:rFonts w:cstheme="minorHAnsi"/>
              </w:rPr>
              <w:t>Proportion of population aged 15 years and older (%)</w:t>
            </w:r>
          </w:p>
        </w:tc>
        <w:tc>
          <w:tcPr>
            <w:tcW w:w="395" w:type="pct"/>
            <w:vAlign w:val="bottom"/>
          </w:tcPr>
          <w:p w:rsidR="008759F1" w:rsidRDefault="008759F1" w:rsidP="008759F1">
            <w:pPr>
              <w:pStyle w:val="TableRowNormal"/>
              <w:ind w:left="0" w:firstLine="0"/>
              <w:rPr>
                <w:rFonts w:cs="Calibri"/>
              </w:rPr>
            </w:pPr>
            <w:r>
              <w:rPr>
                <w:rFonts w:cs="Calibri"/>
              </w:rPr>
              <w:t>81.5</w:t>
            </w:r>
          </w:p>
        </w:tc>
        <w:tc>
          <w:tcPr>
            <w:tcW w:w="396" w:type="pct"/>
            <w:vAlign w:val="bottom"/>
          </w:tcPr>
          <w:p w:rsidR="008759F1" w:rsidRDefault="008759F1" w:rsidP="008759F1">
            <w:pPr>
              <w:pStyle w:val="TableRowNormal"/>
              <w:ind w:left="0" w:firstLine="0"/>
              <w:rPr>
                <w:rFonts w:cs="Calibri"/>
              </w:rPr>
            </w:pPr>
            <w:r>
              <w:rPr>
                <w:rFonts w:cs="Calibri"/>
              </w:rPr>
              <w:t>81.8</w:t>
            </w:r>
          </w:p>
        </w:tc>
        <w:tc>
          <w:tcPr>
            <w:tcW w:w="396" w:type="pct"/>
            <w:vAlign w:val="bottom"/>
          </w:tcPr>
          <w:p w:rsidR="008759F1" w:rsidRDefault="008759F1" w:rsidP="008759F1">
            <w:pPr>
              <w:pStyle w:val="TableRowNormal"/>
              <w:ind w:left="0" w:firstLine="0"/>
              <w:rPr>
                <w:rFonts w:cs="Calibri"/>
              </w:rPr>
            </w:pPr>
            <w:r>
              <w:rPr>
                <w:rFonts w:cs="Calibri"/>
              </w:rPr>
              <w:t>80.6</w:t>
            </w:r>
          </w:p>
        </w:tc>
        <w:tc>
          <w:tcPr>
            <w:tcW w:w="396" w:type="pct"/>
            <w:vAlign w:val="bottom"/>
          </w:tcPr>
          <w:p w:rsidR="008759F1" w:rsidRDefault="008759F1" w:rsidP="008759F1">
            <w:pPr>
              <w:pStyle w:val="TableRowNormal"/>
              <w:ind w:left="0" w:firstLine="0"/>
              <w:rPr>
                <w:rFonts w:cs="Calibri"/>
              </w:rPr>
            </w:pPr>
            <w:r>
              <w:rPr>
                <w:rFonts w:cs="Calibri"/>
              </w:rPr>
              <w:t>80.7</w:t>
            </w:r>
          </w:p>
        </w:tc>
        <w:tc>
          <w:tcPr>
            <w:tcW w:w="395" w:type="pct"/>
            <w:vAlign w:val="bottom"/>
          </w:tcPr>
          <w:p w:rsidR="008759F1" w:rsidRDefault="008759F1" w:rsidP="008759F1">
            <w:pPr>
              <w:pStyle w:val="TableRowNormal"/>
              <w:ind w:left="0" w:firstLine="0"/>
              <w:rPr>
                <w:rFonts w:cs="Calibri"/>
              </w:rPr>
            </w:pPr>
            <w:r>
              <w:rPr>
                <w:rFonts w:cs="Calibri"/>
              </w:rPr>
              <w:t>82.5</w:t>
            </w:r>
          </w:p>
        </w:tc>
        <w:tc>
          <w:tcPr>
            <w:tcW w:w="396" w:type="pct"/>
            <w:vAlign w:val="bottom"/>
          </w:tcPr>
          <w:p w:rsidR="008759F1" w:rsidRDefault="008759F1" w:rsidP="008759F1">
            <w:pPr>
              <w:pStyle w:val="TableRowNormal"/>
              <w:ind w:left="0" w:firstLine="0"/>
              <w:rPr>
                <w:rFonts w:cs="Calibri"/>
              </w:rPr>
            </w:pPr>
            <w:r>
              <w:rPr>
                <w:rFonts w:cs="Calibri"/>
              </w:rPr>
              <w:t>82.3</w:t>
            </w:r>
          </w:p>
        </w:tc>
        <w:tc>
          <w:tcPr>
            <w:tcW w:w="396" w:type="pct"/>
            <w:vAlign w:val="bottom"/>
          </w:tcPr>
          <w:p w:rsidR="008759F1" w:rsidRDefault="008759F1" w:rsidP="008759F1">
            <w:pPr>
              <w:pStyle w:val="TableRowNormal"/>
              <w:ind w:left="0" w:firstLine="0"/>
              <w:rPr>
                <w:rFonts w:cs="Calibri"/>
              </w:rPr>
            </w:pPr>
            <w:r>
              <w:rPr>
                <w:rFonts w:cs="Calibri"/>
              </w:rPr>
              <w:t>81.3</w:t>
            </w:r>
          </w:p>
        </w:tc>
        <w:tc>
          <w:tcPr>
            <w:tcW w:w="396" w:type="pct"/>
            <w:vAlign w:val="bottom"/>
          </w:tcPr>
          <w:p w:rsidR="008759F1" w:rsidRDefault="008759F1" w:rsidP="008759F1">
            <w:pPr>
              <w:pStyle w:val="TableRowNormal"/>
              <w:ind w:left="0" w:firstLine="0"/>
              <w:rPr>
                <w:rFonts w:cs="Calibri"/>
              </w:rPr>
            </w:pPr>
            <w:r>
              <w:rPr>
                <w:rFonts w:cs="Calibri"/>
              </w:rPr>
              <w:t>78.4</w:t>
            </w:r>
          </w:p>
        </w:tc>
        <w:tc>
          <w:tcPr>
            <w:tcW w:w="395" w:type="pct"/>
            <w:vAlign w:val="bottom"/>
          </w:tcPr>
          <w:p w:rsidR="008759F1" w:rsidRDefault="008759F1" w:rsidP="008759F1">
            <w:pPr>
              <w:pStyle w:val="TableRowNormal"/>
              <w:ind w:left="0" w:firstLine="0"/>
              <w:rPr>
                <w:rFonts w:cs="Calibri"/>
              </w:rPr>
            </w:pPr>
            <w:r>
              <w:rPr>
                <w:rFonts w:cs="Calibri"/>
              </w:rPr>
              <w:t>81.3</w:t>
            </w:r>
          </w:p>
        </w:tc>
      </w:tr>
      <w:tr w:rsidR="008759F1" w:rsidRPr="00FE3F73" w:rsidTr="008759F1">
        <w:tc>
          <w:tcPr>
            <w:tcW w:w="1439" w:type="pct"/>
            <w:vAlign w:val="bottom"/>
          </w:tcPr>
          <w:p w:rsidR="008759F1" w:rsidRDefault="008759F1" w:rsidP="008759F1">
            <w:pPr>
              <w:pStyle w:val="TableRowNormal"/>
              <w:ind w:left="0" w:firstLine="0"/>
              <w:jc w:val="left"/>
              <w:rPr>
                <w:rFonts w:cstheme="minorHAnsi"/>
              </w:rPr>
            </w:pPr>
            <w:r>
              <w:rPr>
                <w:rFonts w:cstheme="minorHAnsi"/>
              </w:rPr>
              <w:t>Proportion of population with high personal income (%)</w:t>
            </w:r>
            <w:r w:rsidRPr="004D073B">
              <w:rPr>
                <w:rFonts w:cstheme="minorHAnsi"/>
                <w:vertAlign w:val="superscript"/>
              </w:rPr>
              <w:t>(b)</w:t>
            </w:r>
          </w:p>
        </w:tc>
        <w:tc>
          <w:tcPr>
            <w:tcW w:w="395" w:type="pct"/>
            <w:vAlign w:val="bottom"/>
          </w:tcPr>
          <w:p w:rsidR="008759F1" w:rsidRPr="00620EFF" w:rsidRDefault="008759F1" w:rsidP="008759F1">
            <w:pPr>
              <w:pStyle w:val="TableRowNormal"/>
              <w:ind w:left="0" w:firstLine="0"/>
              <w:rPr>
                <w:rFonts w:cstheme="minorHAnsi"/>
              </w:rPr>
            </w:pPr>
            <w:r>
              <w:rPr>
                <w:rFonts w:cstheme="minorHAnsi"/>
              </w:rPr>
              <w:t>3.9</w:t>
            </w:r>
          </w:p>
        </w:tc>
        <w:tc>
          <w:tcPr>
            <w:tcW w:w="396" w:type="pct"/>
            <w:vAlign w:val="bottom"/>
          </w:tcPr>
          <w:p w:rsidR="008759F1" w:rsidRPr="00620EFF" w:rsidRDefault="008759F1" w:rsidP="008759F1">
            <w:pPr>
              <w:pStyle w:val="TableRowNormal"/>
              <w:ind w:left="0" w:firstLine="0"/>
              <w:rPr>
                <w:rFonts w:cstheme="minorHAnsi"/>
              </w:rPr>
            </w:pPr>
            <w:r>
              <w:rPr>
                <w:rFonts w:cstheme="minorHAnsi"/>
              </w:rPr>
              <w:t>3.3</w:t>
            </w:r>
          </w:p>
        </w:tc>
        <w:tc>
          <w:tcPr>
            <w:tcW w:w="396" w:type="pct"/>
            <w:vAlign w:val="bottom"/>
          </w:tcPr>
          <w:p w:rsidR="008759F1" w:rsidRPr="00620EFF" w:rsidRDefault="008759F1" w:rsidP="008759F1">
            <w:pPr>
              <w:pStyle w:val="TableRowNormal"/>
              <w:ind w:left="0" w:firstLine="0"/>
              <w:rPr>
                <w:rFonts w:cstheme="minorHAnsi"/>
              </w:rPr>
            </w:pPr>
            <w:r>
              <w:rPr>
                <w:rFonts w:cstheme="minorHAnsi"/>
              </w:rPr>
              <w:t>2.</w:t>
            </w:r>
            <w:r w:rsidR="007B09D9">
              <w:rPr>
                <w:rFonts w:cstheme="minorHAnsi"/>
              </w:rPr>
              <w:t>9</w:t>
            </w:r>
          </w:p>
        </w:tc>
        <w:tc>
          <w:tcPr>
            <w:tcW w:w="396" w:type="pct"/>
            <w:vAlign w:val="bottom"/>
          </w:tcPr>
          <w:p w:rsidR="008759F1" w:rsidRPr="00620EFF" w:rsidRDefault="008759F1" w:rsidP="008759F1">
            <w:pPr>
              <w:pStyle w:val="TableRowNormal"/>
              <w:ind w:left="0" w:firstLine="0"/>
              <w:rPr>
                <w:rFonts w:cstheme="minorHAnsi"/>
              </w:rPr>
            </w:pPr>
            <w:r>
              <w:rPr>
                <w:rFonts w:cstheme="minorHAnsi"/>
              </w:rPr>
              <w:t>4.7</w:t>
            </w:r>
          </w:p>
        </w:tc>
        <w:tc>
          <w:tcPr>
            <w:tcW w:w="395" w:type="pct"/>
            <w:vAlign w:val="bottom"/>
          </w:tcPr>
          <w:p w:rsidR="008759F1" w:rsidRPr="00620EFF" w:rsidRDefault="008759F1" w:rsidP="008759F1">
            <w:pPr>
              <w:pStyle w:val="TableRowNormal"/>
              <w:ind w:left="0" w:firstLine="0"/>
              <w:rPr>
                <w:rFonts w:cstheme="minorHAnsi"/>
              </w:rPr>
            </w:pPr>
            <w:r>
              <w:rPr>
                <w:rFonts w:cstheme="minorHAnsi"/>
              </w:rPr>
              <w:t>2.1</w:t>
            </w:r>
          </w:p>
        </w:tc>
        <w:tc>
          <w:tcPr>
            <w:tcW w:w="396" w:type="pct"/>
            <w:vAlign w:val="bottom"/>
          </w:tcPr>
          <w:p w:rsidR="008759F1" w:rsidRPr="00620EFF" w:rsidRDefault="008759F1" w:rsidP="007B09D9">
            <w:pPr>
              <w:pStyle w:val="TableRowNormal"/>
              <w:ind w:left="0" w:firstLine="0"/>
              <w:rPr>
                <w:rFonts w:cstheme="minorHAnsi"/>
              </w:rPr>
            </w:pPr>
            <w:r>
              <w:rPr>
                <w:rFonts w:cstheme="minorHAnsi"/>
              </w:rPr>
              <w:t>1.</w:t>
            </w:r>
            <w:r w:rsidR="007B09D9">
              <w:rPr>
                <w:rFonts w:cstheme="minorHAnsi"/>
              </w:rPr>
              <w:t>7</w:t>
            </w:r>
          </w:p>
        </w:tc>
        <w:tc>
          <w:tcPr>
            <w:tcW w:w="396" w:type="pct"/>
            <w:vAlign w:val="bottom"/>
          </w:tcPr>
          <w:p w:rsidR="008759F1" w:rsidRPr="00620EFF" w:rsidRDefault="008759F1" w:rsidP="008759F1">
            <w:pPr>
              <w:pStyle w:val="TableRowNormal"/>
              <w:ind w:left="0" w:firstLine="0"/>
              <w:rPr>
                <w:rFonts w:cstheme="minorHAnsi"/>
              </w:rPr>
            </w:pPr>
            <w:r>
              <w:rPr>
                <w:rFonts w:cstheme="minorHAnsi"/>
              </w:rPr>
              <w:t>5.0</w:t>
            </w:r>
          </w:p>
        </w:tc>
        <w:tc>
          <w:tcPr>
            <w:tcW w:w="396" w:type="pct"/>
            <w:vAlign w:val="bottom"/>
          </w:tcPr>
          <w:p w:rsidR="008759F1" w:rsidRPr="00620EFF" w:rsidRDefault="008759F1" w:rsidP="007B09D9">
            <w:pPr>
              <w:pStyle w:val="TableRowNormal"/>
              <w:ind w:left="0" w:firstLine="0"/>
              <w:rPr>
                <w:rFonts w:cstheme="minorHAnsi"/>
              </w:rPr>
            </w:pPr>
            <w:r>
              <w:rPr>
                <w:rFonts w:cstheme="minorHAnsi"/>
              </w:rPr>
              <w:t>4.</w:t>
            </w:r>
            <w:r w:rsidR="007B09D9">
              <w:rPr>
                <w:rFonts w:cstheme="minorHAnsi"/>
              </w:rPr>
              <w:t>4</w:t>
            </w:r>
          </w:p>
        </w:tc>
        <w:tc>
          <w:tcPr>
            <w:tcW w:w="395" w:type="pct"/>
            <w:vAlign w:val="bottom"/>
          </w:tcPr>
          <w:p w:rsidR="008759F1" w:rsidRPr="00620EFF" w:rsidRDefault="008759F1" w:rsidP="008759F1">
            <w:pPr>
              <w:pStyle w:val="TableRowNormal"/>
              <w:ind w:left="0" w:firstLine="0"/>
              <w:rPr>
                <w:rFonts w:cstheme="minorHAnsi"/>
              </w:rPr>
            </w:pPr>
            <w:r>
              <w:rPr>
                <w:rFonts w:cstheme="minorHAnsi"/>
              </w:rPr>
              <w:t>3.5</w:t>
            </w:r>
          </w:p>
        </w:tc>
      </w:tr>
      <w:tr w:rsidR="008759F1" w:rsidRPr="00FE3F73" w:rsidTr="008759F1">
        <w:tc>
          <w:tcPr>
            <w:tcW w:w="1439" w:type="pct"/>
            <w:tcBorders>
              <w:bottom w:val="single" w:sz="4" w:space="0" w:color="auto"/>
            </w:tcBorders>
            <w:vAlign w:val="bottom"/>
          </w:tcPr>
          <w:p w:rsidR="008759F1" w:rsidRDefault="008759F1" w:rsidP="008759F1">
            <w:pPr>
              <w:pStyle w:val="TableRowNormal"/>
              <w:ind w:left="0" w:firstLine="0"/>
              <w:jc w:val="left"/>
              <w:rPr>
                <w:rFonts w:cstheme="minorHAnsi"/>
              </w:rPr>
            </w:pPr>
            <w:r>
              <w:rPr>
                <w:rFonts w:cstheme="minorHAnsi"/>
              </w:rPr>
              <w:t>Proportion of population with low personal income (%)</w:t>
            </w:r>
            <w:r w:rsidRPr="004D073B">
              <w:rPr>
                <w:rFonts w:cstheme="minorHAnsi"/>
                <w:vertAlign w:val="superscript"/>
              </w:rPr>
              <w:t>(c)</w:t>
            </w:r>
          </w:p>
        </w:tc>
        <w:tc>
          <w:tcPr>
            <w:tcW w:w="395" w:type="pct"/>
            <w:tcBorders>
              <w:bottom w:val="single" w:sz="4" w:space="0" w:color="auto"/>
            </w:tcBorders>
            <w:vAlign w:val="bottom"/>
          </w:tcPr>
          <w:p w:rsidR="008759F1" w:rsidRPr="00620EFF" w:rsidRDefault="008759F1" w:rsidP="008759F1">
            <w:pPr>
              <w:pStyle w:val="TableRowNormal"/>
              <w:ind w:left="0" w:firstLine="0"/>
              <w:rPr>
                <w:rFonts w:cstheme="minorHAnsi"/>
              </w:rPr>
            </w:pPr>
            <w:r>
              <w:rPr>
                <w:rFonts w:cstheme="minorHAnsi"/>
              </w:rPr>
              <w:t>49.3</w:t>
            </w:r>
          </w:p>
        </w:tc>
        <w:tc>
          <w:tcPr>
            <w:tcW w:w="396" w:type="pct"/>
            <w:tcBorders>
              <w:bottom w:val="single" w:sz="4" w:space="0" w:color="auto"/>
            </w:tcBorders>
            <w:vAlign w:val="bottom"/>
          </w:tcPr>
          <w:p w:rsidR="008759F1" w:rsidRPr="00620EFF" w:rsidRDefault="008759F1" w:rsidP="008759F1">
            <w:pPr>
              <w:pStyle w:val="TableRowNormal"/>
              <w:ind w:left="0" w:firstLine="0"/>
              <w:rPr>
                <w:rFonts w:cstheme="minorHAnsi"/>
              </w:rPr>
            </w:pPr>
            <w:r>
              <w:rPr>
                <w:rFonts w:cstheme="minorHAnsi"/>
              </w:rPr>
              <w:t>50.3</w:t>
            </w:r>
          </w:p>
        </w:tc>
        <w:tc>
          <w:tcPr>
            <w:tcW w:w="396" w:type="pct"/>
            <w:tcBorders>
              <w:bottom w:val="single" w:sz="4" w:space="0" w:color="auto"/>
            </w:tcBorders>
            <w:vAlign w:val="bottom"/>
          </w:tcPr>
          <w:p w:rsidR="008759F1" w:rsidRPr="00620EFF" w:rsidRDefault="008759F1" w:rsidP="008759F1">
            <w:pPr>
              <w:pStyle w:val="TableRowNormal"/>
              <w:ind w:left="0" w:firstLine="0"/>
              <w:rPr>
                <w:rFonts w:cstheme="minorHAnsi"/>
              </w:rPr>
            </w:pPr>
            <w:r>
              <w:rPr>
                <w:rFonts w:cstheme="minorHAnsi"/>
              </w:rPr>
              <w:t>49.4</w:t>
            </w:r>
          </w:p>
        </w:tc>
        <w:tc>
          <w:tcPr>
            <w:tcW w:w="396" w:type="pct"/>
            <w:tcBorders>
              <w:bottom w:val="single" w:sz="4" w:space="0" w:color="auto"/>
            </w:tcBorders>
            <w:vAlign w:val="bottom"/>
          </w:tcPr>
          <w:p w:rsidR="008759F1" w:rsidRPr="00620EFF" w:rsidRDefault="008759F1" w:rsidP="008759F1">
            <w:pPr>
              <w:pStyle w:val="TableRowNormal"/>
              <w:ind w:left="0" w:firstLine="0"/>
              <w:rPr>
                <w:rFonts w:cstheme="minorHAnsi"/>
              </w:rPr>
            </w:pPr>
            <w:r>
              <w:rPr>
                <w:rFonts w:cstheme="minorHAnsi"/>
              </w:rPr>
              <w:t>46.5</w:t>
            </w:r>
          </w:p>
        </w:tc>
        <w:tc>
          <w:tcPr>
            <w:tcW w:w="395" w:type="pct"/>
            <w:tcBorders>
              <w:bottom w:val="single" w:sz="4" w:space="0" w:color="auto"/>
            </w:tcBorders>
            <w:vAlign w:val="bottom"/>
          </w:tcPr>
          <w:p w:rsidR="008759F1" w:rsidRPr="00620EFF" w:rsidRDefault="008759F1" w:rsidP="008759F1">
            <w:pPr>
              <w:pStyle w:val="TableRowNormal"/>
              <w:ind w:left="0" w:firstLine="0"/>
              <w:rPr>
                <w:rFonts w:cstheme="minorHAnsi"/>
              </w:rPr>
            </w:pPr>
            <w:r>
              <w:rPr>
                <w:rFonts w:cstheme="minorHAnsi"/>
              </w:rPr>
              <w:t>53.0</w:t>
            </w:r>
          </w:p>
        </w:tc>
        <w:tc>
          <w:tcPr>
            <w:tcW w:w="396" w:type="pct"/>
            <w:tcBorders>
              <w:bottom w:val="single" w:sz="4" w:space="0" w:color="auto"/>
            </w:tcBorders>
            <w:vAlign w:val="bottom"/>
          </w:tcPr>
          <w:p w:rsidR="008759F1" w:rsidRPr="00620EFF" w:rsidRDefault="008759F1" w:rsidP="008759F1">
            <w:pPr>
              <w:pStyle w:val="TableRowNormal"/>
              <w:ind w:left="0" w:firstLine="0"/>
              <w:rPr>
                <w:rFonts w:cstheme="minorHAnsi"/>
              </w:rPr>
            </w:pPr>
            <w:r>
              <w:rPr>
                <w:rFonts w:cstheme="minorHAnsi"/>
              </w:rPr>
              <w:t>55.1</w:t>
            </w:r>
          </w:p>
        </w:tc>
        <w:tc>
          <w:tcPr>
            <w:tcW w:w="396" w:type="pct"/>
            <w:tcBorders>
              <w:bottom w:val="single" w:sz="4" w:space="0" w:color="auto"/>
            </w:tcBorders>
            <w:vAlign w:val="bottom"/>
          </w:tcPr>
          <w:p w:rsidR="008759F1" w:rsidRPr="00620EFF" w:rsidRDefault="008759F1" w:rsidP="008759F1">
            <w:pPr>
              <w:pStyle w:val="TableRowNormal"/>
              <w:ind w:left="0" w:firstLine="0"/>
              <w:rPr>
                <w:rFonts w:cstheme="minorHAnsi"/>
              </w:rPr>
            </w:pPr>
            <w:r>
              <w:rPr>
                <w:rFonts w:cstheme="minorHAnsi"/>
              </w:rPr>
              <w:t>35.6</w:t>
            </w:r>
          </w:p>
        </w:tc>
        <w:tc>
          <w:tcPr>
            <w:tcW w:w="396" w:type="pct"/>
            <w:tcBorders>
              <w:bottom w:val="single" w:sz="4" w:space="0" w:color="auto"/>
            </w:tcBorders>
            <w:vAlign w:val="bottom"/>
          </w:tcPr>
          <w:p w:rsidR="008759F1" w:rsidRPr="00620EFF" w:rsidRDefault="008759F1" w:rsidP="008759F1">
            <w:pPr>
              <w:pStyle w:val="TableRowNormal"/>
              <w:ind w:left="0" w:firstLine="0"/>
              <w:rPr>
                <w:rFonts w:cstheme="minorHAnsi"/>
              </w:rPr>
            </w:pPr>
            <w:r>
              <w:rPr>
                <w:rFonts w:cstheme="minorHAnsi"/>
              </w:rPr>
              <w:t>40.5</w:t>
            </w:r>
          </w:p>
        </w:tc>
        <w:tc>
          <w:tcPr>
            <w:tcW w:w="395" w:type="pct"/>
            <w:tcBorders>
              <w:bottom w:val="single" w:sz="4" w:space="0" w:color="auto"/>
            </w:tcBorders>
            <w:vAlign w:val="bottom"/>
          </w:tcPr>
          <w:p w:rsidR="008759F1" w:rsidRPr="00620EFF" w:rsidRDefault="008759F1" w:rsidP="008759F1">
            <w:pPr>
              <w:pStyle w:val="TableRowNormal"/>
              <w:ind w:left="0" w:firstLine="0"/>
              <w:rPr>
                <w:rFonts w:cstheme="minorHAnsi"/>
              </w:rPr>
            </w:pPr>
            <w:r>
              <w:rPr>
                <w:rFonts w:cstheme="minorHAnsi"/>
              </w:rPr>
              <w:t>47.4</w:t>
            </w:r>
          </w:p>
        </w:tc>
      </w:tr>
    </w:tbl>
    <w:p w:rsidR="005D7AE5" w:rsidRDefault="005D7AE5" w:rsidP="005D7AE5">
      <w:pPr>
        <w:pStyle w:val="CGCTableFootnote"/>
      </w:pPr>
      <w:r>
        <w:t xml:space="preserve">(a) </w:t>
      </w:r>
      <w:r>
        <w:tab/>
        <w:t>Average household weekly expenditure on goods and services.</w:t>
      </w:r>
      <w:r w:rsidRPr="00D44FEF">
        <w:t xml:space="preserve"> </w:t>
      </w:r>
    </w:p>
    <w:p w:rsidR="005D7AE5" w:rsidRDefault="005D7AE5" w:rsidP="005D7AE5">
      <w:pPr>
        <w:pStyle w:val="CGCTableFootnote"/>
      </w:pPr>
      <w:r>
        <w:t xml:space="preserve">(b) </w:t>
      </w:r>
      <w:r>
        <w:tab/>
        <w:t>Personal income $3 000 or more per week.</w:t>
      </w:r>
      <w:r w:rsidRPr="00D44FEF">
        <w:t xml:space="preserve"> </w:t>
      </w:r>
    </w:p>
    <w:p w:rsidR="005D7AE5" w:rsidRDefault="005D7AE5" w:rsidP="005D7AE5">
      <w:pPr>
        <w:pStyle w:val="CGCTableFootnote"/>
      </w:pPr>
      <w:r>
        <w:t xml:space="preserve">(c) </w:t>
      </w:r>
      <w:r>
        <w:tab/>
        <w:t>Personal income less than $650 per week.</w:t>
      </w:r>
      <w:r w:rsidRPr="00D44FEF">
        <w:t xml:space="preserve"> </w:t>
      </w:r>
    </w:p>
    <w:p w:rsidR="005D7AE5" w:rsidRDefault="005D7AE5" w:rsidP="005D7AE5">
      <w:pPr>
        <w:pStyle w:val="CGCTableFootnote"/>
      </w:pPr>
      <w:r>
        <w:t>Source:</w:t>
      </w:r>
      <w:r>
        <w:tab/>
        <w:t>Average household weekly expenditure was obtained from ABS Household Expenditure Survey 2015-16. Population data were obtained from ABS 2016</w:t>
      </w:r>
      <w:r w:rsidRPr="005D7AE5">
        <w:t xml:space="preserve"> </w:t>
      </w:r>
      <w:r>
        <w:t>Census.</w:t>
      </w:r>
    </w:p>
    <w:p w:rsidR="003163E6" w:rsidRDefault="00524DD7" w:rsidP="003163E6">
      <w:pPr>
        <w:pStyle w:val="Heading5"/>
      </w:pPr>
      <w:r>
        <w:t>Potential b</w:t>
      </w:r>
      <w:r w:rsidR="003163E6">
        <w:t xml:space="preserve">road </w:t>
      </w:r>
      <w:r>
        <w:t xml:space="preserve">capacity measures of </w:t>
      </w:r>
      <w:r w:rsidR="003163E6">
        <w:t>gambling activity</w:t>
      </w:r>
    </w:p>
    <w:p w:rsidR="003163E6" w:rsidRDefault="00C7171F" w:rsidP="003163E6">
      <w:pPr>
        <w:pStyle w:val="CGCNumberedPara"/>
        <w:numPr>
          <w:ilvl w:val="1"/>
          <w:numId w:val="3"/>
        </w:numPr>
      </w:pPr>
      <w:r>
        <w:t>The high degree of substitutability between different forms of gambling and the pervasiveness of State polic</w:t>
      </w:r>
      <w:r w:rsidR="00003CB2">
        <w:t>ies</w:t>
      </w:r>
      <w:r>
        <w:t xml:space="preserve"> suggest a more promising area of work might be a broader measure applied to an aggregated assessment</w:t>
      </w:r>
      <w:r w:rsidR="0090153F">
        <w:t xml:space="preserve"> — as was done in the 2009 Update</w:t>
      </w:r>
      <w:r w:rsidR="003163E6">
        <w:t>.</w:t>
      </w:r>
    </w:p>
    <w:p w:rsidR="003163E6" w:rsidRDefault="003163E6" w:rsidP="003163E6">
      <w:pPr>
        <w:pStyle w:val="CGCNumberedPara"/>
        <w:numPr>
          <w:ilvl w:val="1"/>
          <w:numId w:val="3"/>
        </w:numPr>
      </w:pPr>
      <w:r>
        <w:lastRenderedPageBreak/>
        <w:t xml:space="preserve">In the 2004 Review, the Commission </w:t>
      </w:r>
      <w:r w:rsidR="00BE6620">
        <w:t xml:space="preserve">undertook regression analyses of </w:t>
      </w:r>
      <w:r>
        <w:t xml:space="preserve">gambling </w:t>
      </w:r>
      <w:r w:rsidR="00BE6620">
        <w:t xml:space="preserve">expenditure and </w:t>
      </w:r>
      <w:proofErr w:type="spellStart"/>
      <w:r w:rsidR="00C7171F">
        <w:t>GHDI</w:t>
      </w:r>
      <w:proofErr w:type="spellEnd"/>
      <w:r>
        <w:t>.</w:t>
      </w:r>
      <w:r w:rsidR="00BE6620">
        <w:t xml:space="preserve"> </w:t>
      </w:r>
      <w:r w:rsidR="00C7171F">
        <w:t xml:space="preserve">Based on the strength of that relationship it chose </w:t>
      </w:r>
      <w:proofErr w:type="spellStart"/>
      <w:r w:rsidR="00C7171F">
        <w:t>GHDI</w:t>
      </w:r>
      <w:proofErr w:type="spellEnd"/>
      <w:r w:rsidR="00C7171F">
        <w:t xml:space="preserve"> as its broad measure, but i</w:t>
      </w:r>
      <w:r w:rsidR="00BE6620">
        <w:t>t applied a 50% discount. It re</w:t>
      </w:r>
      <w:r>
        <w:t xml:space="preserve">visited its analysis </w:t>
      </w:r>
      <w:r w:rsidR="00BE6620">
        <w:t xml:space="preserve">in the 2010 Review and found </w:t>
      </w:r>
      <w:r>
        <w:t xml:space="preserve">the strength of the relationship had weakened, meaning an increase in the 50% discount was warranted. An increase in the discount would </w:t>
      </w:r>
      <w:r w:rsidR="0090153F">
        <w:t xml:space="preserve">have </w:t>
      </w:r>
      <w:r>
        <w:t>render</w:t>
      </w:r>
      <w:r w:rsidR="0090153F">
        <w:t>ed</w:t>
      </w:r>
      <w:r>
        <w:t xml:space="preserve"> the assessment immaterial. </w:t>
      </w:r>
      <w:r w:rsidR="00BE6620">
        <w:t>Consequently, t</w:t>
      </w:r>
      <w:r>
        <w:t xml:space="preserve">he Commission </w:t>
      </w:r>
      <w:r w:rsidR="00BE6620">
        <w:t xml:space="preserve">assessed gambling taxes </w:t>
      </w:r>
      <w:proofErr w:type="spellStart"/>
      <w:r w:rsidR="00BE6620">
        <w:t>EPC</w:t>
      </w:r>
      <w:proofErr w:type="spellEnd"/>
      <w:r>
        <w:t>.</w:t>
      </w:r>
    </w:p>
    <w:p w:rsidR="00D44FEF" w:rsidRDefault="00D44FEF" w:rsidP="00D44FEF">
      <w:pPr>
        <w:pStyle w:val="CGCNumberedPara"/>
        <w:numPr>
          <w:ilvl w:val="1"/>
          <w:numId w:val="3"/>
        </w:numPr>
      </w:pPr>
      <w:r>
        <w:t>The main broad measures previously used by the Commission were:</w:t>
      </w:r>
    </w:p>
    <w:p w:rsidR="00D44FEF" w:rsidRDefault="00D44FEF" w:rsidP="00D44FEF">
      <w:pPr>
        <w:pStyle w:val="CGCBulletlist"/>
        <w:numPr>
          <w:ilvl w:val="0"/>
          <w:numId w:val="1"/>
        </w:numPr>
        <w:tabs>
          <w:tab w:val="clear" w:pos="927"/>
        </w:tabs>
        <w:ind w:left="1134" w:hanging="567"/>
      </w:pPr>
      <w:r>
        <w:t>gambling expenditure, which is a measure of the gross profit of the gambling operator</w:t>
      </w:r>
      <w:r>
        <w:rPr>
          <w:rStyle w:val="FootnoteReference"/>
        </w:rPr>
        <w:footnoteReference w:id="7"/>
      </w:r>
    </w:p>
    <w:p w:rsidR="00D44FEF" w:rsidRDefault="00D44FEF" w:rsidP="00D44FEF">
      <w:pPr>
        <w:pStyle w:val="CGCBulletlist"/>
        <w:numPr>
          <w:ilvl w:val="0"/>
          <w:numId w:val="1"/>
        </w:numPr>
        <w:tabs>
          <w:tab w:val="clear" w:pos="927"/>
        </w:tabs>
        <w:ind w:left="1134" w:hanging="567"/>
      </w:pPr>
      <w:r>
        <w:t>gambling turnover</w:t>
      </w:r>
      <w:r w:rsidR="00C7171F">
        <w:rPr>
          <w:rStyle w:val="FootnoteReference"/>
        </w:rPr>
        <w:footnoteReference w:id="8"/>
      </w:r>
    </w:p>
    <w:p w:rsidR="00D44FEF" w:rsidRDefault="00D44FEF" w:rsidP="00D44FEF">
      <w:pPr>
        <w:pStyle w:val="CGCBulletlist"/>
        <w:numPr>
          <w:ilvl w:val="0"/>
          <w:numId w:val="1"/>
        </w:numPr>
        <w:tabs>
          <w:tab w:val="clear" w:pos="927"/>
        </w:tabs>
        <w:ind w:left="1134" w:hanging="567"/>
      </w:pPr>
      <w:r>
        <w:t>gross household disposable income</w:t>
      </w:r>
    </w:p>
    <w:p w:rsidR="00D44FEF" w:rsidRDefault="00D44FEF" w:rsidP="00D44FEF">
      <w:pPr>
        <w:pStyle w:val="CGCBulletlist"/>
        <w:numPr>
          <w:ilvl w:val="0"/>
          <w:numId w:val="1"/>
        </w:numPr>
        <w:tabs>
          <w:tab w:val="clear" w:pos="927"/>
        </w:tabs>
        <w:ind w:left="1134" w:hanging="567"/>
      </w:pPr>
      <w:proofErr w:type="gramStart"/>
      <w:r>
        <w:t>population</w:t>
      </w:r>
      <w:proofErr w:type="gramEnd"/>
      <w:r>
        <w:t>.</w:t>
      </w:r>
    </w:p>
    <w:p w:rsidR="00A40AA7" w:rsidRDefault="00C7171F" w:rsidP="00D44FEF">
      <w:pPr>
        <w:pStyle w:val="CGCNumberedPara"/>
        <w:numPr>
          <w:ilvl w:val="1"/>
          <w:numId w:val="3"/>
        </w:numPr>
      </w:pPr>
      <w:r>
        <w:t xml:space="preserve">The Queensland Government Statistician’s Office produces an annual set of gambling statistics. These publications provide data on gambling expenditure and gambling turnover. </w:t>
      </w:r>
      <w:r w:rsidR="00A40AA7">
        <w:t>Work is needed to improve the quality and reliability of th</w:t>
      </w:r>
      <w:r w:rsidR="0090153F">
        <w:t>es</w:t>
      </w:r>
      <w:r w:rsidR="00A40AA7">
        <w:t xml:space="preserve">e data before </w:t>
      </w:r>
      <w:r w:rsidR="0090153F">
        <w:t>they</w:t>
      </w:r>
      <w:r w:rsidR="00A40AA7">
        <w:t xml:space="preserve"> could be used in a gambling assessment.</w:t>
      </w:r>
      <w:r>
        <w:t xml:space="preserve"> </w:t>
      </w:r>
      <w:r w:rsidR="0090153F">
        <w:t>For example, gambling turnover had to be estimated for Tasmania and the estimate appears low compared to the other broader measures.</w:t>
      </w:r>
    </w:p>
    <w:p w:rsidR="00D44FEF" w:rsidRDefault="00D44FEF" w:rsidP="00D44FEF">
      <w:pPr>
        <w:pStyle w:val="CGCNumberedPara"/>
        <w:numPr>
          <w:ilvl w:val="1"/>
          <w:numId w:val="3"/>
        </w:numPr>
      </w:pPr>
      <w:r>
        <w:fldChar w:fldCharType="begin"/>
      </w:r>
      <w:r>
        <w:instrText xml:space="preserve"> REF _Ref509337548 \h </w:instrText>
      </w:r>
      <w:r>
        <w:fldChar w:fldCharType="separate"/>
      </w:r>
      <w:r w:rsidR="001133A0">
        <w:t xml:space="preserve">Table </w:t>
      </w:r>
      <w:r w:rsidR="001133A0">
        <w:rPr>
          <w:noProof/>
        </w:rPr>
        <w:t>5</w:t>
      </w:r>
      <w:r>
        <w:fldChar w:fldCharType="end"/>
      </w:r>
      <w:r>
        <w:t xml:space="preserve"> shows these measures imply very different relative revenue capacities for States. </w:t>
      </w:r>
      <w:r>
        <w:fldChar w:fldCharType="begin"/>
      </w:r>
      <w:r>
        <w:instrText xml:space="preserve"> REF _Ref509337553 \h </w:instrText>
      </w:r>
      <w:r>
        <w:fldChar w:fldCharType="separate"/>
      </w:r>
      <w:r w:rsidR="001133A0">
        <w:t xml:space="preserve">Table </w:t>
      </w:r>
      <w:r w:rsidR="001133A0">
        <w:rPr>
          <w:noProof/>
        </w:rPr>
        <w:t>6</w:t>
      </w:r>
      <w:r>
        <w:fldChar w:fldCharType="end"/>
      </w:r>
      <w:r>
        <w:t xml:space="preserve"> shows the corresponding revenue raising capacity ratios.</w:t>
      </w:r>
      <w:r>
        <w:rPr>
          <w:rStyle w:val="FootnoteReference"/>
        </w:rPr>
        <w:footnoteReference w:id="9"/>
      </w:r>
      <w:r w:rsidR="00A40AA7">
        <w:t xml:space="preserve"> It illustrates how sensitive an assessment would be to the choice of broad measure.</w:t>
      </w:r>
    </w:p>
    <w:p w:rsidR="00D44FEF" w:rsidRDefault="00D44FEF" w:rsidP="00FF450D">
      <w:pPr>
        <w:pStyle w:val="CGCTableHeading"/>
      </w:pPr>
      <w:bookmarkStart w:id="28" w:name="_Ref509337548"/>
      <w:bookmarkStart w:id="29" w:name="_Ref509337442"/>
      <w:r>
        <w:lastRenderedPageBreak/>
        <w:t xml:space="preserve">Table </w:t>
      </w:r>
      <w:r w:rsidR="001133A0">
        <w:fldChar w:fldCharType="begin"/>
      </w:r>
      <w:r w:rsidR="001133A0">
        <w:instrText xml:space="preserve"> SEQ Table \* ARABIC </w:instrText>
      </w:r>
      <w:r w:rsidR="001133A0">
        <w:fldChar w:fldCharType="separate"/>
      </w:r>
      <w:r w:rsidR="001133A0">
        <w:rPr>
          <w:noProof/>
        </w:rPr>
        <w:t>5</w:t>
      </w:r>
      <w:r w:rsidR="001133A0">
        <w:rPr>
          <w:noProof/>
        </w:rPr>
        <w:fldChar w:fldCharType="end"/>
      </w:r>
      <w:bookmarkEnd w:id="28"/>
      <w:r>
        <w:tab/>
        <w:t>Shares of potential gambling capacity measures, 2015-16</w:t>
      </w:r>
      <w:bookmarkEnd w:id="29"/>
    </w:p>
    <w:tbl>
      <w:tblPr>
        <w:tblW w:w="5000" w:type="pct"/>
        <w:tblCellMar>
          <w:left w:w="85" w:type="dxa"/>
          <w:right w:w="85" w:type="dxa"/>
        </w:tblCellMar>
        <w:tblLook w:val="0000" w:firstRow="0" w:lastRow="0" w:firstColumn="0" w:lastColumn="0" w:noHBand="0" w:noVBand="0"/>
      </w:tblPr>
      <w:tblGrid>
        <w:gridCol w:w="2425"/>
        <w:gridCol w:w="726"/>
        <w:gridCol w:w="725"/>
        <w:gridCol w:w="725"/>
        <w:gridCol w:w="725"/>
        <w:gridCol w:w="725"/>
        <w:gridCol w:w="725"/>
        <w:gridCol w:w="725"/>
        <w:gridCol w:w="725"/>
        <w:gridCol w:w="725"/>
      </w:tblGrid>
      <w:tr w:rsidR="00D44FEF" w:rsidRPr="00FE3F73" w:rsidTr="001C0963">
        <w:tc>
          <w:tcPr>
            <w:tcW w:w="1354" w:type="pct"/>
            <w:tcBorders>
              <w:top w:val="single" w:sz="6" w:space="0" w:color="auto"/>
              <w:bottom w:val="single" w:sz="6" w:space="0" w:color="auto"/>
            </w:tcBorders>
            <w:vAlign w:val="bottom"/>
          </w:tcPr>
          <w:p w:rsidR="00D44FEF" w:rsidRPr="00FE3F73" w:rsidRDefault="00D44FEF" w:rsidP="00FF450D">
            <w:pPr>
              <w:pStyle w:val="CGCTableStub"/>
              <w:spacing w:line="240" w:lineRule="auto"/>
              <w:ind w:left="142" w:hanging="142"/>
              <w:rPr>
                <w:rFonts w:cstheme="minorHAnsi"/>
              </w:rPr>
            </w:pPr>
          </w:p>
        </w:tc>
        <w:tc>
          <w:tcPr>
            <w:tcW w:w="405" w:type="pct"/>
            <w:tcBorders>
              <w:top w:val="single" w:sz="6" w:space="0" w:color="auto"/>
              <w:bottom w:val="single" w:sz="6" w:space="0" w:color="auto"/>
            </w:tcBorders>
            <w:vAlign w:val="bottom"/>
          </w:tcPr>
          <w:p w:rsidR="00D44FEF" w:rsidRPr="00FE3F73" w:rsidRDefault="00D44FEF" w:rsidP="00FF450D">
            <w:pPr>
              <w:pStyle w:val="TableColHeadings"/>
              <w:rPr>
                <w:rFonts w:cstheme="minorHAnsi"/>
              </w:rPr>
            </w:pPr>
            <w:r w:rsidRPr="00FE3F73">
              <w:rPr>
                <w:rFonts w:cstheme="minorHAnsi"/>
              </w:rPr>
              <w:t>NSW</w:t>
            </w:r>
          </w:p>
        </w:tc>
        <w:tc>
          <w:tcPr>
            <w:tcW w:w="405" w:type="pct"/>
            <w:tcBorders>
              <w:top w:val="single" w:sz="6" w:space="0" w:color="auto"/>
              <w:bottom w:val="single" w:sz="6" w:space="0" w:color="auto"/>
            </w:tcBorders>
            <w:vAlign w:val="bottom"/>
          </w:tcPr>
          <w:p w:rsidR="00D44FEF" w:rsidRPr="00FE3F73" w:rsidRDefault="00D44FEF" w:rsidP="00FF450D">
            <w:pPr>
              <w:pStyle w:val="TableColHeadings"/>
              <w:rPr>
                <w:rFonts w:cstheme="minorHAnsi"/>
              </w:rPr>
            </w:pPr>
            <w:r w:rsidRPr="00FE3F73">
              <w:rPr>
                <w:rFonts w:cstheme="minorHAnsi"/>
              </w:rPr>
              <w:t>Vic</w:t>
            </w:r>
          </w:p>
        </w:tc>
        <w:tc>
          <w:tcPr>
            <w:tcW w:w="405" w:type="pct"/>
            <w:tcBorders>
              <w:top w:val="single" w:sz="6" w:space="0" w:color="auto"/>
              <w:bottom w:val="single" w:sz="6" w:space="0" w:color="auto"/>
            </w:tcBorders>
            <w:vAlign w:val="bottom"/>
          </w:tcPr>
          <w:p w:rsidR="00D44FEF" w:rsidRPr="00FE3F73" w:rsidRDefault="00D44FEF" w:rsidP="00FF450D">
            <w:pPr>
              <w:pStyle w:val="TableColHeadings"/>
              <w:rPr>
                <w:rFonts w:cstheme="minorHAnsi"/>
              </w:rPr>
            </w:pPr>
            <w:r w:rsidRPr="00FE3F73">
              <w:rPr>
                <w:rFonts w:cstheme="minorHAnsi"/>
              </w:rPr>
              <w:t>Qld</w:t>
            </w:r>
          </w:p>
        </w:tc>
        <w:tc>
          <w:tcPr>
            <w:tcW w:w="405" w:type="pct"/>
            <w:tcBorders>
              <w:top w:val="single" w:sz="6" w:space="0" w:color="auto"/>
              <w:bottom w:val="single" w:sz="6" w:space="0" w:color="auto"/>
            </w:tcBorders>
            <w:vAlign w:val="bottom"/>
          </w:tcPr>
          <w:p w:rsidR="00D44FEF" w:rsidRPr="00FE3F73" w:rsidRDefault="00D44FEF" w:rsidP="00FF450D">
            <w:pPr>
              <w:pStyle w:val="TableColHeadings"/>
              <w:rPr>
                <w:rFonts w:cstheme="minorHAnsi"/>
              </w:rPr>
            </w:pPr>
            <w:r w:rsidRPr="00FE3F73">
              <w:rPr>
                <w:rFonts w:cstheme="minorHAnsi"/>
              </w:rPr>
              <w:t>WA</w:t>
            </w:r>
          </w:p>
        </w:tc>
        <w:tc>
          <w:tcPr>
            <w:tcW w:w="405" w:type="pct"/>
            <w:tcBorders>
              <w:top w:val="single" w:sz="6" w:space="0" w:color="auto"/>
              <w:bottom w:val="single" w:sz="6" w:space="0" w:color="auto"/>
            </w:tcBorders>
            <w:vAlign w:val="bottom"/>
          </w:tcPr>
          <w:p w:rsidR="00D44FEF" w:rsidRPr="00FE3F73" w:rsidRDefault="00D44FEF" w:rsidP="00FF450D">
            <w:pPr>
              <w:pStyle w:val="TableColHeadings"/>
              <w:rPr>
                <w:rFonts w:cstheme="minorHAnsi"/>
              </w:rPr>
            </w:pPr>
            <w:r w:rsidRPr="00FE3F73">
              <w:rPr>
                <w:rFonts w:cstheme="minorHAnsi"/>
              </w:rPr>
              <w:t>SA</w:t>
            </w:r>
          </w:p>
        </w:tc>
        <w:tc>
          <w:tcPr>
            <w:tcW w:w="405" w:type="pct"/>
            <w:tcBorders>
              <w:top w:val="single" w:sz="6" w:space="0" w:color="auto"/>
              <w:bottom w:val="single" w:sz="6" w:space="0" w:color="auto"/>
            </w:tcBorders>
            <w:vAlign w:val="bottom"/>
          </w:tcPr>
          <w:p w:rsidR="00D44FEF" w:rsidRPr="00FE3F73" w:rsidRDefault="00D44FEF" w:rsidP="00FF450D">
            <w:pPr>
              <w:pStyle w:val="TableColHeadings"/>
              <w:rPr>
                <w:rFonts w:cstheme="minorHAnsi"/>
              </w:rPr>
            </w:pPr>
            <w:proofErr w:type="spellStart"/>
            <w:r w:rsidRPr="00FE3F73">
              <w:rPr>
                <w:rFonts w:cstheme="minorHAnsi"/>
              </w:rPr>
              <w:t>Tas</w:t>
            </w:r>
            <w:proofErr w:type="spellEnd"/>
          </w:p>
        </w:tc>
        <w:tc>
          <w:tcPr>
            <w:tcW w:w="405" w:type="pct"/>
            <w:tcBorders>
              <w:top w:val="single" w:sz="6" w:space="0" w:color="auto"/>
              <w:bottom w:val="single" w:sz="6" w:space="0" w:color="auto"/>
            </w:tcBorders>
            <w:vAlign w:val="bottom"/>
          </w:tcPr>
          <w:p w:rsidR="00D44FEF" w:rsidRPr="00FE3F73" w:rsidRDefault="00D44FEF" w:rsidP="00FF450D">
            <w:pPr>
              <w:pStyle w:val="TableColHeadings"/>
              <w:rPr>
                <w:rFonts w:cstheme="minorHAnsi"/>
              </w:rPr>
            </w:pPr>
            <w:r w:rsidRPr="00FE3F73">
              <w:rPr>
                <w:rFonts w:cstheme="minorHAnsi"/>
              </w:rPr>
              <w:t>ACT</w:t>
            </w:r>
          </w:p>
        </w:tc>
        <w:tc>
          <w:tcPr>
            <w:tcW w:w="405" w:type="pct"/>
            <w:tcBorders>
              <w:top w:val="single" w:sz="6" w:space="0" w:color="auto"/>
              <w:bottom w:val="single" w:sz="6" w:space="0" w:color="auto"/>
            </w:tcBorders>
            <w:vAlign w:val="bottom"/>
          </w:tcPr>
          <w:p w:rsidR="00D44FEF" w:rsidRPr="00FE3F73" w:rsidRDefault="00D44FEF" w:rsidP="00FF450D">
            <w:pPr>
              <w:pStyle w:val="TableColHeadings"/>
              <w:rPr>
                <w:rFonts w:cstheme="minorHAnsi"/>
              </w:rPr>
            </w:pPr>
            <w:r w:rsidRPr="00FE3F73">
              <w:rPr>
                <w:rFonts w:cstheme="minorHAnsi"/>
              </w:rPr>
              <w:t>NT</w:t>
            </w:r>
          </w:p>
        </w:tc>
        <w:tc>
          <w:tcPr>
            <w:tcW w:w="405" w:type="pct"/>
            <w:tcBorders>
              <w:top w:val="single" w:sz="6" w:space="0" w:color="auto"/>
              <w:bottom w:val="single" w:sz="6" w:space="0" w:color="auto"/>
            </w:tcBorders>
            <w:vAlign w:val="bottom"/>
          </w:tcPr>
          <w:p w:rsidR="00D44FEF" w:rsidRPr="00FE3F73" w:rsidRDefault="00D44FEF" w:rsidP="00FF450D">
            <w:pPr>
              <w:pStyle w:val="TableColHeadings"/>
              <w:rPr>
                <w:rFonts w:cstheme="minorHAnsi"/>
              </w:rPr>
            </w:pPr>
            <w:r>
              <w:rPr>
                <w:rFonts w:cstheme="minorHAnsi"/>
              </w:rPr>
              <w:t>Total</w:t>
            </w:r>
          </w:p>
        </w:tc>
      </w:tr>
      <w:tr w:rsidR="00D44FEF" w:rsidRPr="00FE3F73" w:rsidTr="001C0963">
        <w:tc>
          <w:tcPr>
            <w:tcW w:w="1354" w:type="pct"/>
            <w:tcMar>
              <w:top w:w="0" w:type="dxa"/>
              <w:bottom w:w="0" w:type="dxa"/>
            </w:tcMar>
            <w:vAlign w:val="bottom"/>
          </w:tcPr>
          <w:p w:rsidR="00D44FEF" w:rsidRPr="00FE3F73" w:rsidRDefault="00D44FEF" w:rsidP="00FF450D">
            <w:pPr>
              <w:pStyle w:val="CGCTableStub"/>
              <w:spacing w:before="0" w:after="0" w:line="240" w:lineRule="auto"/>
              <w:jc w:val="right"/>
              <w:rPr>
                <w:rFonts w:cstheme="minorHAnsi"/>
              </w:rPr>
            </w:pPr>
          </w:p>
        </w:tc>
        <w:tc>
          <w:tcPr>
            <w:tcW w:w="405" w:type="pct"/>
            <w:tcMar>
              <w:top w:w="0" w:type="dxa"/>
              <w:bottom w:w="0" w:type="dxa"/>
            </w:tcMar>
            <w:vAlign w:val="bottom"/>
          </w:tcPr>
          <w:p w:rsidR="00D44FEF" w:rsidRPr="00FE3F73" w:rsidRDefault="00D44FEF" w:rsidP="00FF450D">
            <w:pPr>
              <w:pStyle w:val="TableRowNormal"/>
              <w:spacing w:before="0" w:after="0" w:line="240" w:lineRule="auto"/>
              <w:ind w:left="0" w:firstLine="0"/>
              <w:rPr>
                <w:rFonts w:cstheme="minorHAnsi"/>
              </w:rPr>
            </w:pPr>
          </w:p>
        </w:tc>
        <w:tc>
          <w:tcPr>
            <w:tcW w:w="405" w:type="pct"/>
            <w:tcMar>
              <w:top w:w="0" w:type="dxa"/>
              <w:bottom w:w="0" w:type="dxa"/>
            </w:tcMar>
            <w:vAlign w:val="bottom"/>
          </w:tcPr>
          <w:p w:rsidR="00D44FEF" w:rsidRPr="00FE3F73" w:rsidRDefault="00D44FEF" w:rsidP="00FF450D">
            <w:pPr>
              <w:pStyle w:val="TableRowNormal"/>
              <w:spacing w:before="0" w:after="0" w:line="240" w:lineRule="auto"/>
              <w:ind w:left="0" w:firstLine="0"/>
              <w:rPr>
                <w:rFonts w:cstheme="minorHAnsi"/>
              </w:rPr>
            </w:pPr>
          </w:p>
        </w:tc>
        <w:tc>
          <w:tcPr>
            <w:tcW w:w="405" w:type="pct"/>
            <w:tcMar>
              <w:top w:w="0" w:type="dxa"/>
              <w:bottom w:w="0" w:type="dxa"/>
            </w:tcMar>
            <w:vAlign w:val="bottom"/>
          </w:tcPr>
          <w:p w:rsidR="00D44FEF" w:rsidRPr="00FE3F73" w:rsidRDefault="00D44FEF" w:rsidP="00FF450D">
            <w:pPr>
              <w:pStyle w:val="TableRowNormal"/>
              <w:spacing w:before="0" w:after="0" w:line="240" w:lineRule="auto"/>
              <w:ind w:left="0" w:firstLine="0"/>
              <w:rPr>
                <w:rFonts w:cstheme="minorHAnsi"/>
              </w:rPr>
            </w:pPr>
          </w:p>
        </w:tc>
        <w:tc>
          <w:tcPr>
            <w:tcW w:w="405" w:type="pct"/>
            <w:tcMar>
              <w:top w:w="0" w:type="dxa"/>
              <w:bottom w:w="0" w:type="dxa"/>
            </w:tcMar>
            <w:vAlign w:val="bottom"/>
          </w:tcPr>
          <w:p w:rsidR="00D44FEF" w:rsidRPr="00FE3F73" w:rsidRDefault="00D44FEF" w:rsidP="00FF450D">
            <w:pPr>
              <w:pStyle w:val="TableRowNormal"/>
              <w:spacing w:before="0" w:after="0" w:line="240" w:lineRule="auto"/>
              <w:ind w:left="0" w:firstLine="0"/>
              <w:rPr>
                <w:rFonts w:cstheme="minorHAnsi"/>
              </w:rPr>
            </w:pPr>
          </w:p>
        </w:tc>
        <w:tc>
          <w:tcPr>
            <w:tcW w:w="405" w:type="pct"/>
            <w:tcMar>
              <w:top w:w="0" w:type="dxa"/>
              <w:bottom w:w="0" w:type="dxa"/>
            </w:tcMar>
            <w:vAlign w:val="bottom"/>
          </w:tcPr>
          <w:p w:rsidR="00D44FEF" w:rsidRPr="00FE3F73" w:rsidRDefault="00D44FEF" w:rsidP="00FF450D">
            <w:pPr>
              <w:pStyle w:val="TableRowNormal"/>
              <w:spacing w:before="0" w:after="0" w:line="240" w:lineRule="auto"/>
              <w:ind w:left="0" w:firstLine="0"/>
              <w:rPr>
                <w:rFonts w:cstheme="minorHAnsi"/>
              </w:rPr>
            </w:pPr>
          </w:p>
        </w:tc>
        <w:tc>
          <w:tcPr>
            <w:tcW w:w="405" w:type="pct"/>
            <w:tcMar>
              <w:top w:w="0" w:type="dxa"/>
              <w:bottom w:w="0" w:type="dxa"/>
            </w:tcMar>
            <w:vAlign w:val="bottom"/>
          </w:tcPr>
          <w:p w:rsidR="00D44FEF" w:rsidRPr="00FE3F73" w:rsidRDefault="00D44FEF" w:rsidP="00FF450D">
            <w:pPr>
              <w:pStyle w:val="TableRowNormal"/>
              <w:spacing w:before="0" w:after="0" w:line="240" w:lineRule="auto"/>
              <w:ind w:left="0" w:firstLine="0"/>
              <w:rPr>
                <w:rFonts w:cstheme="minorHAnsi"/>
              </w:rPr>
            </w:pPr>
          </w:p>
        </w:tc>
        <w:tc>
          <w:tcPr>
            <w:tcW w:w="405" w:type="pct"/>
            <w:tcMar>
              <w:top w:w="0" w:type="dxa"/>
              <w:bottom w:w="0" w:type="dxa"/>
            </w:tcMar>
            <w:vAlign w:val="bottom"/>
          </w:tcPr>
          <w:p w:rsidR="00D44FEF" w:rsidRPr="00FE3F73" w:rsidRDefault="00D44FEF" w:rsidP="00FF450D">
            <w:pPr>
              <w:pStyle w:val="TableRowNormal"/>
              <w:spacing w:before="0" w:after="0" w:line="240" w:lineRule="auto"/>
              <w:ind w:left="0" w:firstLine="0"/>
              <w:rPr>
                <w:rFonts w:cstheme="minorHAnsi"/>
              </w:rPr>
            </w:pPr>
          </w:p>
        </w:tc>
        <w:tc>
          <w:tcPr>
            <w:tcW w:w="405" w:type="pct"/>
            <w:tcMar>
              <w:top w:w="0" w:type="dxa"/>
              <w:bottom w:w="0" w:type="dxa"/>
            </w:tcMar>
            <w:vAlign w:val="bottom"/>
          </w:tcPr>
          <w:p w:rsidR="00D44FEF" w:rsidRPr="00FE3F73" w:rsidRDefault="00D44FEF" w:rsidP="00FF450D">
            <w:pPr>
              <w:pStyle w:val="TableRowNormal"/>
              <w:spacing w:before="0" w:after="0" w:line="240" w:lineRule="auto"/>
              <w:ind w:left="0" w:firstLine="0"/>
              <w:rPr>
                <w:rFonts w:cstheme="minorHAnsi"/>
              </w:rPr>
            </w:pPr>
          </w:p>
        </w:tc>
        <w:tc>
          <w:tcPr>
            <w:tcW w:w="405" w:type="pct"/>
            <w:tcMar>
              <w:top w:w="0" w:type="dxa"/>
              <w:bottom w:w="0" w:type="dxa"/>
            </w:tcMar>
            <w:vAlign w:val="bottom"/>
          </w:tcPr>
          <w:p w:rsidR="00D44FEF" w:rsidRPr="00FE3F73" w:rsidRDefault="00D44FEF" w:rsidP="00FF450D">
            <w:pPr>
              <w:pStyle w:val="TableRowNormal"/>
              <w:spacing w:before="0" w:after="0" w:line="240" w:lineRule="auto"/>
              <w:ind w:left="0" w:firstLine="0"/>
              <w:rPr>
                <w:rFonts w:cstheme="minorHAnsi"/>
              </w:rPr>
            </w:pPr>
          </w:p>
        </w:tc>
      </w:tr>
      <w:tr w:rsidR="00D44FEF" w:rsidRPr="00FE3F73" w:rsidTr="001C0963">
        <w:tc>
          <w:tcPr>
            <w:tcW w:w="1354" w:type="pct"/>
            <w:vAlign w:val="bottom"/>
          </w:tcPr>
          <w:p w:rsidR="00D44FEF" w:rsidRPr="00FE3F73" w:rsidRDefault="00D44FEF" w:rsidP="00FF450D">
            <w:pPr>
              <w:pStyle w:val="CGCTableStub"/>
              <w:tabs>
                <w:tab w:val="left" w:pos="142"/>
                <w:tab w:val="left" w:pos="425"/>
                <w:tab w:val="left" w:pos="709"/>
                <w:tab w:val="left" w:pos="851"/>
              </w:tabs>
              <w:ind w:left="142" w:hanging="142"/>
              <w:rPr>
                <w:rFonts w:cstheme="minorHAnsi"/>
              </w:rPr>
            </w:pPr>
            <w:r>
              <w:rPr>
                <w:rFonts w:cstheme="minorHAnsi"/>
              </w:rPr>
              <w:t>Actual revenue</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37.2</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30.3</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18.8</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3.7</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6.3</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1.6</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0.8</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1.2</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100.0</w:t>
            </w:r>
          </w:p>
        </w:tc>
      </w:tr>
      <w:tr w:rsidR="00D44FEF" w:rsidRPr="00FE3F73" w:rsidTr="001C0963">
        <w:tc>
          <w:tcPr>
            <w:tcW w:w="1354" w:type="pct"/>
            <w:vAlign w:val="bottom"/>
          </w:tcPr>
          <w:p w:rsidR="00D44FEF" w:rsidRPr="00FE3F73" w:rsidRDefault="00D44FEF" w:rsidP="00FF450D">
            <w:pPr>
              <w:pStyle w:val="CGCTableStub"/>
              <w:tabs>
                <w:tab w:val="left" w:pos="142"/>
                <w:tab w:val="left" w:pos="425"/>
                <w:tab w:val="left" w:pos="709"/>
                <w:tab w:val="left" w:pos="851"/>
              </w:tabs>
              <w:ind w:left="142" w:hanging="142"/>
              <w:rPr>
                <w:rFonts w:cstheme="minorHAnsi"/>
              </w:rPr>
            </w:pPr>
            <w:r>
              <w:rPr>
                <w:rFonts w:cstheme="minorHAnsi"/>
              </w:rPr>
              <w:t>Gambling expenditure</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39.8</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24.5</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16.3</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6.4</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4.5</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1.4</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1.0</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6.1</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100.0</w:t>
            </w:r>
          </w:p>
        </w:tc>
      </w:tr>
      <w:tr w:rsidR="00D44FEF" w:rsidRPr="00FE3F73" w:rsidTr="001C0963">
        <w:tc>
          <w:tcPr>
            <w:tcW w:w="1354" w:type="pct"/>
            <w:vAlign w:val="bottom"/>
          </w:tcPr>
          <w:p w:rsidR="00D44FEF" w:rsidRPr="00FE3F73" w:rsidRDefault="004D073B" w:rsidP="00FF450D">
            <w:pPr>
              <w:pStyle w:val="CGCTableStub"/>
              <w:tabs>
                <w:tab w:val="left" w:pos="142"/>
                <w:tab w:val="left" w:pos="425"/>
                <w:tab w:val="left" w:pos="709"/>
                <w:tab w:val="left" w:pos="851"/>
              </w:tabs>
              <w:ind w:left="142" w:hanging="142"/>
              <w:rPr>
                <w:rFonts w:cstheme="minorHAnsi"/>
              </w:rPr>
            </w:pPr>
            <w:r>
              <w:rPr>
                <w:rFonts w:cstheme="minorHAnsi"/>
              </w:rPr>
              <w:t>Gambling turnover</w:t>
            </w:r>
            <w:r w:rsidR="00D44FEF" w:rsidRPr="004D073B">
              <w:rPr>
                <w:rFonts w:cstheme="minorHAnsi"/>
                <w:vertAlign w:val="superscript"/>
              </w:rPr>
              <w:t>(a)</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42.3</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23.9</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17.2</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3.6</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4.2</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0.3</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1.2</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7.3</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100.0</w:t>
            </w:r>
          </w:p>
        </w:tc>
      </w:tr>
      <w:tr w:rsidR="00D44FEF" w:rsidRPr="00FE3F73" w:rsidTr="001C0963">
        <w:tc>
          <w:tcPr>
            <w:tcW w:w="1354" w:type="pct"/>
            <w:vAlign w:val="bottom"/>
          </w:tcPr>
          <w:p w:rsidR="00D44FEF" w:rsidRDefault="00D44FEF" w:rsidP="00FF450D">
            <w:pPr>
              <w:pStyle w:val="CGCTableStub"/>
              <w:tabs>
                <w:tab w:val="left" w:pos="142"/>
                <w:tab w:val="left" w:pos="425"/>
                <w:tab w:val="left" w:pos="709"/>
                <w:tab w:val="left" w:pos="851"/>
              </w:tabs>
              <w:ind w:left="142" w:hanging="142"/>
              <w:rPr>
                <w:rFonts w:cstheme="minorHAnsi"/>
              </w:rPr>
            </w:pPr>
            <w:r>
              <w:rPr>
                <w:rFonts w:cstheme="minorHAnsi"/>
              </w:rPr>
              <w:t>Gross household disposable income</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34.2</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23.2</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18.4</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11.4</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6.4</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1.8</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3.2</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1.3</w:t>
            </w:r>
          </w:p>
        </w:tc>
        <w:tc>
          <w:tcPr>
            <w:tcW w:w="405" w:type="pct"/>
            <w:vAlign w:val="bottom"/>
          </w:tcPr>
          <w:p w:rsidR="00D44FEF" w:rsidRPr="00EF38AE" w:rsidRDefault="00D44FEF" w:rsidP="00FF450D">
            <w:pPr>
              <w:pStyle w:val="TableRowNormal"/>
              <w:ind w:left="0" w:firstLine="0"/>
              <w:rPr>
                <w:rFonts w:cstheme="minorHAnsi"/>
              </w:rPr>
            </w:pPr>
            <w:r w:rsidRPr="00EF38AE">
              <w:rPr>
                <w:rFonts w:cstheme="minorHAnsi"/>
              </w:rPr>
              <w:t>100.0</w:t>
            </w:r>
          </w:p>
        </w:tc>
      </w:tr>
      <w:tr w:rsidR="00D44FEF" w:rsidRPr="00FE3F73" w:rsidTr="001C0963">
        <w:tc>
          <w:tcPr>
            <w:tcW w:w="1354" w:type="pct"/>
            <w:tcBorders>
              <w:bottom w:val="single" w:sz="4" w:space="0" w:color="auto"/>
            </w:tcBorders>
            <w:vAlign w:val="bottom"/>
          </w:tcPr>
          <w:p w:rsidR="00D44FEF" w:rsidRDefault="00D44FEF" w:rsidP="00FF450D">
            <w:pPr>
              <w:pStyle w:val="CGCTableStub"/>
              <w:tabs>
                <w:tab w:val="left" w:pos="142"/>
                <w:tab w:val="left" w:pos="425"/>
                <w:tab w:val="left" w:pos="709"/>
                <w:tab w:val="left" w:pos="851"/>
              </w:tabs>
              <w:ind w:left="142" w:hanging="142"/>
              <w:rPr>
                <w:rFonts w:cstheme="minorHAnsi"/>
              </w:rPr>
            </w:pPr>
            <w:r>
              <w:rPr>
                <w:rFonts w:cstheme="minorHAnsi"/>
              </w:rPr>
              <w:t>Population</w:t>
            </w:r>
          </w:p>
        </w:tc>
        <w:tc>
          <w:tcPr>
            <w:tcW w:w="405" w:type="pct"/>
            <w:tcBorders>
              <w:bottom w:val="single" w:sz="4" w:space="0" w:color="auto"/>
            </w:tcBorders>
            <w:vAlign w:val="bottom"/>
          </w:tcPr>
          <w:p w:rsidR="00D44FEF" w:rsidRPr="00EF38AE" w:rsidRDefault="00D44FEF" w:rsidP="00FF450D">
            <w:pPr>
              <w:pStyle w:val="TableRowNormal"/>
              <w:ind w:left="0" w:firstLine="0"/>
              <w:rPr>
                <w:rFonts w:cstheme="minorHAnsi"/>
              </w:rPr>
            </w:pPr>
            <w:r w:rsidRPr="00EF38AE">
              <w:rPr>
                <w:rFonts w:cstheme="minorHAnsi"/>
              </w:rPr>
              <w:t>32.0</w:t>
            </w:r>
          </w:p>
        </w:tc>
        <w:tc>
          <w:tcPr>
            <w:tcW w:w="405" w:type="pct"/>
            <w:tcBorders>
              <w:bottom w:val="single" w:sz="4" w:space="0" w:color="auto"/>
            </w:tcBorders>
            <w:vAlign w:val="bottom"/>
          </w:tcPr>
          <w:p w:rsidR="00D44FEF" w:rsidRPr="00EF38AE" w:rsidRDefault="00D44FEF" w:rsidP="00FF450D">
            <w:pPr>
              <w:pStyle w:val="TableRowNormal"/>
              <w:ind w:left="0" w:firstLine="0"/>
              <w:rPr>
                <w:rFonts w:cstheme="minorHAnsi"/>
              </w:rPr>
            </w:pPr>
            <w:r w:rsidRPr="00EF38AE">
              <w:rPr>
                <w:rFonts w:cstheme="minorHAnsi"/>
              </w:rPr>
              <w:t>25.1</w:t>
            </w:r>
          </w:p>
        </w:tc>
        <w:tc>
          <w:tcPr>
            <w:tcW w:w="405" w:type="pct"/>
            <w:tcBorders>
              <w:bottom w:val="single" w:sz="4" w:space="0" w:color="auto"/>
            </w:tcBorders>
            <w:vAlign w:val="bottom"/>
          </w:tcPr>
          <w:p w:rsidR="00D44FEF" w:rsidRPr="00EF38AE" w:rsidRDefault="00D44FEF" w:rsidP="00FF450D">
            <w:pPr>
              <w:pStyle w:val="TableRowNormal"/>
              <w:ind w:left="0" w:firstLine="0"/>
              <w:rPr>
                <w:rFonts w:cstheme="minorHAnsi"/>
              </w:rPr>
            </w:pPr>
            <w:r w:rsidRPr="00EF38AE">
              <w:rPr>
                <w:rFonts w:cstheme="minorHAnsi"/>
              </w:rPr>
              <w:t>20.1</w:t>
            </w:r>
          </w:p>
        </w:tc>
        <w:tc>
          <w:tcPr>
            <w:tcW w:w="405" w:type="pct"/>
            <w:tcBorders>
              <w:bottom w:val="single" w:sz="4" w:space="0" w:color="auto"/>
            </w:tcBorders>
            <w:vAlign w:val="bottom"/>
          </w:tcPr>
          <w:p w:rsidR="00D44FEF" w:rsidRPr="00EF38AE" w:rsidRDefault="00D44FEF" w:rsidP="00FF450D">
            <w:pPr>
              <w:pStyle w:val="TableRowNormal"/>
              <w:ind w:left="0" w:firstLine="0"/>
              <w:rPr>
                <w:rFonts w:cstheme="minorHAnsi"/>
              </w:rPr>
            </w:pPr>
            <w:r w:rsidRPr="00EF38AE">
              <w:rPr>
                <w:rFonts w:cstheme="minorHAnsi"/>
              </w:rPr>
              <w:t>10.9</w:t>
            </w:r>
          </w:p>
        </w:tc>
        <w:tc>
          <w:tcPr>
            <w:tcW w:w="405" w:type="pct"/>
            <w:tcBorders>
              <w:bottom w:val="single" w:sz="4" w:space="0" w:color="auto"/>
            </w:tcBorders>
            <w:vAlign w:val="bottom"/>
          </w:tcPr>
          <w:p w:rsidR="00D44FEF" w:rsidRPr="00EF38AE" w:rsidRDefault="00D44FEF" w:rsidP="00FF450D">
            <w:pPr>
              <w:pStyle w:val="TableRowNormal"/>
              <w:ind w:left="0" w:firstLine="0"/>
              <w:rPr>
                <w:rFonts w:cstheme="minorHAnsi"/>
              </w:rPr>
            </w:pPr>
            <w:r w:rsidRPr="00EF38AE">
              <w:rPr>
                <w:rFonts w:cstheme="minorHAnsi"/>
              </w:rPr>
              <w:t>7.1</w:t>
            </w:r>
          </w:p>
        </w:tc>
        <w:tc>
          <w:tcPr>
            <w:tcW w:w="405" w:type="pct"/>
            <w:tcBorders>
              <w:bottom w:val="single" w:sz="4" w:space="0" w:color="auto"/>
            </w:tcBorders>
            <w:vAlign w:val="bottom"/>
          </w:tcPr>
          <w:p w:rsidR="00D44FEF" w:rsidRPr="00EF38AE" w:rsidRDefault="00D44FEF" w:rsidP="00FF450D">
            <w:pPr>
              <w:pStyle w:val="TableRowNormal"/>
              <w:ind w:left="0" w:firstLine="0"/>
              <w:rPr>
                <w:rFonts w:cstheme="minorHAnsi"/>
              </w:rPr>
            </w:pPr>
            <w:r w:rsidRPr="00EF38AE">
              <w:rPr>
                <w:rFonts w:cstheme="minorHAnsi"/>
              </w:rPr>
              <w:t>2.2</w:t>
            </w:r>
          </w:p>
        </w:tc>
        <w:tc>
          <w:tcPr>
            <w:tcW w:w="405" w:type="pct"/>
            <w:tcBorders>
              <w:bottom w:val="single" w:sz="4" w:space="0" w:color="auto"/>
            </w:tcBorders>
            <w:vAlign w:val="bottom"/>
          </w:tcPr>
          <w:p w:rsidR="00D44FEF" w:rsidRPr="00EF38AE" w:rsidRDefault="00D44FEF" w:rsidP="00FF450D">
            <w:pPr>
              <w:pStyle w:val="TableRowNormal"/>
              <w:ind w:left="0" w:firstLine="0"/>
              <w:rPr>
                <w:rFonts w:cstheme="minorHAnsi"/>
              </w:rPr>
            </w:pPr>
            <w:r w:rsidRPr="00EF38AE">
              <w:rPr>
                <w:rFonts w:cstheme="minorHAnsi"/>
              </w:rPr>
              <w:t>1.6</w:t>
            </w:r>
          </w:p>
        </w:tc>
        <w:tc>
          <w:tcPr>
            <w:tcW w:w="405" w:type="pct"/>
            <w:tcBorders>
              <w:bottom w:val="single" w:sz="4" w:space="0" w:color="auto"/>
            </w:tcBorders>
            <w:vAlign w:val="bottom"/>
          </w:tcPr>
          <w:p w:rsidR="00D44FEF" w:rsidRPr="00EF38AE" w:rsidRDefault="00D44FEF" w:rsidP="00FF450D">
            <w:pPr>
              <w:pStyle w:val="TableRowNormal"/>
              <w:ind w:left="0" w:firstLine="0"/>
              <w:rPr>
                <w:rFonts w:cstheme="minorHAnsi"/>
              </w:rPr>
            </w:pPr>
            <w:r w:rsidRPr="00EF38AE">
              <w:rPr>
                <w:rFonts w:cstheme="minorHAnsi"/>
              </w:rPr>
              <w:t>1.0</w:t>
            </w:r>
          </w:p>
        </w:tc>
        <w:tc>
          <w:tcPr>
            <w:tcW w:w="405" w:type="pct"/>
            <w:tcBorders>
              <w:bottom w:val="single" w:sz="4" w:space="0" w:color="auto"/>
            </w:tcBorders>
            <w:vAlign w:val="bottom"/>
          </w:tcPr>
          <w:p w:rsidR="00D44FEF" w:rsidRPr="00EF38AE" w:rsidRDefault="00D44FEF" w:rsidP="00FF450D">
            <w:pPr>
              <w:pStyle w:val="TableRowNormal"/>
              <w:ind w:left="0" w:firstLine="0"/>
              <w:rPr>
                <w:rFonts w:cstheme="minorHAnsi"/>
              </w:rPr>
            </w:pPr>
            <w:r w:rsidRPr="00EF38AE">
              <w:rPr>
                <w:rFonts w:cstheme="minorHAnsi"/>
              </w:rPr>
              <w:t>100.0</w:t>
            </w:r>
          </w:p>
        </w:tc>
      </w:tr>
    </w:tbl>
    <w:p w:rsidR="00D44FEF" w:rsidRDefault="00D44FEF" w:rsidP="00FF450D">
      <w:pPr>
        <w:pStyle w:val="CGCTableFootnote"/>
        <w:keepNext/>
        <w:keepLines/>
      </w:pPr>
      <w:r>
        <w:t>(a)</w:t>
      </w:r>
      <w:r>
        <w:tab/>
      </w:r>
      <w:r w:rsidRPr="00EF38AE">
        <w:t>Queensland Government Statistician's Office</w:t>
      </w:r>
      <w:r w:rsidR="006E5A27">
        <w:t xml:space="preserve"> neede</w:t>
      </w:r>
      <w:r>
        <w:t>d to estimate turnover figures for Tasmania.</w:t>
      </w:r>
    </w:p>
    <w:p w:rsidR="00D44FEF" w:rsidRDefault="00D44FEF" w:rsidP="00FF450D">
      <w:pPr>
        <w:pStyle w:val="CGCTableFootnote"/>
        <w:keepNext/>
        <w:keepLines/>
      </w:pPr>
      <w:r>
        <w:t>Source:</w:t>
      </w:r>
      <w:r>
        <w:tab/>
        <w:t xml:space="preserve">Actual revenue was sourced from ABS, </w:t>
      </w:r>
      <w:r w:rsidRPr="006E5A27">
        <w:rPr>
          <w:i/>
        </w:rPr>
        <w:t>Taxation revenue, Australia, 2015-16, Cat No 5506.0</w:t>
      </w:r>
      <w:r>
        <w:t xml:space="preserve">. Gambling expenditure and gambling turnover were sourced from </w:t>
      </w:r>
      <w:r w:rsidRPr="00EF38AE">
        <w:t xml:space="preserve">Queensland Government Statistician's Office, </w:t>
      </w:r>
      <w:r w:rsidRPr="006E5A27">
        <w:rPr>
          <w:i/>
        </w:rPr>
        <w:t>Australian Gambling Statistics, 33rd edition, State tables</w:t>
      </w:r>
      <w:r w:rsidRPr="00EF38AE">
        <w:t>.</w:t>
      </w:r>
      <w:r>
        <w:t xml:space="preserve"> Gross household disposable income was sourced from </w:t>
      </w:r>
      <w:r w:rsidRPr="00EF38AE">
        <w:t xml:space="preserve">ABS, </w:t>
      </w:r>
      <w:r w:rsidRPr="006E5A27">
        <w:rPr>
          <w:i/>
        </w:rPr>
        <w:t xml:space="preserve">Australian National Accounts </w:t>
      </w:r>
      <w:r w:rsidRPr="006E5A27">
        <w:rPr>
          <w:i/>
        </w:rPr>
        <w:noBreakHyphen/>
        <w:t xml:space="preserve"> State Accounts, 2016-17</w:t>
      </w:r>
      <w:r w:rsidRPr="00EF38AE">
        <w:t>, Table 12-19 Household Income Account and Per Capita, current price, Cat No 5220.0.</w:t>
      </w:r>
    </w:p>
    <w:p w:rsidR="00D44FEF" w:rsidRDefault="00D44FEF" w:rsidP="00D44FEF">
      <w:pPr>
        <w:pStyle w:val="CGCTableHeading"/>
      </w:pPr>
      <w:bookmarkStart w:id="30" w:name="_Ref509337553"/>
      <w:r>
        <w:t xml:space="preserve">Table </w:t>
      </w:r>
      <w:r w:rsidR="001133A0">
        <w:fldChar w:fldCharType="begin"/>
      </w:r>
      <w:r w:rsidR="001133A0">
        <w:instrText xml:space="preserve"> SEQ Table \* ARABIC </w:instrText>
      </w:r>
      <w:r w:rsidR="001133A0">
        <w:fldChar w:fldCharType="separate"/>
      </w:r>
      <w:r w:rsidR="001133A0">
        <w:rPr>
          <w:noProof/>
        </w:rPr>
        <w:t>6</w:t>
      </w:r>
      <w:r w:rsidR="001133A0">
        <w:rPr>
          <w:noProof/>
        </w:rPr>
        <w:fldChar w:fldCharType="end"/>
      </w:r>
      <w:bookmarkEnd w:id="30"/>
      <w:r>
        <w:tab/>
      </w:r>
      <w:r w:rsidR="00A40AA7">
        <w:t>Revenue raising capacity ratios</w:t>
      </w:r>
      <w:r>
        <w:t>, 2015-16</w:t>
      </w:r>
    </w:p>
    <w:tbl>
      <w:tblPr>
        <w:tblW w:w="5000" w:type="pct"/>
        <w:tblCellMar>
          <w:left w:w="85" w:type="dxa"/>
          <w:right w:w="85" w:type="dxa"/>
        </w:tblCellMar>
        <w:tblLook w:val="0000" w:firstRow="0" w:lastRow="0" w:firstColumn="0" w:lastColumn="0" w:noHBand="0" w:noVBand="0"/>
      </w:tblPr>
      <w:tblGrid>
        <w:gridCol w:w="2409"/>
        <w:gridCol w:w="712"/>
        <w:gridCol w:w="712"/>
        <w:gridCol w:w="712"/>
        <w:gridCol w:w="713"/>
        <w:gridCol w:w="713"/>
        <w:gridCol w:w="715"/>
        <w:gridCol w:w="715"/>
        <w:gridCol w:w="715"/>
        <w:gridCol w:w="835"/>
      </w:tblGrid>
      <w:tr w:rsidR="00D44FEF" w:rsidRPr="00FE3F73" w:rsidTr="004D073B">
        <w:tc>
          <w:tcPr>
            <w:tcW w:w="1347" w:type="pct"/>
            <w:tcBorders>
              <w:top w:val="single" w:sz="6" w:space="0" w:color="auto"/>
              <w:bottom w:val="single" w:sz="6" w:space="0" w:color="auto"/>
            </w:tcBorders>
            <w:vAlign w:val="bottom"/>
          </w:tcPr>
          <w:p w:rsidR="00D44FEF" w:rsidRPr="00FE3F73" w:rsidRDefault="00D44FEF" w:rsidP="001C0963">
            <w:pPr>
              <w:pStyle w:val="CGCTableStub"/>
              <w:spacing w:line="240" w:lineRule="auto"/>
              <w:ind w:left="142" w:hanging="142"/>
              <w:rPr>
                <w:rFonts w:cstheme="minorHAnsi"/>
              </w:rPr>
            </w:pPr>
          </w:p>
        </w:tc>
        <w:tc>
          <w:tcPr>
            <w:tcW w:w="399" w:type="pct"/>
            <w:tcBorders>
              <w:top w:val="single" w:sz="6" w:space="0" w:color="auto"/>
              <w:bottom w:val="single" w:sz="6" w:space="0" w:color="auto"/>
            </w:tcBorders>
            <w:vAlign w:val="bottom"/>
          </w:tcPr>
          <w:p w:rsidR="00D44FEF" w:rsidRPr="00FE3F73" w:rsidRDefault="00D44FEF" w:rsidP="001C0963">
            <w:pPr>
              <w:pStyle w:val="TableColHeadings"/>
              <w:rPr>
                <w:rFonts w:cstheme="minorHAnsi"/>
              </w:rPr>
            </w:pPr>
            <w:r w:rsidRPr="00FE3F73">
              <w:rPr>
                <w:rFonts w:cstheme="minorHAnsi"/>
              </w:rPr>
              <w:t>NSW</w:t>
            </w:r>
          </w:p>
        </w:tc>
        <w:tc>
          <w:tcPr>
            <w:tcW w:w="399" w:type="pct"/>
            <w:tcBorders>
              <w:top w:val="single" w:sz="6" w:space="0" w:color="auto"/>
              <w:bottom w:val="single" w:sz="6" w:space="0" w:color="auto"/>
            </w:tcBorders>
            <w:vAlign w:val="bottom"/>
          </w:tcPr>
          <w:p w:rsidR="00D44FEF" w:rsidRPr="00FE3F73" w:rsidRDefault="00D44FEF" w:rsidP="001C0963">
            <w:pPr>
              <w:pStyle w:val="TableColHeadings"/>
              <w:rPr>
                <w:rFonts w:cstheme="minorHAnsi"/>
              </w:rPr>
            </w:pPr>
            <w:r w:rsidRPr="00FE3F73">
              <w:rPr>
                <w:rFonts w:cstheme="minorHAnsi"/>
              </w:rPr>
              <w:t>Vic</w:t>
            </w:r>
          </w:p>
        </w:tc>
        <w:tc>
          <w:tcPr>
            <w:tcW w:w="399" w:type="pct"/>
            <w:tcBorders>
              <w:top w:val="single" w:sz="6" w:space="0" w:color="auto"/>
              <w:bottom w:val="single" w:sz="6" w:space="0" w:color="auto"/>
            </w:tcBorders>
            <w:vAlign w:val="bottom"/>
          </w:tcPr>
          <w:p w:rsidR="00D44FEF" w:rsidRPr="00FE3F73" w:rsidRDefault="00D44FEF" w:rsidP="001C0963">
            <w:pPr>
              <w:pStyle w:val="TableColHeadings"/>
              <w:rPr>
                <w:rFonts w:cstheme="minorHAnsi"/>
              </w:rPr>
            </w:pPr>
            <w:r w:rsidRPr="00FE3F73">
              <w:rPr>
                <w:rFonts w:cstheme="minorHAnsi"/>
              </w:rPr>
              <w:t>Qld</w:t>
            </w:r>
          </w:p>
        </w:tc>
        <w:tc>
          <w:tcPr>
            <w:tcW w:w="399" w:type="pct"/>
            <w:tcBorders>
              <w:top w:val="single" w:sz="6" w:space="0" w:color="auto"/>
              <w:bottom w:val="single" w:sz="6" w:space="0" w:color="auto"/>
            </w:tcBorders>
            <w:vAlign w:val="bottom"/>
          </w:tcPr>
          <w:p w:rsidR="00D44FEF" w:rsidRPr="00FE3F73" w:rsidRDefault="00D44FEF" w:rsidP="001C0963">
            <w:pPr>
              <w:pStyle w:val="TableColHeadings"/>
              <w:rPr>
                <w:rFonts w:cstheme="minorHAnsi"/>
              </w:rPr>
            </w:pPr>
            <w:r w:rsidRPr="00FE3F73">
              <w:rPr>
                <w:rFonts w:cstheme="minorHAnsi"/>
              </w:rPr>
              <w:t>WA</w:t>
            </w:r>
          </w:p>
        </w:tc>
        <w:tc>
          <w:tcPr>
            <w:tcW w:w="399" w:type="pct"/>
            <w:tcBorders>
              <w:top w:val="single" w:sz="6" w:space="0" w:color="auto"/>
              <w:bottom w:val="single" w:sz="6" w:space="0" w:color="auto"/>
            </w:tcBorders>
            <w:vAlign w:val="bottom"/>
          </w:tcPr>
          <w:p w:rsidR="00D44FEF" w:rsidRPr="00FE3F73" w:rsidRDefault="00D44FEF" w:rsidP="001C0963">
            <w:pPr>
              <w:pStyle w:val="TableColHeadings"/>
              <w:rPr>
                <w:rFonts w:cstheme="minorHAnsi"/>
              </w:rPr>
            </w:pPr>
            <w:r w:rsidRPr="00FE3F73">
              <w:rPr>
                <w:rFonts w:cstheme="minorHAnsi"/>
              </w:rPr>
              <w:t>SA</w:t>
            </w:r>
          </w:p>
        </w:tc>
        <w:tc>
          <w:tcPr>
            <w:tcW w:w="400" w:type="pct"/>
            <w:tcBorders>
              <w:top w:val="single" w:sz="6" w:space="0" w:color="auto"/>
              <w:bottom w:val="single" w:sz="6" w:space="0" w:color="auto"/>
            </w:tcBorders>
            <w:vAlign w:val="bottom"/>
          </w:tcPr>
          <w:p w:rsidR="00D44FEF" w:rsidRPr="00FE3F73" w:rsidRDefault="00D44FEF" w:rsidP="001C0963">
            <w:pPr>
              <w:pStyle w:val="TableColHeadings"/>
              <w:rPr>
                <w:rFonts w:cstheme="minorHAnsi"/>
              </w:rPr>
            </w:pPr>
            <w:proofErr w:type="spellStart"/>
            <w:r w:rsidRPr="00FE3F73">
              <w:rPr>
                <w:rFonts w:cstheme="minorHAnsi"/>
              </w:rPr>
              <w:t>Tas</w:t>
            </w:r>
            <w:proofErr w:type="spellEnd"/>
          </w:p>
        </w:tc>
        <w:tc>
          <w:tcPr>
            <w:tcW w:w="400" w:type="pct"/>
            <w:tcBorders>
              <w:top w:val="single" w:sz="6" w:space="0" w:color="auto"/>
              <w:bottom w:val="single" w:sz="6" w:space="0" w:color="auto"/>
            </w:tcBorders>
            <w:vAlign w:val="bottom"/>
          </w:tcPr>
          <w:p w:rsidR="00D44FEF" w:rsidRPr="00FE3F73" w:rsidRDefault="00D44FEF" w:rsidP="001C0963">
            <w:pPr>
              <w:pStyle w:val="TableColHeadings"/>
              <w:rPr>
                <w:rFonts w:cstheme="minorHAnsi"/>
              </w:rPr>
            </w:pPr>
            <w:r w:rsidRPr="00FE3F73">
              <w:rPr>
                <w:rFonts w:cstheme="minorHAnsi"/>
              </w:rPr>
              <w:t>ACT</w:t>
            </w:r>
          </w:p>
        </w:tc>
        <w:tc>
          <w:tcPr>
            <w:tcW w:w="400" w:type="pct"/>
            <w:tcBorders>
              <w:top w:val="single" w:sz="6" w:space="0" w:color="auto"/>
              <w:bottom w:val="single" w:sz="6" w:space="0" w:color="auto"/>
            </w:tcBorders>
            <w:vAlign w:val="bottom"/>
          </w:tcPr>
          <w:p w:rsidR="00D44FEF" w:rsidRPr="00FE3F73" w:rsidRDefault="00D44FEF" w:rsidP="001C0963">
            <w:pPr>
              <w:pStyle w:val="TableColHeadings"/>
              <w:rPr>
                <w:rFonts w:cstheme="minorHAnsi"/>
              </w:rPr>
            </w:pPr>
            <w:r w:rsidRPr="00FE3F73">
              <w:rPr>
                <w:rFonts w:cstheme="minorHAnsi"/>
              </w:rPr>
              <w:t>NT</w:t>
            </w:r>
          </w:p>
        </w:tc>
        <w:tc>
          <w:tcPr>
            <w:tcW w:w="458" w:type="pct"/>
            <w:tcBorders>
              <w:top w:val="single" w:sz="6" w:space="0" w:color="auto"/>
              <w:bottom w:val="single" w:sz="6" w:space="0" w:color="auto"/>
            </w:tcBorders>
            <w:vAlign w:val="bottom"/>
          </w:tcPr>
          <w:p w:rsidR="00D44FEF" w:rsidRPr="00FE3F73" w:rsidRDefault="00D44FEF" w:rsidP="001C0963">
            <w:pPr>
              <w:pStyle w:val="TableColHeadings"/>
              <w:rPr>
                <w:rFonts w:cstheme="minorHAnsi"/>
              </w:rPr>
            </w:pPr>
            <w:r>
              <w:rPr>
                <w:rFonts w:cstheme="minorHAnsi"/>
              </w:rPr>
              <w:t>Average</w:t>
            </w:r>
          </w:p>
        </w:tc>
      </w:tr>
      <w:tr w:rsidR="00D44FEF" w:rsidRPr="00FE3F73" w:rsidTr="004D073B">
        <w:tc>
          <w:tcPr>
            <w:tcW w:w="1347" w:type="pct"/>
            <w:tcMar>
              <w:top w:w="0" w:type="dxa"/>
              <w:bottom w:w="0" w:type="dxa"/>
            </w:tcMar>
            <w:vAlign w:val="bottom"/>
          </w:tcPr>
          <w:p w:rsidR="00D44FEF" w:rsidRPr="00FE3F73" w:rsidRDefault="00D44FEF" w:rsidP="001C0963">
            <w:pPr>
              <w:pStyle w:val="CGCTableStub"/>
              <w:spacing w:before="0" w:after="0" w:line="240" w:lineRule="auto"/>
              <w:jc w:val="right"/>
              <w:rPr>
                <w:rFonts w:cstheme="minorHAnsi"/>
              </w:rPr>
            </w:pPr>
          </w:p>
        </w:tc>
        <w:tc>
          <w:tcPr>
            <w:tcW w:w="399" w:type="pct"/>
            <w:tcMar>
              <w:top w:w="0" w:type="dxa"/>
              <w:bottom w:w="0" w:type="dxa"/>
            </w:tcMar>
            <w:vAlign w:val="bottom"/>
          </w:tcPr>
          <w:p w:rsidR="00D44FEF" w:rsidRPr="00FE3F73" w:rsidRDefault="00D44FEF" w:rsidP="001C0963">
            <w:pPr>
              <w:pStyle w:val="TableRowNormal"/>
              <w:spacing w:before="0" w:after="0" w:line="240" w:lineRule="auto"/>
              <w:ind w:left="0" w:firstLine="0"/>
              <w:rPr>
                <w:rFonts w:cstheme="minorHAnsi"/>
              </w:rPr>
            </w:pPr>
          </w:p>
        </w:tc>
        <w:tc>
          <w:tcPr>
            <w:tcW w:w="399" w:type="pct"/>
            <w:tcMar>
              <w:top w:w="0" w:type="dxa"/>
              <w:bottom w:w="0" w:type="dxa"/>
            </w:tcMar>
            <w:vAlign w:val="bottom"/>
          </w:tcPr>
          <w:p w:rsidR="00D44FEF" w:rsidRPr="00FE3F73" w:rsidRDefault="00D44FEF" w:rsidP="001C0963">
            <w:pPr>
              <w:pStyle w:val="TableRowNormal"/>
              <w:spacing w:before="0" w:after="0" w:line="240" w:lineRule="auto"/>
              <w:ind w:left="0" w:firstLine="0"/>
              <w:rPr>
                <w:rFonts w:cstheme="minorHAnsi"/>
              </w:rPr>
            </w:pPr>
          </w:p>
        </w:tc>
        <w:tc>
          <w:tcPr>
            <w:tcW w:w="399" w:type="pct"/>
            <w:tcMar>
              <w:top w:w="0" w:type="dxa"/>
              <w:bottom w:w="0" w:type="dxa"/>
            </w:tcMar>
            <w:vAlign w:val="bottom"/>
          </w:tcPr>
          <w:p w:rsidR="00D44FEF" w:rsidRPr="00FE3F73" w:rsidRDefault="00D44FEF" w:rsidP="001C0963">
            <w:pPr>
              <w:pStyle w:val="TableRowNormal"/>
              <w:spacing w:before="0" w:after="0" w:line="240" w:lineRule="auto"/>
              <w:ind w:left="0" w:firstLine="0"/>
              <w:rPr>
                <w:rFonts w:cstheme="minorHAnsi"/>
              </w:rPr>
            </w:pPr>
          </w:p>
        </w:tc>
        <w:tc>
          <w:tcPr>
            <w:tcW w:w="399" w:type="pct"/>
            <w:tcMar>
              <w:top w:w="0" w:type="dxa"/>
              <w:bottom w:w="0" w:type="dxa"/>
            </w:tcMar>
            <w:vAlign w:val="bottom"/>
          </w:tcPr>
          <w:p w:rsidR="00D44FEF" w:rsidRPr="00FE3F73" w:rsidRDefault="00D44FEF" w:rsidP="001C0963">
            <w:pPr>
              <w:pStyle w:val="TableRowNormal"/>
              <w:spacing w:before="0" w:after="0" w:line="240" w:lineRule="auto"/>
              <w:ind w:left="0" w:firstLine="0"/>
              <w:rPr>
                <w:rFonts w:cstheme="minorHAnsi"/>
              </w:rPr>
            </w:pPr>
          </w:p>
        </w:tc>
        <w:tc>
          <w:tcPr>
            <w:tcW w:w="399" w:type="pct"/>
            <w:tcMar>
              <w:top w:w="0" w:type="dxa"/>
              <w:bottom w:w="0" w:type="dxa"/>
            </w:tcMar>
            <w:vAlign w:val="bottom"/>
          </w:tcPr>
          <w:p w:rsidR="00D44FEF" w:rsidRPr="00FE3F73" w:rsidRDefault="00D44FEF" w:rsidP="001C0963">
            <w:pPr>
              <w:pStyle w:val="TableRowNormal"/>
              <w:spacing w:before="0" w:after="0" w:line="240" w:lineRule="auto"/>
              <w:ind w:left="0" w:firstLine="0"/>
              <w:rPr>
                <w:rFonts w:cstheme="minorHAnsi"/>
              </w:rPr>
            </w:pPr>
          </w:p>
        </w:tc>
        <w:tc>
          <w:tcPr>
            <w:tcW w:w="400" w:type="pct"/>
            <w:tcMar>
              <w:top w:w="0" w:type="dxa"/>
              <w:bottom w:w="0" w:type="dxa"/>
            </w:tcMar>
            <w:vAlign w:val="bottom"/>
          </w:tcPr>
          <w:p w:rsidR="00D44FEF" w:rsidRPr="00FE3F73" w:rsidRDefault="00D44FEF" w:rsidP="001C0963">
            <w:pPr>
              <w:pStyle w:val="TableRowNormal"/>
              <w:spacing w:before="0" w:after="0" w:line="240" w:lineRule="auto"/>
              <w:ind w:left="0" w:firstLine="0"/>
              <w:rPr>
                <w:rFonts w:cstheme="minorHAnsi"/>
              </w:rPr>
            </w:pPr>
          </w:p>
        </w:tc>
        <w:tc>
          <w:tcPr>
            <w:tcW w:w="400" w:type="pct"/>
            <w:tcMar>
              <w:top w:w="0" w:type="dxa"/>
              <w:bottom w:w="0" w:type="dxa"/>
            </w:tcMar>
            <w:vAlign w:val="bottom"/>
          </w:tcPr>
          <w:p w:rsidR="00D44FEF" w:rsidRPr="00FE3F73" w:rsidRDefault="00D44FEF" w:rsidP="001C0963">
            <w:pPr>
              <w:pStyle w:val="TableRowNormal"/>
              <w:spacing w:before="0" w:after="0" w:line="240" w:lineRule="auto"/>
              <w:ind w:left="0" w:firstLine="0"/>
              <w:rPr>
                <w:rFonts w:cstheme="minorHAnsi"/>
              </w:rPr>
            </w:pPr>
          </w:p>
        </w:tc>
        <w:tc>
          <w:tcPr>
            <w:tcW w:w="400" w:type="pct"/>
            <w:tcMar>
              <w:top w:w="0" w:type="dxa"/>
              <w:bottom w:w="0" w:type="dxa"/>
            </w:tcMar>
            <w:vAlign w:val="bottom"/>
          </w:tcPr>
          <w:p w:rsidR="00D44FEF" w:rsidRPr="00FE3F73" w:rsidRDefault="00D44FEF" w:rsidP="001C0963">
            <w:pPr>
              <w:pStyle w:val="TableRowNormal"/>
              <w:spacing w:before="0" w:after="0" w:line="240" w:lineRule="auto"/>
              <w:ind w:left="0" w:firstLine="0"/>
              <w:rPr>
                <w:rFonts w:cstheme="minorHAnsi"/>
              </w:rPr>
            </w:pPr>
          </w:p>
        </w:tc>
        <w:tc>
          <w:tcPr>
            <w:tcW w:w="458" w:type="pct"/>
            <w:tcMar>
              <w:top w:w="0" w:type="dxa"/>
              <w:bottom w:w="0" w:type="dxa"/>
            </w:tcMar>
            <w:vAlign w:val="bottom"/>
          </w:tcPr>
          <w:p w:rsidR="00D44FEF" w:rsidRPr="00FE3F73" w:rsidRDefault="00D44FEF" w:rsidP="001C0963">
            <w:pPr>
              <w:pStyle w:val="TableRowNormal"/>
              <w:spacing w:before="0" w:after="0" w:line="240" w:lineRule="auto"/>
              <w:ind w:left="0" w:firstLine="0"/>
              <w:rPr>
                <w:rFonts w:cstheme="minorHAnsi"/>
              </w:rPr>
            </w:pPr>
          </w:p>
        </w:tc>
      </w:tr>
      <w:tr w:rsidR="00D44FEF" w:rsidRPr="00FE3F73" w:rsidTr="004D073B">
        <w:tc>
          <w:tcPr>
            <w:tcW w:w="1347" w:type="pct"/>
            <w:vAlign w:val="bottom"/>
          </w:tcPr>
          <w:p w:rsidR="00D44FEF" w:rsidRPr="00FE3F73" w:rsidRDefault="00D44FEF" w:rsidP="001C0963">
            <w:pPr>
              <w:pStyle w:val="CGCTableStub"/>
              <w:tabs>
                <w:tab w:val="left" w:pos="142"/>
                <w:tab w:val="left" w:pos="425"/>
                <w:tab w:val="left" w:pos="709"/>
                <w:tab w:val="left" w:pos="851"/>
              </w:tabs>
              <w:ind w:left="142" w:hanging="142"/>
              <w:rPr>
                <w:rFonts w:cstheme="minorHAnsi"/>
              </w:rPr>
            </w:pPr>
            <w:r>
              <w:rPr>
                <w:rFonts w:cstheme="minorHAnsi"/>
              </w:rPr>
              <w:t>Actual revenue</w:t>
            </w:r>
          </w:p>
        </w:tc>
        <w:tc>
          <w:tcPr>
            <w:tcW w:w="399" w:type="pct"/>
            <w:vAlign w:val="bottom"/>
          </w:tcPr>
          <w:p w:rsidR="00D44FEF" w:rsidRPr="008C30A9" w:rsidRDefault="00D44FEF" w:rsidP="001C0963">
            <w:pPr>
              <w:pStyle w:val="TableRowNormal"/>
              <w:ind w:left="0" w:firstLine="0"/>
              <w:rPr>
                <w:rFonts w:cstheme="minorHAnsi"/>
              </w:rPr>
            </w:pPr>
            <w:r w:rsidRPr="008C30A9">
              <w:rPr>
                <w:rFonts w:cstheme="minorHAnsi"/>
              </w:rPr>
              <w:t>1.160</w:t>
            </w:r>
          </w:p>
        </w:tc>
        <w:tc>
          <w:tcPr>
            <w:tcW w:w="399" w:type="pct"/>
            <w:vAlign w:val="bottom"/>
          </w:tcPr>
          <w:p w:rsidR="00D44FEF" w:rsidRPr="008C30A9" w:rsidRDefault="00D44FEF" w:rsidP="001C0963">
            <w:pPr>
              <w:pStyle w:val="TableRowNormal"/>
              <w:ind w:left="0" w:firstLine="0"/>
              <w:rPr>
                <w:rFonts w:cstheme="minorHAnsi"/>
              </w:rPr>
            </w:pPr>
            <w:r w:rsidRPr="008C30A9">
              <w:rPr>
                <w:rFonts w:cstheme="minorHAnsi"/>
              </w:rPr>
              <w:t>1.210</w:t>
            </w:r>
          </w:p>
        </w:tc>
        <w:tc>
          <w:tcPr>
            <w:tcW w:w="399" w:type="pct"/>
            <w:vAlign w:val="bottom"/>
          </w:tcPr>
          <w:p w:rsidR="00D44FEF" w:rsidRPr="008C30A9" w:rsidRDefault="00D44FEF" w:rsidP="001C0963">
            <w:pPr>
              <w:pStyle w:val="TableRowNormal"/>
              <w:ind w:left="0" w:firstLine="0"/>
              <w:rPr>
                <w:rFonts w:cstheme="minorHAnsi"/>
              </w:rPr>
            </w:pPr>
            <w:r w:rsidRPr="008C30A9">
              <w:rPr>
                <w:rFonts w:cstheme="minorHAnsi"/>
              </w:rPr>
              <w:t>0.935</w:t>
            </w:r>
          </w:p>
        </w:tc>
        <w:tc>
          <w:tcPr>
            <w:tcW w:w="399" w:type="pct"/>
            <w:vAlign w:val="bottom"/>
          </w:tcPr>
          <w:p w:rsidR="00D44FEF" w:rsidRPr="008C30A9" w:rsidRDefault="00D44FEF" w:rsidP="001C0963">
            <w:pPr>
              <w:pStyle w:val="TableRowNormal"/>
              <w:ind w:left="0" w:firstLine="0"/>
              <w:rPr>
                <w:rFonts w:cstheme="minorHAnsi"/>
              </w:rPr>
            </w:pPr>
            <w:r w:rsidRPr="008C30A9">
              <w:rPr>
                <w:rFonts w:cstheme="minorHAnsi"/>
              </w:rPr>
              <w:t>0.343</w:t>
            </w:r>
          </w:p>
        </w:tc>
        <w:tc>
          <w:tcPr>
            <w:tcW w:w="399" w:type="pct"/>
            <w:vAlign w:val="bottom"/>
          </w:tcPr>
          <w:p w:rsidR="00D44FEF" w:rsidRPr="008C30A9" w:rsidRDefault="00D44FEF" w:rsidP="001C0963">
            <w:pPr>
              <w:pStyle w:val="TableRowNormal"/>
              <w:ind w:left="0" w:firstLine="0"/>
              <w:rPr>
                <w:rFonts w:cstheme="minorHAnsi"/>
              </w:rPr>
            </w:pPr>
            <w:r w:rsidRPr="008C30A9">
              <w:rPr>
                <w:rFonts w:cstheme="minorHAnsi"/>
              </w:rPr>
              <w:t>0.892</w:t>
            </w:r>
          </w:p>
        </w:tc>
        <w:tc>
          <w:tcPr>
            <w:tcW w:w="400" w:type="pct"/>
            <w:vAlign w:val="bottom"/>
          </w:tcPr>
          <w:p w:rsidR="00D44FEF" w:rsidRPr="008C30A9" w:rsidRDefault="00D44FEF" w:rsidP="001C0963">
            <w:pPr>
              <w:pStyle w:val="TableRowNormal"/>
              <w:ind w:left="0" w:firstLine="0"/>
              <w:rPr>
                <w:rFonts w:cstheme="minorHAnsi"/>
              </w:rPr>
            </w:pPr>
            <w:r w:rsidRPr="008C30A9">
              <w:rPr>
                <w:rFonts w:cstheme="minorHAnsi"/>
              </w:rPr>
              <w:t>0.742</w:t>
            </w:r>
          </w:p>
        </w:tc>
        <w:tc>
          <w:tcPr>
            <w:tcW w:w="400" w:type="pct"/>
            <w:vAlign w:val="bottom"/>
          </w:tcPr>
          <w:p w:rsidR="00D44FEF" w:rsidRPr="008C30A9" w:rsidRDefault="00D44FEF" w:rsidP="001C0963">
            <w:pPr>
              <w:pStyle w:val="TableRowNormal"/>
              <w:ind w:left="0" w:firstLine="0"/>
              <w:rPr>
                <w:rFonts w:cstheme="minorHAnsi"/>
              </w:rPr>
            </w:pPr>
            <w:r w:rsidRPr="008C30A9">
              <w:rPr>
                <w:rFonts w:cstheme="minorHAnsi"/>
              </w:rPr>
              <w:t>0.513</w:t>
            </w:r>
          </w:p>
        </w:tc>
        <w:tc>
          <w:tcPr>
            <w:tcW w:w="400" w:type="pct"/>
            <w:vAlign w:val="bottom"/>
          </w:tcPr>
          <w:p w:rsidR="00D44FEF" w:rsidRPr="008C30A9" w:rsidRDefault="00D44FEF" w:rsidP="001C0963">
            <w:pPr>
              <w:pStyle w:val="TableRowNormal"/>
              <w:ind w:left="0" w:firstLine="0"/>
              <w:rPr>
                <w:rFonts w:cstheme="minorHAnsi"/>
              </w:rPr>
            </w:pPr>
            <w:r w:rsidRPr="008C30A9">
              <w:rPr>
                <w:rFonts w:cstheme="minorHAnsi"/>
              </w:rPr>
              <w:t>1.184</w:t>
            </w:r>
          </w:p>
        </w:tc>
        <w:tc>
          <w:tcPr>
            <w:tcW w:w="458" w:type="pct"/>
            <w:vAlign w:val="bottom"/>
          </w:tcPr>
          <w:p w:rsidR="00D44FEF" w:rsidRPr="008C30A9" w:rsidRDefault="00D44FEF" w:rsidP="001C0963">
            <w:pPr>
              <w:pStyle w:val="TableRowNormal"/>
              <w:ind w:left="0" w:firstLine="0"/>
              <w:rPr>
                <w:rFonts w:cstheme="minorHAnsi"/>
              </w:rPr>
            </w:pPr>
            <w:r w:rsidRPr="008C30A9">
              <w:rPr>
                <w:rFonts w:cstheme="minorHAnsi"/>
              </w:rPr>
              <w:t>1.000</w:t>
            </w:r>
          </w:p>
        </w:tc>
      </w:tr>
      <w:tr w:rsidR="00D44FEF" w:rsidRPr="00FE3F73" w:rsidTr="004D073B">
        <w:tc>
          <w:tcPr>
            <w:tcW w:w="1347" w:type="pct"/>
            <w:vAlign w:val="bottom"/>
          </w:tcPr>
          <w:p w:rsidR="00D44FEF" w:rsidRPr="00FE3F73" w:rsidRDefault="00D44FEF" w:rsidP="001C0963">
            <w:pPr>
              <w:pStyle w:val="CGCTableStub"/>
              <w:tabs>
                <w:tab w:val="left" w:pos="142"/>
                <w:tab w:val="left" w:pos="425"/>
                <w:tab w:val="left" w:pos="709"/>
                <w:tab w:val="left" w:pos="851"/>
              </w:tabs>
              <w:ind w:left="142" w:hanging="142"/>
              <w:rPr>
                <w:rFonts w:cstheme="minorHAnsi"/>
              </w:rPr>
            </w:pPr>
            <w:r>
              <w:rPr>
                <w:rFonts w:cstheme="minorHAnsi"/>
              </w:rPr>
              <w:t>Gambling expenditure</w:t>
            </w:r>
          </w:p>
        </w:tc>
        <w:tc>
          <w:tcPr>
            <w:tcW w:w="399" w:type="pct"/>
            <w:vAlign w:val="bottom"/>
          </w:tcPr>
          <w:p w:rsidR="00D44FEF" w:rsidRPr="008C30A9" w:rsidRDefault="00D44FEF" w:rsidP="001C0963">
            <w:pPr>
              <w:pStyle w:val="TableRowNormal"/>
              <w:ind w:left="0" w:firstLine="0"/>
              <w:rPr>
                <w:rFonts w:cstheme="minorHAnsi"/>
              </w:rPr>
            </w:pPr>
            <w:r w:rsidRPr="008C30A9">
              <w:rPr>
                <w:rFonts w:cstheme="minorHAnsi"/>
              </w:rPr>
              <w:t>1.243</w:t>
            </w:r>
          </w:p>
        </w:tc>
        <w:tc>
          <w:tcPr>
            <w:tcW w:w="399" w:type="pct"/>
            <w:vAlign w:val="bottom"/>
          </w:tcPr>
          <w:p w:rsidR="00D44FEF" w:rsidRPr="008C30A9" w:rsidRDefault="00D44FEF" w:rsidP="001C0963">
            <w:pPr>
              <w:pStyle w:val="TableRowNormal"/>
              <w:ind w:left="0" w:firstLine="0"/>
              <w:rPr>
                <w:rFonts w:cstheme="minorHAnsi"/>
              </w:rPr>
            </w:pPr>
            <w:r w:rsidRPr="008C30A9">
              <w:rPr>
                <w:rFonts w:cstheme="minorHAnsi"/>
              </w:rPr>
              <w:t>0.978</w:t>
            </w:r>
          </w:p>
        </w:tc>
        <w:tc>
          <w:tcPr>
            <w:tcW w:w="399" w:type="pct"/>
            <w:vAlign w:val="bottom"/>
          </w:tcPr>
          <w:p w:rsidR="00D44FEF" w:rsidRPr="008C30A9" w:rsidRDefault="00D44FEF" w:rsidP="001C0963">
            <w:pPr>
              <w:pStyle w:val="TableRowNormal"/>
              <w:ind w:left="0" w:firstLine="0"/>
              <w:rPr>
                <w:rFonts w:cstheme="minorHAnsi"/>
              </w:rPr>
            </w:pPr>
            <w:r w:rsidRPr="008C30A9">
              <w:rPr>
                <w:rFonts w:cstheme="minorHAnsi"/>
              </w:rPr>
              <w:t>0.812</w:t>
            </w:r>
          </w:p>
        </w:tc>
        <w:tc>
          <w:tcPr>
            <w:tcW w:w="399" w:type="pct"/>
            <w:vAlign w:val="bottom"/>
          </w:tcPr>
          <w:p w:rsidR="00D44FEF" w:rsidRPr="008C30A9" w:rsidRDefault="00D44FEF" w:rsidP="001C0963">
            <w:pPr>
              <w:pStyle w:val="TableRowNormal"/>
              <w:ind w:left="0" w:firstLine="0"/>
              <w:rPr>
                <w:rFonts w:cstheme="minorHAnsi"/>
              </w:rPr>
            </w:pPr>
            <w:r w:rsidRPr="008C30A9">
              <w:rPr>
                <w:rFonts w:cstheme="minorHAnsi"/>
              </w:rPr>
              <w:t>0.587</w:t>
            </w:r>
          </w:p>
        </w:tc>
        <w:tc>
          <w:tcPr>
            <w:tcW w:w="399" w:type="pct"/>
            <w:vAlign w:val="bottom"/>
          </w:tcPr>
          <w:p w:rsidR="00D44FEF" w:rsidRPr="008C30A9" w:rsidRDefault="00D44FEF" w:rsidP="001C0963">
            <w:pPr>
              <w:pStyle w:val="TableRowNormal"/>
              <w:ind w:left="0" w:firstLine="0"/>
              <w:rPr>
                <w:rFonts w:cstheme="minorHAnsi"/>
              </w:rPr>
            </w:pPr>
            <w:r w:rsidRPr="008C30A9">
              <w:rPr>
                <w:rFonts w:cstheme="minorHAnsi"/>
              </w:rPr>
              <w:t>0.627</w:t>
            </w:r>
          </w:p>
        </w:tc>
        <w:tc>
          <w:tcPr>
            <w:tcW w:w="400" w:type="pct"/>
            <w:vAlign w:val="bottom"/>
          </w:tcPr>
          <w:p w:rsidR="00D44FEF" w:rsidRPr="008C30A9" w:rsidRDefault="00D44FEF" w:rsidP="001C0963">
            <w:pPr>
              <w:pStyle w:val="TableRowNormal"/>
              <w:ind w:left="0" w:firstLine="0"/>
              <w:rPr>
                <w:rFonts w:cstheme="minorHAnsi"/>
              </w:rPr>
            </w:pPr>
            <w:r w:rsidRPr="008C30A9">
              <w:rPr>
                <w:rFonts w:cstheme="minorHAnsi"/>
              </w:rPr>
              <w:t>0.639</w:t>
            </w:r>
          </w:p>
        </w:tc>
        <w:tc>
          <w:tcPr>
            <w:tcW w:w="400" w:type="pct"/>
            <w:vAlign w:val="bottom"/>
          </w:tcPr>
          <w:p w:rsidR="00D44FEF" w:rsidRPr="008C30A9" w:rsidRDefault="00D44FEF" w:rsidP="001C0963">
            <w:pPr>
              <w:pStyle w:val="TableRowNormal"/>
              <w:ind w:left="0" w:firstLine="0"/>
              <w:rPr>
                <w:rFonts w:cstheme="minorHAnsi"/>
              </w:rPr>
            </w:pPr>
            <w:r w:rsidRPr="008C30A9">
              <w:rPr>
                <w:rFonts w:cstheme="minorHAnsi"/>
              </w:rPr>
              <w:t>0.598</w:t>
            </w:r>
          </w:p>
        </w:tc>
        <w:tc>
          <w:tcPr>
            <w:tcW w:w="400" w:type="pct"/>
            <w:vAlign w:val="bottom"/>
          </w:tcPr>
          <w:p w:rsidR="00D44FEF" w:rsidRPr="008C30A9" w:rsidRDefault="00D44FEF" w:rsidP="001C0963">
            <w:pPr>
              <w:pStyle w:val="TableRowNormal"/>
              <w:ind w:left="0" w:firstLine="0"/>
              <w:rPr>
                <w:rFonts w:cstheme="minorHAnsi"/>
              </w:rPr>
            </w:pPr>
            <w:r w:rsidRPr="008C30A9">
              <w:rPr>
                <w:rFonts w:cstheme="minorHAnsi"/>
              </w:rPr>
              <w:t>6.023</w:t>
            </w:r>
          </w:p>
        </w:tc>
        <w:tc>
          <w:tcPr>
            <w:tcW w:w="458" w:type="pct"/>
            <w:vAlign w:val="bottom"/>
          </w:tcPr>
          <w:p w:rsidR="00D44FEF" w:rsidRPr="008C30A9" w:rsidRDefault="00D44FEF" w:rsidP="001C0963">
            <w:pPr>
              <w:pStyle w:val="TableRowNormal"/>
              <w:ind w:left="0" w:firstLine="0"/>
              <w:rPr>
                <w:rFonts w:cstheme="minorHAnsi"/>
              </w:rPr>
            </w:pPr>
            <w:r w:rsidRPr="008C30A9">
              <w:rPr>
                <w:rFonts w:cstheme="minorHAnsi"/>
              </w:rPr>
              <w:t>1.000</w:t>
            </w:r>
          </w:p>
        </w:tc>
      </w:tr>
      <w:tr w:rsidR="00D44FEF" w:rsidRPr="00FE3F73" w:rsidTr="004D073B">
        <w:tc>
          <w:tcPr>
            <w:tcW w:w="1347" w:type="pct"/>
            <w:vAlign w:val="bottom"/>
          </w:tcPr>
          <w:p w:rsidR="00D44FEF" w:rsidRPr="00FE3F73" w:rsidRDefault="00D44FEF" w:rsidP="001C0963">
            <w:pPr>
              <w:pStyle w:val="CGCTableStub"/>
              <w:tabs>
                <w:tab w:val="left" w:pos="142"/>
                <w:tab w:val="left" w:pos="425"/>
                <w:tab w:val="left" w:pos="709"/>
                <w:tab w:val="left" w:pos="851"/>
              </w:tabs>
              <w:ind w:left="142" w:hanging="142"/>
              <w:rPr>
                <w:rFonts w:cstheme="minorHAnsi"/>
              </w:rPr>
            </w:pPr>
            <w:r>
              <w:rPr>
                <w:rFonts w:cstheme="minorHAnsi"/>
              </w:rPr>
              <w:t>Gambling turnover</w:t>
            </w:r>
            <w:r w:rsidRPr="004D073B">
              <w:rPr>
                <w:rFonts w:cstheme="minorHAnsi"/>
                <w:vertAlign w:val="superscript"/>
              </w:rPr>
              <w:t>(a)</w:t>
            </w:r>
          </w:p>
        </w:tc>
        <w:tc>
          <w:tcPr>
            <w:tcW w:w="399" w:type="pct"/>
            <w:vAlign w:val="bottom"/>
          </w:tcPr>
          <w:p w:rsidR="00D44FEF" w:rsidRPr="008C30A9" w:rsidRDefault="00D44FEF" w:rsidP="001C0963">
            <w:pPr>
              <w:pStyle w:val="TableRowNormal"/>
              <w:ind w:left="0" w:firstLine="0"/>
              <w:rPr>
                <w:rFonts w:cstheme="minorHAnsi"/>
              </w:rPr>
            </w:pPr>
            <w:r w:rsidRPr="008C30A9">
              <w:rPr>
                <w:rFonts w:cstheme="minorHAnsi"/>
              </w:rPr>
              <w:t>1.320</w:t>
            </w:r>
          </w:p>
        </w:tc>
        <w:tc>
          <w:tcPr>
            <w:tcW w:w="399" w:type="pct"/>
            <w:vAlign w:val="bottom"/>
          </w:tcPr>
          <w:p w:rsidR="00D44FEF" w:rsidRPr="008C30A9" w:rsidRDefault="00D44FEF" w:rsidP="001C0963">
            <w:pPr>
              <w:pStyle w:val="TableRowNormal"/>
              <w:ind w:left="0" w:firstLine="0"/>
              <w:rPr>
                <w:rFonts w:cstheme="minorHAnsi"/>
              </w:rPr>
            </w:pPr>
            <w:r w:rsidRPr="008C30A9">
              <w:rPr>
                <w:rFonts w:cstheme="minorHAnsi"/>
              </w:rPr>
              <w:t>0.955</w:t>
            </w:r>
          </w:p>
        </w:tc>
        <w:tc>
          <w:tcPr>
            <w:tcW w:w="399" w:type="pct"/>
            <w:vAlign w:val="bottom"/>
          </w:tcPr>
          <w:p w:rsidR="00D44FEF" w:rsidRPr="008C30A9" w:rsidRDefault="00D44FEF" w:rsidP="001C0963">
            <w:pPr>
              <w:pStyle w:val="TableRowNormal"/>
              <w:ind w:left="0" w:firstLine="0"/>
              <w:rPr>
                <w:rFonts w:cstheme="minorHAnsi"/>
              </w:rPr>
            </w:pPr>
            <w:r w:rsidRPr="008C30A9">
              <w:rPr>
                <w:rFonts w:cstheme="minorHAnsi"/>
              </w:rPr>
              <w:t>0.857</w:t>
            </w:r>
          </w:p>
        </w:tc>
        <w:tc>
          <w:tcPr>
            <w:tcW w:w="399" w:type="pct"/>
            <w:vAlign w:val="bottom"/>
          </w:tcPr>
          <w:p w:rsidR="00D44FEF" w:rsidRPr="008C30A9" w:rsidRDefault="00D44FEF" w:rsidP="001C0963">
            <w:pPr>
              <w:pStyle w:val="TableRowNormal"/>
              <w:ind w:left="0" w:firstLine="0"/>
              <w:rPr>
                <w:rFonts w:cstheme="minorHAnsi"/>
              </w:rPr>
            </w:pPr>
            <w:r w:rsidRPr="008C30A9">
              <w:rPr>
                <w:rFonts w:cstheme="minorHAnsi"/>
              </w:rPr>
              <w:t>0.334</w:t>
            </w:r>
          </w:p>
        </w:tc>
        <w:tc>
          <w:tcPr>
            <w:tcW w:w="399" w:type="pct"/>
            <w:vAlign w:val="bottom"/>
          </w:tcPr>
          <w:p w:rsidR="00D44FEF" w:rsidRPr="008C30A9" w:rsidRDefault="00D44FEF" w:rsidP="001C0963">
            <w:pPr>
              <w:pStyle w:val="TableRowNormal"/>
              <w:ind w:left="0" w:firstLine="0"/>
              <w:rPr>
                <w:rFonts w:cstheme="minorHAnsi"/>
              </w:rPr>
            </w:pPr>
            <w:r w:rsidRPr="008C30A9">
              <w:rPr>
                <w:rFonts w:cstheme="minorHAnsi"/>
              </w:rPr>
              <w:t>0.588</w:t>
            </w:r>
          </w:p>
        </w:tc>
        <w:tc>
          <w:tcPr>
            <w:tcW w:w="400" w:type="pct"/>
            <w:vAlign w:val="bottom"/>
          </w:tcPr>
          <w:p w:rsidR="00D44FEF" w:rsidRPr="008C30A9" w:rsidRDefault="00D44FEF" w:rsidP="001C0963">
            <w:pPr>
              <w:pStyle w:val="TableRowNormal"/>
              <w:ind w:left="0" w:firstLine="0"/>
              <w:rPr>
                <w:rFonts w:cstheme="minorHAnsi"/>
              </w:rPr>
            </w:pPr>
            <w:r w:rsidRPr="008C30A9">
              <w:rPr>
                <w:rFonts w:cstheme="minorHAnsi"/>
              </w:rPr>
              <w:t>0.123</w:t>
            </w:r>
          </w:p>
        </w:tc>
        <w:tc>
          <w:tcPr>
            <w:tcW w:w="400" w:type="pct"/>
            <w:vAlign w:val="bottom"/>
          </w:tcPr>
          <w:p w:rsidR="00D44FEF" w:rsidRPr="008C30A9" w:rsidRDefault="00D44FEF" w:rsidP="001C0963">
            <w:pPr>
              <w:pStyle w:val="TableRowNormal"/>
              <w:ind w:left="0" w:firstLine="0"/>
              <w:rPr>
                <w:rFonts w:cstheme="minorHAnsi"/>
              </w:rPr>
            </w:pPr>
            <w:r w:rsidRPr="008C30A9">
              <w:rPr>
                <w:rFonts w:cstheme="minorHAnsi"/>
              </w:rPr>
              <w:t>0.705</w:t>
            </w:r>
          </w:p>
        </w:tc>
        <w:tc>
          <w:tcPr>
            <w:tcW w:w="400" w:type="pct"/>
            <w:vAlign w:val="bottom"/>
          </w:tcPr>
          <w:p w:rsidR="00D44FEF" w:rsidRPr="008C30A9" w:rsidRDefault="00D44FEF" w:rsidP="001C0963">
            <w:pPr>
              <w:pStyle w:val="TableRowNormal"/>
              <w:ind w:left="0" w:firstLine="0"/>
              <w:rPr>
                <w:rFonts w:cstheme="minorHAnsi"/>
              </w:rPr>
            </w:pPr>
            <w:r w:rsidRPr="008C30A9">
              <w:rPr>
                <w:rFonts w:cstheme="minorHAnsi"/>
              </w:rPr>
              <w:t>7.188</w:t>
            </w:r>
          </w:p>
        </w:tc>
        <w:tc>
          <w:tcPr>
            <w:tcW w:w="458" w:type="pct"/>
            <w:vAlign w:val="bottom"/>
          </w:tcPr>
          <w:p w:rsidR="00D44FEF" w:rsidRPr="008C30A9" w:rsidRDefault="00D44FEF" w:rsidP="001C0963">
            <w:pPr>
              <w:pStyle w:val="TableRowNormal"/>
              <w:ind w:left="0" w:firstLine="0"/>
              <w:rPr>
                <w:rFonts w:cstheme="minorHAnsi"/>
              </w:rPr>
            </w:pPr>
            <w:r w:rsidRPr="008C30A9">
              <w:rPr>
                <w:rFonts w:cstheme="minorHAnsi"/>
              </w:rPr>
              <w:t>1.000</w:t>
            </w:r>
          </w:p>
        </w:tc>
      </w:tr>
      <w:tr w:rsidR="00D44FEF" w:rsidRPr="00FE3F73" w:rsidTr="004D073B">
        <w:tc>
          <w:tcPr>
            <w:tcW w:w="1347" w:type="pct"/>
            <w:vAlign w:val="bottom"/>
          </w:tcPr>
          <w:p w:rsidR="00D44FEF" w:rsidRDefault="00A40AA7" w:rsidP="001C0963">
            <w:pPr>
              <w:pStyle w:val="CGCTableStub"/>
              <w:tabs>
                <w:tab w:val="left" w:pos="142"/>
                <w:tab w:val="left" w:pos="425"/>
                <w:tab w:val="left" w:pos="709"/>
                <w:tab w:val="left" w:pos="851"/>
              </w:tabs>
              <w:ind w:left="142" w:hanging="142"/>
              <w:rPr>
                <w:rFonts w:cstheme="minorHAnsi"/>
              </w:rPr>
            </w:pPr>
            <w:proofErr w:type="spellStart"/>
            <w:r>
              <w:rPr>
                <w:rFonts w:cstheme="minorHAnsi"/>
              </w:rPr>
              <w:t>GHDI</w:t>
            </w:r>
            <w:proofErr w:type="spellEnd"/>
          </w:p>
        </w:tc>
        <w:tc>
          <w:tcPr>
            <w:tcW w:w="399" w:type="pct"/>
            <w:vAlign w:val="bottom"/>
          </w:tcPr>
          <w:p w:rsidR="00D44FEF" w:rsidRPr="008C30A9" w:rsidRDefault="00D44FEF" w:rsidP="001C0963">
            <w:pPr>
              <w:pStyle w:val="TableRowNormal"/>
              <w:ind w:left="0" w:firstLine="0"/>
              <w:rPr>
                <w:rFonts w:cstheme="minorHAnsi"/>
              </w:rPr>
            </w:pPr>
            <w:r w:rsidRPr="008C30A9">
              <w:rPr>
                <w:rFonts w:cstheme="minorHAnsi"/>
              </w:rPr>
              <w:t>1.068</w:t>
            </w:r>
          </w:p>
        </w:tc>
        <w:tc>
          <w:tcPr>
            <w:tcW w:w="399" w:type="pct"/>
            <w:vAlign w:val="bottom"/>
          </w:tcPr>
          <w:p w:rsidR="00D44FEF" w:rsidRPr="008C30A9" w:rsidRDefault="00D44FEF" w:rsidP="001C0963">
            <w:pPr>
              <w:pStyle w:val="TableRowNormal"/>
              <w:ind w:left="0" w:firstLine="0"/>
              <w:rPr>
                <w:rFonts w:cstheme="minorHAnsi"/>
              </w:rPr>
            </w:pPr>
            <w:r w:rsidRPr="008C30A9">
              <w:rPr>
                <w:rFonts w:cstheme="minorHAnsi"/>
              </w:rPr>
              <w:t>0.926</w:t>
            </w:r>
          </w:p>
        </w:tc>
        <w:tc>
          <w:tcPr>
            <w:tcW w:w="399" w:type="pct"/>
            <w:vAlign w:val="bottom"/>
          </w:tcPr>
          <w:p w:rsidR="00D44FEF" w:rsidRPr="008C30A9" w:rsidRDefault="00D44FEF" w:rsidP="001C0963">
            <w:pPr>
              <w:pStyle w:val="TableRowNormal"/>
              <w:ind w:left="0" w:firstLine="0"/>
              <w:rPr>
                <w:rFonts w:cstheme="minorHAnsi"/>
              </w:rPr>
            </w:pPr>
            <w:r w:rsidRPr="008C30A9">
              <w:rPr>
                <w:rFonts w:cstheme="minorHAnsi"/>
              </w:rPr>
              <w:t>0.914</w:t>
            </w:r>
          </w:p>
        </w:tc>
        <w:tc>
          <w:tcPr>
            <w:tcW w:w="399" w:type="pct"/>
            <w:vAlign w:val="bottom"/>
          </w:tcPr>
          <w:p w:rsidR="00D44FEF" w:rsidRPr="008C30A9" w:rsidRDefault="00D44FEF" w:rsidP="001C0963">
            <w:pPr>
              <w:pStyle w:val="TableRowNormal"/>
              <w:ind w:left="0" w:firstLine="0"/>
              <w:rPr>
                <w:rFonts w:cstheme="minorHAnsi"/>
              </w:rPr>
            </w:pPr>
            <w:r w:rsidRPr="008C30A9">
              <w:rPr>
                <w:rFonts w:cstheme="minorHAnsi"/>
              </w:rPr>
              <w:t>1.049</w:t>
            </w:r>
          </w:p>
        </w:tc>
        <w:tc>
          <w:tcPr>
            <w:tcW w:w="399" w:type="pct"/>
            <w:vAlign w:val="bottom"/>
          </w:tcPr>
          <w:p w:rsidR="00D44FEF" w:rsidRPr="008C30A9" w:rsidRDefault="00D44FEF" w:rsidP="001C0963">
            <w:pPr>
              <w:pStyle w:val="TableRowNormal"/>
              <w:ind w:left="0" w:firstLine="0"/>
              <w:rPr>
                <w:rFonts w:cstheme="minorHAnsi"/>
              </w:rPr>
            </w:pPr>
            <w:r w:rsidRPr="008C30A9">
              <w:rPr>
                <w:rFonts w:cstheme="minorHAnsi"/>
              </w:rPr>
              <w:t>0.904</w:t>
            </w:r>
          </w:p>
        </w:tc>
        <w:tc>
          <w:tcPr>
            <w:tcW w:w="400" w:type="pct"/>
            <w:vAlign w:val="bottom"/>
          </w:tcPr>
          <w:p w:rsidR="00D44FEF" w:rsidRPr="008C30A9" w:rsidRDefault="00D44FEF" w:rsidP="001C0963">
            <w:pPr>
              <w:pStyle w:val="TableRowNormal"/>
              <w:ind w:left="0" w:firstLine="0"/>
              <w:rPr>
                <w:rFonts w:cstheme="minorHAnsi"/>
              </w:rPr>
            </w:pPr>
            <w:r w:rsidRPr="008C30A9">
              <w:rPr>
                <w:rFonts w:cstheme="minorHAnsi"/>
              </w:rPr>
              <w:t>0.852</w:t>
            </w:r>
          </w:p>
        </w:tc>
        <w:tc>
          <w:tcPr>
            <w:tcW w:w="400" w:type="pct"/>
            <w:vAlign w:val="bottom"/>
          </w:tcPr>
          <w:p w:rsidR="00D44FEF" w:rsidRPr="008C30A9" w:rsidRDefault="00D44FEF" w:rsidP="001C0963">
            <w:pPr>
              <w:pStyle w:val="TableRowNormal"/>
              <w:ind w:left="0" w:firstLine="0"/>
              <w:rPr>
                <w:rFonts w:cstheme="minorHAnsi"/>
              </w:rPr>
            </w:pPr>
            <w:r w:rsidRPr="008C30A9">
              <w:rPr>
                <w:rFonts w:cstheme="minorHAnsi"/>
              </w:rPr>
              <w:t>1.959</w:t>
            </w:r>
          </w:p>
        </w:tc>
        <w:tc>
          <w:tcPr>
            <w:tcW w:w="400" w:type="pct"/>
            <w:vAlign w:val="bottom"/>
          </w:tcPr>
          <w:p w:rsidR="00D44FEF" w:rsidRPr="008C30A9" w:rsidRDefault="00D44FEF" w:rsidP="001C0963">
            <w:pPr>
              <w:pStyle w:val="TableRowNormal"/>
              <w:ind w:left="0" w:firstLine="0"/>
              <w:rPr>
                <w:rFonts w:cstheme="minorHAnsi"/>
              </w:rPr>
            </w:pPr>
            <w:r w:rsidRPr="008C30A9">
              <w:rPr>
                <w:rFonts w:cstheme="minorHAnsi"/>
              </w:rPr>
              <w:t>1.307</w:t>
            </w:r>
          </w:p>
        </w:tc>
        <w:tc>
          <w:tcPr>
            <w:tcW w:w="458" w:type="pct"/>
            <w:vAlign w:val="bottom"/>
          </w:tcPr>
          <w:p w:rsidR="00D44FEF" w:rsidRPr="008C30A9" w:rsidRDefault="00D44FEF" w:rsidP="001C0963">
            <w:pPr>
              <w:pStyle w:val="TableRowNormal"/>
              <w:ind w:left="0" w:firstLine="0"/>
              <w:rPr>
                <w:rFonts w:cstheme="minorHAnsi"/>
              </w:rPr>
            </w:pPr>
            <w:r w:rsidRPr="008C30A9">
              <w:rPr>
                <w:rFonts w:cstheme="minorHAnsi"/>
              </w:rPr>
              <w:t>1.000</w:t>
            </w:r>
          </w:p>
        </w:tc>
      </w:tr>
      <w:tr w:rsidR="00D44FEF" w:rsidRPr="00FE3F73" w:rsidTr="004D073B">
        <w:tc>
          <w:tcPr>
            <w:tcW w:w="1347" w:type="pct"/>
            <w:tcBorders>
              <w:bottom w:val="single" w:sz="4" w:space="0" w:color="auto"/>
            </w:tcBorders>
            <w:vAlign w:val="bottom"/>
          </w:tcPr>
          <w:p w:rsidR="00D44FEF" w:rsidRDefault="00D44FEF" w:rsidP="001C0963">
            <w:pPr>
              <w:pStyle w:val="CGCTableStub"/>
              <w:tabs>
                <w:tab w:val="left" w:pos="142"/>
                <w:tab w:val="left" w:pos="425"/>
                <w:tab w:val="left" w:pos="709"/>
                <w:tab w:val="left" w:pos="851"/>
              </w:tabs>
              <w:ind w:left="142" w:hanging="142"/>
              <w:rPr>
                <w:rFonts w:cstheme="minorHAnsi"/>
              </w:rPr>
            </w:pPr>
            <w:r>
              <w:rPr>
                <w:rFonts w:cstheme="minorHAnsi"/>
              </w:rPr>
              <w:t>Population</w:t>
            </w:r>
          </w:p>
        </w:tc>
        <w:tc>
          <w:tcPr>
            <w:tcW w:w="399" w:type="pct"/>
            <w:tcBorders>
              <w:bottom w:val="single" w:sz="4" w:space="0" w:color="auto"/>
            </w:tcBorders>
            <w:vAlign w:val="bottom"/>
          </w:tcPr>
          <w:p w:rsidR="00D44FEF" w:rsidRPr="008C30A9" w:rsidRDefault="00D44FEF" w:rsidP="001C0963">
            <w:pPr>
              <w:pStyle w:val="TableRowNormal"/>
              <w:ind w:left="0" w:firstLine="0"/>
              <w:rPr>
                <w:rFonts w:cstheme="minorHAnsi"/>
              </w:rPr>
            </w:pPr>
            <w:r w:rsidRPr="008C30A9">
              <w:rPr>
                <w:rFonts w:cstheme="minorHAnsi"/>
              </w:rPr>
              <w:t>1.000</w:t>
            </w:r>
          </w:p>
        </w:tc>
        <w:tc>
          <w:tcPr>
            <w:tcW w:w="399" w:type="pct"/>
            <w:tcBorders>
              <w:bottom w:val="single" w:sz="4" w:space="0" w:color="auto"/>
            </w:tcBorders>
            <w:vAlign w:val="bottom"/>
          </w:tcPr>
          <w:p w:rsidR="00D44FEF" w:rsidRPr="008C30A9" w:rsidRDefault="00D44FEF" w:rsidP="001C0963">
            <w:pPr>
              <w:pStyle w:val="TableRowNormal"/>
              <w:ind w:left="0" w:firstLine="0"/>
              <w:rPr>
                <w:rFonts w:cstheme="minorHAnsi"/>
              </w:rPr>
            </w:pPr>
            <w:r w:rsidRPr="008C30A9">
              <w:rPr>
                <w:rFonts w:cstheme="minorHAnsi"/>
              </w:rPr>
              <w:t>1.000</w:t>
            </w:r>
          </w:p>
        </w:tc>
        <w:tc>
          <w:tcPr>
            <w:tcW w:w="399" w:type="pct"/>
            <w:tcBorders>
              <w:bottom w:val="single" w:sz="4" w:space="0" w:color="auto"/>
            </w:tcBorders>
            <w:vAlign w:val="bottom"/>
          </w:tcPr>
          <w:p w:rsidR="00D44FEF" w:rsidRPr="008C30A9" w:rsidRDefault="00D44FEF" w:rsidP="001C0963">
            <w:pPr>
              <w:pStyle w:val="TableRowNormal"/>
              <w:ind w:left="0" w:firstLine="0"/>
              <w:rPr>
                <w:rFonts w:cstheme="minorHAnsi"/>
              </w:rPr>
            </w:pPr>
            <w:r w:rsidRPr="008C30A9">
              <w:rPr>
                <w:rFonts w:cstheme="minorHAnsi"/>
              </w:rPr>
              <w:t>1.000</w:t>
            </w:r>
          </w:p>
        </w:tc>
        <w:tc>
          <w:tcPr>
            <w:tcW w:w="399" w:type="pct"/>
            <w:tcBorders>
              <w:bottom w:val="single" w:sz="4" w:space="0" w:color="auto"/>
            </w:tcBorders>
            <w:vAlign w:val="bottom"/>
          </w:tcPr>
          <w:p w:rsidR="00D44FEF" w:rsidRPr="008C30A9" w:rsidRDefault="00D44FEF" w:rsidP="001C0963">
            <w:pPr>
              <w:pStyle w:val="TableRowNormal"/>
              <w:ind w:left="0" w:firstLine="0"/>
              <w:rPr>
                <w:rFonts w:cstheme="minorHAnsi"/>
              </w:rPr>
            </w:pPr>
            <w:r w:rsidRPr="008C30A9">
              <w:rPr>
                <w:rFonts w:cstheme="minorHAnsi"/>
              </w:rPr>
              <w:t>1.000</w:t>
            </w:r>
          </w:p>
        </w:tc>
        <w:tc>
          <w:tcPr>
            <w:tcW w:w="399" w:type="pct"/>
            <w:tcBorders>
              <w:bottom w:val="single" w:sz="4" w:space="0" w:color="auto"/>
            </w:tcBorders>
            <w:vAlign w:val="bottom"/>
          </w:tcPr>
          <w:p w:rsidR="00D44FEF" w:rsidRPr="008C30A9" w:rsidRDefault="00D44FEF" w:rsidP="001C0963">
            <w:pPr>
              <w:pStyle w:val="TableRowNormal"/>
              <w:ind w:left="0" w:firstLine="0"/>
              <w:rPr>
                <w:rFonts w:cstheme="minorHAnsi"/>
              </w:rPr>
            </w:pPr>
            <w:r w:rsidRPr="008C30A9">
              <w:rPr>
                <w:rFonts w:cstheme="minorHAnsi"/>
              </w:rPr>
              <w:t>1.000</w:t>
            </w:r>
          </w:p>
        </w:tc>
        <w:tc>
          <w:tcPr>
            <w:tcW w:w="400" w:type="pct"/>
            <w:tcBorders>
              <w:bottom w:val="single" w:sz="4" w:space="0" w:color="auto"/>
            </w:tcBorders>
            <w:vAlign w:val="bottom"/>
          </w:tcPr>
          <w:p w:rsidR="00D44FEF" w:rsidRPr="008C30A9" w:rsidRDefault="00D44FEF" w:rsidP="001C0963">
            <w:pPr>
              <w:pStyle w:val="TableRowNormal"/>
              <w:ind w:left="0" w:firstLine="0"/>
              <w:rPr>
                <w:rFonts w:cstheme="minorHAnsi"/>
              </w:rPr>
            </w:pPr>
            <w:r w:rsidRPr="008C30A9">
              <w:rPr>
                <w:rFonts w:cstheme="minorHAnsi"/>
              </w:rPr>
              <w:t>1.000</w:t>
            </w:r>
          </w:p>
        </w:tc>
        <w:tc>
          <w:tcPr>
            <w:tcW w:w="400" w:type="pct"/>
            <w:tcBorders>
              <w:bottom w:val="single" w:sz="4" w:space="0" w:color="auto"/>
            </w:tcBorders>
            <w:vAlign w:val="bottom"/>
          </w:tcPr>
          <w:p w:rsidR="00D44FEF" w:rsidRPr="008C30A9" w:rsidRDefault="00D44FEF" w:rsidP="001C0963">
            <w:pPr>
              <w:pStyle w:val="TableRowNormal"/>
              <w:ind w:left="0" w:firstLine="0"/>
              <w:rPr>
                <w:rFonts w:cstheme="minorHAnsi"/>
              </w:rPr>
            </w:pPr>
            <w:r w:rsidRPr="008C30A9">
              <w:rPr>
                <w:rFonts w:cstheme="minorHAnsi"/>
              </w:rPr>
              <w:t>1.000</w:t>
            </w:r>
          </w:p>
        </w:tc>
        <w:tc>
          <w:tcPr>
            <w:tcW w:w="400" w:type="pct"/>
            <w:tcBorders>
              <w:bottom w:val="single" w:sz="4" w:space="0" w:color="auto"/>
            </w:tcBorders>
            <w:vAlign w:val="bottom"/>
          </w:tcPr>
          <w:p w:rsidR="00D44FEF" w:rsidRPr="008C30A9" w:rsidRDefault="00D44FEF" w:rsidP="001C0963">
            <w:pPr>
              <w:pStyle w:val="TableRowNormal"/>
              <w:ind w:left="0" w:firstLine="0"/>
              <w:rPr>
                <w:rFonts w:cstheme="minorHAnsi"/>
              </w:rPr>
            </w:pPr>
            <w:r w:rsidRPr="008C30A9">
              <w:rPr>
                <w:rFonts w:cstheme="minorHAnsi"/>
              </w:rPr>
              <w:t>1.000</w:t>
            </w:r>
          </w:p>
        </w:tc>
        <w:tc>
          <w:tcPr>
            <w:tcW w:w="458" w:type="pct"/>
            <w:tcBorders>
              <w:bottom w:val="single" w:sz="4" w:space="0" w:color="auto"/>
            </w:tcBorders>
            <w:vAlign w:val="bottom"/>
          </w:tcPr>
          <w:p w:rsidR="00D44FEF" w:rsidRPr="008C30A9" w:rsidRDefault="00D44FEF" w:rsidP="001C0963">
            <w:pPr>
              <w:pStyle w:val="TableRowNormal"/>
              <w:ind w:left="0" w:firstLine="0"/>
              <w:rPr>
                <w:rFonts w:cstheme="minorHAnsi"/>
              </w:rPr>
            </w:pPr>
            <w:r w:rsidRPr="008C30A9">
              <w:rPr>
                <w:rFonts w:cstheme="minorHAnsi"/>
              </w:rPr>
              <w:t>1.000</w:t>
            </w:r>
          </w:p>
        </w:tc>
      </w:tr>
    </w:tbl>
    <w:p w:rsidR="004D073B" w:rsidRDefault="004D073B" w:rsidP="00D44FEF">
      <w:pPr>
        <w:pStyle w:val="CGCTableFootnote"/>
      </w:pPr>
      <w:r>
        <w:t>(a)</w:t>
      </w:r>
      <w:r>
        <w:tab/>
      </w:r>
      <w:r w:rsidRPr="00EF38AE">
        <w:t>Queensland Government Statistician's Office</w:t>
      </w:r>
      <w:r w:rsidR="006E5A27">
        <w:t xml:space="preserve"> neede</w:t>
      </w:r>
      <w:r>
        <w:t>d to estimate turnover figures for Tasmania.</w:t>
      </w:r>
    </w:p>
    <w:p w:rsidR="00D44FEF" w:rsidRDefault="00D44FEF" w:rsidP="00D44FEF">
      <w:pPr>
        <w:pStyle w:val="CGCTableFootnote"/>
      </w:pPr>
      <w:r>
        <w:t>Source:</w:t>
      </w:r>
      <w:r>
        <w:tab/>
      </w:r>
      <w:r w:rsidR="00A40AA7">
        <w:fldChar w:fldCharType="begin"/>
      </w:r>
      <w:r w:rsidR="00A40AA7">
        <w:instrText xml:space="preserve"> REF _Ref509337548 \h </w:instrText>
      </w:r>
      <w:r w:rsidR="00A40AA7">
        <w:fldChar w:fldCharType="separate"/>
      </w:r>
      <w:r w:rsidR="001133A0">
        <w:t xml:space="preserve">Table </w:t>
      </w:r>
      <w:r w:rsidR="001133A0">
        <w:rPr>
          <w:noProof/>
        </w:rPr>
        <w:t>5</w:t>
      </w:r>
      <w:r w:rsidR="00A40AA7">
        <w:fldChar w:fldCharType="end"/>
      </w:r>
      <w:r w:rsidRPr="00EF38AE">
        <w:t>.</w:t>
      </w:r>
    </w:p>
    <w:p w:rsidR="003163E6" w:rsidRDefault="003163E6" w:rsidP="003163E6">
      <w:pPr>
        <w:pStyle w:val="Heading4"/>
      </w:pPr>
      <w:bookmarkStart w:id="31" w:name="_Toc509341584"/>
      <w:bookmarkStart w:id="32" w:name="_Toc509399135"/>
      <w:r>
        <w:t>What an assessment might look like</w:t>
      </w:r>
      <w:bookmarkEnd w:id="31"/>
      <w:bookmarkEnd w:id="32"/>
    </w:p>
    <w:p w:rsidR="005D7AE5" w:rsidRDefault="005D7AE5" w:rsidP="005D7AE5">
      <w:pPr>
        <w:pStyle w:val="CGCNumberedPara"/>
        <w:numPr>
          <w:ilvl w:val="1"/>
          <w:numId w:val="3"/>
        </w:numPr>
      </w:pPr>
      <w:r>
        <w:t>A disaggregated gambling assessment could be based on:</w:t>
      </w:r>
    </w:p>
    <w:p w:rsidR="005D7AE5" w:rsidRDefault="005D7AE5" w:rsidP="005D7AE5">
      <w:pPr>
        <w:pStyle w:val="CGCBulletlist"/>
        <w:numPr>
          <w:ilvl w:val="0"/>
          <w:numId w:val="1"/>
        </w:numPr>
        <w:tabs>
          <w:tab w:val="clear" w:pos="927"/>
        </w:tabs>
        <w:ind w:left="1134" w:hanging="567"/>
      </w:pPr>
      <w:r>
        <w:t xml:space="preserve">the </w:t>
      </w:r>
      <w:r w:rsidR="0022740D">
        <w:t>socio-demographic</w:t>
      </w:r>
      <w:r>
        <w:t xml:space="preserve"> characteristics of gamblers using HILDA data</w:t>
      </w:r>
    </w:p>
    <w:p w:rsidR="005D7AE5" w:rsidRDefault="006902C4" w:rsidP="005D7AE5">
      <w:pPr>
        <w:pStyle w:val="CGCBulletlist"/>
        <w:numPr>
          <w:ilvl w:val="0"/>
          <w:numId w:val="1"/>
        </w:numPr>
        <w:tabs>
          <w:tab w:val="clear" w:pos="927"/>
        </w:tabs>
        <w:ind w:left="1134" w:hanging="567"/>
      </w:pPr>
      <w:r>
        <w:t xml:space="preserve">the number of people in particular age </w:t>
      </w:r>
      <w:r w:rsidR="005D7AE5">
        <w:t>groups, such as the population aged 15 and over</w:t>
      </w:r>
    </w:p>
    <w:p w:rsidR="005D7AE5" w:rsidRPr="00A9380E" w:rsidRDefault="006902C4" w:rsidP="005D7AE5">
      <w:pPr>
        <w:pStyle w:val="CGCBulletlist"/>
        <w:numPr>
          <w:ilvl w:val="0"/>
          <w:numId w:val="1"/>
        </w:numPr>
        <w:tabs>
          <w:tab w:val="clear" w:pos="927"/>
        </w:tabs>
        <w:ind w:left="1134" w:hanging="567"/>
      </w:pPr>
      <w:proofErr w:type="gramStart"/>
      <w:r>
        <w:t>the</w:t>
      </w:r>
      <w:proofErr w:type="gramEnd"/>
      <w:r>
        <w:t xml:space="preserve"> number of people in particular income groups, such as the number of people with low income or the number of people with high income</w:t>
      </w:r>
      <w:r w:rsidR="005D7AE5" w:rsidRPr="00A9380E">
        <w:t>.</w:t>
      </w:r>
    </w:p>
    <w:p w:rsidR="006902C4" w:rsidRDefault="006902C4" w:rsidP="005D7AE5">
      <w:pPr>
        <w:pStyle w:val="CGCNumberedPara"/>
        <w:numPr>
          <w:ilvl w:val="1"/>
          <w:numId w:val="3"/>
        </w:numPr>
      </w:pPr>
      <w:r>
        <w:t xml:space="preserve">Each form of gambling would have its own component. The assessed revenue for each component would be summed to calculate category assessed revenue. </w:t>
      </w:r>
      <w:r w:rsidR="00A40AA7">
        <w:t>Past experience suggests that people based m</w:t>
      </w:r>
      <w:r>
        <w:t>easures are unlikely to pass the Commission’s disability materiality threshold of $35 per capita.</w:t>
      </w:r>
    </w:p>
    <w:p w:rsidR="00C6711D" w:rsidRDefault="005B69CC" w:rsidP="00C6711D">
      <w:pPr>
        <w:pStyle w:val="CGCNumberedPara"/>
      </w:pPr>
      <w:r w:rsidRPr="00C6711D">
        <w:t xml:space="preserve">Commission staff consider it will be difficult to develop a disaggregated gambling assessment for the 2020 Review. The high degree of substitutability between the </w:t>
      </w:r>
      <w:r w:rsidRPr="00C6711D">
        <w:lastRenderedPageBreak/>
        <w:t>different forms of gambling and the pervasiveness of State policy influence suggest an aggregated assessment might be more promising.</w:t>
      </w:r>
      <w:r w:rsidR="00C6711D">
        <w:t xml:space="preserve"> </w:t>
      </w:r>
      <w:r w:rsidR="006902C4" w:rsidRPr="00C6711D">
        <w:t>An aggregated gambling assessment could be based on one of the broader mea</w:t>
      </w:r>
      <w:r w:rsidR="0090153F" w:rsidRPr="00C6711D">
        <w:t>s</w:t>
      </w:r>
      <w:r w:rsidR="006902C4" w:rsidRPr="00C6711D">
        <w:t>ures of revenue capacity the Commission has used in the past.</w:t>
      </w:r>
      <w:bookmarkStart w:id="33" w:name="_Toc509233162"/>
      <w:bookmarkStart w:id="34" w:name="_Toc509233198"/>
      <w:bookmarkStart w:id="35" w:name="_Toc509233518"/>
      <w:bookmarkStart w:id="36" w:name="_Toc509233576"/>
      <w:r w:rsidR="00C6711D">
        <w:t xml:space="preserve"> </w:t>
      </w:r>
    </w:p>
    <w:p w:rsidR="0090153F" w:rsidRPr="00C6711D" w:rsidRDefault="0090153F" w:rsidP="00C6711D">
      <w:pPr>
        <w:pStyle w:val="Heading4"/>
        <w:rPr>
          <w:rFonts w:eastAsiaTheme="minorHAnsi"/>
        </w:rPr>
      </w:pPr>
      <w:bookmarkStart w:id="37" w:name="_Toc509399136"/>
      <w:r w:rsidRPr="00C6711D">
        <w:rPr>
          <w:rFonts w:eastAsiaTheme="minorHAnsi"/>
        </w:rPr>
        <w:t>Proposed assessment structure</w:t>
      </w:r>
      <w:bookmarkEnd w:id="33"/>
      <w:bookmarkEnd w:id="34"/>
      <w:bookmarkEnd w:id="35"/>
      <w:bookmarkEnd w:id="36"/>
      <w:bookmarkEnd w:id="37"/>
    </w:p>
    <w:p w:rsidR="0090153F" w:rsidRDefault="00FB5715" w:rsidP="0090153F">
      <w:pPr>
        <w:pStyle w:val="CGCNumberedPara"/>
        <w:numPr>
          <w:ilvl w:val="1"/>
          <w:numId w:val="3"/>
        </w:numPr>
      </w:pPr>
      <w:r>
        <w:t>S</w:t>
      </w:r>
      <w:r w:rsidRPr="00741FF2">
        <w:t xml:space="preserve">taff propose </w:t>
      </w:r>
      <w:r>
        <w:t xml:space="preserve">to further investigate a disaggregated assessment (based on HILDA data) and an aggregated assessment (based on broad measures of gambling capacity) and to discuss the results of those investigations with States as part of an Officer Working Party process in mid-2018. </w:t>
      </w:r>
      <w:r w:rsidR="0090153F">
        <w:t xml:space="preserve">Pending the </w:t>
      </w:r>
      <w:r>
        <w:t xml:space="preserve">outcomes of that </w:t>
      </w:r>
      <w:r w:rsidR="0090153F">
        <w:t>further work, s</w:t>
      </w:r>
      <w:r w:rsidR="00FF09C3">
        <w:t xml:space="preserve">taff </w:t>
      </w:r>
      <w:r w:rsidR="0090153F" w:rsidRPr="00741FF2">
        <w:t xml:space="preserve">propose </w:t>
      </w:r>
      <w:r w:rsidR="0090153F">
        <w:t xml:space="preserve">to recommend the Commission assess gambling taxes </w:t>
      </w:r>
      <w:proofErr w:type="spellStart"/>
      <w:r w:rsidR="0090153F">
        <w:t>EPC</w:t>
      </w:r>
      <w:proofErr w:type="spellEnd"/>
      <w:r w:rsidR="0090153F">
        <w:t>.</w:t>
      </w:r>
    </w:p>
    <w:p w:rsidR="006902C4" w:rsidRDefault="006902C4" w:rsidP="006902C4">
      <w:pPr>
        <w:pStyle w:val="CGCNumberedPara"/>
        <w:numPr>
          <w:ilvl w:val="0"/>
          <w:numId w:val="0"/>
        </w:numPr>
        <w:ind w:left="567" w:hanging="567"/>
      </w:pPr>
    </w:p>
    <w:tbl>
      <w:tblPr>
        <w:tblW w:w="0" w:type="auto"/>
        <w:tblInd w:w="108" w:type="dxa"/>
        <w:shd w:val="clear" w:color="auto" w:fill="D9F3E6"/>
        <w:tblLook w:val="04A0" w:firstRow="1" w:lastRow="0" w:firstColumn="1" w:lastColumn="0" w:noHBand="0" w:noVBand="1"/>
      </w:tblPr>
      <w:tblGrid>
        <w:gridCol w:w="8843"/>
      </w:tblGrid>
      <w:tr w:rsidR="005D7AE5" w:rsidRPr="00E674AF" w:rsidTr="001C0963">
        <w:tc>
          <w:tcPr>
            <w:tcW w:w="8931" w:type="dxa"/>
            <w:shd w:val="clear" w:color="auto" w:fill="D9F3E6"/>
          </w:tcPr>
          <w:p w:rsidR="005D7AE5" w:rsidRPr="00E674AF" w:rsidRDefault="005D7AE5" w:rsidP="001C0963">
            <w:r w:rsidRPr="00B7517F">
              <w:t>Staff propose to recommend the Commission:</w:t>
            </w:r>
          </w:p>
          <w:p w:rsidR="005D7AE5" w:rsidRPr="00E07621" w:rsidRDefault="0090153F" w:rsidP="001C0963">
            <w:pPr>
              <w:pStyle w:val="CGCBulletlist"/>
              <w:numPr>
                <w:ilvl w:val="0"/>
                <w:numId w:val="1"/>
              </w:numPr>
              <w:tabs>
                <w:tab w:val="clear" w:pos="927"/>
              </w:tabs>
              <w:ind w:left="1134" w:hanging="567"/>
            </w:pPr>
            <w:r>
              <w:t>continue to investigate a disaggregated gambling assessment</w:t>
            </w:r>
            <w:r w:rsidR="00D01E95">
              <w:t xml:space="preserve"> based on HILDA data</w:t>
            </w:r>
          </w:p>
          <w:p w:rsidR="005B69CC" w:rsidRDefault="00D01E95" w:rsidP="00D01E95">
            <w:pPr>
              <w:pStyle w:val="CGCBulletlist"/>
              <w:numPr>
                <w:ilvl w:val="0"/>
                <w:numId w:val="1"/>
              </w:numPr>
              <w:tabs>
                <w:tab w:val="clear" w:pos="927"/>
              </w:tabs>
              <w:ind w:left="1134" w:hanging="567"/>
            </w:pPr>
            <w:r>
              <w:t>continue to investigate an aggregated assessment based on broad measure</w:t>
            </w:r>
            <w:r w:rsidR="005B69CC">
              <w:t>s</w:t>
            </w:r>
            <w:r>
              <w:t xml:space="preserve"> of </w:t>
            </w:r>
            <w:r w:rsidR="005D7AE5" w:rsidRPr="00A9380E">
              <w:t xml:space="preserve">gambling </w:t>
            </w:r>
            <w:r>
              <w:t>capacity</w:t>
            </w:r>
          </w:p>
          <w:p w:rsidR="005D7AE5" w:rsidRPr="00E674AF" w:rsidRDefault="005B69CC" w:rsidP="005B69CC">
            <w:pPr>
              <w:pStyle w:val="CGCBulletlist"/>
              <w:numPr>
                <w:ilvl w:val="0"/>
                <w:numId w:val="1"/>
              </w:numPr>
              <w:tabs>
                <w:tab w:val="clear" w:pos="927"/>
              </w:tabs>
              <w:ind w:left="1134" w:hanging="567"/>
            </w:pPr>
            <w:proofErr w:type="gramStart"/>
            <w:r>
              <w:t>pending</w:t>
            </w:r>
            <w:proofErr w:type="gramEnd"/>
            <w:r>
              <w:t xml:space="preserve"> the outcome of these investigations, assess gambling taxes </w:t>
            </w:r>
            <w:proofErr w:type="spellStart"/>
            <w:r>
              <w:t>EPC</w:t>
            </w:r>
            <w:proofErr w:type="spellEnd"/>
            <w:r w:rsidR="005D7AE5" w:rsidRPr="00A9380E">
              <w:t>.</w:t>
            </w:r>
          </w:p>
        </w:tc>
      </w:tr>
      <w:bookmarkEnd w:id="7"/>
      <w:bookmarkEnd w:id="8"/>
      <w:bookmarkEnd w:id="9"/>
      <w:bookmarkEnd w:id="10"/>
      <w:bookmarkEnd w:id="11"/>
      <w:bookmarkEnd w:id="12"/>
      <w:bookmarkEnd w:id="13"/>
      <w:bookmarkEnd w:id="14"/>
    </w:tbl>
    <w:p w:rsidR="005D7AE5" w:rsidRDefault="005D7AE5" w:rsidP="005D7AE5">
      <w:pPr>
        <w:pStyle w:val="CGCNumberedPara"/>
        <w:numPr>
          <w:ilvl w:val="0"/>
          <w:numId w:val="0"/>
        </w:numPr>
        <w:ind w:left="567" w:hanging="567"/>
      </w:pPr>
    </w:p>
    <w:sectPr w:rsidR="005D7AE5" w:rsidSect="00F16C1A">
      <w:footerReference w:type="default" r:id="rId17"/>
      <w:footerReference w:type="first" r:id="rId18"/>
      <w:pgSz w:w="11899" w:h="16838" w:code="9"/>
      <w:pgMar w:top="1701" w:right="1474" w:bottom="1701" w:left="1474" w:header="709" w:footer="70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BF8" w:rsidRDefault="00575BF8">
      <w:r>
        <w:separator/>
      </w:r>
    </w:p>
  </w:endnote>
  <w:endnote w:type="continuationSeparator" w:id="0">
    <w:p w:rsidR="00575BF8" w:rsidRDefault="00575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BF8" w:rsidRPr="00875C0F" w:rsidRDefault="00575BF8" w:rsidP="00F16C1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996344"/>
      <w:docPartObj>
        <w:docPartGallery w:val="Page Numbers (Bottom of Page)"/>
        <w:docPartUnique/>
      </w:docPartObj>
    </w:sdtPr>
    <w:sdtEndPr/>
    <w:sdtContent>
      <w:p w:rsidR="00575BF8" w:rsidRPr="00875C0F" w:rsidRDefault="001133A0" w:rsidP="00F16C1A">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996348"/>
      <w:docPartObj>
        <w:docPartGallery w:val="Page Numbers (Bottom of Page)"/>
        <w:docPartUnique/>
      </w:docPartObj>
    </w:sdtPr>
    <w:sdtEndPr/>
    <w:sdtContent>
      <w:p w:rsidR="00575BF8" w:rsidRPr="00875C0F" w:rsidRDefault="001133A0" w:rsidP="00F16C1A">
        <w:pPr>
          <w:pStyle w:val="Footer"/>
          <w:jc w:val="right"/>
        </w:pP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BF8" w:rsidRPr="0011178C" w:rsidRDefault="00575BF8" w:rsidP="003929D2">
    <w:pPr>
      <w:pStyle w:val="Footer"/>
      <w:jc w:val="right"/>
    </w:pPr>
    <w:r>
      <w:fldChar w:fldCharType="begin"/>
    </w:r>
    <w:r>
      <w:instrText xml:space="preserve"> PAGE  \* Arabic  \* MERGEFORMAT </w:instrText>
    </w:r>
    <w:r>
      <w:fldChar w:fldCharType="separate"/>
    </w:r>
    <w:r w:rsidR="001133A0">
      <w:rPr>
        <w:noProof/>
      </w:rPr>
      <w:t>10</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BF8" w:rsidRPr="007E487F" w:rsidRDefault="00575BF8" w:rsidP="00DC0F02">
    <w:pPr>
      <w:pStyle w:val="Footer"/>
      <w:tabs>
        <w:tab w:val="right" w:pos="8931"/>
      </w:tabs>
      <w:rPr>
        <w:sz w:val="20"/>
        <w:szCs w:val="20"/>
      </w:rPr>
    </w:pPr>
    <w:r>
      <w:rPr>
        <w:sz w:val="20"/>
        <w:szCs w:val="20"/>
      </w:rPr>
      <w:tab/>
    </w:r>
    <w:r>
      <w:rPr>
        <w:sz w:val="20"/>
        <w:szCs w:val="20"/>
      </w:rPr>
      <w:tab/>
    </w:r>
    <w:r>
      <w:fldChar w:fldCharType="begin"/>
    </w:r>
    <w:r>
      <w:instrText xml:space="preserve"> PAGE   \* MERGEFORMAT </w:instrText>
    </w:r>
    <w:r>
      <w:fldChar w:fldCharType="separate"/>
    </w:r>
    <w:r w:rsidR="001133A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BF8" w:rsidRDefault="00575BF8">
      <w:r>
        <w:separator/>
      </w:r>
    </w:p>
  </w:footnote>
  <w:footnote w:type="continuationSeparator" w:id="0">
    <w:p w:rsidR="00575BF8" w:rsidRDefault="00575BF8">
      <w:r>
        <w:continuationSeparator/>
      </w:r>
    </w:p>
  </w:footnote>
  <w:footnote w:id="1">
    <w:p w:rsidR="00575BF8" w:rsidRDefault="00575BF8">
      <w:pPr>
        <w:pStyle w:val="FootnoteText"/>
      </w:pPr>
      <w:r>
        <w:rPr>
          <w:rStyle w:val="FootnoteReference"/>
        </w:rPr>
        <w:footnoteRef/>
      </w:r>
      <w:r>
        <w:t xml:space="preserve"> </w:t>
      </w:r>
      <w:r>
        <w:tab/>
        <w:t>It would exceed only Insurance tax, which had revenue of $5.3 billion in 2015-16.</w:t>
      </w:r>
    </w:p>
  </w:footnote>
  <w:footnote w:id="2">
    <w:p w:rsidR="00575BF8" w:rsidRDefault="00575BF8">
      <w:pPr>
        <w:pStyle w:val="FootnoteText"/>
      </w:pPr>
      <w:r>
        <w:rPr>
          <w:rStyle w:val="FootnoteReference"/>
        </w:rPr>
        <w:footnoteRef/>
      </w:r>
      <w:r>
        <w:t xml:space="preserve"> </w:t>
      </w:r>
      <w:r>
        <w:tab/>
        <w:t xml:space="preserve">Commonwealth Grants Commission, </w:t>
      </w:r>
      <w:proofErr w:type="spellStart"/>
      <w:r w:rsidRPr="006E5A27">
        <w:rPr>
          <w:i/>
        </w:rPr>
        <w:t>CGC</w:t>
      </w:r>
      <w:proofErr w:type="spellEnd"/>
      <w:r w:rsidRPr="006E5A27">
        <w:rPr>
          <w:i/>
        </w:rPr>
        <w:t xml:space="preserve"> 2017-21, </w:t>
      </w:r>
      <w:proofErr w:type="gramStart"/>
      <w:r w:rsidRPr="006E5A27">
        <w:rPr>
          <w:i/>
        </w:rPr>
        <w:t>The</w:t>
      </w:r>
      <w:proofErr w:type="gramEnd"/>
      <w:r w:rsidRPr="006E5A27">
        <w:rPr>
          <w:i/>
        </w:rPr>
        <w:t xml:space="preserve"> principle</w:t>
      </w:r>
      <w:r w:rsidRPr="00AE1565">
        <w:rPr>
          <w:i/>
        </w:rPr>
        <w:t xml:space="preserve"> of </w:t>
      </w:r>
      <w:proofErr w:type="spellStart"/>
      <w:r w:rsidRPr="00AE1565">
        <w:rPr>
          <w:i/>
        </w:rPr>
        <w:t>HFE</w:t>
      </w:r>
      <w:proofErr w:type="spellEnd"/>
      <w:r w:rsidRPr="00AE1565">
        <w:rPr>
          <w:i/>
        </w:rPr>
        <w:t xml:space="preserve"> and its implementation</w:t>
      </w:r>
      <w:r>
        <w:t>, September 2017.</w:t>
      </w:r>
    </w:p>
  </w:footnote>
  <w:footnote w:id="3">
    <w:p w:rsidR="00575BF8" w:rsidRDefault="00575BF8">
      <w:pPr>
        <w:pStyle w:val="FootnoteText"/>
      </w:pPr>
      <w:r>
        <w:rPr>
          <w:rStyle w:val="FootnoteReference"/>
        </w:rPr>
        <w:footnoteRef/>
      </w:r>
      <w:r>
        <w:t xml:space="preserve"> </w:t>
      </w:r>
      <w:r>
        <w:tab/>
      </w:r>
      <w:proofErr w:type="spellStart"/>
      <w:r>
        <w:t>CGC</w:t>
      </w:r>
      <w:proofErr w:type="spellEnd"/>
      <w:r>
        <w:t xml:space="preserve">, </w:t>
      </w:r>
      <w:r w:rsidRPr="00AE1565">
        <w:rPr>
          <w:i/>
        </w:rPr>
        <w:t>Report on GST Revenue Sharing Relativities</w:t>
      </w:r>
      <w:r>
        <w:t>, 2010 Review, Volume 2 — Assessments of State Fiscal Capacities, Chapter 9 Other revenue, page 142, paragraph 10.</w:t>
      </w:r>
    </w:p>
  </w:footnote>
  <w:footnote w:id="4">
    <w:p w:rsidR="00575BF8" w:rsidRDefault="00575BF8">
      <w:pPr>
        <w:pStyle w:val="FootnoteText"/>
      </w:pPr>
      <w:r>
        <w:rPr>
          <w:rStyle w:val="FootnoteReference"/>
        </w:rPr>
        <w:footnoteRef/>
      </w:r>
      <w:r>
        <w:t xml:space="preserve"> </w:t>
      </w:r>
      <w:r>
        <w:tab/>
        <w:t xml:space="preserve">Armstrong and Carroll, Australian Gambling Research Centre, </w:t>
      </w:r>
      <w:r w:rsidRPr="00AE1565">
        <w:rPr>
          <w:i/>
        </w:rPr>
        <w:t>Gambling activity in Australia</w:t>
      </w:r>
      <w:r>
        <w:t>, December 2017.</w:t>
      </w:r>
    </w:p>
  </w:footnote>
  <w:footnote w:id="5">
    <w:p w:rsidR="00575BF8" w:rsidRDefault="00575BF8" w:rsidP="003163E6">
      <w:pPr>
        <w:pStyle w:val="FootnoteText"/>
      </w:pPr>
      <w:r>
        <w:rPr>
          <w:rStyle w:val="FootnoteReference"/>
        </w:rPr>
        <w:footnoteRef/>
      </w:r>
      <w:r>
        <w:t xml:space="preserve"> </w:t>
      </w:r>
      <w:r>
        <w:tab/>
        <w:t>The gambling activities are a more detailed disaggregation of the main forms of gambling</w:t>
      </w:r>
      <w:r w:rsidRPr="00060046">
        <w:t>.</w:t>
      </w:r>
    </w:p>
  </w:footnote>
  <w:footnote w:id="6">
    <w:p w:rsidR="00575BF8" w:rsidRDefault="00575BF8">
      <w:pPr>
        <w:pStyle w:val="FootnoteText"/>
      </w:pPr>
      <w:r>
        <w:rPr>
          <w:rStyle w:val="FootnoteReference"/>
        </w:rPr>
        <w:footnoteRef/>
      </w:r>
      <w:r>
        <w:t xml:space="preserve"> </w:t>
      </w:r>
      <w:r>
        <w:tab/>
        <w:t>The focus on a typical month makes it difficult to make direct comparisons between HILDA and other studies of gambling prevalence. Two other national studies of Australian gambling activity (both conducted less recently than the 2015 HILDA wave) ask about participation in the past year, and result in prevalence rates higher than that seen in the HILDA data. This makes it difficult to verify the reliability of the HILDA data.</w:t>
      </w:r>
    </w:p>
  </w:footnote>
  <w:footnote w:id="7">
    <w:p w:rsidR="00575BF8" w:rsidRDefault="00575BF8" w:rsidP="00D44FEF">
      <w:pPr>
        <w:pStyle w:val="FootnoteText"/>
      </w:pPr>
      <w:r>
        <w:rPr>
          <w:rStyle w:val="FootnoteReference"/>
        </w:rPr>
        <w:footnoteRef/>
      </w:r>
      <w:r>
        <w:t xml:space="preserve"> </w:t>
      </w:r>
      <w:r>
        <w:tab/>
        <w:t>Gambling expenditure are data on the net amount lost by gamblers. It is the amount wagered less the amount won. By definition, it is the gross profit of the gambling operator.</w:t>
      </w:r>
    </w:p>
  </w:footnote>
  <w:footnote w:id="8">
    <w:p w:rsidR="00575BF8" w:rsidRDefault="00575BF8" w:rsidP="00C7171F">
      <w:pPr>
        <w:pStyle w:val="FootnoteText"/>
      </w:pPr>
      <w:r>
        <w:rPr>
          <w:rStyle w:val="FootnoteReference"/>
        </w:rPr>
        <w:footnoteRef/>
      </w:r>
      <w:r>
        <w:t xml:space="preserve"> </w:t>
      </w:r>
      <w:r>
        <w:tab/>
        <w:t>Gambling turnover are data on the amount wagered. The data do not include any additional charges that may be paid at the point of purchase. For example, selling agents’ commission in the case of lottery sales.</w:t>
      </w:r>
    </w:p>
  </w:footnote>
  <w:footnote w:id="9">
    <w:p w:rsidR="00575BF8" w:rsidRDefault="00575BF8" w:rsidP="00D44FEF">
      <w:pPr>
        <w:pStyle w:val="FootnoteText"/>
      </w:pPr>
      <w:r>
        <w:rPr>
          <w:rStyle w:val="FootnoteReference"/>
        </w:rPr>
        <w:footnoteRef/>
      </w:r>
      <w:r>
        <w:t xml:space="preserve"> </w:t>
      </w:r>
      <w:r>
        <w:tab/>
        <w:t>The revenue raising capacity ratios were obtained by dividing a State’s share of the relevant capacity measure with its share of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BF8" w:rsidRDefault="00575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BF8" w:rsidRDefault="00575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330E15"/>
    <w:multiLevelType w:val="hybridMultilevel"/>
    <w:tmpl w:val="D1100DE0"/>
    <w:lvl w:ilvl="0" w:tplc="7CF8DB8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15:restartNumberingAfterBreak="0">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6"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FD288C"/>
    <w:multiLevelType w:val="hybridMultilevel"/>
    <w:tmpl w:val="556A2E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
  </w:num>
  <w:num w:numId="4">
    <w:abstractNumId w:val="16"/>
  </w:num>
  <w:num w:numId="5">
    <w:abstractNumId w:val="16"/>
  </w:num>
  <w:num w:numId="6">
    <w:abstractNumId w:val="5"/>
  </w:num>
  <w:num w:numId="7">
    <w:abstractNumId w:val="5"/>
  </w:num>
  <w:num w:numId="8">
    <w:abstractNumId w:val="5"/>
  </w:num>
  <w:num w:numId="9">
    <w:abstractNumId w:val="5"/>
  </w:num>
  <w:num w:numId="10">
    <w:abstractNumId w:val="15"/>
  </w:num>
  <w:num w:numId="11">
    <w:abstractNumId w:val="6"/>
  </w:num>
  <w:num w:numId="12">
    <w:abstractNumId w:val="1"/>
  </w:num>
  <w:num w:numId="13">
    <w:abstractNumId w:val="16"/>
  </w:num>
  <w:num w:numId="14">
    <w:abstractNumId w:val="5"/>
  </w:num>
  <w:num w:numId="15">
    <w:abstractNumId w:val="5"/>
  </w:num>
  <w:num w:numId="16">
    <w:abstractNumId w:val="5"/>
  </w:num>
  <w:num w:numId="17">
    <w:abstractNumId w:val="5"/>
  </w:num>
  <w:num w:numId="18">
    <w:abstractNumId w:val="0"/>
  </w:num>
  <w:num w:numId="19">
    <w:abstractNumId w:val="10"/>
  </w:num>
  <w:num w:numId="20">
    <w:abstractNumId w:val="11"/>
  </w:num>
  <w:num w:numId="21">
    <w:abstractNumId w:val="2"/>
  </w:num>
  <w:num w:numId="22">
    <w:abstractNumId w:val="8"/>
  </w:num>
  <w:num w:numId="23">
    <w:abstractNumId w:val="14"/>
  </w:num>
  <w:num w:numId="24">
    <w:abstractNumId w:val="4"/>
  </w:num>
  <w:num w:numId="25">
    <w:abstractNumId w:val="12"/>
  </w:num>
  <w:num w:numId="26">
    <w:abstractNumId w:val="1"/>
  </w:num>
  <w:num w:numId="27">
    <w:abstractNumId w:val="9"/>
  </w:num>
  <w:num w:numId="28">
    <w:abstractNumId w:val="13"/>
  </w:num>
  <w:num w:numId="29">
    <w:abstractNumId w:val="7"/>
  </w:num>
  <w:num w:numId="30">
    <w:abstractNumId w:val="6"/>
    <w:lvlOverride w:ilvl="0">
      <w:startOverride w:val="1"/>
    </w:lvlOverride>
  </w:num>
  <w:num w:numId="31">
    <w:abstractNumId w:val="15"/>
  </w:num>
  <w:num w:numId="32">
    <w:abstractNumId w:val="1"/>
  </w:num>
  <w:num w:numId="33">
    <w:abstractNumId w:val="6"/>
  </w:num>
  <w:num w:numId="34">
    <w:abstractNumId w:val="16"/>
  </w:num>
  <w:num w:numId="35">
    <w:abstractNumId w:val="10"/>
  </w:num>
  <w:num w:numId="36">
    <w:abstractNumId w:val="15"/>
  </w:num>
  <w:num w:numId="37">
    <w:abstractNumId w:val="1"/>
  </w:num>
  <w:num w:numId="38">
    <w:abstractNumId w:val="6"/>
  </w:num>
  <w:num w:numId="39">
    <w:abstractNumId w:val="16"/>
  </w:num>
  <w:num w:numId="40">
    <w:abstractNumId w:val="10"/>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594"/>
    <w:rsid w:val="00001FEC"/>
    <w:rsid w:val="00003CB2"/>
    <w:rsid w:val="00006674"/>
    <w:rsid w:val="00010128"/>
    <w:rsid w:val="000117D7"/>
    <w:rsid w:val="00016FE0"/>
    <w:rsid w:val="00022EA9"/>
    <w:rsid w:val="00024745"/>
    <w:rsid w:val="0003067C"/>
    <w:rsid w:val="00032F41"/>
    <w:rsid w:val="000406E0"/>
    <w:rsid w:val="0004123E"/>
    <w:rsid w:val="00041748"/>
    <w:rsid w:val="00041E84"/>
    <w:rsid w:val="000424EA"/>
    <w:rsid w:val="00056373"/>
    <w:rsid w:val="00060E7C"/>
    <w:rsid w:val="00061111"/>
    <w:rsid w:val="000624BB"/>
    <w:rsid w:val="000648E8"/>
    <w:rsid w:val="00065D4F"/>
    <w:rsid w:val="00075006"/>
    <w:rsid w:val="0008731D"/>
    <w:rsid w:val="00090670"/>
    <w:rsid w:val="00093796"/>
    <w:rsid w:val="000A0892"/>
    <w:rsid w:val="000A3898"/>
    <w:rsid w:val="000A4DE5"/>
    <w:rsid w:val="000A52A1"/>
    <w:rsid w:val="000A7F8F"/>
    <w:rsid w:val="000B0A4C"/>
    <w:rsid w:val="000B2942"/>
    <w:rsid w:val="000B3557"/>
    <w:rsid w:val="000B4CF6"/>
    <w:rsid w:val="000B64E3"/>
    <w:rsid w:val="000C1B6D"/>
    <w:rsid w:val="000D1354"/>
    <w:rsid w:val="000D35A6"/>
    <w:rsid w:val="000D3BC7"/>
    <w:rsid w:val="000D7C54"/>
    <w:rsid w:val="000E0210"/>
    <w:rsid w:val="000E1A5B"/>
    <w:rsid w:val="000E356E"/>
    <w:rsid w:val="000E6AA5"/>
    <w:rsid w:val="000E7F56"/>
    <w:rsid w:val="000F1CDA"/>
    <w:rsid w:val="000F284A"/>
    <w:rsid w:val="001033E1"/>
    <w:rsid w:val="001039C2"/>
    <w:rsid w:val="001040AD"/>
    <w:rsid w:val="0011178C"/>
    <w:rsid w:val="00111F68"/>
    <w:rsid w:val="00112CF0"/>
    <w:rsid w:val="00113032"/>
    <w:rsid w:val="001133A0"/>
    <w:rsid w:val="001135FE"/>
    <w:rsid w:val="00115065"/>
    <w:rsid w:val="001211AB"/>
    <w:rsid w:val="001218B8"/>
    <w:rsid w:val="00123DBD"/>
    <w:rsid w:val="00124ED1"/>
    <w:rsid w:val="00126DFC"/>
    <w:rsid w:val="00136497"/>
    <w:rsid w:val="00141BD1"/>
    <w:rsid w:val="0014608A"/>
    <w:rsid w:val="00147115"/>
    <w:rsid w:val="001477CE"/>
    <w:rsid w:val="001540C4"/>
    <w:rsid w:val="00160CBD"/>
    <w:rsid w:val="0016723A"/>
    <w:rsid w:val="00171A05"/>
    <w:rsid w:val="00172F3A"/>
    <w:rsid w:val="001730FD"/>
    <w:rsid w:val="00173798"/>
    <w:rsid w:val="00173BE6"/>
    <w:rsid w:val="00173E72"/>
    <w:rsid w:val="001807C0"/>
    <w:rsid w:val="001811DE"/>
    <w:rsid w:val="00187145"/>
    <w:rsid w:val="001879C7"/>
    <w:rsid w:val="001921F3"/>
    <w:rsid w:val="001A1260"/>
    <w:rsid w:val="001B0110"/>
    <w:rsid w:val="001B3048"/>
    <w:rsid w:val="001B3DE2"/>
    <w:rsid w:val="001B696E"/>
    <w:rsid w:val="001B6A56"/>
    <w:rsid w:val="001C0963"/>
    <w:rsid w:val="001C469B"/>
    <w:rsid w:val="001C6A71"/>
    <w:rsid w:val="001C77ED"/>
    <w:rsid w:val="001D638B"/>
    <w:rsid w:val="001D6DFA"/>
    <w:rsid w:val="001E0CB1"/>
    <w:rsid w:val="001E3B3D"/>
    <w:rsid w:val="001E46C7"/>
    <w:rsid w:val="001E6180"/>
    <w:rsid w:val="001E674B"/>
    <w:rsid w:val="001E68FC"/>
    <w:rsid w:val="00203A42"/>
    <w:rsid w:val="00204026"/>
    <w:rsid w:val="00207E57"/>
    <w:rsid w:val="00211AA2"/>
    <w:rsid w:val="00212948"/>
    <w:rsid w:val="00217839"/>
    <w:rsid w:val="00225A3B"/>
    <w:rsid w:val="0022740D"/>
    <w:rsid w:val="0023081D"/>
    <w:rsid w:val="0023329C"/>
    <w:rsid w:val="00236DC0"/>
    <w:rsid w:val="002373A2"/>
    <w:rsid w:val="00242517"/>
    <w:rsid w:val="0024260B"/>
    <w:rsid w:val="00242C74"/>
    <w:rsid w:val="0024401F"/>
    <w:rsid w:val="0024569B"/>
    <w:rsid w:val="00255B5A"/>
    <w:rsid w:val="002671A2"/>
    <w:rsid w:val="00267496"/>
    <w:rsid w:val="002756C4"/>
    <w:rsid w:val="00275B68"/>
    <w:rsid w:val="002845EA"/>
    <w:rsid w:val="00286EBE"/>
    <w:rsid w:val="00290057"/>
    <w:rsid w:val="002911D6"/>
    <w:rsid w:val="00295B70"/>
    <w:rsid w:val="002A2A08"/>
    <w:rsid w:val="002A2D93"/>
    <w:rsid w:val="002A4E42"/>
    <w:rsid w:val="002A77C3"/>
    <w:rsid w:val="002B10B0"/>
    <w:rsid w:val="002B169C"/>
    <w:rsid w:val="002B21D7"/>
    <w:rsid w:val="002B6EFD"/>
    <w:rsid w:val="002B6F33"/>
    <w:rsid w:val="002B79F0"/>
    <w:rsid w:val="002B7F3E"/>
    <w:rsid w:val="002C0EE9"/>
    <w:rsid w:val="002C1D9C"/>
    <w:rsid w:val="002C366F"/>
    <w:rsid w:val="002C4066"/>
    <w:rsid w:val="002C4CA9"/>
    <w:rsid w:val="002D2270"/>
    <w:rsid w:val="002E25A8"/>
    <w:rsid w:val="002E5EB8"/>
    <w:rsid w:val="002F04DE"/>
    <w:rsid w:val="002F1CD3"/>
    <w:rsid w:val="002F1D7B"/>
    <w:rsid w:val="002F6E28"/>
    <w:rsid w:val="002F7E68"/>
    <w:rsid w:val="00302E5E"/>
    <w:rsid w:val="00302F11"/>
    <w:rsid w:val="00307DEF"/>
    <w:rsid w:val="00311D33"/>
    <w:rsid w:val="00313664"/>
    <w:rsid w:val="003145D4"/>
    <w:rsid w:val="00314F90"/>
    <w:rsid w:val="003163E6"/>
    <w:rsid w:val="0032032B"/>
    <w:rsid w:val="0032073C"/>
    <w:rsid w:val="0033102E"/>
    <w:rsid w:val="00331401"/>
    <w:rsid w:val="00333234"/>
    <w:rsid w:val="00335ED1"/>
    <w:rsid w:val="00337EF8"/>
    <w:rsid w:val="00342A60"/>
    <w:rsid w:val="0034379D"/>
    <w:rsid w:val="0034646D"/>
    <w:rsid w:val="00347BE5"/>
    <w:rsid w:val="00347C46"/>
    <w:rsid w:val="003522E0"/>
    <w:rsid w:val="0035267F"/>
    <w:rsid w:val="0035580D"/>
    <w:rsid w:val="003639FB"/>
    <w:rsid w:val="00363BF7"/>
    <w:rsid w:val="00382AE5"/>
    <w:rsid w:val="0038449D"/>
    <w:rsid w:val="00384EBA"/>
    <w:rsid w:val="003929D2"/>
    <w:rsid w:val="00393FA5"/>
    <w:rsid w:val="003A0E31"/>
    <w:rsid w:val="003A27BB"/>
    <w:rsid w:val="003B673D"/>
    <w:rsid w:val="003C2577"/>
    <w:rsid w:val="003C4448"/>
    <w:rsid w:val="003D3D91"/>
    <w:rsid w:val="003D4708"/>
    <w:rsid w:val="003D477A"/>
    <w:rsid w:val="003E52D0"/>
    <w:rsid w:val="003E6615"/>
    <w:rsid w:val="003E68D5"/>
    <w:rsid w:val="003E79F9"/>
    <w:rsid w:val="003F04CA"/>
    <w:rsid w:val="003F12E9"/>
    <w:rsid w:val="003F59F4"/>
    <w:rsid w:val="003F62E3"/>
    <w:rsid w:val="004010F7"/>
    <w:rsid w:val="004020C6"/>
    <w:rsid w:val="00404DCD"/>
    <w:rsid w:val="004077D6"/>
    <w:rsid w:val="004121E7"/>
    <w:rsid w:val="00412B9E"/>
    <w:rsid w:val="00413594"/>
    <w:rsid w:val="00414E51"/>
    <w:rsid w:val="00420F04"/>
    <w:rsid w:val="00423099"/>
    <w:rsid w:val="00424E79"/>
    <w:rsid w:val="0042661C"/>
    <w:rsid w:val="004274B3"/>
    <w:rsid w:val="00443EC1"/>
    <w:rsid w:val="00453264"/>
    <w:rsid w:val="00462B54"/>
    <w:rsid w:val="00463064"/>
    <w:rsid w:val="00465C63"/>
    <w:rsid w:val="004660A2"/>
    <w:rsid w:val="00472461"/>
    <w:rsid w:val="0047416B"/>
    <w:rsid w:val="004809B8"/>
    <w:rsid w:val="00482100"/>
    <w:rsid w:val="004821B9"/>
    <w:rsid w:val="00483B51"/>
    <w:rsid w:val="0049116B"/>
    <w:rsid w:val="00491D88"/>
    <w:rsid w:val="00492C68"/>
    <w:rsid w:val="0049605C"/>
    <w:rsid w:val="004965F7"/>
    <w:rsid w:val="004A001D"/>
    <w:rsid w:val="004A7048"/>
    <w:rsid w:val="004B0A0A"/>
    <w:rsid w:val="004B1C4B"/>
    <w:rsid w:val="004B591C"/>
    <w:rsid w:val="004B60CB"/>
    <w:rsid w:val="004B71B7"/>
    <w:rsid w:val="004C1CB5"/>
    <w:rsid w:val="004C6040"/>
    <w:rsid w:val="004D073B"/>
    <w:rsid w:val="004D46E7"/>
    <w:rsid w:val="004E65D9"/>
    <w:rsid w:val="004E769A"/>
    <w:rsid w:val="00500ACD"/>
    <w:rsid w:val="00502D77"/>
    <w:rsid w:val="00504061"/>
    <w:rsid w:val="00505BAE"/>
    <w:rsid w:val="00506956"/>
    <w:rsid w:val="00515380"/>
    <w:rsid w:val="005176CA"/>
    <w:rsid w:val="005177E7"/>
    <w:rsid w:val="00520E63"/>
    <w:rsid w:val="00524DD7"/>
    <w:rsid w:val="0053273F"/>
    <w:rsid w:val="005332E4"/>
    <w:rsid w:val="00537A77"/>
    <w:rsid w:val="00541A14"/>
    <w:rsid w:val="00543F9C"/>
    <w:rsid w:val="00546D39"/>
    <w:rsid w:val="00550E84"/>
    <w:rsid w:val="00551368"/>
    <w:rsid w:val="005577B0"/>
    <w:rsid w:val="00562084"/>
    <w:rsid w:val="00570EED"/>
    <w:rsid w:val="005716FC"/>
    <w:rsid w:val="00575BF8"/>
    <w:rsid w:val="00575DEF"/>
    <w:rsid w:val="00583A33"/>
    <w:rsid w:val="00586048"/>
    <w:rsid w:val="005867D2"/>
    <w:rsid w:val="005960BE"/>
    <w:rsid w:val="005963CC"/>
    <w:rsid w:val="00596E19"/>
    <w:rsid w:val="00597935"/>
    <w:rsid w:val="005A241E"/>
    <w:rsid w:val="005A4042"/>
    <w:rsid w:val="005A6E9C"/>
    <w:rsid w:val="005A6FED"/>
    <w:rsid w:val="005B1BC4"/>
    <w:rsid w:val="005B6894"/>
    <w:rsid w:val="005B69CC"/>
    <w:rsid w:val="005C13B2"/>
    <w:rsid w:val="005C27E3"/>
    <w:rsid w:val="005C37CB"/>
    <w:rsid w:val="005C459C"/>
    <w:rsid w:val="005D1A9F"/>
    <w:rsid w:val="005D52FA"/>
    <w:rsid w:val="005D7AE5"/>
    <w:rsid w:val="005E266F"/>
    <w:rsid w:val="005E5001"/>
    <w:rsid w:val="005E5734"/>
    <w:rsid w:val="005E73CE"/>
    <w:rsid w:val="005F07DC"/>
    <w:rsid w:val="005F64FB"/>
    <w:rsid w:val="0060251E"/>
    <w:rsid w:val="00602DDE"/>
    <w:rsid w:val="00611737"/>
    <w:rsid w:val="00614DE8"/>
    <w:rsid w:val="00622669"/>
    <w:rsid w:val="00622FE1"/>
    <w:rsid w:val="00625CE5"/>
    <w:rsid w:val="00635027"/>
    <w:rsid w:val="006421E2"/>
    <w:rsid w:val="00644A7B"/>
    <w:rsid w:val="00652842"/>
    <w:rsid w:val="006556D9"/>
    <w:rsid w:val="00661C46"/>
    <w:rsid w:val="00662B6E"/>
    <w:rsid w:val="006652D3"/>
    <w:rsid w:val="00667CF3"/>
    <w:rsid w:val="00667F43"/>
    <w:rsid w:val="006769C4"/>
    <w:rsid w:val="00677627"/>
    <w:rsid w:val="00677BD5"/>
    <w:rsid w:val="0068025E"/>
    <w:rsid w:val="006902C4"/>
    <w:rsid w:val="00692163"/>
    <w:rsid w:val="00693C87"/>
    <w:rsid w:val="006A05C7"/>
    <w:rsid w:val="006A2029"/>
    <w:rsid w:val="006A4883"/>
    <w:rsid w:val="006A607B"/>
    <w:rsid w:val="006A6E27"/>
    <w:rsid w:val="006A72B0"/>
    <w:rsid w:val="006B159E"/>
    <w:rsid w:val="006B3E4D"/>
    <w:rsid w:val="006B79BA"/>
    <w:rsid w:val="006C52B9"/>
    <w:rsid w:val="006D1DFE"/>
    <w:rsid w:val="006D5D3C"/>
    <w:rsid w:val="006E3DFD"/>
    <w:rsid w:val="006E5A27"/>
    <w:rsid w:val="006E6BC2"/>
    <w:rsid w:val="006E77BB"/>
    <w:rsid w:val="0070150E"/>
    <w:rsid w:val="00705DB8"/>
    <w:rsid w:val="00707DE8"/>
    <w:rsid w:val="00713225"/>
    <w:rsid w:val="007179EE"/>
    <w:rsid w:val="0072512A"/>
    <w:rsid w:val="00731EE6"/>
    <w:rsid w:val="007355A6"/>
    <w:rsid w:val="00740A71"/>
    <w:rsid w:val="007437BA"/>
    <w:rsid w:val="007477C5"/>
    <w:rsid w:val="00747938"/>
    <w:rsid w:val="00753F3D"/>
    <w:rsid w:val="007614CF"/>
    <w:rsid w:val="00762AFB"/>
    <w:rsid w:val="007635BA"/>
    <w:rsid w:val="00765BA8"/>
    <w:rsid w:val="00766007"/>
    <w:rsid w:val="00770A26"/>
    <w:rsid w:val="00781C0A"/>
    <w:rsid w:val="007A1364"/>
    <w:rsid w:val="007A24A0"/>
    <w:rsid w:val="007A4AB2"/>
    <w:rsid w:val="007A5E68"/>
    <w:rsid w:val="007B09D9"/>
    <w:rsid w:val="007B1BF7"/>
    <w:rsid w:val="007B5C5B"/>
    <w:rsid w:val="007B6A6A"/>
    <w:rsid w:val="007C404B"/>
    <w:rsid w:val="007C4BAE"/>
    <w:rsid w:val="007D079B"/>
    <w:rsid w:val="007D1CE9"/>
    <w:rsid w:val="007D1D3B"/>
    <w:rsid w:val="007D5960"/>
    <w:rsid w:val="007D6FB1"/>
    <w:rsid w:val="007E114E"/>
    <w:rsid w:val="007E487F"/>
    <w:rsid w:val="007E4B2D"/>
    <w:rsid w:val="007E587D"/>
    <w:rsid w:val="007E71E9"/>
    <w:rsid w:val="007F1D06"/>
    <w:rsid w:val="007F603C"/>
    <w:rsid w:val="008010D7"/>
    <w:rsid w:val="00803443"/>
    <w:rsid w:val="00804F8B"/>
    <w:rsid w:val="0080680D"/>
    <w:rsid w:val="00812C05"/>
    <w:rsid w:val="0081322A"/>
    <w:rsid w:val="008162AB"/>
    <w:rsid w:val="00822984"/>
    <w:rsid w:val="00823019"/>
    <w:rsid w:val="008254CF"/>
    <w:rsid w:val="00827FB8"/>
    <w:rsid w:val="00830E7B"/>
    <w:rsid w:val="008365E5"/>
    <w:rsid w:val="00840527"/>
    <w:rsid w:val="00843E6F"/>
    <w:rsid w:val="00846E4A"/>
    <w:rsid w:val="00851AF5"/>
    <w:rsid w:val="00851FB5"/>
    <w:rsid w:val="008647DE"/>
    <w:rsid w:val="00864B95"/>
    <w:rsid w:val="008759F1"/>
    <w:rsid w:val="00876B0D"/>
    <w:rsid w:val="008800D3"/>
    <w:rsid w:val="008834B5"/>
    <w:rsid w:val="00886CDD"/>
    <w:rsid w:val="0089214D"/>
    <w:rsid w:val="0089393B"/>
    <w:rsid w:val="00893C0D"/>
    <w:rsid w:val="00895DA9"/>
    <w:rsid w:val="008A20DA"/>
    <w:rsid w:val="008A4575"/>
    <w:rsid w:val="008A57AA"/>
    <w:rsid w:val="008B324E"/>
    <w:rsid w:val="008B5C8F"/>
    <w:rsid w:val="008B5F16"/>
    <w:rsid w:val="008B7722"/>
    <w:rsid w:val="008C0E5C"/>
    <w:rsid w:val="008C30A9"/>
    <w:rsid w:val="008D348B"/>
    <w:rsid w:val="008D44C4"/>
    <w:rsid w:val="008E2BE4"/>
    <w:rsid w:val="008E4DCF"/>
    <w:rsid w:val="008E6B4E"/>
    <w:rsid w:val="008E7970"/>
    <w:rsid w:val="008E7C34"/>
    <w:rsid w:val="008F0C36"/>
    <w:rsid w:val="008F377B"/>
    <w:rsid w:val="0090153F"/>
    <w:rsid w:val="00914671"/>
    <w:rsid w:val="00915512"/>
    <w:rsid w:val="009176FF"/>
    <w:rsid w:val="009233CC"/>
    <w:rsid w:val="009240D8"/>
    <w:rsid w:val="0093255E"/>
    <w:rsid w:val="009360D7"/>
    <w:rsid w:val="009362C9"/>
    <w:rsid w:val="00942387"/>
    <w:rsid w:val="0094626F"/>
    <w:rsid w:val="009462D2"/>
    <w:rsid w:val="009512D2"/>
    <w:rsid w:val="009615AA"/>
    <w:rsid w:val="009652D5"/>
    <w:rsid w:val="009677F8"/>
    <w:rsid w:val="00971146"/>
    <w:rsid w:val="00972A2B"/>
    <w:rsid w:val="00972A9A"/>
    <w:rsid w:val="00991675"/>
    <w:rsid w:val="00992008"/>
    <w:rsid w:val="00996409"/>
    <w:rsid w:val="00996D00"/>
    <w:rsid w:val="009A03DC"/>
    <w:rsid w:val="009A3B6E"/>
    <w:rsid w:val="009A6CF3"/>
    <w:rsid w:val="009B2296"/>
    <w:rsid w:val="009B27E8"/>
    <w:rsid w:val="009B295F"/>
    <w:rsid w:val="009B338D"/>
    <w:rsid w:val="009B43BF"/>
    <w:rsid w:val="009B4A2D"/>
    <w:rsid w:val="009B4E2A"/>
    <w:rsid w:val="009C1E0B"/>
    <w:rsid w:val="009D389C"/>
    <w:rsid w:val="009D545A"/>
    <w:rsid w:val="009D66F3"/>
    <w:rsid w:val="009D6D44"/>
    <w:rsid w:val="009E22FA"/>
    <w:rsid w:val="009E4744"/>
    <w:rsid w:val="009E4EC9"/>
    <w:rsid w:val="009E4F37"/>
    <w:rsid w:val="009E5D5A"/>
    <w:rsid w:val="009E7559"/>
    <w:rsid w:val="009F2262"/>
    <w:rsid w:val="009F4ADA"/>
    <w:rsid w:val="009F6A0D"/>
    <w:rsid w:val="00A04651"/>
    <w:rsid w:val="00A07991"/>
    <w:rsid w:val="00A10CDE"/>
    <w:rsid w:val="00A12C16"/>
    <w:rsid w:val="00A149C8"/>
    <w:rsid w:val="00A1680D"/>
    <w:rsid w:val="00A23AB0"/>
    <w:rsid w:val="00A24FCF"/>
    <w:rsid w:val="00A258DC"/>
    <w:rsid w:val="00A266C5"/>
    <w:rsid w:val="00A309C6"/>
    <w:rsid w:val="00A32E4E"/>
    <w:rsid w:val="00A40AA7"/>
    <w:rsid w:val="00A505DE"/>
    <w:rsid w:val="00A506F4"/>
    <w:rsid w:val="00A530A1"/>
    <w:rsid w:val="00A5327C"/>
    <w:rsid w:val="00A5611A"/>
    <w:rsid w:val="00A5721C"/>
    <w:rsid w:val="00A66BE8"/>
    <w:rsid w:val="00A67913"/>
    <w:rsid w:val="00A81A94"/>
    <w:rsid w:val="00A932C7"/>
    <w:rsid w:val="00A9681E"/>
    <w:rsid w:val="00AA007A"/>
    <w:rsid w:val="00AB073E"/>
    <w:rsid w:val="00AB1A13"/>
    <w:rsid w:val="00AB2D4A"/>
    <w:rsid w:val="00AB4E9F"/>
    <w:rsid w:val="00AC210F"/>
    <w:rsid w:val="00AC319E"/>
    <w:rsid w:val="00AC387B"/>
    <w:rsid w:val="00AC7BF3"/>
    <w:rsid w:val="00AE1565"/>
    <w:rsid w:val="00AE1844"/>
    <w:rsid w:val="00AE2E81"/>
    <w:rsid w:val="00AE3A1E"/>
    <w:rsid w:val="00AE4AD3"/>
    <w:rsid w:val="00AE734F"/>
    <w:rsid w:val="00AF2656"/>
    <w:rsid w:val="00AF6110"/>
    <w:rsid w:val="00AF6AC6"/>
    <w:rsid w:val="00B00611"/>
    <w:rsid w:val="00B038DE"/>
    <w:rsid w:val="00B04354"/>
    <w:rsid w:val="00B068A0"/>
    <w:rsid w:val="00B13227"/>
    <w:rsid w:val="00B159AD"/>
    <w:rsid w:val="00B249FC"/>
    <w:rsid w:val="00B317E7"/>
    <w:rsid w:val="00B327AD"/>
    <w:rsid w:val="00B33A57"/>
    <w:rsid w:val="00B34083"/>
    <w:rsid w:val="00B37728"/>
    <w:rsid w:val="00B45C64"/>
    <w:rsid w:val="00B46A32"/>
    <w:rsid w:val="00B46B29"/>
    <w:rsid w:val="00B53547"/>
    <w:rsid w:val="00B53597"/>
    <w:rsid w:val="00B55D3E"/>
    <w:rsid w:val="00B62590"/>
    <w:rsid w:val="00B62D43"/>
    <w:rsid w:val="00B6729F"/>
    <w:rsid w:val="00B82627"/>
    <w:rsid w:val="00B858FF"/>
    <w:rsid w:val="00B86B4C"/>
    <w:rsid w:val="00B90AA7"/>
    <w:rsid w:val="00B93091"/>
    <w:rsid w:val="00B94335"/>
    <w:rsid w:val="00BA65E5"/>
    <w:rsid w:val="00BB09DF"/>
    <w:rsid w:val="00BB3121"/>
    <w:rsid w:val="00BB3FC5"/>
    <w:rsid w:val="00BB5137"/>
    <w:rsid w:val="00BC2B3B"/>
    <w:rsid w:val="00BC4579"/>
    <w:rsid w:val="00BC68D0"/>
    <w:rsid w:val="00BC6D80"/>
    <w:rsid w:val="00BC70BA"/>
    <w:rsid w:val="00BC76B9"/>
    <w:rsid w:val="00BD39E4"/>
    <w:rsid w:val="00BD3D24"/>
    <w:rsid w:val="00BE6620"/>
    <w:rsid w:val="00BF345A"/>
    <w:rsid w:val="00C0018A"/>
    <w:rsid w:val="00C00905"/>
    <w:rsid w:val="00C035B5"/>
    <w:rsid w:val="00C11ABD"/>
    <w:rsid w:val="00C14FB2"/>
    <w:rsid w:val="00C176AC"/>
    <w:rsid w:val="00C21EF9"/>
    <w:rsid w:val="00C222F7"/>
    <w:rsid w:val="00C24839"/>
    <w:rsid w:val="00C24A50"/>
    <w:rsid w:val="00C27C23"/>
    <w:rsid w:val="00C41742"/>
    <w:rsid w:val="00C41C84"/>
    <w:rsid w:val="00C44849"/>
    <w:rsid w:val="00C46F34"/>
    <w:rsid w:val="00C5237C"/>
    <w:rsid w:val="00C554D4"/>
    <w:rsid w:val="00C61B02"/>
    <w:rsid w:val="00C63E74"/>
    <w:rsid w:val="00C6711D"/>
    <w:rsid w:val="00C7171F"/>
    <w:rsid w:val="00C719A2"/>
    <w:rsid w:val="00C72165"/>
    <w:rsid w:val="00C83041"/>
    <w:rsid w:val="00C90B42"/>
    <w:rsid w:val="00C931CA"/>
    <w:rsid w:val="00C9475D"/>
    <w:rsid w:val="00C95056"/>
    <w:rsid w:val="00C951FD"/>
    <w:rsid w:val="00C96C9C"/>
    <w:rsid w:val="00CA4E40"/>
    <w:rsid w:val="00CA7F28"/>
    <w:rsid w:val="00CB0768"/>
    <w:rsid w:val="00CB131F"/>
    <w:rsid w:val="00CB4DCD"/>
    <w:rsid w:val="00CB4F2D"/>
    <w:rsid w:val="00CC1690"/>
    <w:rsid w:val="00CC665A"/>
    <w:rsid w:val="00CD2D52"/>
    <w:rsid w:val="00CD4CC5"/>
    <w:rsid w:val="00CE04A0"/>
    <w:rsid w:val="00CE316A"/>
    <w:rsid w:val="00CE34DC"/>
    <w:rsid w:val="00CF0563"/>
    <w:rsid w:val="00CF5996"/>
    <w:rsid w:val="00D01E95"/>
    <w:rsid w:val="00D07FB4"/>
    <w:rsid w:val="00D21FA8"/>
    <w:rsid w:val="00D236B7"/>
    <w:rsid w:val="00D23E48"/>
    <w:rsid w:val="00D244BE"/>
    <w:rsid w:val="00D30A31"/>
    <w:rsid w:val="00D43096"/>
    <w:rsid w:val="00D44FEF"/>
    <w:rsid w:val="00D46AB2"/>
    <w:rsid w:val="00D47815"/>
    <w:rsid w:val="00D537DF"/>
    <w:rsid w:val="00D54493"/>
    <w:rsid w:val="00D656EB"/>
    <w:rsid w:val="00D771FD"/>
    <w:rsid w:val="00D7796D"/>
    <w:rsid w:val="00D81B18"/>
    <w:rsid w:val="00D83541"/>
    <w:rsid w:val="00D83ED6"/>
    <w:rsid w:val="00D93A16"/>
    <w:rsid w:val="00D9496D"/>
    <w:rsid w:val="00D95005"/>
    <w:rsid w:val="00DA0768"/>
    <w:rsid w:val="00DA161A"/>
    <w:rsid w:val="00DA5A94"/>
    <w:rsid w:val="00DB2355"/>
    <w:rsid w:val="00DB3BB4"/>
    <w:rsid w:val="00DC0F02"/>
    <w:rsid w:val="00DC0F8D"/>
    <w:rsid w:val="00DC2284"/>
    <w:rsid w:val="00DC3591"/>
    <w:rsid w:val="00DC3CA4"/>
    <w:rsid w:val="00DE4578"/>
    <w:rsid w:val="00DF04EE"/>
    <w:rsid w:val="00DF3E35"/>
    <w:rsid w:val="00DF7B56"/>
    <w:rsid w:val="00E03ED5"/>
    <w:rsid w:val="00E05615"/>
    <w:rsid w:val="00E06243"/>
    <w:rsid w:val="00E07169"/>
    <w:rsid w:val="00E105A3"/>
    <w:rsid w:val="00E1688C"/>
    <w:rsid w:val="00E20832"/>
    <w:rsid w:val="00E22665"/>
    <w:rsid w:val="00E22C9F"/>
    <w:rsid w:val="00E30499"/>
    <w:rsid w:val="00E30B51"/>
    <w:rsid w:val="00E316BF"/>
    <w:rsid w:val="00E324BB"/>
    <w:rsid w:val="00E36A6D"/>
    <w:rsid w:val="00E377E8"/>
    <w:rsid w:val="00E43464"/>
    <w:rsid w:val="00E43FAF"/>
    <w:rsid w:val="00E44BD6"/>
    <w:rsid w:val="00E47A69"/>
    <w:rsid w:val="00E516DC"/>
    <w:rsid w:val="00E51927"/>
    <w:rsid w:val="00E571BB"/>
    <w:rsid w:val="00E608EE"/>
    <w:rsid w:val="00E614F2"/>
    <w:rsid w:val="00E62CEA"/>
    <w:rsid w:val="00E72587"/>
    <w:rsid w:val="00E74435"/>
    <w:rsid w:val="00E758AD"/>
    <w:rsid w:val="00E75F36"/>
    <w:rsid w:val="00E77D4E"/>
    <w:rsid w:val="00E855EC"/>
    <w:rsid w:val="00E91860"/>
    <w:rsid w:val="00E954B7"/>
    <w:rsid w:val="00E96FDB"/>
    <w:rsid w:val="00EA107B"/>
    <w:rsid w:val="00EA1090"/>
    <w:rsid w:val="00EA7728"/>
    <w:rsid w:val="00EB01A7"/>
    <w:rsid w:val="00EC16F1"/>
    <w:rsid w:val="00ED05D6"/>
    <w:rsid w:val="00ED0C6F"/>
    <w:rsid w:val="00ED2FCC"/>
    <w:rsid w:val="00ED3EF9"/>
    <w:rsid w:val="00EE3FF6"/>
    <w:rsid w:val="00EE5F75"/>
    <w:rsid w:val="00EF2722"/>
    <w:rsid w:val="00EF38AE"/>
    <w:rsid w:val="00EF6805"/>
    <w:rsid w:val="00EF6EEB"/>
    <w:rsid w:val="00F00508"/>
    <w:rsid w:val="00F01E52"/>
    <w:rsid w:val="00F042DC"/>
    <w:rsid w:val="00F07099"/>
    <w:rsid w:val="00F07777"/>
    <w:rsid w:val="00F105EA"/>
    <w:rsid w:val="00F11117"/>
    <w:rsid w:val="00F12541"/>
    <w:rsid w:val="00F13A06"/>
    <w:rsid w:val="00F16C1A"/>
    <w:rsid w:val="00F22035"/>
    <w:rsid w:val="00F22D18"/>
    <w:rsid w:val="00F2401A"/>
    <w:rsid w:val="00F36C87"/>
    <w:rsid w:val="00F37263"/>
    <w:rsid w:val="00F42F4A"/>
    <w:rsid w:val="00F46927"/>
    <w:rsid w:val="00F51303"/>
    <w:rsid w:val="00F53CCB"/>
    <w:rsid w:val="00F55854"/>
    <w:rsid w:val="00F56813"/>
    <w:rsid w:val="00F70110"/>
    <w:rsid w:val="00F715D6"/>
    <w:rsid w:val="00F72C93"/>
    <w:rsid w:val="00F75F6C"/>
    <w:rsid w:val="00F80A88"/>
    <w:rsid w:val="00F823F5"/>
    <w:rsid w:val="00F9170D"/>
    <w:rsid w:val="00F92D54"/>
    <w:rsid w:val="00F9418F"/>
    <w:rsid w:val="00F94368"/>
    <w:rsid w:val="00F9494C"/>
    <w:rsid w:val="00FA0026"/>
    <w:rsid w:val="00FA15C8"/>
    <w:rsid w:val="00FA2D86"/>
    <w:rsid w:val="00FA348C"/>
    <w:rsid w:val="00FA7522"/>
    <w:rsid w:val="00FB0AD8"/>
    <w:rsid w:val="00FB11FD"/>
    <w:rsid w:val="00FB41F5"/>
    <w:rsid w:val="00FB4DBB"/>
    <w:rsid w:val="00FB555C"/>
    <w:rsid w:val="00FB5715"/>
    <w:rsid w:val="00FB5C13"/>
    <w:rsid w:val="00FD2643"/>
    <w:rsid w:val="00FD63E9"/>
    <w:rsid w:val="00FE2C17"/>
    <w:rsid w:val="00FF072F"/>
    <w:rsid w:val="00FF09C3"/>
    <w:rsid w:val="00FF1810"/>
    <w:rsid w:val="00FF450D"/>
    <w:rsid w:val="00FF49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669"/>
    <w:pPr>
      <w:tabs>
        <w:tab w:val="left" w:pos="567"/>
      </w:tabs>
      <w:spacing w:after="80" w:line="320" w:lineRule="atLeast"/>
    </w:pPr>
    <w:rPr>
      <w:sz w:val="24"/>
    </w:rPr>
  </w:style>
  <w:style w:type="paragraph" w:styleId="Heading1">
    <w:name w:val="heading 1"/>
    <w:basedOn w:val="Normal"/>
    <w:next w:val="Heading2"/>
    <w:link w:val="Heading1Char"/>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qFormat/>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qForma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6A72B0"/>
    <w:pPr>
      <w:tabs>
        <w:tab w:val="clear" w:pos="567"/>
        <w:tab w:val="right" w:pos="8942"/>
      </w:tabs>
      <w:spacing w:after="0"/>
      <w:ind w:left="851"/>
    </w:pPr>
    <w:rPr>
      <w:szCs w:val="20"/>
    </w:rPr>
  </w:style>
  <w:style w:type="paragraph" w:styleId="TOC3">
    <w:name w:val="toc 3"/>
    <w:basedOn w:val="Normal"/>
    <w:next w:val="Normal"/>
    <w:uiPriority w:val="39"/>
    <w:rsid w:val="00996409"/>
    <w:pPr>
      <w:tabs>
        <w:tab w:val="clear" w:pos="567"/>
        <w:tab w:val="right" w:pos="8942"/>
      </w:tabs>
      <w:spacing w:after="0"/>
      <w:ind w:left="567"/>
    </w:pPr>
    <w:rPr>
      <w:iCs/>
      <w:cap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413594"/>
    <w:rPr>
      <w:sz w:val="24"/>
      <w:szCs w:val="20"/>
    </w:rPr>
  </w:style>
  <w:style w:type="character" w:customStyle="1" w:styleId="CGCParaNoChar">
    <w:name w:val="CGC Para No Char"/>
    <w:aliases w:val="CGC Numbered Para Char"/>
    <w:basedOn w:val="DefaultParagraphFont"/>
    <w:link w:val="CGCNumberedPara"/>
    <w:rsid w:val="00413594"/>
    <w:rPr>
      <w:sz w:val="24"/>
      <w:szCs w:val="24"/>
    </w:rPr>
  </w:style>
  <w:style w:type="character" w:customStyle="1" w:styleId="CGCTableFootnoteChar">
    <w:name w:val="CGC Table Footnote Char"/>
    <w:basedOn w:val="DefaultParagraphFont"/>
    <w:link w:val="CGCTableFootnote"/>
    <w:rsid w:val="00413594"/>
    <w:rPr>
      <w:sz w:val="20"/>
      <w:szCs w:val="24"/>
    </w:rPr>
  </w:style>
  <w:style w:type="character" w:customStyle="1" w:styleId="CGCTableHeadingChar">
    <w:name w:val="CGC Table Heading Char"/>
    <w:basedOn w:val="DefaultParagraphFont"/>
    <w:link w:val="CGCTableHeading"/>
    <w:rsid w:val="00413594"/>
    <w:rPr>
      <w:b/>
      <w:sz w:val="24"/>
      <w:szCs w:val="20"/>
    </w:rPr>
  </w:style>
  <w:style w:type="character" w:customStyle="1" w:styleId="CGCTableStubChar">
    <w:name w:val="CGC Table Stub Char"/>
    <w:basedOn w:val="DefaultParagraphFont"/>
    <w:link w:val="CGCTableStub"/>
    <w:rsid w:val="00413594"/>
    <w:rPr>
      <w:sz w:val="20"/>
      <w:szCs w:val="20"/>
    </w:rPr>
  </w:style>
  <w:style w:type="character" w:customStyle="1" w:styleId="CGCBulletlistChar">
    <w:name w:val="CGC Bullet list Char"/>
    <w:aliases w:val="CGC List 1 Char,CGC Bullet list Char1"/>
    <w:basedOn w:val="DefaultParagraphFont"/>
    <w:locked/>
    <w:rsid w:val="00413594"/>
    <w:rPr>
      <w:sz w:val="24"/>
      <w:szCs w:val="20"/>
    </w:rPr>
  </w:style>
  <w:style w:type="character" w:customStyle="1" w:styleId="TableRowNormalChar">
    <w:name w:val="TableRowNormal Char"/>
    <w:basedOn w:val="DefaultParagraphFont"/>
    <w:link w:val="TableRowNormal"/>
    <w:locked/>
    <w:rsid w:val="00827F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97342">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50463921">
      <w:bodyDiv w:val="1"/>
      <w:marLeft w:val="0"/>
      <w:marRight w:val="0"/>
      <w:marTop w:val="0"/>
      <w:marBottom w:val="0"/>
      <w:divBdr>
        <w:top w:val="none" w:sz="0" w:space="0" w:color="auto"/>
        <w:left w:val="none" w:sz="0" w:space="0" w:color="auto"/>
        <w:bottom w:val="none" w:sz="0" w:space="0" w:color="auto"/>
        <w:right w:val="none" w:sz="0" w:space="0" w:color="auto"/>
      </w:divBdr>
    </w:div>
    <w:div w:id="623122558">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89716563">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reativecommons.org/licenses/by/3.0"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ecretary@cgc.gov.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ffrey.evans@cgc.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3298</Words>
  <Characters>18729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2018-06-08T01:16:00Z</dcterms:created>
  <dcterms:modified xsi:type="dcterms:W3CDTF">2018-06-12T00:59:00Z</dcterms:modified>
</cp:coreProperties>
</file>