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6E" w:rsidRPr="00970E6D" w:rsidRDefault="0052286E" w:rsidP="0052286E">
      <w:pPr>
        <w:tabs>
          <w:tab w:val="clear" w:pos="567"/>
        </w:tabs>
        <w:jc w:val="center"/>
        <w:rPr>
          <w:b/>
          <w:bCs/>
        </w:rPr>
      </w:pPr>
      <w:bookmarkStart w:id="0" w:name="_Toc367350071"/>
      <w:bookmarkStart w:id="1" w:name="_GoBack"/>
      <w:bookmarkEnd w:id="1"/>
      <w:r w:rsidRPr="00970E6D">
        <w:rPr>
          <w:noProof/>
          <w:lang w:eastAsia="en-AU"/>
        </w:rPr>
        <w:drawing>
          <wp:inline distT="0" distB="0" distL="0" distR="0" wp14:anchorId="5BCB94F6" wp14:editId="2C1E9A01">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Cs/>
          <w:sz w:val="40"/>
          <w:szCs w:val="40"/>
        </w:rPr>
      </w:pPr>
      <w:r>
        <w:rPr>
          <w:b/>
          <w:sz w:val="40"/>
          <w:szCs w:val="40"/>
        </w:rPr>
        <w:t>OTHER REVENUE</w:t>
      </w: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626DC9" w:rsidP="0052286E">
      <w:pPr>
        <w:tabs>
          <w:tab w:val="clear" w:pos="567"/>
        </w:tabs>
        <w:jc w:val="center"/>
        <w:rPr>
          <w:b/>
          <w:sz w:val="40"/>
          <w:szCs w:val="40"/>
        </w:rPr>
      </w:pPr>
      <w:r>
        <w:rPr>
          <w:b/>
          <w:sz w:val="40"/>
          <w:szCs w:val="40"/>
        </w:rPr>
        <w:t xml:space="preserve">STAFF </w:t>
      </w:r>
      <w:r w:rsidR="0052286E">
        <w:rPr>
          <w:b/>
          <w:sz w:val="40"/>
          <w:szCs w:val="40"/>
        </w:rPr>
        <w:t>DRAFT ASSESSMENT PAPER</w:t>
      </w:r>
      <w:r w:rsidR="0052286E">
        <w:rPr>
          <w:b/>
          <w:sz w:val="40"/>
          <w:szCs w:val="40"/>
        </w:rPr>
        <w:br/>
      </w:r>
      <w:proofErr w:type="spellStart"/>
      <w:r w:rsidR="0052286E">
        <w:rPr>
          <w:b/>
          <w:sz w:val="40"/>
          <w:szCs w:val="40"/>
        </w:rPr>
        <w:t>CGC</w:t>
      </w:r>
      <w:proofErr w:type="spellEnd"/>
      <w:r w:rsidR="0052286E">
        <w:rPr>
          <w:b/>
          <w:sz w:val="40"/>
          <w:szCs w:val="40"/>
        </w:rPr>
        <w:t xml:space="preserve"> 20</w:t>
      </w:r>
      <w:r w:rsidR="0052286E" w:rsidRPr="00970E6D">
        <w:rPr>
          <w:b/>
          <w:sz w:val="40"/>
          <w:szCs w:val="40"/>
        </w:rPr>
        <w:t>1</w:t>
      </w:r>
      <w:r w:rsidR="006E3561">
        <w:rPr>
          <w:b/>
          <w:sz w:val="40"/>
          <w:szCs w:val="40"/>
        </w:rPr>
        <w:t>8-01/09</w:t>
      </w:r>
      <w:r w:rsidR="0052286E">
        <w:rPr>
          <w:b/>
          <w:sz w:val="40"/>
          <w:szCs w:val="40"/>
        </w:rPr>
        <w:t>-S</w:t>
      </w: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b/>
          <w:sz w:val="40"/>
          <w:szCs w:val="40"/>
        </w:rPr>
      </w:pPr>
    </w:p>
    <w:p w:rsidR="0052286E" w:rsidRPr="00970E6D" w:rsidRDefault="0052286E" w:rsidP="0052286E">
      <w:pPr>
        <w:tabs>
          <w:tab w:val="clear" w:pos="567"/>
        </w:tabs>
        <w:jc w:val="center"/>
        <w:rPr>
          <w:sz w:val="40"/>
          <w:szCs w:val="40"/>
        </w:rPr>
      </w:pPr>
    </w:p>
    <w:p w:rsidR="0052286E" w:rsidRPr="00970E6D" w:rsidRDefault="0052286E" w:rsidP="0052286E">
      <w:pPr>
        <w:tabs>
          <w:tab w:val="clear" w:pos="567"/>
        </w:tabs>
        <w:jc w:val="right"/>
        <w:rPr>
          <w:b/>
          <w:sz w:val="28"/>
          <w:szCs w:val="28"/>
        </w:rPr>
      </w:pPr>
      <w:r>
        <w:rPr>
          <w:b/>
          <w:sz w:val="28"/>
          <w:szCs w:val="28"/>
        </w:rPr>
        <w:t>APRIL 2018</w:t>
      </w:r>
    </w:p>
    <w:p w:rsidR="0052286E" w:rsidRPr="00970E6D" w:rsidRDefault="0052286E" w:rsidP="0052286E">
      <w:pPr>
        <w:tabs>
          <w:tab w:val="clear" w:pos="567"/>
        </w:tabs>
      </w:pPr>
    </w:p>
    <w:p w:rsidR="0052286E" w:rsidRPr="00970E6D" w:rsidRDefault="0052286E" w:rsidP="0052286E">
      <w:pPr>
        <w:tabs>
          <w:tab w:val="clear" w:pos="567"/>
        </w:tabs>
        <w:sectPr w:rsidR="0052286E" w:rsidRPr="00970E6D" w:rsidSect="00BE7A02">
          <w:footerReference w:type="default" r:id="rId9"/>
          <w:pgSz w:w="11899" w:h="16838" w:code="9"/>
          <w:pgMar w:top="1701" w:right="1474" w:bottom="1701" w:left="1474" w:header="709" w:footer="709" w:gutter="0"/>
          <w:cols w:space="708"/>
          <w:titlePg/>
          <w:docGrid w:linePitch="299"/>
        </w:sectPr>
      </w:pPr>
    </w:p>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p w:rsidR="0052286E" w:rsidRDefault="0052286E" w:rsidP="0052286E"/>
    <w:tbl>
      <w:tblPr>
        <w:tblStyle w:val="TableGrid"/>
        <w:tblW w:w="5000" w:type="pct"/>
        <w:tblLook w:val="04A0" w:firstRow="1" w:lastRow="0" w:firstColumn="1" w:lastColumn="0" w:noHBand="0" w:noVBand="1"/>
      </w:tblPr>
      <w:tblGrid>
        <w:gridCol w:w="2943"/>
        <w:gridCol w:w="6224"/>
      </w:tblGrid>
      <w:tr w:rsidR="0052286E" w:rsidRPr="00970E6D" w:rsidTr="008E04AD">
        <w:tc>
          <w:tcPr>
            <w:tcW w:w="1605" w:type="pct"/>
          </w:tcPr>
          <w:p w:rsidR="0052286E" w:rsidRPr="00970E6D" w:rsidRDefault="0052286E" w:rsidP="008E04AD">
            <w:pPr>
              <w:tabs>
                <w:tab w:val="clear" w:pos="567"/>
              </w:tabs>
            </w:pPr>
            <w:r w:rsidRPr="00970E6D">
              <w:t>Paper issued</w:t>
            </w:r>
          </w:p>
        </w:tc>
        <w:tc>
          <w:tcPr>
            <w:tcW w:w="3395" w:type="pct"/>
          </w:tcPr>
          <w:p w:rsidR="0052286E" w:rsidRPr="00970E6D" w:rsidRDefault="00AE0011" w:rsidP="008E04AD">
            <w:pPr>
              <w:tabs>
                <w:tab w:val="clear" w:pos="567"/>
              </w:tabs>
            </w:pPr>
            <w:r>
              <w:t>20</w:t>
            </w:r>
            <w:r w:rsidR="0052286E" w:rsidRPr="00970E6D">
              <w:t xml:space="preserve"> </w:t>
            </w:r>
            <w:r w:rsidR="0052286E">
              <w:t>April</w:t>
            </w:r>
            <w:r w:rsidR="0052286E" w:rsidRPr="00970E6D">
              <w:t xml:space="preserve"> 20</w:t>
            </w:r>
            <w:r w:rsidR="0052286E">
              <w:t>18</w:t>
            </w:r>
          </w:p>
        </w:tc>
      </w:tr>
      <w:tr w:rsidR="0052286E" w:rsidRPr="00970E6D" w:rsidTr="008E04AD">
        <w:tc>
          <w:tcPr>
            <w:tcW w:w="1605" w:type="pct"/>
          </w:tcPr>
          <w:p w:rsidR="0052286E" w:rsidRPr="00970E6D" w:rsidRDefault="0052286E" w:rsidP="008E04AD">
            <w:pPr>
              <w:tabs>
                <w:tab w:val="clear" w:pos="567"/>
              </w:tabs>
            </w:pPr>
            <w:r w:rsidRPr="00970E6D">
              <w:t>Commission contact officer</w:t>
            </w:r>
          </w:p>
        </w:tc>
        <w:tc>
          <w:tcPr>
            <w:tcW w:w="3395" w:type="pct"/>
          </w:tcPr>
          <w:p w:rsidR="0052286E" w:rsidRPr="00970E6D" w:rsidRDefault="0052286E" w:rsidP="00181787">
            <w:pPr>
              <w:tabs>
                <w:tab w:val="clear" w:pos="567"/>
              </w:tabs>
            </w:pPr>
            <w:r>
              <w:t xml:space="preserve">Jeff Evans, 6229 8856, </w:t>
            </w:r>
            <w:hyperlink r:id="rId10" w:history="1">
              <w:r w:rsidR="00181787" w:rsidRPr="006A6C94">
                <w:rPr>
                  <w:rStyle w:val="Hyperlink"/>
                </w:rPr>
                <w:t>jeffrey.evans@cgc.gov.au</w:t>
              </w:r>
            </w:hyperlink>
            <w:r w:rsidR="00181787">
              <w:t xml:space="preserve"> </w:t>
            </w:r>
          </w:p>
        </w:tc>
      </w:tr>
      <w:tr w:rsidR="0052286E" w:rsidRPr="00970E6D" w:rsidTr="008E04AD">
        <w:tc>
          <w:tcPr>
            <w:tcW w:w="1605" w:type="pct"/>
          </w:tcPr>
          <w:p w:rsidR="0052286E" w:rsidRPr="00970E6D" w:rsidRDefault="0052286E" w:rsidP="008E04AD">
            <w:pPr>
              <w:tabs>
                <w:tab w:val="clear" w:pos="567"/>
              </w:tabs>
            </w:pPr>
            <w:r w:rsidRPr="00970E6D">
              <w:t>Submissions sought by</w:t>
            </w:r>
          </w:p>
        </w:tc>
        <w:tc>
          <w:tcPr>
            <w:tcW w:w="3395" w:type="pct"/>
          </w:tcPr>
          <w:p w:rsidR="0052286E" w:rsidRPr="00970E6D" w:rsidRDefault="00AE0011" w:rsidP="008E04AD">
            <w:pPr>
              <w:tabs>
                <w:tab w:val="clear" w:pos="567"/>
              </w:tabs>
            </w:pPr>
            <w:r>
              <w:t>31 August 2018</w:t>
            </w:r>
            <w:r w:rsidR="0052286E" w:rsidRPr="00970E6D">
              <w:t xml:space="preserve">.  Submissions should be emailed in Word format to </w:t>
            </w:r>
            <w:hyperlink r:id="rId11" w:history="1">
              <w:r w:rsidR="0052286E" w:rsidRPr="00970E6D">
                <w:rPr>
                  <w:rStyle w:val="Hyperlink"/>
                </w:rPr>
                <w:t>secretary@cgc.gov.au</w:t>
              </w:r>
            </w:hyperlink>
            <w:r w:rsidR="0052286E" w:rsidRPr="00970E6D">
              <w:t xml:space="preserve"> .</w:t>
            </w:r>
          </w:p>
          <w:p w:rsidR="0052286E" w:rsidRPr="00970E6D" w:rsidRDefault="0052286E" w:rsidP="008E04AD">
            <w:pPr>
              <w:tabs>
                <w:tab w:val="clear" w:pos="567"/>
              </w:tabs>
            </w:pPr>
            <w:r w:rsidRPr="00970E6D">
              <w:t xml:space="preserve">Submissions of more than </w:t>
            </w:r>
            <w:r>
              <w:t>10</w:t>
            </w:r>
            <w:r w:rsidRPr="00970E6D">
              <w:t xml:space="preserve"> pages in length should include a summary section.</w:t>
            </w:r>
          </w:p>
        </w:tc>
      </w:tr>
      <w:tr w:rsidR="0052286E" w:rsidRPr="00970E6D" w:rsidTr="008E04AD">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52286E" w:rsidRPr="00970E6D" w:rsidRDefault="0052286E" w:rsidP="008E04AD">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52286E" w:rsidRPr="00CF1294" w:rsidRDefault="0052286E" w:rsidP="008E04AD">
            <w:pPr>
              <w:tabs>
                <w:tab w:val="clear" w:pos="567"/>
              </w:tabs>
            </w:pPr>
            <w:r w:rsidRPr="00CF1294">
              <w:t xml:space="preserve">It is the </w:t>
            </w:r>
            <w:r>
              <w:t>C</w:t>
            </w:r>
            <w:r w:rsidRPr="00CF1294">
              <w:t xml:space="preserve">ommission’s normal practice to make State submissions available on its website under the CC BY licence, allowing free use of content by third parties. </w:t>
            </w:r>
          </w:p>
          <w:p w:rsidR="0052286E" w:rsidRPr="00CF1294" w:rsidRDefault="0052286E" w:rsidP="008E04AD">
            <w:pPr>
              <w:tabs>
                <w:tab w:val="clear" w:pos="567"/>
              </w:tabs>
            </w:pPr>
            <w:r w:rsidRPr="00CF1294">
              <w:rPr>
                <w:noProof/>
                <w:lang w:eastAsia="en-AU"/>
              </w:rPr>
              <w:drawing>
                <wp:inline distT="0" distB="0" distL="0" distR="0" wp14:anchorId="2D06DCC6" wp14:editId="7B506B8C">
                  <wp:extent cx="828675" cy="295275"/>
                  <wp:effectExtent l="19050" t="0" r="9525" b="0"/>
                  <wp:docPr id="2"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52286E" w:rsidRPr="00CF1294" w:rsidRDefault="0052286E" w:rsidP="008E04AD">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52286E" w:rsidRPr="00970E6D" w:rsidRDefault="0052286E" w:rsidP="008E04AD">
            <w:pPr>
              <w:tabs>
                <w:tab w:val="clear" w:pos="567"/>
              </w:tabs>
            </w:pPr>
            <w:r w:rsidRPr="00CF1294">
              <w:t>Confidential material contained in submissions must be clearly identified or included in separate attachment/s, and details provided in the covering email. Identified confidential materia</w:t>
            </w:r>
            <w:r w:rsidR="00AE0011">
              <w:t>l will not be published on the C</w:t>
            </w:r>
            <w:r w:rsidRPr="00CF1294">
              <w:t>ommission’s website.</w:t>
            </w:r>
          </w:p>
        </w:tc>
      </w:tr>
    </w:tbl>
    <w:p w:rsidR="0052286E" w:rsidRDefault="0052286E" w:rsidP="0052286E"/>
    <w:p w:rsidR="0052286E" w:rsidRDefault="0052286E" w:rsidP="0052286E">
      <w:pPr>
        <w:sectPr w:rsidR="0052286E" w:rsidSect="00B7517F">
          <w:footerReference w:type="default" r:id="rId14"/>
          <w:footerReference w:type="first" r:id="rId15"/>
          <w:pgSz w:w="11899" w:h="16838" w:code="9"/>
          <w:pgMar w:top="1701" w:right="1474" w:bottom="1701" w:left="1474" w:header="709" w:footer="709" w:gutter="0"/>
          <w:pgNumType w:start="1"/>
          <w:cols w:space="708"/>
          <w:titlePg/>
          <w:docGrid w:linePitch="299"/>
        </w:sectPr>
      </w:pPr>
    </w:p>
    <w:p w:rsidR="0052286E" w:rsidRDefault="0052286E" w:rsidP="0052286E">
      <w:pPr>
        <w:pStyle w:val="Heading1"/>
      </w:pPr>
      <w:r>
        <w:lastRenderedPageBreak/>
        <w:t>Contents</w:t>
      </w:r>
    </w:p>
    <w:p w:rsidR="0099517B" w:rsidRDefault="00515C0E">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0613500" w:history="1">
        <w:r w:rsidR="0099517B" w:rsidRPr="001A122E">
          <w:rPr>
            <w:rStyle w:val="Hyperlink"/>
            <w:noProof/>
          </w:rPr>
          <w:t>2015 Review approach</w:t>
        </w:r>
        <w:r w:rsidR="0099517B">
          <w:rPr>
            <w:noProof/>
            <w:webHidden/>
          </w:rPr>
          <w:tab/>
        </w:r>
        <w:r w:rsidR="0099517B">
          <w:rPr>
            <w:noProof/>
            <w:webHidden/>
          </w:rPr>
          <w:fldChar w:fldCharType="begin"/>
        </w:r>
        <w:r w:rsidR="0099517B">
          <w:rPr>
            <w:noProof/>
            <w:webHidden/>
          </w:rPr>
          <w:instrText xml:space="preserve"> PAGEREF _Toc510613500 \h </w:instrText>
        </w:r>
        <w:r w:rsidR="0099517B">
          <w:rPr>
            <w:noProof/>
            <w:webHidden/>
          </w:rPr>
        </w:r>
        <w:r w:rsidR="0099517B">
          <w:rPr>
            <w:noProof/>
            <w:webHidden/>
          </w:rPr>
          <w:fldChar w:fldCharType="separate"/>
        </w:r>
        <w:r w:rsidR="0099517B">
          <w:rPr>
            <w:noProof/>
            <w:webHidden/>
          </w:rPr>
          <w:t>1</w:t>
        </w:r>
        <w:r w:rsidR="0099517B">
          <w:rPr>
            <w:noProof/>
            <w:webHidden/>
          </w:rPr>
          <w:fldChar w:fldCharType="end"/>
        </w:r>
      </w:hyperlink>
    </w:p>
    <w:p w:rsidR="0099517B" w:rsidRDefault="00EA4BD5">
      <w:pPr>
        <w:pStyle w:val="TOC3"/>
        <w:rPr>
          <w:rFonts w:eastAsiaTheme="minorEastAsia"/>
          <w:iCs w:val="0"/>
          <w:caps w:val="0"/>
          <w:noProof/>
          <w:sz w:val="22"/>
          <w:lang w:eastAsia="en-AU"/>
        </w:rPr>
      </w:pPr>
      <w:hyperlink w:anchor="_Toc510613501" w:history="1">
        <w:r w:rsidR="00626DC9" w:rsidRPr="001A122E">
          <w:rPr>
            <w:rStyle w:val="Hyperlink"/>
            <w:caps w:val="0"/>
            <w:noProof/>
          </w:rPr>
          <w:t>How was revenue capacity assessed?</w:t>
        </w:r>
        <w:r w:rsidR="0099517B">
          <w:rPr>
            <w:noProof/>
            <w:webHidden/>
          </w:rPr>
          <w:tab/>
        </w:r>
        <w:r w:rsidR="0099517B">
          <w:rPr>
            <w:noProof/>
            <w:webHidden/>
          </w:rPr>
          <w:fldChar w:fldCharType="begin"/>
        </w:r>
        <w:r w:rsidR="0099517B">
          <w:rPr>
            <w:noProof/>
            <w:webHidden/>
          </w:rPr>
          <w:instrText xml:space="preserve"> PAGEREF _Toc510613501 \h </w:instrText>
        </w:r>
        <w:r w:rsidR="0099517B">
          <w:rPr>
            <w:noProof/>
            <w:webHidden/>
          </w:rPr>
        </w:r>
        <w:r w:rsidR="0099517B">
          <w:rPr>
            <w:noProof/>
            <w:webHidden/>
          </w:rPr>
          <w:fldChar w:fldCharType="separate"/>
        </w:r>
        <w:r w:rsidR="0099517B">
          <w:rPr>
            <w:noProof/>
            <w:webHidden/>
          </w:rPr>
          <w:t>2</w:t>
        </w:r>
        <w:r w:rsidR="0099517B">
          <w:rPr>
            <w:noProof/>
            <w:webHidden/>
          </w:rPr>
          <w:fldChar w:fldCharType="end"/>
        </w:r>
      </w:hyperlink>
    </w:p>
    <w:p w:rsidR="0099517B" w:rsidRDefault="00EA4BD5">
      <w:pPr>
        <w:pStyle w:val="TOC3"/>
        <w:rPr>
          <w:rFonts w:eastAsiaTheme="minorEastAsia"/>
          <w:iCs w:val="0"/>
          <w:caps w:val="0"/>
          <w:noProof/>
          <w:sz w:val="22"/>
          <w:lang w:eastAsia="en-AU"/>
        </w:rPr>
      </w:pPr>
      <w:hyperlink w:anchor="_Toc510613502" w:history="1">
        <w:r w:rsidR="00626DC9">
          <w:rPr>
            <w:rStyle w:val="Hyperlink"/>
            <w:caps w:val="0"/>
            <w:noProof/>
          </w:rPr>
          <w:t>GST</w:t>
        </w:r>
        <w:r w:rsidR="00626DC9" w:rsidRPr="001A122E">
          <w:rPr>
            <w:rStyle w:val="Hyperlink"/>
            <w:caps w:val="0"/>
            <w:noProof/>
          </w:rPr>
          <w:t xml:space="preserve"> redistribution</w:t>
        </w:r>
        <w:r w:rsidR="0099517B">
          <w:rPr>
            <w:noProof/>
            <w:webHidden/>
          </w:rPr>
          <w:tab/>
        </w:r>
        <w:r w:rsidR="0099517B">
          <w:rPr>
            <w:noProof/>
            <w:webHidden/>
          </w:rPr>
          <w:fldChar w:fldCharType="begin"/>
        </w:r>
        <w:r w:rsidR="0099517B">
          <w:rPr>
            <w:noProof/>
            <w:webHidden/>
          </w:rPr>
          <w:instrText xml:space="preserve"> PAGEREF _Toc510613502 \h </w:instrText>
        </w:r>
        <w:r w:rsidR="0099517B">
          <w:rPr>
            <w:noProof/>
            <w:webHidden/>
          </w:rPr>
        </w:r>
        <w:r w:rsidR="0099517B">
          <w:rPr>
            <w:noProof/>
            <w:webHidden/>
          </w:rPr>
          <w:fldChar w:fldCharType="separate"/>
        </w:r>
        <w:r w:rsidR="0099517B">
          <w:rPr>
            <w:noProof/>
            <w:webHidden/>
          </w:rPr>
          <w:t>2</w:t>
        </w:r>
        <w:r w:rsidR="0099517B">
          <w:rPr>
            <w:noProof/>
            <w:webHidden/>
          </w:rPr>
          <w:fldChar w:fldCharType="end"/>
        </w:r>
      </w:hyperlink>
    </w:p>
    <w:p w:rsidR="0099517B" w:rsidRDefault="00EA4BD5">
      <w:pPr>
        <w:pStyle w:val="TOC1"/>
        <w:rPr>
          <w:rFonts w:eastAsiaTheme="minorEastAsia"/>
          <w:b w:val="0"/>
          <w:bCs w:val="0"/>
          <w:caps w:val="0"/>
          <w:noProof/>
          <w:sz w:val="22"/>
          <w:szCs w:val="22"/>
          <w:lang w:eastAsia="en-AU"/>
        </w:rPr>
      </w:pPr>
      <w:hyperlink w:anchor="_Toc510613503" w:history="1">
        <w:r w:rsidR="0099517B" w:rsidRPr="001A122E">
          <w:rPr>
            <w:rStyle w:val="Hyperlink"/>
            <w:noProof/>
          </w:rPr>
          <w:t>issues and analysis</w:t>
        </w:r>
        <w:r w:rsidR="0099517B">
          <w:rPr>
            <w:noProof/>
            <w:webHidden/>
          </w:rPr>
          <w:tab/>
        </w:r>
        <w:r w:rsidR="0099517B">
          <w:rPr>
            <w:noProof/>
            <w:webHidden/>
          </w:rPr>
          <w:fldChar w:fldCharType="begin"/>
        </w:r>
        <w:r w:rsidR="0099517B">
          <w:rPr>
            <w:noProof/>
            <w:webHidden/>
          </w:rPr>
          <w:instrText xml:space="preserve"> PAGEREF _Toc510613503 \h </w:instrText>
        </w:r>
        <w:r w:rsidR="0099517B">
          <w:rPr>
            <w:noProof/>
            <w:webHidden/>
          </w:rPr>
        </w:r>
        <w:r w:rsidR="0099517B">
          <w:rPr>
            <w:noProof/>
            <w:webHidden/>
          </w:rPr>
          <w:fldChar w:fldCharType="separate"/>
        </w:r>
        <w:r w:rsidR="0099517B">
          <w:rPr>
            <w:noProof/>
            <w:webHidden/>
          </w:rPr>
          <w:t>2</w:t>
        </w:r>
        <w:r w:rsidR="0099517B">
          <w:rPr>
            <w:noProof/>
            <w:webHidden/>
          </w:rPr>
          <w:fldChar w:fldCharType="end"/>
        </w:r>
      </w:hyperlink>
    </w:p>
    <w:p w:rsidR="0099517B" w:rsidRDefault="00EA4BD5">
      <w:pPr>
        <w:pStyle w:val="TOC3"/>
        <w:rPr>
          <w:rFonts w:eastAsiaTheme="minorEastAsia"/>
          <w:iCs w:val="0"/>
          <w:caps w:val="0"/>
          <w:noProof/>
          <w:sz w:val="22"/>
          <w:lang w:eastAsia="en-AU"/>
        </w:rPr>
      </w:pPr>
      <w:hyperlink w:anchor="_Toc510613504" w:history="1">
        <w:r w:rsidR="00626DC9" w:rsidRPr="001A122E">
          <w:rPr>
            <w:rStyle w:val="Hyperlink"/>
            <w:caps w:val="0"/>
            <w:noProof/>
          </w:rPr>
          <w:t>Other issues considered</w:t>
        </w:r>
        <w:r w:rsidR="0099517B">
          <w:rPr>
            <w:noProof/>
            <w:webHidden/>
          </w:rPr>
          <w:tab/>
        </w:r>
        <w:r w:rsidR="0099517B">
          <w:rPr>
            <w:noProof/>
            <w:webHidden/>
          </w:rPr>
          <w:fldChar w:fldCharType="begin"/>
        </w:r>
        <w:r w:rsidR="0099517B">
          <w:rPr>
            <w:noProof/>
            <w:webHidden/>
          </w:rPr>
          <w:instrText xml:space="preserve"> PAGEREF _Toc510613504 \h </w:instrText>
        </w:r>
        <w:r w:rsidR="0099517B">
          <w:rPr>
            <w:noProof/>
            <w:webHidden/>
          </w:rPr>
        </w:r>
        <w:r w:rsidR="0099517B">
          <w:rPr>
            <w:noProof/>
            <w:webHidden/>
          </w:rPr>
          <w:fldChar w:fldCharType="separate"/>
        </w:r>
        <w:r w:rsidR="0099517B">
          <w:rPr>
            <w:noProof/>
            <w:webHidden/>
          </w:rPr>
          <w:t>2</w:t>
        </w:r>
        <w:r w:rsidR="0099517B">
          <w:rPr>
            <w:noProof/>
            <w:webHidden/>
          </w:rPr>
          <w:fldChar w:fldCharType="end"/>
        </w:r>
      </w:hyperlink>
    </w:p>
    <w:p w:rsidR="0099517B" w:rsidRDefault="00EA4BD5">
      <w:pPr>
        <w:pStyle w:val="TOC3"/>
        <w:rPr>
          <w:rFonts w:eastAsiaTheme="minorEastAsia"/>
          <w:iCs w:val="0"/>
          <w:caps w:val="0"/>
          <w:noProof/>
          <w:sz w:val="22"/>
          <w:lang w:eastAsia="en-AU"/>
        </w:rPr>
      </w:pPr>
      <w:hyperlink w:anchor="_Toc510613505" w:history="1">
        <w:r w:rsidR="00626DC9">
          <w:rPr>
            <w:rStyle w:val="Hyperlink"/>
            <w:caps w:val="0"/>
            <w:noProof/>
          </w:rPr>
          <w:t>P</w:t>
        </w:r>
        <w:r w:rsidR="00626DC9" w:rsidRPr="001A122E">
          <w:rPr>
            <w:rStyle w:val="Hyperlink"/>
            <w:caps w:val="0"/>
            <w:noProof/>
          </w:rPr>
          <w:t>roposed assessment structure</w:t>
        </w:r>
        <w:r w:rsidR="0099517B">
          <w:rPr>
            <w:noProof/>
            <w:webHidden/>
          </w:rPr>
          <w:tab/>
        </w:r>
        <w:r w:rsidR="0099517B">
          <w:rPr>
            <w:noProof/>
            <w:webHidden/>
          </w:rPr>
          <w:fldChar w:fldCharType="begin"/>
        </w:r>
        <w:r w:rsidR="0099517B">
          <w:rPr>
            <w:noProof/>
            <w:webHidden/>
          </w:rPr>
          <w:instrText xml:space="preserve"> PAGEREF _Toc510613505 \h </w:instrText>
        </w:r>
        <w:r w:rsidR="0099517B">
          <w:rPr>
            <w:noProof/>
            <w:webHidden/>
          </w:rPr>
        </w:r>
        <w:r w:rsidR="0099517B">
          <w:rPr>
            <w:noProof/>
            <w:webHidden/>
          </w:rPr>
          <w:fldChar w:fldCharType="separate"/>
        </w:r>
        <w:r w:rsidR="0099517B">
          <w:rPr>
            <w:noProof/>
            <w:webHidden/>
          </w:rPr>
          <w:t>3</w:t>
        </w:r>
        <w:r w:rsidR="0099517B">
          <w:rPr>
            <w:noProof/>
            <w:webHidden/>
          </w:rPr>
          <w:fldChar w:fldCharType="end"/>
        </w:r>
      </w:hyperlink>
    </w:p>
    <w:p w:rsidR="004C77F0" w:rsidRDefault="00515C0E">
      <w:pPr>
        <w:pStyle w:val="TOC1"/>
      </w:pPr>
      <w:r>
        <w:fldChar w:fldCharType="end"/>
      </w:r>
    </w:p>
    <w:p w:rsidR="004C77F0" w:rsidRDefault="004C77F0">
      <w:pPr>
        <w:pStyle w:val="TOC1"/>
      </w:pPr>
    </w:p>
    <w:p w:rsidR="004C77F0" w:rsidRDefault="004C77F0" w:rsidP="004C77F0"/>
    <w:p w:rsidR="004C77F0" w:rsidRPr="004C77F0" w:rsidRDefault="004C77F0" w:rsidP="004C77F0"/>
    <w:p w:rsidR="004C77F0" w:rsidRPr="004C77F0" w:rsidRDefault="004C77F0" w:rsidP="004C77F0">
      <w:pPr>
        <w:pStyle w:val="Heading4"/>
        <w:sectPr w:rsidR="004C77F0" w:rsidRPr="004C77F0" w:rsidSect="0004123E">
          <w:footerReference w:type="default" r:id="rId16"/>
          <w:footerReference w:type="first" r:id="rId17"/>
          <w:pgSz w:w="11899" w:h="16838" w:code="9"/>
          <w:pgMar w:top="1701" w:right="1474" w:bottom="1701" w:left="1474" w:header="709" w:footer="709" w:gutter="0"/>
          <w:cols w:space="708"/>
          <w:titlePg/>
          <w:docGrid w:linePitch="299"/>
        </w:sectPr>
      </w:pPr>
    </w:p>
    <w:p w:rsidR="00413594" w:rsidRDefault="00F75F6C" w:rsidP="00413594">
      <w:pPr>
        <w:pStyle w:val="Heading2"/>
      </w:pPr>
      <w:bookmarkStart w:id="2" w:name="_Toc509233156"/>
      <w:bookmarkStart w:id="3" w:name="_Toc509233192"/>
      <w:bookmarkStart w:id="4" w:name="_Toc509233512"/>
      <w:bookmarkStart w:id="5" w:name="_Toc510613499"/>
      <w:r>
        <w:lastRenderedPageBreak/>
        <w:t>Other Revenue</w:t>
      </w:r>
      <w:bookmarkEnd w:id="2"/>
      <w:bookmarkEnd w:id="3"/>
      <w:bookmarkEnd w:id="4"/>
      <w:bookmarkEnd w:id="5"/>
    </w:p>
    <w:p w:rsidR="006E3561" w:rsidRPr="006E3561" w:rsidRDefault="006E3561" w:rsidP="006E3561">
      <w:pPr>
        <w:pStyle w:val="CGCNumberedPara"/>
      </w:pPr>
      <w:r>
        <w:t xml:space="preserve">This paper provides the Commission staff proposals for the assessment of </w:t>
      </w:r>
      <w:proofErr w:type="gramStart"/>
      <w:r>
        <w:t>Other</w:t>
      </w:r>
      <w:proofErr w:type="gramEnd"/>
      <w:r>
        <w:t xml:space="preserve"> revenue for the 2020 Review.</w:t>
      </w:r>
    </w:p>
    <w:p w:rsidR="00413594" w:rsidRDefault="00413594" w:rsidP="00413594">
      <w:pPr>
        <w:pStyle w:val="Heading3"/>
      </w:pPr>
      <w:bookmarkStart w:id="6" w:name="_Toc505593127"/>
      <w:bookmarkStart w:id="7" w:name="_Toc509233157"/>
      <w:bookmarkStart w:id="8" w:name="_Toc509233193"/>
      <w:bookmarkStart w:id="9" w:name="_Toc509233513"/>
      <w:bookmarkStart w:id="10" w:name="_Toc510613500"/>
      <w:r w:rsidRPr="00741FF2">
        <w:t>201</w:t>
      </w:r>
      <w:r>
        <w:t>5</w:t>
      </w:r>
      <w:r w:rsidRPr="00741FF2">
        <w:t xml:space="preserve"> </w:t>
      </w:r>
      <w:r>
        <w:t>Review</w:t>
      </w:r>
      <w:r w:rsidRPr="00741FF2">
        <w:t xml:space="preserve"> approach</w:t>
      </w:r>
      <w:bookmarkEnd w:id="0"/>
      <w:bookmarkEnd w:id="6"/>
      <w:bookmarkEnd w:id="7"/>
      <w:bookmarkEnd w:id="8"/>
      <w:bookmarkEnd w:id="9"/>
      <w:bookmarkEnd w:id="10"/>
    </w:p>
    <w:p w:rsidR="00F75F6C" w:rsidRPr="00F75F6C" w:rsidRDefault="003145D4" w:rsidP="003145D4">
      <w:pPr>
        <w:pStyle w:val="CGCNumberedPara"/>
        <w:numPr>
          <w:ilvl w:val="1"/>
          <w:numId w:val="3"/>
        </w:numPr>
      </w:pPr>
      <w:r w:rsidRPr="003E17FD">
        <w:rPr>
          <w:szCs w:val="22"/>
        </w:rPr>
        <w:t xml:space="preserve">The </w:t>
      </w:r>
      <w:r w:rsidR="00F75F6C">
        <w:rPr>
          <w:szCs w:val="22"/>
        </w:rPr>
        <w:t xml:space="preserve">Other revenue </w:t>
      </w:r>
      <w:r w:rsidRPr="003E17FD">
        <w:rPr>
          <w:szCs w:val="22"/>
        </w:rPr>
        <w:t xml:space="preserve">category </w:t>
      </w:r>
      <w:r w:rsidR="00F75F6C">
        <w:rPr>
          <w:szCs w:val="22"/>
        </w:rPr>
        <w:t>is a residual category, made up of revenues not assessed elsewhere. Revenues in this category are assessed equal per capita</w:t>
      </w:r>
      <w:r w:rsidR="00B93091">
        <w:rPr>
          <w:szCs w:val="22"/>
        </w:rPr>
        <w:t xml:space="preserve"> (EPC)</w:t>
      </w:r>
      <w:r w:rsidR="00F75F6C">
        <w:rPr>
          <w:szCs w:val="22"/>
        </w:rPr>
        <w:t xml:space="preserve">, which means </w:t>
      </w:r>
      <w:r w:rsidR="00D30A31">
        <w:rPr>
          <w:szCs w:val="22"/>
        </w:rPr>
        <w:t>redistributions do not arise and there is no further e</w:t>
      </w:r>
      <w:r w:rsidR="00F75F6C">
        <w:rPr>
          <w:szCs w:val="22"/>
        </w:rPr>
        <w:t xml:space="preserve">ffect </w:t>
      </w:r>
      <w:r w:rsidR="00D30A31">
        <w:rPr>
          <w:szCs w:val="22"/>
        </w:rPr>
        <w:t xml:space="preserve">on </w:t>
      </w:r>
      <w:r w:rsidR="00F75F6C">
        <w:rPr>
          <w:szCs w:val="22"/>
        </w:rPr>
        <w:t>States’ GST distributions.</w:t>
      </w:r>
    </w:p>
    <w:p w:rsidR="00F75F6C" w:rsidRPr="00F75F6C" w:rsidRDefault="00F75F6C" w:rsidP="003145D4">
      <w:pPr>
        <w:pStyle w:val="CGCNumberedPara"/>
        <w:numPr>
          <w:ilvl w:val="1"/>
          <w:numId w:val="3"/>
        </w:numPr>
      </w:pPr>
      <w:r>
        <w:rPr>
          <w:szCs w:val="22"/>
        </w:rPr>
        <w:t>The Commission assesses revenues equal per capita when:</w:t>
      </w:r>
    </w:p>
    <w:p w:rsidR="00F75F6C" w:rsidRDefault="00F75F6C" w:rsidP="00F75F6C">
      <w:pPr>
        <w:pStyle w:val="CGCBulletlist"/>
      </w:pPr>
      <w:r>
        <w:t>it decides the States have the same per capita capacity to raise revenue from that source</w:t>
      </w:r>
    </w:p>
    <w:p w:rsidR="00F75F6C" w:rsidRDefault="00F75F6C" w:rsidP="00F75F6C">
      <w:pPr>
        <w:pStyle w:val="CGCBulletlist"/>
      </w:pPr>
      <w:r>
        <w:t>either the method or the data are not sufficiently reliable to support an assessment</w:t>
      </w:r>
    </w:p>
    <w:p w:rsidR="00F75F6C" w:rsidRPr="00F75F6C" w:rsidRDefault="00F75F6C" w:rsidP="00F75F6C">
      <w:pPr>
        <w:pStyle w:val="CGCBulletlist"/>
      </w:pPr>
      <w:proofErr w:type="gramStart"/>
      <w:r>
        <w:t>a</w:t>
      </w:r>
      <w:proofErr w:type="gramEnd"/>
      <w:r>
        <w:t xml:space="preserve"> differential assessment would not be material.</w:t>
      </w:r>
    </w:p>
    <w:p w:rsidR="000117D7" w:rsidRPr="000117D7" w:rsidRDefault="000117D7" w:rsidP="003145D4">
      <w:pPr>
        <w:pStyle w:val="CGCNumberedPara"/>
        <w:numPr>
          <w:ilvl w:val="1"/>
          <w:numId w:val="3"/>
        </w:numPr>
      </w:pPr>
      <w:r>
        <w:rPr>
          <w:szCs w:val="22"/>
        </w:rPr>
        <w:t>In the 2015 Review</w:t>
      </w:r>
      <w:r w:rsidR="0052286E">
        <w:rPr>
          <w:szCs w:val="22"/>
        </w:rPr>
        <w:t>,</w:t>
      </w:r>
      <w:r>
        <w:rPr>
          <w:szCs w:val="22"/>
        </w:rPr>
        <w:t xml:space="preserve"> the Other revenue category </w:t>
      </w:r>
      <w:r w:rsidR="0047416B">
        <w:rPr>
          <w:szCs w:val="22"/>
        </w:rPr>
        <w:t>comprises revenue from</w:t>
      </w:r>
      <w:r>
        <w:rPr>
          <w:szCs w:val="22"/>
        </w:rPr>
        <w:t>:</w:t>
      </w:r>
    </w:p>
    <w:p w:rsidR="003145D4" w:rsidRDefault="000117D7" w:rsidP="000117D7">
      <w:pPr>
        <w:pStyle w:val="CGCBulletlist"/>
      </w:pPr>
      <w:r>
        <w:t>gambling revenue</w:t>
      </w:r>
    </w:p>
    <w:p w:rsidR="000117D7" w:rsidRDefault="000117D7" w:rsidP="000117D7">
      <w:pPr>
        <w:pStyle w:val="CGCBulletlist"/>
      </w:pPr>
      <w:r>
        <w:t>fees and fines</w:t>
      </w:r>
    </w:p>
    <w:p w:rsidR="000117D7" w:rsidRDefault="000117D7" w:rsidP="000117D7">
      <w:pPr>
        <w:pStyle w:val="CGCBulletlist"/>
      </w:pPr>
      <w:r>
        <w:t>user charges (such as property titles user charges and public safety user charges) but not those associated with admitted patients, housing and functions usually performed by public trading enterprises</w:t>
      </w:r>
    </w:p>
    <w:p w:rsidR="000117D7" w:rsidRDefault="000117D7" w:rsidP="000117D7">
      <w:pPr>
        <w:pStyle w:val="CGCBulletlist"/>
      </w:pPr>
      <w:r>
        <w:t>contributions by trading enterprises</w:t>
      </w:r>
    </w:p>
    <w:p w:rsidR="000117D7" w:rsidRDefault="000117D7" w:rsidP="000117D7">
      <w:pPr>
        <w:pStyle w:val="CGCBulletlist"/>
      </w:pPr>
      <w:r>
        <w:t>interest and dividend income</w:t>
      </w:r>
    </w:p>
    <w:p w:rsidR="000117D7" w:rsidRPr="008E4DCF" w:rsidRDefault="000117D7" w:rsidP="000117D7">
      <w:pPr>
        <w:pStyle w:val="CGCBulletlist"/>
      </w:pPr>
      <w:proofErr w:type="gramStart"/>
      <w:r>
        <w:t>other</w:t>
      </w:r>
      <w:proofErr w:type="gramEnd"/>
      <w:r>
        <w:t xml:space="preserve"> revenue, </w:t>
      </w:r>
      <w:r w:rsidR="00290057">
        <w:t>including</w:t>
      </w:r>
      <w:r>
        <w:t xml:space="preserve"> </w:t>
      </w:r>
      <w:r w:rsidR="00290057">
        <w:t xml:space="preserve">other </w:t>
      </w:r>
      <w:r>
        <w:t xml:space="preserve">taxes </w:t>
      </w:r>
      <w:r w:rsidR="00290057">
        <w:t>and other income not elsewhere classified</w:t>
      </w:r>
      <w:r w:rsidRPr="008E4DCF">
        <w:t>.</w:t>
      </w:r>
    </w:p>
    <w:p w:rsidR="00F9418F" w:rsidRPr="001850FF" w:rsidRDefault="008A57AA" w:rsidP="00F9418F">
      <w:pPr>
        <w:pStyle w:val="CGCNumberedPara"/>
        <w:numPr>
          <w:ilvl w:val="1"/>
          <w:numId w:val="3"/>
        </w:numPr>
      </w:pPr>
      <w:r>
        <w:fldChar w:fldCharType="begin"/>
      </w:r>
      <w:r>
        <w:instrText xml:space="preserve"> REF _Ref496096288 \h </w:instrText>
      </w:r>
      <w:r>
        <w:fldChar w:fldCharType="separate"/>
      </w:r>
      <w:r w:rsidR="00347C46">
        <w:t xml:space="preserve">Table </w:t>
      </w:r>
      <w:proofErr w:type="gramStart"/>
      <w:r w:rsidR="00347C46">
        <w:rPr>
          <w:noProof/>
        </w:rPr>
        <w:t>1</w:t>
      </w:r>
      <w:r>
        <w:fldChar w:fldCharType="end"/>
      </w:r>
      <w:r>
        <w:t xml:space="preserve"> shows</w:t>
      </w:r>
      <w:proofErr w:type="gramEnd"/>
      <w:r>
        <w:t xml:space="preserve"> that</w:t>
      </w:r>
      <w:r w:rsidR="00DC3591">
        <w:t xml:space="preserve"> States raised over $44 billion from other revenues in 2016-17.</w:t>
      </w:r>
      <w:r>
        <w:t xml:space="preserve"> </w:t>
      </w:r>
      <w:r w:rsidR="00D30A31">
        <w:t xml:space="preserve">Excluding </w:t>
      </w:r>
      <w:r w:rsidR="00010128">
        <w:t>‘o</w:t>
      </w:r>
      <w:r w:rsidR="00D30A31">
        <w:t>ther</w:t>
      </w:r>
      <w:r w:rsidR="00010128">
        <w:t>’</w:t>
      </w:r>
      <w:r w:rsidR="00D30A31">
        <w:t>, t</w:t>
      </w:r>
      <w:r w:rsidR="00347C46">
        <w:t>he largest individual items in the category were</w:t>
      </w:r>
      <w:r w:rsidR="00DC3591">
        <w:t xml:space="preserve"> user charges </w:t>
      </w:r>
      <w:r w:rsidR="00347C46">
        <w:t>(</w:t>
      </w:r>
      <w:r w:rsidR="00DC3591">
        <w:t>24.8%</w:t>
      </w:r>
      <w:r w:rsidR="00347C46">
        <w:t xml:space="preserve">) and </w:t>
      </w:r>
      <w:r w:rsidR="00DC3591">
        <w:t xml:space="preserve">interest and dividend income </w:t>
      </w:r>
      <w:r w:rsidR="00347C46">
        <w:t>(</w:t>
      </w:r>
      <w:r w:rsidR="00DC3591">
        <w:t>22.5%</w:t>
      </w:r>
      <w:r w:rsidR="00347C46">
        <w:t>)</w:t>
      </w:r>
      <w:r w:rsidR="00DC3591">
        <w:t>.</w:t>
      </w:r>
    </w:p>
    <w:p w:rsidR="003145D4" w:rsidRDefault="003145D4" w:rsidP="00E36A6D">
      <w:pPr>
        <w:pStyle w:val="Caption"/>
      </w:pPr>
      <w:bookmarkStart w:id="11" w:name="_Ref496096288"/>
      <w:r>
        <w:lastRenderedPageBreak/>
        <w:t xml:space="preserve">Table </w:t>
      </w:r>
      <w:r w:rsidR="00EA4BD5">
        <w:fldChar w:fldCharType="begin"/>
      </w:r>
      <w:r w:rsidR="00EA4BD5">
        <w:instrText xml:space="preserve"> SEQ Table \* ARABIC </w:instrText>
      </w:r>
      <w:r w:rsidR="00EA4BD5">
        <w:fldChar w:fldCharType="separate"/>
      </w:r>
      <w:proofErr w:type="gramStart"/>
      <w:r w:rsidR="00347C46">
        <w:rPr>
          <w:noProof/>
        </w:rPr>
        <w:t>1</w:t>
      </w:r>
      <w:r w:rsidR="00EA4BD5">
        <w:rPr>
          <w:noProof/>
        </w:rPr>
        <w:fldChar w:fldCharType="end"/>
      </w:r>
      <w:bookmarkEnd w:id="11"/>
      <w:r>
        <w:tab/>
        <w:t>Cat</w:t>
      </w:r>
      <w:r w:rsidR="00EB01A7">
        <w:t>egory revenue</w:t>
      </w:r>
      <w:proofErr w:type="gramEnd"/>
      <w:r w:rsidR="00EB01A7">
        <w:t xml:space="preserve"> by component, 2016-17</w:t>
      </w:r>
    </w:p>
    <w:tbl>
      <w:tblPr>
        <w:tblW w:w="8940" w:type="dxa"/>
        <w:tblInd w:w="93" w:type="dxa"/>
        <w:tblLayout w:type="fixed"/>
        <w:tblLook w:val="04A0" w:firstRow="1" w:lastRow="0" w:firstColumn="1" w:lastColumn="0" w:noHBand="0" w:noVBand="1"/>
      </w:tblPr>
      <w:tblGrid>
        <w:gridCol w:w="3417"/>
        <w:gridCol w:w="2761"/>
        <w:gridCol w:w="2762"/>
      </w:tblGrid>
      <w:tr w:rsidR="003145D4" w:rsidRPr="001850FF" w:rsidTr="00DC3591">
        <w:trPr>
          <w:trHeight w:val="375"/>
        </w:trPr>
        <w:tc>
          <w:tcPr>
            <w:tcW w:w="3417" w:type="dxa"/>
            <w:tcBorders>
              <w:top w:val="single" w:sz="4" w:space="0" w:color="auto"/>
              <w:left w:val="nil"/>
              <w:bottom w:val="single" w:sz="4" w:space="0" w:color="auto"/>
              <w:right w:val="nil"/>
            </w:tcBorders>
            <w:shd w:val="clear" w:color="auto" w:fill="auto"/>
            <w:noWrap/>
            <w:vAlign w:val="center"/>
            <w:hideMark/>
          </w:tcPr>
          <w:p w:rsidR="003145D4" w:rsidRPr="001850FF" w:rsidRDefault="003145D4" w:rsidP="00E36A6D">
            <w:pPr>
              <w:keepNext/>
              <w:keepLines/>
              <w:tabs>
                <w:tab w:val="clear" w:pos="567"/>
              </w:tabs>
              <w:spacing w:after="0" w:line="240" w:lineRule="auto"/>
              <w:rPr>
                <w:rFonts w:ascii="Calibri" w:eastAsia="Times New Roman" w:hAnsi="Calibri" w:cs="Times New Roman"/>
                <w:color w:val="000000"/>
                <w:sz w:val="20"/>
                <w:szCs w:val="20"/>
                <w:lang w:eastAsia="en-AU"/>
              </w:rPr>
            </w:pPr>
            <w:bookmarkStart w:id="12" w:name="RANGE!A5:C9"/>
            <w:r w:rsidRPr="001850FF">
              <w:rPr>
                <w:rFonts w:ascii="Calibri" w:eastAsia="Times New Roman" w:hAnsi="Calibri" w:cs="Times New Roman"/>
                <w:color w:val="000000"/>
                <w:sz w:val="20"/>
                <w:szCs w:val="20"/>
                <w:lang w:eastAsia="en-AU"/>
              </w:rPr>
              <w:t>Component</w:t>
            </w:r>
            <w:bookmarkEnd w:id="12"/>
          </w:p>
        </w:tc>
        <w:tc>
          <w:tcPr>
            <w:tcW w:w="2761" w:type="dxa"/>
            <w:tcBorders>
              <w:top w:val="single" w:sz="4" w:space="0" w:color="auto"/>
              <w:left w:val="nil"/>
              <w:bottom w:val="single" w:sz="4" w:space="0" w:color="auto"/>
              <w:right w:val="nil"/>
            </w:tcBorders>
            <w:shd w:val="clear" w:color="auto" w:fill="auto"/>
            <w:noWrap/>
            <w:vAlign w:val="center"/>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Revenue</w:t>
            </w:r>
          </w:p>
        </w:tc>
        <w:tc>
          <w:tcPr>
            <w:tcW w:w="2762" w:type="dxa"/>
            <w:tcBorders>
              <w:top w:val="single" w:sz="4" w:space="0" w:color="auto"/>
              <w:left w:val="nil"/>
              <w:bottom w:val="single" w:sz="4" w:space="0" w:color="auto"/>
              <w:right w:val="nil"/>
            </w:tcBorders>
            <w:shd w:val="clear" w:color="auto" w:fill="auto"/>
            <w:noWrap/>
            <w:vAlign w:val="center"/>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Proportion of total revenue</w:t>
            </w:r>
          </w:p>
        </w:tc>
      </w:tr>
      <w:tr w:rsidR="003145D4" w:rsidRPr="001850FF" w:rsidTr="00DC3591">
        <w:trPr>
          <w:trHeight w:val="259"/>
        </w:trPr>
        <w:tc>
          <w:tcPr>
            <w:tcW w:w="3417" w:type="dxa"/>
            <w:tcBorders>
              <w:top w:val="nil"/>
              <w:left w:val="nil"/>
              <w:bottom w:val="nil"/>
              <w:right w:val="nil"/>
            </w:tcBorders>
            <w:shd w:val="clear" w:color="auto" w:fill="auto"/>
            <w:noWrap/>
            <w:vAlign w:val="bottom"/>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2761" w:type="dxa"/>
            <w:tcBorders>
              <w:top w:val="nil"/>
              <w:left w:val="nil"/>
              <w:bottom w:val="nil"/>
              <w:right w:val="nil"/>
            </w:tcBorders>
            <w:shd w:val="clear" w:color="auto" w:fill="auto"/>
            <w:noWrap/>
            <w:vAlign w:val="bottom"/>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$m</w:t>
            </w:r>
          </w:p>
        </w:tc>
        <w:tc>
          <w:tcPr>
            <w:tcW w:w="2762" w:type="dxa"/>
            <w:tcBorders>
              <w:top w:val="nil"/>
              <w:left w:val="nil"/>
              <w:bottom w:val="nil"/>
              <w:right w:val="nil"/>
            </w:tcBorders>
            <w:shd w:val="clear" w:color="auto" w:fill="auto"/>
            <w:noWrap/>
            <w:vAlign w:val="bottom"/>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w:t>
            </w:r>
          </w:p>
        </w:tc>
      </w:tr>
      <w:tr w:rsidR="003145D4" w:rsidRPr="001850FF" w:rsidTr="00DC3591">
        <w:trPr>
          <w:trHeight w:val="315"/>
        </w:trPr>
        <w:tc>
          <w:tcPr>
            <w:tcW w:w="3417" w:type="dxa"/>
            <w:tcBorders>
              <w:top w:val="nil"/>
              <w:left w:val="nil"/>
              <w:bottom w:val="nil"/>
              <w:right w:val="nil"/>
            </w:tcBorders>
            <w:shd w:val="clear" w:color="auto" w:fill="auto"/>
            <w:noWrap/>
            <w:vAlign w:val="bottom"/>
          </w:tcPr>
          <w:p w:rsidR="003145D4" w:rsidRPr="001850FF" w:rsidRDefault="00EB01A7" w:rsidP="00E36A6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Gambling revenue</w:t>
            </w:r>
          </w:p>
        </w:tc>
        <w:tc>
          <w:tcPr>
            <w:tcW w:w="2761" w:type="dxa"/>
            <w:tcBorders>
              <w:top w:val="nil"/>
              <w:left w:val="nil"/>
              <w:bottom w:val="nil"/>
              <w:right w:val="nil"/>
            </w:tcBorders>
            <w:shd w:val="clear" w:color="auto" w:fill="auto"/>
            <w:noWrap/>
            <w:vAlign w:val="bottom"/>
            <w:hideMark/>
          </w:tcPr>
          <w:p w:rsidR="003145D4"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5 537</w:t>
            </w:r>
          </w:p>
        </w:tc>
        <w:tc>
          <w:tcPr>
            <w:tcW w:w="2762" w:type="dxa"/>
            <w:tcBorders>
              <w:top w:val="nil"/>
              <w:left w:val="nil"/>
              <w:bottom w:val="nil"/>
              <w:right w:val="nil"/>
            </w:tcBorders>
            <w:shd w:val="clear" w:color="auto" w:fill="auto"/>
            <w:noWrap/>
            <w:vAlign w:val="bottom"/>
            <w:hideMark/>
          </w:tcPr>
          <w:p w:rsidR="003145D4"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12.5</w:t>
            </w:r>
          </w:p>
        </w:tc>
      </w:tr>
      <w:tr w:rsidR="003145D4" w:rsidRPr="001850FF" w:rsidTr="00DC3591">
        <w:trPr>
          <w:trHeight w:val="315"/>
        </w:trPr>
        <w:tc>
          <w:tcPr>
            <w:tcW w:w="3417" w:type="dxa"/>
            <w:tcBorders>
              <w:top w:val="nil"/>
              <w:left w:val="nil"/>
              <w:bottom w:val="nil"/>
              <w:right w:val="nil"/>
            </w:tcBorders>
            <w:shd w:val="clear" w:color="auto" w:fill="auto"/>
            <w:noWrap/>
            <w:vAlign w:val="bottom"/>
          </w:tcPr>
          <w:p w:rsidR="003145D4" w:rsidRPr="001850FF" w:rsidRDefault="00EB01A7" w:rsidP="00E36A6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Fees and fines</w:t>
            </w:r>
          </w:p>
        </w:tc>
        <w:tc>
          <w:tcPr>
            <w:tcW w:w="2761" w:type="dxa"/>
            <w:tcBorders>
              <w:top w:val="nil"/>
              <w:left w:val="nil"/>
              <w:bottom w:val="nil"/>
              <w:right w:val="nil"/>
            </w:tcBorders>
            <w:shd w:val="clear" w:color="auto" w:fill="auto"/>
            <w:noWrap/>
            <w:vAlign w:val="bottom"/>
            <w:hideMark/>
          </w:tcPr>
          <w:p w:rsidR="003145D4"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1 881</w:t>
            </w:r>
          </w:p>
        </w:tc>
        <w:tc>
          <w:tcPr>
            <w:tcW w:w="2762" w:type="dxa"/>
            <w:tcBorders>
              <w:top w:val="nil"/>
              <w:left w:val="nil"/>
              <w:bottom w:val="nil"/>
              <w:right w:val="nil"/>
            </w:tcBorders>
            <w:shd w:val="clear" w:color="auto" w:fill="auto"/>
            <w:noWrap/>
            <w:vAlign w:val="bottom"/>
            <w:hideMark/>
          </w:tcPr>
          <w:p w:rsidR="003145D4"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4.2</w:t>
            </w:r>
          </w:p>
        </w:tc>
      </w:tr>
      <w:tr w:rsidR="00EB01A7" w:rsidRPr="001850FF" w:rsidTr="00DC3591">
        <w:trPr>
          <w:trHeight w:val="315"/>
        </w:trPr>
        <w:tc>
          <w:tcPr>
            <w:tcW w:w="3417"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U</w:t>
            </w:r>
            <w:r w:rsidR="00EB01A7">
              <w:rPr>
                <w:rFonts w:ascii="Calibri" w:eastAsia="Times New Roman" w:hAnsi="Calibri" w:cs="Times New Roman"/>
                <w:color w:val="000000"/>
                <w:sz w:val="20"/>
                <w:szCs w:val="20"/>
                <w:lang w:eastAsia="en-AU"/>
              </w:rPr>
              <w:t>ser charges</w:t>
            </w:r>
          </w:p>
        </w:tc>
        <w:tc>
          <w:tcPr>
            <w:tcW w:w="2761"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11 007</w:t>
            </w:r>
          </w:p>
        </w:tc>
        <w:tc>
          <w:tcPr>
            <w:tcW w:w="2762"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24.8</w:t>
            </w:r>
          </w:p>
        </w:tc>
      </w:tr>
      <w:tr w:rsidR="00EB01A7" w:rsidRPr="001850FF" w:rsidTr="00DC3591">
        <w:trPr>
          <w:trHeight w:val="315"/>
        </w:trPr>
        <w:tc>
          <w:tcPr>
            <w:tcW w:w="3417" w:type="dxa"/>
            <w:tcBorders>
              <w:top w:val="nil"/>
              <w:left w:val="nil"/>
              <w:bottom w:val="nil"/>
              <w:right w:val="nil"/>
            </w:tcBorders>
            <w:shd w:val="clear" w:color="auto" w:fill="auto"/>
            <w:noWrap/>
            <w:vAlign w:val="bottom"/>
          </w:tcPr>
          <w:p w:rsidR="00EB01A7" w:rsidRPr="001850FF" w:rsidRDefault="00EB01A7" w:rsidP="00E36A6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Contributions by trading enterprises</w:t>
            </w:r>
          </w:p>
        </w:tc>
        <w:tc>
          <w:tcPr>
            <w:tcW w:w="2761"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2 451</w:t>
            </w:r>
          </w:p>
        </w:tc>
        <w:tc>
          <w:tcPr>
            <w:tcW w:w="2762"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5.5</w:t>
            </w:r>
          </w:p>
        </w:tc>
      </w:tr>
      <w:tr w:rsidR="00EB01A7" w:rsidRPr="001850FF" w:rsidTr="00DC3591">
        <w:trPr>
          <w:trHeight w:val="315"/>
        </w:trPr>
        <w:tc>
          <w:tcPr>
            <w:tcW w:w="3417" w:type="dxa"/>
            <w:tcBorders>
              <w:top w:val="nil"/>
              <w:left w:val="nil"/>
              <w:bottom w:val="nil"/>
              <w:right w:val="nil"/>
            </w:tcBorders>
            <w:shd w:val="clear" w:color="auto" w:fill="auto"/>
            <w:noWrap/>
            <w:vAlign w:val="bottom"/>
          </w:tcPr>
          <w:p w:rsidR="00EB01A7" w:rsidRPr="001850FF" w:rsidRDefault="00EB01A7" w:rsidP="00E36A6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I</w:t>
            </w:r>
            <w:r w:rsidR="00DC3591">
              <w:rPr>
                <w:rFonts w:ascii="Calibri" w:eastAsia="Times New Roman" w:hAnsi="Calibri" w:cs="Times New Roman"/>
                <w:color w:val="000000"/>
                <w:sz w:val="20"/>
                <w:szCs w:val="20"/>
                <w:lang w:eastAsia="en-AU"/>
              </w:rPr>
              <w:t>nterest and dividend i</w:t>
            </w:r>
            <w:r>
              <w:rPr>
                <w:rFonts w:ascii="Calibri" w:eastAsia="Times New Roman" w:hAnsi="Calibri" w:cs="Times New Roman"/>
                <w:color w:val="000000"/>
                <w:sz w:val="20"/>
                <w:szCs w:val="20"/>
                <w:lang w:eastAsia="en-AU"/>
              </w:rPr>
              <w:t>ncome</w:t>
            </w:r>
          </w:p>
        </w:tc>
        <w:tc>
          <w:tcPr>
            <w:tcW w:w="2761"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9 993</w:t>
            </w:r>
          </w:p>
        </w:tc>
        <w:tc>
          <w:tcPr>
            <w:tcW w:w="2762" w:type="dxa"/>
            <w:tcBorders>
              <w:top w:val="nil"/>
              <w:left w:val="nil"/>
              <w:bottom w:val="nil"/>
              <w:right w:val="nil"/>
            </w:tcBorders>
            <w:shd w:val="clear" w:color="auto" w:fill="auto"/>
            <w:noWrap/>
            <w:vAlign w:val="bottom"/>
          </w:tcPr>
          <w:p w:rsidR="00EB01A7"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22.5</w:t>
            </w:r>
          </w:p>
        </w:tc>
      </w:tr>
      <w:tr w:rsidR="003145D4" w:rsidRPr="001850FF" w:rsidTr="00347C46">
        <w:trPr>
          <w:trHeight w:val="315"/>
        </w:trPr>
        <w:tc>
          <w:tcPr>
            <w:tcW w:w="3417" w:type="dxa"/>
            <w:tcBorders>
              <w:top w:val="nil"/>
              <w:left w:val="nil"/>
              <w:bottom w:val="single" w:sz="4" w:space="0" w:color="auto"/>
              <w:right w:val="nil"/>
            </w:tcBorders>
            <w:shd w:val="clear" w:color="auto" w:fill="auto"/>
            <w:noWrap/>
            <w:vAlign w:val="bottom"/>
          </w:tcPr>
          <w:p w:rsidR="003145D4" w:rsidRPr="00DC3591" w:rsidRDefault="00EB01A7" w:rsidP="00E36A6D">
            <w:pPr>
              <w:keepNext/>
              <w:keepLines/>
              <w:tabs>
                <w:tab w:val="clear" w:pos="567"/>
              </w:tabs>
              <w:spacing w:after="0" w:line="240" w:lineRule="auto"/>
              <w:rPr>
                <w:rFonts w:ascii="Calibri" w:eastAsia="Times New Roman" w:hAnsi="Calibri" w:cs="Times New Roman"/>
                <w:color w:val="000000"/>
                <w:sz w:val="20"/>
                <w:szCs w:val="20"/>
                <w:lang w:eastAsia="en-AU"/>
              </w:rPr>
            </w:pPr>
            <w:r w:rsidRPr="00DC3591">
              <w:rPr>
                <w:rFonts w:ascii="Calibri" w:eastAsia="Times New Roman" w:hAnsi="Calibri" w:cs="Times New Roman"/>
                <w:color w:val="000000"/>
                <w:sz w:val="20"/>
                <w:szCs w:val="20"/>
                <w:lang w:eastAsia="en-AU"/>
              </w:rPr>
              <w:t>Other</w:t>
            </w:r>
            <w:r w:rsidR="00290057">
              <w:rPr>
                <w:rFonts w:ascii="Calibri" w:eastAsia="Times New Roman" w:hAnsi="Calibri" w:cs="Times New Roman"/>
                <w:color w:val="000000"/>
                <w:sz w:val="20"/>
                <w:szCs w:val="20"/>
                <w:lang w:eastAsia="en-AU"/>
              </w:rPr>
              <w:t xml:space="preserve"> (a)</w:t>
            </w:r>
          </w:p>
        </w:tc>
        <w:tc>
          <w:tcPr>
            <w:tcW w:w="2761" w:type="dxa"/>
            <w:tcBorders>
              <w:top w:val="nil"/>
              <w:left w:val="nil"/>
              <w:bottom w:val="single" w:sz="4" w:space="0" w:color="auto"/>
              <w:right w:val="nil"/>
            </w:tcBorders>
            <w:shd w:val="clear" w:color="auto" w:fill="auto"/>
            <w:noWrap/>
            <w:vAlign w:val="bottom"/>
            <w:hideMark/>
          </w:tcPr>
          <w:p w:rsidR="003145D4" w:rsidRPr="00DC3591"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DC3591">
              <w:rPr>
                <w:rFonts w:ascii="Calibri" w:eastAsia="Times New Roman" w:hAnsi="Calibri" w:cs="Times New Roman"/>
                <w:color w:val="000000"/>
                <w:sz w:val="20"/>
                <w:szCs w:val="20"/>
                <w:lang w:eastAsia="en-AU"/>
              </w:rPr>
              <w:t>13 481</w:t>
            </w:r>
          </w:p>
        </w:tc>
        <w:tc>
          <w:tcPr>
            <w:tcW w:w="2762" w:type="dxa"/>
            <w:tcBorders>
              <w:top w:val="nil"/>
              <w:left w:val="nil"/>
              <w:bottom w:val="single" w:sz="4" w:space="0" w:color="auto"/>
              <w:right w:val="nil"/>
            </w:tcBorders>
            <w:shd w:val="clear" w:color="auto" w:fill="auto"/>
            <w:noWrap/>
            <w:vAlign w:val="bottom"/>
            <w:hideMark/>
          </w:tcPr>
          <w:p w:rsidR="003145D4" w:rsidRPr="00DC3591"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30.4</w:t>
            </w:r>
          </w:p>
        </w:tc>
      </w:tr>
      <w:tr w:rsidR="003145D4" w:rsidRPr="001850FF" w:rsidTr="00347C46">
        <w:trPr>
          <w:trHeight w:val="315"/>
        </w:trPr>
        <w:tc>
          <w:tcPr>
            <w:tcW w:w="3417" w:type="dxa"/>
            <w:tcBorders>
              <w:top w:val="single" w:sz="4" w:space="0" w:color="auto"/>
              <w:left w:val="nil"/>
              <w:bottom w:val="single" w:sz="4" w:space="0" w:color="auto"/>
            </w:tcBorders>
            <w:shd w:val="clear" w:color="auto" w:fill="auto"/>
            <w:noWrap/>
            <w:vAlign w:val="bottom"/>
            <w:hideMark/>
          </w:tcPr>
          <w:p w:rsidR="003145D4" w:rsidRPr="001850FF" w:rsidRDefault="003145D4" w:rsidP="00E36A6D">
            <w:pPr>
              <w:keepNext/>
              <w:keepLines/>
              <w:tabs>
                <w:tab w:val="clear" w:pos="567"/>
              </w:tabs>
              <w:spacing w:after="0" w:line="240" w:lineRule="auto"/>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Total</w:t>
            </w:r>
          </w:p>
        </w:tc>
        <w:tc>
          <w:tcPr>
            <w:tcW w:w="2761" w:type="dxa"/>
            <w:tcBorders>
              <w:top w:val="single" w:sz="4" w:space="0" w:color="auto"/>
              <w:left w:val="nil"/>
              <w:bottom w:val="single" w:sz="4" w:space="0" w:color="auto"/>
              <w:right w:val="nil"/>
            </w:tcBorders>
            <w:shd w:val="clear" w:color="auto" w:fill="auto"/>
            <w:noWrap/>
            <w:vAlign w:val="bottom"/>
            <w:hideMark/>
          </w:tcPr>
          <w:p w:rsidR="003145D4" w:rsidRPr="001850FF" w:rsidRDefault="00DC3591"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44 350</w:t>
            </w:r>
          </w:p>
        </w:tc>
        <w:tc>
          <w:tcPr>
            <w:tcW w:w="2762" w:type="dxa"/>
            <w:tcBorders>
              <w:top w:val="single" w:sz="4" w:space="0" w:color="auto"/>
              <w:left w:val="nil"/>
              <w:bottom w:val="single" w:sz="4" w:space="0" w:color="auto"/>
              <w:right w:val="nil"/>
            </w:tcBorders>
            <w:shd w:val="clear" w:color="auto" w:fill="auto"/>
            <w:noWrap/>
            <w:vAlign w:val="bottom"/>
            <w:hideMark/>
          </w:tcPr>
          <w:p w:rsidR="003145D4" w:rsidRPr="001850FF" w:rsidRDefault="003145D4" w:rsidP="00E36A6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1850FF">
              <w:rPr>
                <w:rFonts w:ascii="Calibri" w:eastAsia="Times New Roman" w:hAnsi="Calibri" w:cs="Times New Roman"/>
                <w:color w:val="000000"/>
                <w:sz w:val="20"/>
                <w:szCs w:val="20"/>
                <w:lang w:eastAsia="en-AU"/>
              </w:rPr>
              <w:t>100.0</w:t>
            </w:r>
          </w:p>
        </w:tc>
      </w:tr>
    </w:tbl>
    <w:p w:rsidR="00010128" w:rsidRDefault="00290057" w:rsidP="00E36A6D">
      <w:pPr>
        <w:pStyle w:val="CGCTableFootnote"/>
        <w:keepNext/>
        <w:keepLines/>
      </w:pPr>
      <w:r>
        <w:t>(a)</w:t>
      </w:r>
      <w:r w:rsidR="00010128">
        <w:tab/>
      </w:r>
      <w:r>
        <w:t>Other includes other taxes</w:t>
      </w:r>
      <w:r w:rsidR="001B3DE2">
        <w:t xml:space="preserve">, such as stamp duties on financial transactions and government borrowing guarantee levies, and other income, such as </w:t>
      </w:r>
      <w:r w:rsidR="00A66BE8">
        <w:t xml:space="preserve">assets acquired below fair value and </w:t>
      </w:r>
      <w:r w:rsidR="001B3DE2">
        <w:t xml:space="preserve">current revenue </w:t>
      </w:r>
      <w:r>
        <w:t>not elsewhere classified.</w:t>
      </w:r>
    </w:p>
    <w:p w:rsidR="003145D4" w:rsidRPr="00C85E80" w:rsidRDefault="003145D4" w:rsidP="00E36A6D">
      <w:pPr>
        <w:pStyle w:val="CGCTableFootnote"/>
        <w:keepNext/>
        <w:keepLines/>
      </w:pPr>
      <w:r w:rsidRPr="00741FF2">
        <w:t>Source:</w:t>
      </w:r>
      <w:r w:rsidRPr="00741FF2">
        <w:tab/>
      </w:r>
      <w:r>
        <w:t>ABS Government Finance Statistics.</w:t>
      </w:r>
    </w:p>
    <w:p w:rsidR="002C4066" w:rsidRPr="002C4066" w:rsidRDefault="002C4066" w:rsidP="002C4066">
      <w:pPr>
        <w:pStyle w:val="Heading4"/>
      </w:pPr>
      <w:bookmarkStart w:id="13" w:name="_Toc509233158"/>
      <w:bookmarkStart w:id="14" w:name="_Toc509233194"/>
      <w:bookmarkStart w:id="15" w:name="_Toc509233514"/>
      <w:bookmarkStart w:id="16" w:name="_Toc510613501"/>
      <w:r>
        <w:t>How was revenue capacity assessed?</w:t>
      </w:r>
      <w:bookmarkEnd w:id="13"/>
      <w:bookmarkEnd w:id="14"/>
      <w:bookmarkEnd w:id="15"/>
      <w:bookmarkEnd w:id="16"/>
    </w:p>
    <w:p w:rsidR="00827FB8" w:rsidRDefault="001E3B3D" w:rsidP="008E4DCF">
      <w:pPr>
        <w:pStyle w:val="CGCNumberedPara"/>
        <w:numPr>
          <w:ilvl w:val="1"/>
          <w:numId w:val="3"/>
        </w:numPr>
      </w:pPr>
      <w:r>
        <w:rPr>
          <w:szCs w:val="22"/>
        </w:rPr>
        <w:t xml:space="preserve">Revenues in the </w:t>
      </w:r>
      <w:proofErr w:type="gramStart"/>
      <w:r>
        <w:rPr>
          <w:szCs w:val="22"/>
        </w:rPr>
        <w:t>Other</w:t>
      </w:r>
      <w:proofErr w:type="gramEnd"/>
      <w:r>
        <w:rPr>
          <w:szCs w:val="22"/>
        </w:rPr>
        <w:t> revenue category were assessed EPC.</w:t>
      </w:r>
    </w:p>
    <w:p w:rsidR="00827FB8" w:rsidRDefault="00827FB8" w:rsidP="00827FB8">
      <w:pPr>
        <w:pStyle w:val="Heading4"/>
      </w:pPr>
      <w:bookmarkStart w:id="17" w:name="_Toc505593128"/>
      <w:bookmarkStart w:id="18" w:name="_Toc509233159"/>
      <w:bookmarkStart w:id="19" w:name="_Toc509233195"/>
      <w:bookmarkStart w:id="20" w:name="_Toc509233515"/>
      <w:bookmarkStart w:id="21" w:name="_Toc510613502"/>
      <w:r>
        <w:t xml:space="preserve">GST </w:t>
      </w:r>
      <w:r w:rsidR="00981B35">
        <w:t>re</w:t>
      </w:r>
      <w:r>
        <w:t>distribution</w:t>
      </w:r>
      <w:bookmarkEnd w:id="17"/>
      <w:bookmarkEnd w:id="18"/>
      <w:bookmarkEnd w:id="19"/>
      <w:bookmarkEnd w:id="20"/>
      <w:bookmarkEnd w:id="21"/>
    </w:p>
    <w:p w:rsidR="003E52D0" w:rsidRPr="002C4066" w:rsidRDefault="00347C46" w:rsidP="008E4DCF">
      <w:pPr>
        <w:pStyle w:val="CGCNumberedPara"/>
        <w:numPr>
          <w:ilvl w:val="1"/>
          <w:numId w:val="3"/>
        </w:numPr>
      </w:pPr>
      <w:r>
        <w:t>The EPC assessment means the category does not affect States’ GST distributions.</w:t>
      </w:r>
    </w:p>
    <w:p w:rsidR="00413594" w:rsidRDefault="00413594" w:rsidP="00413594">
      <w:pPr>
        <w:pStyle w:val="Heading3"/>
      </w:pPr>
      <w:bookmarkStart w:id="22" w:name="_Toc505593129"/>
      <w:bookmarkStart w:id="23" w:name="_Toc509233160"/>
      <w:bookmarkStart w:id="24" w:name="_Toc509233196"/>
      <w:bookmarkStart w:id="25" w:name="_Toc509233516"/>
      <w:bookmarkStart w:id="26" w:name="_Toc510613503"/>
      <w:r w:rsidRPr="00741FF2">
        <w:t xml:space="preserve">issues and </w:t>
      </w:r>
      <w:r>
        <w:t>analysis</w:t>
      </w:r>
      <w:bookmarkEnd w:id="22"/>
      <w:bookmarkEnd w:id="23"/>
      <w:bookmarkEnd w:id="24"/>
      <w:bookmarkEnd w:id="25"/>
      <w:bookmarkEnd w:id="26"/>
    </w:p>
    <w:p w:rsidR="002C4066" w:rsidRDefault="002C4066" w:rsidP="00F37263">
      <w:pPr>
        <w:pStyle w:val="CGCNumberedPara"/>
      </w:pPr>
      <w:r>
        <w:t>There are no major issues in this assessment.</w:t>
      </w:r>
      <w:r w:rsidR="00C96C9C">
        <w:t xml:space="preserve"> The only possible </w:t>
      </w:r>
      <w:r w:rsidR="00D54493">
        <w:t xml:space="preserve">change that </w:t>
      </w:r>
      <w:proofErr w:type="gramStart"/>
      <w:r w:rsidR="00D54493">
        <w:t xml:space="preserve">staff </w:t>
      </w:r>
      <w:r w:rsidR="00347C46">
        <w:t>are</w:t>
      </w:r>
      <w:proofErr w:type="gramEnd"/>
      <w:r w:rsidR="00347C46">
        <w:t xml:space="preserve"> exploring</w:t>
      </w:r>
      <w:r w:rsidR="001E3B3D">
        <w:t xml:space="preserve"> for the 2020 </w:t>
      </w:r>
      <w:r w:rsidR="00C96C9C">
        <w:t xml:space="preserve">Review is whether a </w:t>
      </w:r>
      <w:r w:rsidR="00347C46">
        <w:t xml:space="preserve">differential </w:t>
      </w:r>
      <w:r w:rsidR="00C96C9C">
        <w:t xml:space="preserve">assessment of gambling revenue can be </w:t>
      </w:r>
      <w:r w:rsidR="00347C46">
        <w:t>made</w:t>
      </w:r>
      <w:r w:rsidR="00C96C9C">
        <w:t xml:space="preserve">. This issue is examined in </w:t>
      </w:r>
      <w:r w:rsidR="00503FB3">
        <w:t xml:space="preserve">Staff </w:t>
      </w:r>
      <w:r w:rsidR="00C96C9C">
        <w:t xml:space="preserve">Draft Assessment Paper </w:t>
      </w:r>
      <w:proofErr w:type="spellStart"/>
      <w:r w:rsidR="00C96C9C" w:rsidRPr="00626DC9">
        <w:rPr>
          <w:i/>
        </w:rPr>
        <w:t>CGC</w:t>
      </w:r>
      <w:proofErr w:type="spellEnd"/>
      <w:r w:rsidR="00347C46" w:rsidRPr="00626DC9">
        <w:rPr>
          <w:i/>
        </w:rPr>
        <w:t> </w:t>
      </w:r>
      <w:r w:rsidR="00C96C9C" w:rsidRPr="00626DC9">
        <w:rPr>
          <w:i/>
        </w:rPr>
        <w:t>2018</w:t>
      </w:r>
      <w:r w:rsidR="00347C46" w:rsidRPr="00626DC9">
        <w:rPr>
          <w:i/>
        </w:rPr>
        <w:noBreakHyphen/>
      </w:r>
      <w:r w:rsidR="00626DC9" w:rsidRPr="00626DC9">
        <w:rPr>
          <w:i/>
        </w:rPr>
        <w:t>01/07</w:t>
      </w:r>
      <w:r w:rsidR="00C96C9C" w:rsidRPr="00626DC9">
        <w:rPr>
          <w:i/>
        </w:rPr>
        <w:t>-S</w:t>
      </w:r>
      <w:r w:rsidR="00626DC9">
        <w:rPr>
          <w:i/>
        </w:rPr>
        <w:t>,</w:t>
      </w:r>
      <w:r w:rsidR="00347C46" w:rsidRPr="00626DC9">
        <w:rPr>
          <w:i/>
        </w:rPr>
        <w:t xml:space="preserve"> Gambling taxes</w:t>
      </w:r>
      <w:r w:rsidR="00C96C9C">
        <w:t>.</w:t>
      </w:r>
    </w:p>
    <w:p w:rsidR="002C4066" w:rsidRDefault="002C4066" w:rsidP="00B038DE">
      <w:pPr>
        <w:pStyle w:val="Heading4"/>
      </w:pPr>
      <w:bookmarkStart w:id="27" w:name="_Toc509233161"/>
      <w:bookmarkStart w:id="28" w:name="_Toc509233197"/>
      <w:bookmarkStart w:id="29" w:name="_Toc509233517"/>
      <w:bookmarkStart w:id="30" w:name="_Toc510613504"/>
      <w:r>
        <w:t>Other issues considered</w:t>
      </w:r>
      <w:bookmarkEnd w:id="27"/>
      <w:bookmarkEnd w:id="28"/>
      <w:bookmarkEnd w:id="29"/>
      <w:bookmarkEnd w:id="30"/>
    </w:p>
    <w:p w:rsidR="001E3B3D" w:rsidRDefault="001E3B3D" w:rsidP="001E3B3D">
      <w:pPr>
        <w:pStyle w:val="CGCNumberedPara"/>
        <w:numPr>
          <w:ilvl w:val="1"/>
          <w:numId w:val="3"/>
        </w:numPr>
      </w:pPr>
      <w:bookmarkStart w:id="31" w:name="_Toc505593135"/>
      <w:r>
        <w:rPr>
          <w:rStyle w:val="Heading6Char"/>
        </w:rPr>
        <w:t>Treatment of u</w:t>
      </w:r>
      <w:r w:rsidRPr="00895DA9">
        <w:rPr>
          <w:rStyle w:val="Heading6Char"/>
        </w:rPr>
        <w:t>ser charges.</w:t>
      </w:r>
      <w:r>
        <w:t xml:space="preserve"> We are proposing to continue the user charge treatments used in the 2015 Review.</w:t>
      </w:r>
    </w:p>
    <w:p w:rsidR="001E3B3D" w:rsidRDefault="001E3B3D" w:rsidP="001E3B3D">
      <w:pPr>
        <w:pStyle w:val="CGCBulletlist"/>
        <w:numPr>
          <w:ilvl w:val="0"/>
          <w:numId w:val="1"/>
        </w:numPr>
        <w:tabs>
          <w:tab w:val="clear" w:pos="927"/>
        </w:tabs>
        <w:ind w:left="1134" w:hanging="567"/>
      </w:pPr>
      <w:r>
        <w:t xml:space="preserve">A net assessment of user charges. This treatment applies if the drivers of user charges are the same as drivers of use of the related service or if we have drivers of net cost. </w:t>
      </w:r>
    </w:p>
    <w:p w:rsidR="001E3B3D" w:rsidRDefault="001E3B3D" w:rsidP="001E3B3D">
      <w:pPr>
        <w:pStyle w:val="CGCSubbulletlist"/>
        <w:numPr>
          <w:ilvl w:val="0"/>
          <w:numId w:val="4"/>
        </w:numPr>
        <w:tabs>
          <w:tab w:val="clear" w:pos="927"/>
        </w:tabs>
        <w:ind w:left="1701" w:hanging="567"/>
      </w:pPr>
      <w:r>
        <w:t>This treatment is implemented by netting the user charges from the expenses of the relevant expense category. It is the treatment applied to user charges in Post-secondary education, Health, Services to communities and Transport categories.</w:t>
      </w:r>
    </w:p>
    <w:p w:rsidR="001E3B3D" w:rsidRDefault="001E3B3D" w:rsidP="001E3B3D">
      <w:pPr>
        <w:pStyle w:val="CGCBulletlist"/>
        <w:numPr>
          <w:ilvl w:val="0"/>
          <w:numId w:val="1"/>
        </w:numPr>
        <w:tabs>
          <w:tab w:val="clear" w:pos="927"/>
        </w:tabs>
        <w:ind w:left="1134" w:hanging="567"/>
      </w:pPr>
      <w:r>
        <w:lastRenderedPageBreak/>
        <w:t>A gross assessment of user charges. This treatment applies if the drivers of user charges are different from the drivers of use of the related service and when a separate assessment of user charges would be material.</w:t>
      </w:r>
    </w:p>
    <w:p w:rsidR="001E3B3D" w:rsidRDefault="001E3B3D" w:rsidP="001E3B3D">
      <w:pPr>
        <w:pStyle w:val="CGCSubbulletlist"/>
        <w:numPr>
          <w:ilvl w:val="0"/>
          <w:numId w:val="4"/>
        </w:numPr>
        <w:tabs>
          <w:tab w:val="clear" w:pos="927"/>
        </w:tabs>
        <w:ind w:left="1701" w:hanging="567"/>
      </w:pPr>
      <w:r>
        <w:t>This treatment is implemented undertaking the gross assessment and offsetting it against the relevant expense assessment. This is the treatment applied to user charges in the Housing category.</w:t>
      </w:r>
    </w:p>
    <w:p w:rsidR="001E3B3D" w:rsidRDefault="001E3B3D" w:rsidP="001E3B3D">
      <w:pPr>
        <w:pStyle w:val="CGCBulletlist"/>
        <w:numPr>
          <w:ilvl w:val="0"/>
          <w:numId w:val="1"/>
        </w:numPr>
        <w:tabs>
          <w:tab w:val="clear" w:pos="927"/>
        </w:tabs>
        <w:ind w:left="1134" w:hanging="567"/>
      </w:pPr>
      <w:r>
        <w:t xml:space="preserve">An EPC assessment of user charges. To reduce the number of components on the expense categories, these user charges are gathered together and assessed in the </w:t>
      </w:r>
      <w:proofErr w:type="gramStart"/>
      <w:r>
        <w:t>Other</w:t>
      </w:r>
      <w:proofErr w:type="gramEnd"/>
      <w:r>
        <w:t xml:space="preserve"> revenue category.</w:t>
      </w:r>
    </w:p>
    <w:p w:rsidR="001E3B3D" w:rsidRDefault="001E3B3D" w:rsidP="001E3B3D">
      <w:pPr>
        <w:pStyle w:val="CGCNumberedPara"/>
        <w:numPr>
          <w:ilvl w:val="1"/>
          <w:numId w:val="3"/>
        </w:numPr>
      </w:pPr>
      <w:r>
        <w:t xml:space="preserve">Gathering the EPC user charges together and assessing them in the </w:t>
      </w:r>
      <w:proofErr w:type="gramStart"/>
      <w:r>
        <w:t>Other</w:t>
      </w:r>
      <w:proofErr w:type="gramEnd"/>
      <w:r>
        <w:t xml:space="preserve"> revenue category means the Other revenue category comprises more than State revenues that are not differentially assessed.</w:t>
      </w:r>
    </w:p>
    <w:p w:rsidR="001E3B3D" w:rsidRDefault="001E3B3D" w:rsidP="001E3B3D">
      <w:pPr>
        <w:pStyle w:val="CGCNumberedPara"/>
        <w:numPr>
          <w:ilvl w:val="1"/>
          <w:numId w:val="3"/>
        </w:numPr>
      </w:pPr>
      <w:r>
        <w:t>Further details on the proposed treatment of user charges are provided in the draft assessment paper of the relevant expense category.</w:t>
      </w:r>
    </w:p>
    <w:p w:rsidR="00413594" w:rsidRDefault="00413594" w:rsidP="00413594">
      <w:pPr>
        <w:pStyle w:val="Heading4"/>
      </w:pPr>
      <w:bookmarkStart w:id="32" w:name="_Toc509233162"/>
      <w:bookmarkStart w:id="33" w:name="_Toc509233198"/>
      <w:bookmarkStart w:id="34" w:name="_Toc509233518"/>
      <w:bookmarkStart w:id="35" w:name="_Toc510613505"/>
      <w:r w:rsidRPr="00741FF2">
        <w:t>Proposed assessment structure</w:t>
      </w:r>
      <w:bookmarkEnd w:id="31"/>
      <w:bookmarkEnd w:id="32"/>
      <w:bookmarkEnd w:id="33"/>
      <w:bookmarkEnd w:id="34"/>
      <w:bookmarkEnd w:id="35"/>
    </w:p>
    <w:p w:rsidR="000E356E" w:rsidRDefault="009615AA" w:rsidP="009615AA">
      <w:pPr>
        <w:pStyle w:val="CGCNumberedPara"/>
        <w:numPr>
          <w:ilvl w:val="1"/>
          <w:numId w:val="3"/>
        </w:numPr>
      </w:pPr>
      <w:r w:rsidRPr="00741FF2">
        <w:t>Staff propose th</w:t>
      </w:r>
      <w:r w:rsidR="000E356E">
        <w:t xml:space="preserve">at the following </w:t>
      </w:r>
      <w:r w:rsidR="00347C46">
        <w:t>revenues</w:t>
      </w:r>
      <w:r w:rsidR="000E356E">
        <w:t xml:space="preserve"> are assessed as EPC in the Other revenue category:</w:t>
      </w:r>
    </w:p>
    <w:p w:rsidR="000E356E" w:rsidRDefault="000E356E" w:rsidP="000E356E">
      <w:pPr>
        <w:pStyle w:val="CGCBulletlist"/>
      </w:pPr>
      <w:r>
        <w:t>fees and fines</w:t>
      </w:r>
    </w:p>
    <w:p w:rsidR="000E356E" w:rsidRDefault="000E356E" w:rsidP="000E356E">
      <w:pPr>
        <w:pStyle w:val="CGCBulletlist"/>
      </w:pPr>
      <w:r>
        <w:t>user charges</w:t>
      </w:r>
      <w:r w:rsidR="00347C46">
        <w:t xml:space="preserve"> (except for those differentially assessed in expense categories)</w:t>
      </w:r>
    </w:p>
    <w:p w:rsidR="000E356E" w:rsidRDefault="000E356E" w:rsidP="000E356E">
      <w:pPr>
        <w:pStyle w:val="CGCBulletlist"/>
      </w:pPr>
      <w:r>
        <w:t>contributions by trading enterprises</w:t>
      </w:r>
    </w:p>
    <w:p w:rsidR="000E356E" w:rsidRDefault="000E356E" w:rsidP="000E356E">
      <w:pPr>
        <w:pStyle w:val="CGCBulletlist"/>
      </w:pPr>
      <w:r>
        <w:t>interest and dividend income</w:t>
      </w:r>
    </w:p>
    <w:p w:rsidR="00914671" w:rsidRPr="00914671" w:rsidRDefault="000E356E" w:rsidP="00914671">
      <w:pPr>
        <w:pStyle w:val="CGCBulletlist"/>
      </w:pPr>
      <w:proofErr w:type="gramStart"/>
      <w:r>
        <w:t>other</w:t>
      </w:r>
      <w:proofErr w:type="gramEnd"/>
      <w:r>
        <w:t>.</w:t>
      </w:r>
    </w:p>
    <w:sectPr w:rsidR="00914671" w:rsidRPr="00914671" w:rsidSect="004C77F0">
      <w:footerReference w:type="first" r:id="rId18"/>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FF" w:rsidRDefault="00B858FF">
      <w:r>
        <w:separator/>
      </w:r>
    </w:p>
  </w:endnote>
  <w:endnote w:type="continuationSeparator" w:id="0">
    <w:p w:rsidR="00B858FF" w:rsidRDefault="00B8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E" w:rsidRPr="00875C0F" w:rsidRDefault="0052286E" w:rsidP="00BE7A0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E" w:rsidRPr="0011178C" w:rsidRDefault="0052286E" w:rsidP="003929D2">
    <w:pPr>
      <w:pStyle w:val="Footer"/>
      <w:jc w:val="right"/>
    </w:pPr>
    <w:r>
      <w:fldChar w:fldCharType="begin"/>
    </w:r>
    <w:r>
      <w:instrText xml:space="preserve"> PAGE  \* Arabic  \* MERGEFORMAT </w:instrText>
    </w:r>
    <w:r>
      <w:fldChar w:fldCharType="separate"/>
    </w:r>
    <w:r w:rsidR="004C77F0">
      <w:rPr>
        <w:noProof/>
      </w:rPr>
      <w:t>2</w:t>
    </w:r>
    <w:r>
      <w:rPr>
        <w:noProof/>
      </w:rPr>
      <w:fldChar w:fldCharType="end"/>
    </w:r>
  </w:p>
  <w:p w:rsidR="0052286E" w:rsidRDefault="005228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E" w:rsidRDefault="005228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E" w:rsidRPr="0011178C" w:rsidRDefault="0052286E" w:rsidP="003929D2">
    <w:pPr>
      <w:pStyle w:val="Footer"/>
      <w:jc w:val="right"/>
    </w:pPr>
    <w:r>
      <w:fldChar w:fldCharType="begin"/>
    </w:r>
    <w:r>
      <w:instrText xml:space="preserve"> PAGE  \* Arabic  \* MERGEFORMAT </w:instrText>
    </w:r>
    <w:r>
      <w:fldChar w:fldCharType="separate"/>
    </w:r>
    <w:r w:rsidR="00EA4BD5">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E" w:rsidRPr="007E487F" w:rsidRDefault="0052286E" w:rsidP="004C77F0">
    <w:pPr>
      <w:pStyle w:val="Footer"/>
      <w:tabs>
        <w:tab w:val="left" w:pos="8790"/>
        <w:tab w:val="right" w:pos="8931"/>
      </w:tabs>
      <w:rPr>
        <w:sz w:val="20"/>
        <w:szCs w:val="20"/>
      </w:rPr>
    </w:pPr>
    <w:r>
      <w:rPr>
        <w:sz w:val="20"/>
        <w:szCs w:val="20"/>
      </w:rPr>
      <w:tab/>
    </w:r>
    <w:r>
      <w:rPr>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75701"/>
      <w:docPartObj>
        <w:docPartGallery w:val="Page Numbers (Bottom of Page)"/>
        <w:docPartUnique/>
      </w:docPartObj>
    </w:sdtPr>
    <w:sdtEndPr>
      <w:rPr>
        <w:noProof/>
      </w:rPr>
    </w:sdtEndPr>
    <w:sdtContent>
      <w:p w:rsidR="004C77F0" w:rsidRDefault="004C77F0">
        <w:pPr>
          <w:pStyle w:val="Footer"/>
          <w:jc w:val="right"/>
        </w:pPr>
        <w:r>
          <w:fldChar w:fldCharType="begin"/>
        </w:r>
        <w:r>
          <w:instrText xml:space="preserve"> PAGE   \* MERGEFORMAT </w:instrText>
        </w:r>
        <w:r>
          <w:fldChar w:fldCharType="separate"/>
        </w:r>
        <w:r w:rsidR="00EA4BD5">
          <w:rPr>
            <w:noProof/>
          </w:rPr>
          <w:t>1</w:t>
        </w:r>
        <w:r>
          <w:rPr>
            <w:noProof/>
          </w:rPr>
          <w:fldChar w:fldCharType="end"/>
        </w:r>
      </w:p>
    </w:sdtContent>
  </w:sdt>
  <w:p w:rsidR="004C77F0" w:rsidRPr="007E487F" w:rsidRDefault="004C77F0" w:rsidP="004C77F0">
    <w:pPr>
      <w:pStyle w:val="Footer"/>
      <w:tabs>
        <w:tab w:val="left" w:pos="8790"/>
        <w:tab w:val="right" w:pos="8931"/>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FF" w:rsidRDefault="00B858FF">
      <w:r>
        <w:separator/>
      </w:r>
    </w:p>
  </w:footnote>
  <w:footnote w:type="continuationSeparator" w:id="0">
    <w:p w:rsidR="00B858FF" w:rsidRDefault="00B85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330E15"/>
    <w:multiLevelType w:val="hybridMultilevel"/>
    <w:tmpl w:val="D1100DE0"/>
    <w:lvl w:ilvl="0" w:tplc="7CF8DB8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9FD288C"/>
    <w:multiLevelType w:val="hybridMultilevel"/>
    <w:tmpl w:val="556A2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16"/>
  </w:num>
  <w:num w:numId="6">
    <w:abstractNumId w:val="5"/>
  </w:num>
  <w:num w:numId="7">
    <w:abstractNumId w:val="5"/>
  </w:num>
  <w:num w:numId="8">
    <w:abstractNumId w:val="5"/>
  </w:num>
  <w:num w:numId="9">
    <w:abstractNumId w:val="5"/>
  </w:num>
  <w:num w:numId="10">
    <w:abstractNumId w:val="15"/>
  </w:num>
  <w:num w:numId="11">
    <w:abstractNumId w:val="6"/>
  </w:num>
  <w:num w:numId="12">
    <w:abstractNumId w:val="1"/>
  </w:num>
  <w:num w:numId="13">
    <w:abstractNumId w:val="16"/>
  </w:num>
  <w:num w:numId="14">
    <w:abstractNumId w:val="5"/>
  </w:num>
  <w:num w:numId="15">
    <w:abstractNumId w:val="5"/>
  </w:num>
  <w:num w:numId="16">
    <w:abstractNumId w:val="5"/>
  </w:num>
  <w:num w:numId="17">
    <w:abstractNumId w:val="5"/>
  </w:num>
  <w:num w:numId="18">
    <w:abstractNumId w:val="0"/>
  </w:num>
  <w:num w:numId="19">
    <w:abstractNumId w:val="10"/>
  </w:num>
  <w:num w:numId="20">
    <w:abstractNumId w:val="11"/>
  </w:num>
  <w:num w:numId="21">
    <w:abstractNumId w:val="2"/>
  </w:num>
  <w:num w:numId="22">
    <w:abstractNumId w:val="8"/>
  </w:num>
  <w:num w:numId="23">
    <w:abstractNumId w:val="14"/>
  </w:num>
  <w:num w:numId="24">
    <w:abstractNumId w:val="4"/>
  </w:num>
  <w:num w:numId="25">
    <w:abstractNumId w:val="12"/>
  </w:num>
  <w:num w:numId="26">
    <w:abstractNumId w:val="1"/>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1"/>
  </w:num>
  <w:num w:numId="33">
    <w:abstractNumId w:val="6"/>
  </w:num>
  <w:num w:numId="34">
    <w:abstractNumId w:val="16"/>
  </w:num>
  <w:num w:numId="35">
    <w:abstractNumId w:val="10"/>
  </w:num>
  <w:num w:numId="36">
    <w:abstractNumId w:val="15"/>
  </w:num>
  <w:num w:numId="37">
    <w:abstractNumId w:val="1"/>
  </w:num>
  <w:num w:numId="38">
    <w:abstractNumId w:val="6"/>
  </w:num>
  <w:num w:numId="39">
    <w:abstractNumId w:val="16"/>
  </w:num>
  <w:num w:numId="40">
    <w:abstractNumId w:val="1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94"/>
    <w:rsid w:val="00010128"/>
    <w:rsid w:val="000117D7"/>
    <w:rsid w:val="00016FE0"/>
    <w:rsid w:val="00022EA9"/>
    <w:rsid w:val="00024745"/>
    <w:rsid w:val="0003067C"/>
    <w:rsid w:val="00032F41"/>
    <w:rsid w:val="000406E0"/>
    <w:rsid w:val="0004123E"/>
    <w:rsid w:val="00041748"/>
    <w:rsid w:val="00041E84"/>
    <w:rsid w:val="000424EA"/>
    <w:rsid w:val="00056373"/>
    <w:rsid w:val="00060E7C"/>
    <w:rsid w:val="00061111"/>
    <w:rsid w:val="000624BB"/>
    <w:rsid w:val="000648E8"/>
    <w:rsid w:val="00065D4F"/>
    <w:rsid w:val="00090670"/>
    <w:rsid w:val="00093796"/>
    <w:rsid w:val="000A0892"/>
    <w:rsid w:val="000A3898"/>
    <w:rsid w:val="000A4DE5"/>
    <w:rsid w:val="000A52A1"/>
    <w:rsid w:val="000B0A4C"/>
    <w:rsid w:val="000B2942"/>
    <w:rsid w:val="000B3557"/>
    <w:rsid w:val="000B4CF6"/>
    <w:rsid w:val="000B64E3"/>
    <w:rsid w:val="000C1B6D"/>
    <w:rsid w:val="000D1354"/>
    <w:rsid w:val="000D35A6"/>
    <w:rsid w:val="000D3BC7"/>
    <w:rsid w:val="000D7C54"/>
    <w:rsid w:val="000E0210"/>
    <w:rsid w:val="000E1A5B"/>
    <w:rsid w:val="000E356E"/>
    <w:rsid w:val="000E6AA5"/>
    <w:rsid w:val="000E7F56"/>
    <w:rsid w:val="000F1CDA"/>
    <w:rsid w:val="000F284A"/>
    <w:rsid w:val="001033E1"/>
    <w:rsid w:val="001039C2"/>
    <w:rsid w:val="001040AD"/>
    <w:rsid w:val="0011178C"/>
    <w:rsid w:val="00112CF0"/>
    <w:rsid w:val="00113032"/>
    <w:rsid w:val="001135FE"/>
    <w:rsid w:val="00115065"/>
    <w:rsid w:val="001211AB"/>
    <w:rsid w:val="001218B8"/>
    <w:rsid w:val="00124ED1"/>
    <w:rsid w:val="00126DFC"/>
    <w:rsid w:val="00136497"/>
    <w:rsid w:val="00141BD1"/>
    <w:rsid w:val="0014608A"/>
    <w:rsid w:val="00147115"/>
    <w:rsid w:val="001477CE"/>
    <w:rsid w:val="001540C4"/>
    <w:rsid w:val="00160CBD"/>
    <w:rsid w:val="0016723A"/>
    <w:rsid w:val="00171A05"/>
    <w:rsid w:val="00172F3A"/>
    <w:rsid w:val="001730FD"/>
    <w:rsid w:val="00173798"/>
    <w:rsid w:val="00173BE6"/>
    <w:rsid w:val="00173E72"/>
    <w:rsid w:val="001807C0"/>
    <w:rsid w:val="001811DE"/>
    <w:rsid w:val="00181787"/>
    <w:rsid w:val="00187145"/>
    <w:rsid w:val="001921F3"/>
    <w:rsid w:val="00194AB5"/>
    <w:rsid w:val="001A1260"/>
    <w:rsid w:val="001B0110"/>
    <w:rsid w:val="001B3048"/>
    <w:rsid w:val="001B3DE2"/>
    <w:rsid w:val="001B696E"/>
    <w:rsid w:val="001B6A56"/>
    <w:rsid w:val="001C469B"/>
    <w:rsid w:val="001C6A71"/>
    <w:rsid w:val="001C77ED"/>
    <w:rsid w:val="001D638B"/>
    <w:rsid w:val="001D6DFA"/>
    <w:rsid w:val="001E0CB1"/>
    <w:rsid w:val="001E3B3D"/>
    <w:rsid w:val="001E46C7"/>
    <w:rsid w:val="001E6180"/>
    <w:rsid w:val="001E674B"/>
    <w:rsid w:val="001E68FC"/>
    <w:rsid w:val="00203A42"/>
    <w:rsid w:val="00204026"/>
    <w:rsid w:val="00207E57"/>
    <w:rsid w:val="00212948"/>
    <w:rsid w:val="00217839"/>
    <w:rsid w:val="00225A3B"/>
    <w:rsid w:val="0023081D"/>
    <w:rsid w:val="0023329C"/>
    <w:rsid w:val="00236DC0"/>
    <w:rsid w:val="002373A2"/>
    <w:rsid w:val="00242517"/>
    <w:rsid w:val="0024260B"/>
    <w:rsid w:val="00242C74"/>
    <w:rsid w:val="0024401F"/>
    <w:rsid w:val="0024569B"/>
    <w:rsid w:val="00255B5A"/>
    <w:rsid w:val="002671A2"/>
    <w:rsid w:val="00267496"/>
    <w:rsid w:val="002756C4"/>
    <w:rsid w:val="00275B68"/>
    <w:rsid w:val="002845EA"/>
    <w:rsid w:val="00286EBE"/>
    <w:rsid w:val="00290057"/>
    <w:rsid w:val="00295B70"/>
    <w:rsid w:val="002A2A08"/>
    <w:rsid w:val="002A2D93"/>
    <w:rsid w:val="002A4E42"/>
    <w:rsid w:val="002A77C3"/>
    <w:rsid w:val="002B10B0"/>
    <w:rsid w:val="002B169C"/>
    <w:rsid w:val="002B21D7"/>
    <w:rsid w:val="002B6EFD"/>
    <w:rsid w:val="002B6F33"/>
    <w:rsid w:val="002B79F0"/>
    <w:rsid w:val="002B7F3E"/>
    <w:rsid w:val="002C1D9C"/>
    <w:rsid w:val="002C366F"/>
    <w:rsid w:val="002C4066"/>
    <w:rsid w:val="002C4CA9"/>
    <w:rsid w:val="002D2270"/>
    <w:rsid w:val="002E25A8"/>
    <w:rsid w:val="002E5EB8"/>
    <w:rsid w:val="002F04DE"/>
    <w:rsid w:val="002F1CD3"/>
    <w:rsid w:val="002F1D7B"/>
    <w:rsid w:val="002F6E28"/>
    <w:rsid w:val="002F7E68"/>
    <w:rsid w:val="00302E5E"/>
    <w:rsid w:val="00302F11"/>
    <w:rsid w:val="00307DEF"/>
    <w:rsid w:val="00311D33"/>
    <w:rsid w:val="00313664"/>
    <w:rsid w:val="003145D4"/>
    <w:rsid w:val="00314F90"/>
    <w:rsid w:val="0033102E"/>
    <w:rsid w:val="00331401"/>
    <w:rsid w:val="00333234"/>
    <w:rsid w:val="00335ED1"/>
    <w:rsid w:val="00337EF8"/>
    <w:rsid w:val="00342A60"/>
    <w:rsid w:val="0034379D"/>
    <w:rsid w:val="0034646D"/>
    <w:rsid w:val="00347BE5"/>
    <w:rsid w:val="00347C46"/>
    <w:rsid w:val="003522E0"/>
    <w:rsid w:val="0035267F"/>
    <w:rsid w:val="0035580D"/>
    <w:rsid w:val="003639FB"/>
    <w:rsid w:val="00363BF7"/>
    <w:rsid w:val="00382AE5"/>
    <w:rsid w:val="00384EBA"/>
    <w:rsid w:val="003929D2"/>
    <w:rsid w:val="00393FA5"/>
    <w:rsid w:val="003A0E31"/>
    <w:rsid w:val="003A27BB"/>
    <w:rsid w:val="003B673D"/>
    <w:rsid w:val="003C2577"/>
    <w:rsid w:val="003C4448"/>
    <w:rsid w:val="003D3D91"/>
    <w:rsid w:val="003D4708"/>
    <w:rsid w:val="003D477A"/>
    <w:rsid w:val="003E52D0"/>
    <w:rsid w:val="003E6615"/>
    <w:rsid w:val="003E68D5"/>
    <w:rsid w:val="003E79F9"/>
    <w:rsid w:val="003F04CA"/>
    <w:rsid w:val="003F12E9"/>
    <w:rsid w:val="003F59F4"/>
    <w:rsid w:val="004010F7"/>
    <w:rsid w:val="004020C6"/>
    <w:rsid w:val="00404DCD"/>
    <w:rsid w:val="004077D6"/>
    <w:rsid w:val="004121E7"/>
    <w:rsid w:val="00412B9E"/>
    <w:rsid w:val="00413594"/>
    <w:rsid w:val="00414E51"/>
    <w:rsid w:val="00420F04"/>
    <w:rsid w:val="00423099"/>
    <w:rsid w:val="00424E79"/>
    <w:rsid w:val="0042661C"/>
    <w:rsid w:val="004274B3"/>
    <w:rsid w:val="00443EC1"/>
    <w:rsid w:val="00453264"/>
    <w:rsid w:val="00462B54"/>
    <w:rsid w:val="00463064"/>
    <w:rsid w:val="00465C63"/>
    <w:rsid w:val="004660A2"/>
    <w:rsid w:val="00472461"/>
    <w:rsid w:val="0047416B"/>
    <w:rsid w:val="00477465"/>
    <w:rsid w:val="004809B8"/>
    <w:rsid w:val="00482100"/>
    <w:rsid w:val="004821B9"/>
    <w:rsid w:val="00483B51"/>
    <w:rsid w:val="00491D88"/>
    <w:rsid w:val="00492C68"/>
    <w:rsid w:val="0049605C"/>
    <w:rsid w:val="004965F7"/>
    <w:rsid w:val="004A001D"/>
    <w:rsid w:val="004A7048"/>
    <w:rsid w:val="004B0A0A"/>
    <w:rsid w:val="004B1C4B"/>
    <w:rsid w:val="004B591C"/>
    <w:rsid w:val="004B60CB"/>
    <w:rsid w:val="004B71B7"/>
    <w:rsid w:val="004C1CB5"/>
    <w:rsid w:val="004C6040"/>
    <w:rsid w:val="004C77F0"/>
    <w:rsid w:val="004E65D9"/>
    <w:rsid w:val="004E769A"/>
    <w:rsid w:val="00500ACD"/>
    <w:rsid w:val="00502D77"/>
    <w:rsid w:val="00503FB3"/>
    <w:rsid w:val="00504061"/>
    <w:rsid w:val="00505BAE"/>
    <w:rsid w:val="00506956"/>
    <w:rsid w:val="00515380"/>
    <w:rsid w:val="00515C0E"/>
    <w:rsid w:val="005176CA"/>
    <w:rsid w:val="005177E7"/>
    <w:rsid w:val="0052286E"/>
    <w:rsid w:val="0053273F"/>
    <w:rsid w:val="005332E4"/>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97935"/>
    <w:rsid w:val="005A241E"/>
    <w:rsid w:val="005A6E9C"/>
    <w:rsid w:val="005A6FED"/>
    <w:rsid w:val="005B1BC4"/>
    <w:rsid w:val="005B6894"/>
    <w:rsid w:val="005C13B2"/>
    <w:rsid w:val="005C27E3"/>
    <w:rsid w:val="005C37CB"/>
    <w:rsid w:val="005C459C"/>
    <w:rsid w:val="005D1A9F"/>
    <w:rsid w:val="005D52FA"/>
    <w:rsid w:val="005E266F"/>
    <w:rsid w:val="005E5001"/>
    <w:rsid w:val="005E5734"/>
    <w:rsid w:val="005E73CE"/>
    <w:rsid w:val="005F07DC"/>
    <w:rsid w:val="005F64FB"/>
    <w:rsid w:val="0060251E"/>
    <w:rsid w:val="00602DDE"/>
    <w:rsid w:val="00611737"/>
    <w:rsid w:val="00614DE8"/>
    <w:rsid w:val="00622669"/>
    <w:rsid w:val="00622FE1"/>
    <w:rsid w:val="00625CE5"/>
    <w:rsid w:val="00626DC9"/>
    <w:rsid w:val="00635027"/>
    <w:rsid w:val="006421E2"/>
    <w:rsid w:val="00644A7B"/>
    <w:rsid w:val="00652842"/>
    <w:rsid w:val="006556D9"/>
    <w:rsid w:val="00661C46"/>
    <w:rsid w:val="00662B6E"/>
    <w:rsid w:val="006652D3"/>
    <w:rsid w:val="00667CF3"/>
    <w:rsid w:val="00667F43"/>
    <w:rsid w:val="006769C4"/>
    <w:rsid w:val="00677627"/>
    <w:rsid w:val="00677BD5"/>
    <w:rsid w:val="0068025E"/>
    <w:rsid w:val="00692163"/>
    <w:rsid w:val="00693C87"/>
    <w:rsid w:val="006A05C7"/>
    <w:rsid w:val="006A2029"/>
    <w:rsid w:val="006A607B"/>
    <w:rsid w:val="006A6E27"/>
    <w:rsid w:val="006A72B0"/>
    <w:rsid w:val="006B3E4D"/>
    <w:rsid w:val="006C52B9"/>
    <w:rsid w:val="006D1DFE"/>
    <w:rsid w:val="006E3561"/>
    <w:rsid w:val="006E3DFD"/>
    <w:rsid w:val="006E6BC2"/>
    <w:rsid w:val="006E77BB"/>
    <w:rsid w:val="0070150E"/>
    <w:rsid w:val="00705DB8"/>
    <w:rsid w:val="00707DE8"/>
    <w:rsid w:val="00713225"/>
    <w:rsid w:val="007179EE"/>
    <w:rsid w:val="0072512A"/>
    <w:rsid w:val="00731EE6"/>
    <w:rsid w:val="007355A6"/>
    <w:rsid w:val="00740A71"/>
    <w:rsid w:val="007437BA"/>
    <w:rsid w:val="007477C5"/>
    <w:rsid w:val="00747938"/>
    <w:rsid w:val="00753F3D"/>
    <w:rsid w:val="007614CF"/>
    <w:rsid w:val="00762AFB"/>
    <w:rsid w:val="00765BA8"/>
    <w:rsid w:val="00766007"/>
    <w:rsid w:val="00770A26"/>
    <w:rsid w:val="007A1364"/>
    <w:rsid w:val="007A24A0"/>
    <w:rsid w:val="007A4AB2"/>
    <w:rsid w:val="007A5E68"/>
    <w:rsid w:val="007B1BF7"/>
    <w:rsid w:val="007B5C5B"/>
    <w:rsid w:val="007C404B"/>
    <w:rsid w:val="007C4BAE"/>
    <w:rsid w:val="007D079B"/>
    <w:rsid w:val="007D1CE9"/>
    <w:rsid w:val="007D1D3B"/>
    <w:rsid w:val="007D5960"/>
    <w:rsid w:val="007E114E"/>
    <w:rsid w:val="007E487F"/>
    <w:rsid w:val="007E4B2D"/>
    <w:rsid w:val="007E587D"/>
    <w:rsid w:val="007E71E9"/>
    <w:rsid w:val="007F1D06"/>
    <w:rsid w:val="007F603C"/>
    <w:rsid w:val="008010D7"/>
    <w:rsid w:val="00803443"/>
    <w:rsid w:val="0080680D"/>
    <w:rsid w:val="00812C05"/>
    <w:rsid w:val="0081322A"/>
    <w:rsid w:val="008162AB"/>
    <w:rsid w:val="00823019"/>
    <w:rsid w:val="008254CF"/>
    <w:rsid w:val="00827FB8"/>
    <w:rsid w:val="00830E7B"/>
    <w:rsid w:val="008365E5"/>
    <w:rsid w:val="00843E6F"/>
    <w:rsid w:val="00846E4A"/>
    <w:rsid w:val="00851AF5"/>
    <w:rsid w:val="00851FB5"/>
    <w:rsid w:val="008647DE"/>
    <w:rsid w:val="00864B95"/>
    <w:rsid w:val="00876B0D"/>
    <w:rsid w:val="008800D3"/>
    <w:rsid w:val="00886CDD"/>
    <w:rsid w:val="0089214D"/>
    <w:rsid w:val="0089393B"/>
    <w:rsid w:val="00893C0D"/>
    <w:rsid w:val="00895DA9"/>
    <w:rsid w:val="008A20DA"/>
    <w:rsid w:val="008A57AA"/>
    <w:rsid w:val="008B324E"/>
    <w:rsid w:val="008B5C8F"/>
    <w:rsid w:val="008B5F16"/>
    <w:rsid w:val="008B7722"/>
    <w:rsid w:val="008B7A0B"/>
    <w:rsid w:val="008C0E5C"/>
    <w:rsid w:val="008D348B"/>
    <w:rsid w:val="008D44C4"/>
    <w:rsid w:val="008E2BE4"/>
    <w:rsid w:val="008E4DCF"/>
    <w:rsid w:val="008E6B4E"/>
    <w:rsid w:val="008E7970"/>
    <w:rsid w:val="008E7C34"/>
    <w:rsid w:val="008F0C36"/>
    <w:rsid w:val="008F377B"/>
    <w:rsid w:val="00914671"/>
    <w:rsid w:val="00915512"/>
    <w:rsid w:val="009233CC"/>
    <w:rsid w:val="009240D8"/>
    <w:rsid w:val="0093255E"/>
    <w:rsid w:val="009360D7"/>
    <w:rsid w:val="009362C9"/>
    <w:rsid w:val="00942387"/>
    <w:rsid w:val="0094626F"/>
    <w:rsid w:val="009462D2"/>
    <w:rsid w:val="00946308"/>
    <w:rsid w:val="009615AA"/>
    <w:rsid w:val="009652D5"/>
    <w:rsid w:val="009677F8"/>
    <w:rsid w:val="00971146"/>
    <w:rsid w:val="00972A2B"/>
    <w:rsid w:val="00972A9A"/>
    <w:rsid w:val="00981B35"/>
    <w:rsid w:val="00991675"/>
    <w:rsid w:val="00992008"/>
    <w:rsid w:val="0099517B"/>
    <w:rsid w:val="00996409"/>
    <w:rsid w:val="00996D00"/>
    <w:rsid w:val="009A03DC"/>
    <w:rsid w:val="009A3B6E"/>
    <w:rsid w:val="009A6CF3"/>
    <w:rsid w:val="009B2296"/>
    <w:rsid w:val="009B27E8"/>
    <w:rsid w:val="009B295F"/>
    <w:rsid w:val="009B338D"/>
    <w:rsid w:val="009B43BF"/>
    <w:rsid w:val="009B4A2D"/>
    <w:rsid w:val="009B4E2A"/>
    <w:rsid w:val="009C1E0B"/>
    <w:rsid w:val="009D389C"/>
    <w:rsid w:val="009D545A"/>
    <w:rsid w:val="009D66F3"/>
    <w:rsid w:val="009D6D44"/>
    <w:rsid w:val="009E22FA"/>
    <w:rsid w:val="009E4744"/>
    <w:rsid w:val="009E4EC9"/>
    <w:rsid w:val="009E4F37"/>
    <w:rsid w:val="009E5D5A"/>
    <w:rsid w:val="009E7559"/>
    <w:rsid w:val="009F2262"/>
    <w:rsid w:val="009F4ADA"/>
    <w:rsid w:val="009F6A0D"/>
    <w:rsid w:val="00A04651"/>
    <w:rsid w:val="00A07991"/>
    <w:rsid w:val="00A10CDE"/>
    <w:rsid w:val="00A12C16"/>
    <w:rsid w:val="00A149C8"/>
    <w:rsid w:val="00A1680D"/>
    <w:rsid w:val="00A23AB0"/>
    <w:rsid w:val="00A24FCF"/>
    <w:rsid w:val="00A258DC"/>
    <w:rsid w:val="00A266C5"/>
    <w:rsid w:val="00A309C6"/>
    <w:rsid w:val="00A32E4E"/>
    <w:rsid w:val="00A505DE"/>
    <w:rsid w:val="00A5327C"/>
    <w:rsid w:val="00A5611A"/>
    <w:rsid w:val="00A5721C"/>
    <w:rsid w:val="00A66BE8"/>
    <w:rsid w:val="00A67913"/>
    <w:rsid w:val="00A81A94"/>
    <w:rsid w:val="00A9681E"/>
    <w:rsid w:val="00AA007A"/>
    <w:rsid w:val="00AB073E"/>
    <w:rsid w:val="00AB1A13"/>
    <w:rsid w:val="00AB4E9F"/>
    <w:rsid w:val="00AC210F"/>
    <w:rsid w:val="00AC319E"/>
    <w:rsid w:val="00AC387B"/>
    <w:rsid w:val="00AE0011"/>
    <w:rsid w:val="00AE1844"/>
    <w:rsid w:val="00AE2E81"/>
    <w:rsid w:val="00AE3A1E"/>
    <w:rsid w:val="00AE4AD3"/>
    <w:rsid w:val="00AE734F"/>
    <w:rsid w:val="00AF2656"/>
    <w:rsid w:val="00AF6110"/>
    <w:rsid w:val="00AF6AC6"/>
    <w:rsid w:val="00B00611"/>
    <w:rsid w:val="00B038DE"/>
    <w:rsid w:val="00B04354"/>
    <w:rsid w:val="00B068A0"/>
    <w:rsid w:val="00B159AD"/>
    <w:rsid w:val="00B249FC"/>
    <w:rsid w:val="00B317E7"/>
    <w:rsid w:val="00B33A57"/>
    <w:rsid w:val="00B34083"/>
    <w:rsid w:val="00B37728"/>
    <w:rsid w:val="00B45C64"/>
    <w:rsid w:val="00B46A32"/>
    <w:rsid w:val="00B46B29"/>
    <w:rsid w:val="00B53547"/>
    <w:rsid w:val="00B53597"/>
    <w:rsid w:val="00B55D3E"/>
    <w:rsid w:val="00B62590"/>
    <w:rsid w:val="00B62D43"/>
    <w:rsid w:val="00B6729F"/>
    <w:rsid w:val="00B82627"/>
    <w:rsid w:val="00B858FF"/>
    <w:rsid w:val="00B86B4C"/>
    <w:rsid w:val="00B90AA7"/>
    <w:rsid w:val="00B93091"/>
    <w:rsid w:val="00B94335"/>
    <w:rsid w:val="00BA65E5"/>
    <w:rsid w:val="00BB09DF"/>
    <w:rsid w:val="00BB3121"/>
    <w:rsid w:val="00BB3FC5"/>
    <w:rsid w:val="00BB5137"/>
    <w:rsid w:val="00BC2B3B"/>
    <w:rsid w:val="00BC4579"/>
    <w:rsid w:val="00BC68D0"/>
    <w:rsid w:val="00BC6D80"/>
    <w:rsid w:val="00BC70BA"/>
    <w:rsid w:val="00BC76B9"/>
    <w:rsid w:val="00BD39E4"/>
    <w:rsid w:val="00BD3D24"/>
    <w:rsid w:val="00BF345A"/>
    <w:rsid w:val="00C0018A"/>
    <w:rsid w:val="00C00905"/>
    <w:rsid w:val="00C035B5"/>
    <w:rsid w:val="00C11ABD"/>
    <w:rsid w:val="00C14FB2"/>
    <w:rsid w:val="00C1697A"/>
    <w:rsid w:val="00C176AC"/>
    <w:rsid w:val="00C21EF9"/>
    <w:rsid w:val="00C222F7"/>
    <w:rsid w:val="00C24839"/>
    <w:rsid w:val="00C27C23"/>
    <w:rsid w:val="00C41C84"/>
    <w:rsid w:val="00C44849"/>
    <w:rsid w:val="00C5237C"/>
    <w:rsid w:val="00C526D1"/>
    <w:rsid w:val="00C554D4"/>
    <w:rsid w:val="00C61B02"/>
    <w:rsid w:val="00C63E74"/>
    <w:rsid w:val="00C719A2"/>
    <w:rsid w:val="00C72165"/>
    <w:rsid w:val="00C83041"/>
    <w:rsid w:val="00C90B42"/>
    <w:rsid w:val="00C931CA"/>
    <w:rsid w:val="00C9475D"/>
    <w:rsid w:val="00C95056"/>
    <w:rsid w:val="00C951FD"/>
    <w:rsid w:val="00C96C9C"/>
    <w:rsid w:val="00CA4E40"/>
    <w:rsid w:val="00CA7F28"/>
    <w:rsid w:val="00CB0768"/>
    <w:rsid w:val="00CB131F"/>
    <w:rsid w:val="00CB4DCD"/>
    <w:rsid w:val="00CB4F2D"/>
    <w:rsid w:val="00CC1690"/>
    <w:rsid w:val="00CC2E0D"/>
    <w:rsid w:val="00CC665A"/>
    <w:rsid w:val="00CD2D52"/>
    <w:rsid w:val="00CD4CC5"/>
    <w:rsid w:val="00CE04A0"/>
    <w:rsid w:val="00CE316A"/>
    <w:rsid w:val="00CE34DC"/>
    <w:rsid w:val="00CF0563"/>
    <w:rsid w:val="00D07FB4"/>
    <w:rsid w:val="00D21FA8"/>
    <w:rsid w:val="00D236B7"/>
    <w:rsid w:val="00D23E48"/>
    <w:rsid w:val="00D244BE"/>
    <w:rsid w:val="00D30A31"/>
    <w:rsid w:val="00D43096"/>
    <w:rsid w:val="00D46AB2"/>
    <w:rsid w:val="00D47815"/>
    <w:rsid w:val="00D54493"/>
    <w:rsid w:val="00D656EB"/>
    <w:rsid w:val="00D771FD"/>
    <w:rsid w:val="00D7796D"/>
    <w:rsid w:val="00D81B18"/>
    <w:rsid w:val="00D83541"/>
    <w:rsid w:val="00D83ED6"/>
    <w:rsid w:val="00D93A16"/>
    <w:rsid w:val="00D9496D"/>
    <w:rsid w:val="00DA0768"/>
    <w:rsid w:val="00DA161A"/>
    <w:rsid w:val="00DA5A94"/>
    <w:rsid w:val="00DB2355"/>
    <w:rsid w:val="00DB3BB4"/>
    <w:rsid w:val="00DC0F02"/>
    <w:rsid w:val="00DC0F8D"/>
    <w:rsid w:val="00DC2284"/>
    <w:rsid w:val="00DC3591"/>
    <w:rsid w:val="00DC3CA4"/>
    <w:rsid w:val="00DE4578"/>
    <w:rsid w:val="00DF04EE"/>
    <w:rsid w:val="00DF3E35"/>
    <w:rsid w:val="00E03ED5"/>
    <w:rsid w:val="00E05615"/>
    <w:rsid w:val="00E06243"/>
    <w:rsid w:val="00E07169"/>
    <w:rsid w:val="00E105A3"/>
    <w:rsid w:val="00E1688C"/>
    <w:rsid w:val="00E20832"/>
    <w:rsid w:val="00E22665"/>
    <w:rsid w:val="00E22C9F"/>
    <w:rsid w:val="00E30499"/>
    <w:rsid w:val="00E30B51"/>
    <w:rsid w:val="00E324BB"/>
    <w:rsid w:val="00E36A6D"/>
    <w:rsid w:val="00E377E8"/>
    <w:rsid w:val="00E43464"/>
    <w:rsid w:val="00E43FAF"/>
    <w:rsid w:val="00E47A69"/>
    <w:rsid w:val="00E516DC"/>
    <w:rsid w:val="00E571BB"/>
    <w:rsid w:val="00E608EE"/>
    <w:rsid w:val="00E614F2"/>
    <w:rsid w:val="00E62CEA"/>
    <w:rsid w:val="00E72587"/>
    <w:rsid w:val="00E74435"/>
    <w:rsid w:val="00E758AD"/>
    <w:rsid w:val="00E77D4E"/>
    <w:rsid w:val="00E91860"/>
    <w:rsid w:val="00E954B7"/>
    <w:rsid w:val="00E96FDB"/>
    <w:rsid w:val="00EA107B"/>
    <w:rsid w:val="00EA1090"/>
    <w:rsid w:val="00EA4BD5"/>
    <w:rsid w:val="00EA7728"/>
    <w:rsid w:val="00EB01A7"/>
    <w:rsid w:val="00EC16F1"/>
    <w:rsid w:val="00ED05D6"/>
    <w:rsid w:val="00ED0C6F"/>
    <w:rsid w:val="00ED2FCC"/>
    <w:rsid w:val="00ED3EF9"/>
    <w:rsid w:val="00EE3FF6"/>
    <w:rsid w:val="00EE5F75"/>
    <w:rsid w:val="00EF2722"/>
    <w:rsid w:val="00EF6805"/>
    <w:rsid w:val="00EF6EEB"/>
    <w:rsid w:val="00F00508"/>
    <w:rsid w:val="00F01E52"/>
    <w:rsid w:val="00F042DC"/>
    <w:rsid w:val="00F07099"/>
    <w:rsid w:val="00F07777"/>
    <w:rsid w:val="00F105EA"/>
    <w:rsid w:val="00F11117"/>
    <w:rsid w:val="00F12541"/>
    <w:rsid w:val="00F13A06"/>
    <w:rsid w:val="00F22035"/>
    <w:rsid w:val="00F22D18"/>
    <w:rsid w:val="00F36C87"/>
    <w:rsid w:val="00F37263"/>
    <w:rsid w:val="00F42F4A"/>
    <w:rsid w:val="00F46927"/>
    <w:rsid w:val="00F51303"/>
    <w:rsid w:val="00F55854"/>
    <w:rsid w:val="00F56813"/>
    <w:rsid w:val="00F70110"/>
    <w:rsid w:val="00F715D6"/>
    <w:rsid w:val="00F72C93"/>
    <w:rsid w:val="00F75F6C"/>
    <w:rsid w:val="00F80A88"/>
    <w:rsid w:val="00F823F5"/>
    <w:rsid w:val="00F9170D"/>
    <w:rsid w:val="00F92D54"/>
    <w:rsid w:val="00F9418F"/>
    <w:rsid w:val="00F94368"/>
    <w:rsid w:val="00F9494C"/>
    <w:rsid w:val="00FA0026"/>
    <w:rsid w:val="00FA15C8"/>
    <w:rsid w:val="00FA2D86"/>
    <w:rsid w:val="00FA348C"/>
    <w:rsid w:val="00FA7522"/>
    <w:rsid w:val="00FB0AD8"/>
    <w:rsid w:val="00FB11FD"/>
    <w:rsid w:val="00FB41F5"/>
    <w:rsid w:val="00FB4DBB"/>
    <w:rsid w:val="00FD2643"/>
    <w:rsid w:val="00FE2C17"/>
    <w:rsid w:val="00FF072F"/>
    <w:rsid w:val="00FF1810"/>
    <w:rsid w:val="00FF4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footnote text" w:qFormat="1"/>
    <w:lsdException w:name="footer" w:uiPriority="99"/>
    <w:lsdException w:name="caption" w:qFormat="1"/>
    <w:lsdException w:name="footnote reference" w:qFormat="1"/>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413594"/>
    <w:rPr>
      <w:sz w:val="24"/>
      <w:szCs w:val="20"/>
    </w:rPr>
  </w:style>
  <w:style w:type="character" w:customStyle="1" w:styleId="CGCParaNoChar">
    <w:name w:val="CGC Para No Char"/>
    <w:aliases w:val="CGC Numbered Para Char"/>
    <w:basedOn w:val="DefaultParagraphFont"/>
    <w:link w:val="CGCNumberedPara"/>
    <w:rsid w:val="00413594"/>
    <w:rPr>
      <w:sz w:val="24"/>
      <w:szCs w:val="24"/>
    </w:rPr>
  </w:style>
  <w:style w:type="character" w:customStyle="1" w:styleId="CGCTableFootnoteChar">
    <w:name w:val="CGC Table Footnote Char"/>
    <w:basedOn w:val="DefaultParagraphFont"/>
    <w:link w:val="CGCTableFootnote"/>
    <w:rsid w:val="00413594"/>
    <w:rPr>
      <w:sz w:val="20"/>
      <w:szCs w:val="24"/>
    </w:rPr>
  </w:style>
  <w:style w:type="character" w:customStyle="1" w:styleId="CGCTableHeadingChar">
    <w:name w:val="CGC Table Heading Char"/>
    <w:basedOn w:val="DefaultParagraphFont"/>
    <w:link w:val="CGCTableHeading"/>
    <w:rsid w:val="00413594"/>
    <w:rPr>
      <w:b/>
      <w:sz w:val="24"/>
      <w:szCs w:val="20"/>
    </w:rPr>
  </w:style>
  <w:style w:type="character" w:customStyle="1" w:styleId="CGCTableStubChar">
    <w:name w:val="CGC Table Stub Char"/>
    <w:basedOn w:val="DefaultParagraphFont"/>
    <w:link w:val="CGCTableStub"/>
    <w:rsid w:val="00413594"/>
    <w:rPr>
      <w:sz w:val="20"/>
      <w:szCs w:val="20"/>
    </w:rPr>
  </w:style>
  <w:style w:type="character" w:customStyle="1" w:styleId="CGCBulletlistChar">
    <w:name w:val="CGC Bullet list Char"/>
    <w:aliases w:val="CGC List 1 Char,CGC Bullet list Char1"/>
    <w:basedOn w:val="DefaultParagraphFont"/>
    <w:locked/>
    <w:rsid w:val="00413594"/>
    <w:rPr>
      <w:sz w:val="24"/>
      <w:szCs w:val="20"/>
    </w:rPr>
  </w:style>
  <w:style w:type="character" w:customStyle="1" w:styleId="TableRowNormalChar">
    <w:name w:val="TableRowNormal Char"/>
    <w:basedOn w:val="DefaultParagraphFont"/>
    <w:link w:val="TableRowNormal"/>
    <w:locked/>
    <w:rsid w:val="00827FB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footnote text" w:qFormat="1"/>
    <w:lsdException w:name="footer" w:uiPriority="99"/>
    <w:lsdException w:name="caption" w:qFormat="1"/>
    <w:lsdException w:name="footnote reference" w:qFormat="1"/>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413594"/>
    <w:rPr>
      <w:sz w:val="24"/>
      <w:szCs w:val="20"/>
    </w:rPr>
  </w:style>
  <w:style w:type="character" w:customStyle="1" w:styleId="CGCParaNoChar">
    <w:name w:val="CGC Para No Char"/>
    <w:aliases w:val="CGC Numbered Para Char"/>
    <w:basedOn w:val="DefaultParagraphFont"/>
    <w:link w:val="CGCNumberedPara"/>
    <w:rsid w:val="00413594"/>
    <w:rPr>
      <w:sz w:val="24"/>
      <w:szCs w:val="24"/>
    </w:rPr>
  </w:style>
  <w:style w:type="character" w:customStyle="1" w:styleId="CGCTableFootnoteChar">
    <w:name w:val="CGC Table Footnote Char"/>
    <w:basedOn w:val="DefaultParagraphFont"/>
    <w:link w:val="CGCTableFootnote"/>
    <w:rsid w:val="00413594"/>
    <w:rPr>
      <w:sz w:val="20"/>
      <w:szCs w:val="24"/>
    </w:rPr>
  </w:style>
  <w:style w:type="character" w:customStyle="1" w:styleId="CGCTableHeadingChar">
    <w:name w:val="CGC Table Heading Char"/>
    <w:basedOn w:val="DefaultParagraphFont"/>
    <w:link w:val="CGCTableHeading"/>
    <w:rsid w:val="00413594"/>
    <w:rPr>
      <w:b/>
      <w:sz w:val="24"/>
      <w:szCs w:val="20"/>
    </w:rPr>
  </w:style>
  <w:style w:type="character" w:customStyle="1" w:styleId="CGCTableStubChar">
    <w:name w:val="CGC Table Stub Char"/>
    <w:basedOn w:val="DefaultParagraphFont"/>
    <w:link w:val="CGCTableStub"/>
    <w:rsid w:val="00413594"/>
    <w:rPr>
      <w:sz w:val="20"/>
      <w:szCs w:val="20"/>
    </w:rPr>
  </w:style>
  <w:style w:type="character" w:customStyle="1" w:styleId="CGCBulletlistChar">
    <w:name w:val="CGC Bullet list Char"/>
    <w:aliases w:val="CGC List 1 Char,CGC Bullet list Char1"/>
    <w:basedOn w:val="DefaultParagraphFont"/>
    <w:locked/>
    <w:rsid w:val="00413594"/>
    <w:rPr>
      <w:sz w:val="24"/>
      <w:szCs w:val="20"/>
    </w:rPr>
  </w:style>
  <w:style w:type="character" w:customStyle="1" w:styleId="TableRowNormalChar">
    <w:name w:val="TableRowNormal Char"/>
    <w:basedOn w:val="DefaultParagraphFont"/>
    <w:link w:val="TableRowNormal"/>
    <w:locked/>
    <w:rsid w:val="00827F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8971656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effrey.evans@cg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5139</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2018-04-18T01:36:00Z</dcterms:created>
  <dcterms:modified xsi:type="dcterms:W3CDTF">2018-04-18T01:36:00Z</dcterms:modified>
</cp:coreProperties>
</file>