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5B32B" w14:textId="77777777" w:rsidR="001B68B1" w:rsidRPr="00970E6D" w:rsidRDefault="001B68B1" w:rsidP="001B68B1">
      <w:pPr>
        <w:tabs>
          <w:tab w:val="clear" w:pos="567"/>
        </w:tabs>
        <w:jc w:val="center"/>
        <w:rPr>
          <w:b/>
          <w:bCs/>
        </w:rPr>
      </w:pPr>
      <w:bookmarkStart w:id="0" w:name="_Toc106707122"/>
      <w:bookmarkStart w:id="1" w:name="_Toc155675722"/>
      <w:bookmarkStart w:id="2" w:name="_Toc155675934"/>
      <w:bookmarkStart w:id="3" w:name="_Toc155675975"/>
      <w:bookmarkStart w:id="4" w:name="_Toc155676245"/>
      <w:bookmarkStart w:id="5" w:name="_Toc174415768"/>
      <w:bookmarkStart w:id="6" w:name="_Toc106707725"/>
      <w:bookmarkStart w:id="7" w:name="_Toc155675935"/>
      <w:bookmarkStart w:id="8" w:name="_Toc174415770"/>
      <w:bookmarkStart w:id="9" w:name="_Toc174415844"/>
      <w:bookmarkStart w:id="10" w:name="_Toc174415935"/>
      <w:bookmarkStart w:id="11" w:name="_Toc174416620"/>
      <w:bookmarkStart w:id="12" w:name="_Toc174416662"/>
      <w:bookmarkStart w:id="13" w:name="_Toc174416675"/>
      <w:bookmarkStart w:id="14" w:name="_GoBack"/>
      <w:bookmarkEnd w:id="14"/>
      <w:r w:rsidRPr="00970E6D">
        <w:rPr>
          <w:noProof/>
          <w:lang w:eastAsia="en-AU"/>
        </w:rPr>
        <w:drawing>
          <wp:inline distT="0" distB="0" distL="0" distR="0" wp14:anchorId="1316A652" wp14:editId="66F74891">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8"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14:paraId="38F731F1" w14:textId="77777777" w:rsidR="001B68B1" w:rsidRPr="00970E6D" w:rsidRDefault="001B68B1" w:rsidP="001B68B1">
      <w:pPr>
        <w:tabs>
          <w:tab w:val="clear" w:pos="567"/>
        </w:tabs>
        <w:jc w:val="center"/>
        <w:rPr>
          <w:b/>
          <w:sz w:val="40"/>
          <w:szCs w:val="40"/>
        </w:rPr>
      </w:pPr>
    </w:p>
    <w:p w14:paraId="7E43C2AA" w14:textId="77777777" w:rsidR="001B68B1" w:rsidRPr="00970E6D" w:rsidRDefault="001B68B1" w:rsidP="001B68B1">
      <w:pPr>
        <w:tabs>
          <w:tab w:val="clear" w:pos="567"/>
        </w:tabs>
        <w:jc w:val="center"/>
        <w:rPr>
          <w:b/>
          <w:sz w:val="40"/>
          <w:szCs w:val="40"/>
        </w:rPr>
      </w:pPr>
    </w:p>
    <w:p w14:paraId="088FE4FA" w14:textId="77777777" w:rsidR="001B68B1" w:rsidRPr="00970E6D" w:rsidRDefault="001B68B1" w:rsidP="001B68B1">
      <w:pPr>
        <w:tabs>
          <w:tab w:val="clear" w:pos="567"/>
        </w:tabs>
        <w:jc w:val="center"/>
        <w:rPr>
          <w:b/>
          <w:sz w:val="40"/>
          <w:szCs w:val="40"/>
        </w:rPr>
      </w:pPr>
      <w:r w:rsidRPr="00970E6D">
        <w:rPr>
          <w:b/>
          <w:sz w:val="40"/>
          <w:szCs w:val="40"/>
        </w:rPr>
        <w:t>20</w:t>
      </w:r>
      <w:r>
        <w:rPr>
          <w:b/>
          <w:sz w:val="40"/>
          <w:szCs w:val="40"/>
        </w:rPr>
        <w:t>20</w:t>
      </w:r>
      <w:r w:rsidRPr="00970E6D">
        <w:rPr>
          <w:b/>
          <w:sz w:val="40"/>
          <w:szCs w:val="40"/>
        </w:rPr>
        <w:t xml:space="preserve"> REVIEW</w:t>
      </w:r>
    </w:p>
    <w:p w14:paraId="13500FFB" w14:textId="77777777" w:rsidR="001B68B1" w:rsidRPr="00970E6D" w:rsidRDefault="001B68B1" w:rsidP="001B68B1">
      <w:pPr>
        <w:tabs>
          <w:tab w:val="clear" w:pos="567"/>
        </w:tabs>
        <w:jc w:val="center"/>
        <w:rPr>
          <w:b/>
          <w:sz w:val="40"/>
          <w:szCs w:val="40"/>
        </w:rPr>
      </w:pPr>
    </w:p>
    <w:p w14:paraId="0181DCC4" w14:textId="77777777" w:rsidR="001B68B1" w:rsidRPr="00970E6D" w:rsidRDefault="001B68B1" w:rsidP="001B68B1">
      <w:pPr>
        <w:tabs>
          <w:tab w:val="clear" w:pos="567"/>
        </w:tabs>
        <w:jc w:val="center"/>
        <w:rPr>
          <w:b/>
          <w:sz w:val="40"/>
          <w:szCs w:val="40"/>
        </w:rPr>
      </w:pPr>
    </w:p>
    <w:p w14:paraId="6DFEF0BD" w14:textId="77777777" w:rsidR="001B68B1" w:rsidRPr="00970E6D" w:rsidRDefault="001B68B1" w:rsidP="001B68B1">
      <w:pPr>
        <w:tabs>
          <w:tab w:val="clear" w:pos="567"/>
        </w:tabs>
        <w:jc w:val="center"/>
        <w:rPr>
          <w:b/>
          <w:sz w:val="40"/>
          <w:szCs w:val="40"/>
        </w:rPr>
      </w:pPr>
    </w:p>
    <w:p w14:paraId="686682F0" w14:textId="77777777" w:rsidR="001B68B1" w:rsidRPr="00970E6D" w:rsidRDefault="001B68B1" w:rsidP="001B68B1">
      <w:pPr>
        <w:tabs>
          <w:tab w:val="clear" w:pos="567"/>
        </w:tabs>
        <w:jc w:val="center"/>
        <w:rPr>
          <w:b/>
          <w:sz w:val="40"/>
          <w:szCs w:val="40"/>
        </w:rPr>
      </w:pPr>
    </w:p>
    <w:p w14:paraId="3FBA155E" w14:textId="4671C1C0" w:rsidR="001B68B1" w:rsidRPr="00970E6D" w:rsidRDefault="000B556B" w:rsidP="001B68B1">
      <w:pPr>
        <w:tabs>
          <w:tab w:val="clear" w:pos="567"/>
        </w:tabs>
        <w:jc w:val="center"/>
        <w:rPr>
          <w:bCs/>
          <w:sz w:val="40"/>
          <w:szCs w:val="40"/>
        </w:rPr>
      </w:pPr>
      <w:r>
        <w:rPr>
          <w:b/>
          <w:sz w:val="40"/>
          <w:szCs w:val="40"/>
        </w:rPr>
        <w:t>SCHOOL EDUCATION</w:t>
      </w:r>
    </w:p>
    <w:p w14:paraId="60D28B5E" w14:textId="77777777" w:rsidR="001B68B1" w:rsidRPr="00970E6D" w:rsidRDefault="001B68B1" w:rsidP="001B68B1">
      <w:pPr>
        <w:tabs>
          <w:tab w:val="clear" w:pos="567"/>
        </w:tabs>
        <w:jc w:val="center"/>
        <w:rPr>
          <w:b/>
          <w:sz w:val="40"/>
          <w:szCs w:val="40"/>
        </w:rPr>
      </w:pPr>
    </w:p>
    <w:p w14:paraId="08397549" w14:textId="77777777" w:rsidR="001B68B1" w:rsidRPr="00970E6D" w:rsidRDefault="001B68B1" w:rsidP="001B68B1">
      <w:pPr>
        <w:tabs>
          <w:tab w:val="clear" w:pos="567"/>
        </w:tabs>
        <w:jc w:val="center"/>
        <w:rPr>
          <w:b/>
          <w:sz w:val="40"/>
          <w:szCs w:val="40"/>
        </w:rPr>
      </w:pPr>
    </w:p>
    <w:p w14:paraId="1F5526B9" w14:textId="77777777" w:rsidR="001B68B1" w:rsidRPr="00970E6D" w:rsidRDefault="001B68B1" w:rsidP="001B68B1">
      <w:pPr>
        <w:tabs>
          <w:tab w:val="clear" w:pos="567"/>
        </w:tabs>
        <w:jc w:val="center"/>
        <w:rPr>
          <w:b/>
          <w:sz w:val="40"/>
          <w:szCs w:val="40"/>
        </w:rPr>
      </w:pPr>
    </w:p>
    <w:p w14:paraId="20BB3956" w14:textId="77777777" w:rsidR="001B68B1" w:rsidRPr="00970E6D" w:rsidRDefault="001B68B1" w:rsidP="001B68B1">
      <w:pPr>
        <w:tabs>
          <w:tab w:val="clear" w:pos="567"/>
        </w:tabs>
        <w:jc w:val="center"/>
        <w:rPr>
          <w:b/>
          <w:sz w:val="40"/>
          <w:szCs w:val="40"/>
        </w:rPr>
      </w:pPr>
    </w:p>
    <w:p w14:paraId="49935F93" w14:textId="436DBB80" w:rsidR="001B68B1" w:rsidRPr="00970E6D" w:rsidRDefault="00EA201E" w:rsidP="001B68B1">
      <w:pPr>
        <w:tabs>
          <w:tab w:val="clear" w:pos="567"/>
        </w:tabs>
        <w:jc w:val="center"/>
        <w:rPr>
          <w:b/>
          <w:sz w:val="40"/>
          <w:szCs w:val="40"/>
        </w:rPr>
      </w:pPr>
      <w:r>
        <w:rPr>
          <w:b/>
          <w:sz w:val="40"/>
          <w:szCs w:val="40"/>
        </w:rPr>
        <w:t xml:space="preserve">STAFF </w:t>
      </w:r>
      <w:r w:rsidR="001B68B1">
        <w:rPr>
          <w:b/>
          <w:sz w:val="40"/>
          <w:szCs w:val="40"/>
        </w:rPr>
        <w:t xml:space="preserve">DRAFT </w:t>
      </w:r>
      <w:r w:rsidR="004973B2">
        <w:rPr>
          <w:b/>
          <w:sz w:val="40"/>
          <w:szCs w:val="40"/>
        </w:rPr>
        <w:t>A</w:t>
      </w:r>
      <w:r w:rsidR="001B68B1">
        <w:rPr>
          <w:b/>
          <w:sz w:val="40"/>
          <w:szCs w:val="40"/>
        </w:rPr>
        <w:t xml:space="preserve">SSESSMENT </w:t>
      </w:r>
      <w:r w:rsidR="004973B2">
        <w:rPr>
          <w:b/>
          <w:sz w:val="40"/>
          <w:szCs w:val="40"/>
        </w:rPr>
        <w:t>P</w:t>
      </w:r>
      <w:r w:rsidR="001B68B1">
        <w:rPr>
          <w:b/>
          <w:sz w:val="40"/>
          <w:szCs w:val="40"/>
        </w:rPr>
        <w:t>APER</w:t>
      </w:r>
      <w:r w:rsidR="001B68B1">
        <w:rPr>
          <w:b/>
          <w:sz w:val="40"/>
          <w:szCs w:val="40"/>
        </w:rPr>
        <w:br/>
        <w:t>CGC 20</w:t>
      </w:r>
      <w:r w:rsidR="001B68B1" w:rsidRPr="00970E6D">
        <w:rPr>
          <w:b/>
          <w:sz w:val="40"/>
          <w:szCs w:val="40"/>
        </w:rPr>
        <w:t>1</w:t>
      </w:r>
      <w:r w:rsidR="001B68B1">
        <w:rPr>
          <w:b/>
          <w:sz w:val="40"/>
          <w:szCs w:val="40"/>
        </w:rPr>
        <w:t>8</w:t>
      </w:r>
      <w:r w:rsidR="001B68B1" w:rsidRPr="00970E6D">
        <w:rPr>
          <w:b/>
          <w:sz w:val="40"/>
          <w:szCs w:val="40"/>
        </w:rPr>
        <w:t>-</w:t>
      </w:r>
      <w:r w:rsidR="005D782A">
        <w:rPr>
          <w:b/>
          <w:sz w:val="40"/>
          <w:szCs w:val="40"/>
        </w:rPr>
        <w:t>01/</w:t>
      </w:r>
      <w:r w:rsidR="00617115">
        <w:rPr>
          <w:b/>
          <w:sz w:val="40"/>
          <w:szCs w:val="40"/>
        </w:rPr>
        <w:t>1</w:t>
      </w:r>
      <w:r w:rsidR="00FD4292">
        <w:rPr>
          <w:b/>
          <w:sz w:val="40"/>
          <w:szCs w:val="40"/>
        </w:rPr>
        <w:t>0</w:t>
      </w:r>
      <w:r w:rsidR="001B68B1">
        <w:rPr>
          <w:b/>
          <w:sz w:val="40"/>
          <w:szCs w:val="40"/>
        </w:rPr>
        <w:t>-S</w:t>
      </w:r>
    </w:p>
    <w:p w14:paraId="35C6613F" w14:textId="77777777" w:rsidR="001B68B1" w:rsidRPr="00970E6D" w:rsidRDefault="001B68B1" w:rsidP="001B68B1">
      <w:pPr>
        <w:tabs>
          <w:tab w:val="clear" w:pos="567"/>
        </w:tabs>
        <w:jc w:val="center"/>
        <w:rPr>
          <w:b/>
          <w:sz w:val="40"/>
          <w:szCs w:val="40"/>
        </w:rPr>
      </w:pPr>
    </w:p>
    <w:p w14:paraId="168D755F" w14:textId="77777777" w:rsidR="001B68B1" w:rsidRPr="00970E6D" w:rsidRDefault="001B68B1" w:rsidP="001B68B1">
      <w:pPr>
        <w:tabs>
          <w:tab w:val="clear" w:pos="567"/>
        </w:tabs>
        <w:jc w:val="center"/>
        <w:rPr>
          <w:b/>
          <w:sz w:val="40"/>
          <w:szCs w:val="40"/>
        </w:rPr>
      </w:pPr>
    </w:p>
    <w:p w14:paraId="4BDC7BED" w14:textId="77777777" w:rsidR="001B68B1" w:rsidRPr="00970E6D" w:rsidRDefault="001B68B1" w:rsidP="001B68B1">
      <w:pPr>
        <w:tabs>
          <w:tab w:val="clear" w:pos="567"/>
        </w:tabs>
        <w:jc w:val="center"/>
        <w:rPr>
          <w:b/>
          <w:sz w:val="40"/>
          <w:szCs w:val="40"/>
        </w:rPr>
      </w:pPr>
    </w:p>
    <w:p w14:paraId="648B18B3" w14:textId="77777777" w:rsidR="001B68B1" w:rsidRPr="00970E6D" w:rsidRDefault="001B68B1" w:rsidP="001B68B1">
      <w:pPr>
        <w:tabs>
          <w:tab w:val="clear" w:pos="567"/>
        </w:tabs>
        <w:jc w:val="center"/>
        <w:rPr>
          <w:sz w:val="40"/>
          <w:szCs w:val="40"/>
        </w:rPr>
      </w:pPr>
    </w:p>
    <w:p w14:paraId="473F708E" w14:textId="77777777" w:rsidR="001B68B1" w:rsidRPr="00970E6D" w:rsidRDefault="001B68B1" w:rsidP="001B68B1">
      <w:pPr>
        <w:tabs>
          <w:tab w:val="clear" w:pos="567"/>
        </w:tabs>
        <w:jc w:val="right"/>
        <w:rPr>
          <w:b/>
          <w:sz w:val="28"/>
          <w:szCs w:val="28"/>
        </w:rPr>
      </w:pPr>
      <w:r>
        <w:rPr>
          <w:b/>
          <w:sz w:val="28"/>
          <w:szCs w:val="28"/>
        </w:rPr>
        <w:t>APRIL 2018</w:t>
      </w:r>
    </w:p>
    <w:p w14:paraId="67CDD625" w14:textId="77777777" w:rsidR="001B68B1" w:rsidRPr="00970E6D" w:rsidRDefault="001B68B1" w:rsidP="001B68B1">
      <w:pPr>
        <w:tabs>
          <w:tab w:val="clear" w:pos="567"/>
        </w:tabs>
      </w:pPr>
    </w:p>
    <w:p w14:paraId="5E9D2C1F" w14:textId="77777777" w:rsidR="001B68B1" w:rsidRPr="00970E6D" w:rsidRDefault="001B68B1" w:rsidP="001B68B1">
      <w:pPr>
        <w:tabs>
          <w:tab w:val="clear" w:pos="567"/>
        </w:tabs>
        <w:sectPr w:rsidR="001B68B1" w:rsidRPr="00970E6D" w:rsidSect="00504F41">
          <w:headerReference w:type="even" r:id="rId9"/>
          <w:headerReference w:type="default" r:id="rId10"/>
          <w:footerReference w:type="even" r:id="rId11"/>
          <w:footerReference w:type="default" r:id="rId12"/>
          <w:headerReference w:type="first" r:id="rId13"/>
          <w:footerReference w:type="first" r:id="rId14"/>
          <w:pgSz w:w="11899" w:h="16838" w:code="9"/>
          <w:pgMar w:top="1701" w:right="1474" w:bottom="1701" w:left="1474" w:header="709" w:footer="709" w:gutter="0"/>
          <w:cols w:space="708"/>
          <w:titlePg/>
          <w:docGrid w:linePitch="299"/>
        </w:sectPr>
      </w:pPr>
    </w:p>
    <w:p w14:paraId="645D5469" w14:textId="77777777" w:rsidR="001B68B1" w:rsidRPr="00970E6D" w:rsidRDefault="001B68B1" w:rsidP="001B68B1">
      <w:pPr>
        <w:tabs>
          <w:tab w:val="clear" w:pos="567"/>
        </w:tabs>
      </w:pPr>
    </w:p>
    <w:tbl>
      <w:tblPr>
        <w:tblStyle w:val="TableGrid"/>
        <w:tblW w:w="5000" w:type="pct"/>
        <w:tblLook w:val="01E0" w:firstRow="1" w:lastRow="1" w:firstColumn="1" w:lastColumn="1" w:noHBand="0" w:noVBand="0"/>
      </w:tblPr>
      <w:tblGrid>
        <w:gridCol w:w="2870"/>
        <w:gridCol w:w="6071"/>
      </w:tblGrid>
      <w:tr w:rsidR="001B68B1" w:rsidRPr="00970E6D" w14:paraId="6EC2C6B5" w14:textId="77777777" w:rsidTr="00504F41">
        <w:tc>
          <w:tcPr>
            <w:tcW w:w="1605" w:type="pct"/>
            <w:tcBorders>
              <w:top w:val="single" w:sz="4" w:space="0" w:color="auto"/>
              <w:left w:val="single" w:sz="4" w:space="0" w:color="auto"/>
              <w:bottom w:val="single" w:sz="4" w:space="0" w:color="auto"/>
              <w:right w:val="single" w:sz="4" w:space="0" w:color="auto"/>
            </w:tcBorders>
          </w:tcPr>
          <w:p w14:paraId="6B7C3209" w14:textId="77777777" w:rsidR="001B68B1" w:rsidRPr="00970E6D" w:rsidRDefault="001B68B1" w:rsidP="00504F41">
            <w:pPr>
              <w:tabs>
                <w:tab w:val="clear" w:pos="567"/>
              </w:tabs>
            </w:pPr>
            <w:r w:rsidRPr="00970E6D">
              <w:t>Paper issued</w:t>
            </w:r>
          </w:p>
        </w:tc>
        <w:tc>
          <w:tcPr>
            <w:tcW w:w="3395" w:type="pct"/>
            <w:tcBorders>
              <w:top w:val="single" w:sz="4" w:space="0" w:color="auto"/>
              <w:left w:val="single" w:sz="4" w:space="0" w:color="auto"/>
              <w:bottom w:val="single" w:sz="4" w:space="0" w:color="auto"/>
              <w:right w:val="single" w:sz="4" w:space="0" w:color="auto"/>
            </w:tcBorders>
          </w:tcPr>
          <w:p w14:paraId="169860B5" w14:textId="1C150EFE" w:rsidR="001B68B1" w:rsidRPr="00970E6D" w:rsidRDefault="00661521" w:rsidP="00661521">
            <w:pPr>
              <w:tabs>
                <w:tab w:val="clear" w:pos="567"/>
              </w:tabs>
            </w:pPr>
            <w:r>
              <w:t xml:space="preserve">20 April </w:t>
            </w:r>
            <w:r w:rsidR="001B68B1" w:rsidRPr="00970E6D">
              <w:t>20</w:t>
            </w:r>
            <w:r>
              <w:t>18</w:t>
            </w:r>
          </w:p>
        </w:tc>
      </w:tr>
      <w:tr w:rsidR="001B68B1" w:rsidRPr="00970E6D" w14:paraId="73290836" w14:textId="77777777" w:rsidTr="00504F41">
        <w:tc>
          <w:tcPr>
            <w:tcW w:w="1605" w:type="pct"/>
            <w:tcBorders>
              <w:top w:val="single" w:sz="4" w:space="0" w:color="auto"/>
              <w:left w:val="single" w:sz="4" w:space="0" w:color="auto"/>
              <w:bottom w:val="single" w:sz="4" w:space="0" w:color="auto"/>
              <w:right w:val="single" w:sz="4" w:space="0" w:color="auto"/>
            </w:tcBorders>
          </w:tcPr>
          <w:p w14:paraId="414E0E7B" w14:textId="77777777" w:rsidR="001B68B1" w:rsidRPr="00970E6D" w:rsidRDefault="001B68B1" w:rsidP="00504F41">
            <w:pPr>
              <w:tabs>
                <w:tab w:val="clear" w:pos="567"/>
              </w:tabs>
            </w:pPr>
            <w:r w:rsidRPr="00970E6D">
              <w:t>Commission contact officer</w:t>
            </w:r>
          </w:p>
        </w:tc>
        <w:tc>
          <w:tcPr>
            <w:tcW w:w="3395" w:type="pct"/>
            <w:tcBorders>
              <w:top w:val="single" w:sz="4" w:space="0" w:color="auto"/>
              <w:left w:val="single" w:sz="4" w:space="0" w:color="auto"/>
              <w:bottom w:val="single" w:sz="4" w:space="0" w:color="auto"/>
              <w:right w:val="single" w:sz="4" w:space="0" w:color="auto"/>
            </w:tcBorders>
          </w:tcPr>
          <w:p w14:paraId="6A8E60EB" w14:textId="19E954D1" w:rsidR="001B68B1" w:rsidRPr="00970E6D" w:rsidRDefault="00544068" w:rsidP="00544068">
            <w:pPr>
              <w:tabs>
                <w:tab w:val="clear" w:pos="567"/>
              </w:tabs>
            </w:pPr>
            <w:r>
              <w:t>Annie Abello, 02 6229 8877, Annie.Abello@cgc.gov.au</w:t>
            </w:r>
          </w:p>
        </w:tc>
      </w:tr>
      <w:tr w:rsidR="001B68B1" w:rsidRPr="00970E6D" w14:paraId="50B6A5F5" w14:textId="77777777" w:rsidTr="00504F41">
        <w:tc>
          <w:tcPr>
            <w:tcW w:w="1605" w:type="pct"/>
            <w:tcBorders>
              <w:top w:val="single" w:sz="4" w:space="0" w:color="auto"/>
              <w:left w:val="single" w:sz="4" w:space="0" w:color="auto"/>
              <w:bottom w:val="single" w:sz="4" w:space="0" w:color="auto"/>
              <w:right w:val="single" w:sz="4" w:space="0" w:color="auto"/>
            </w:tcBorders>
          </w:tcPr>
          <w:p w14:paraId="082CEE97" w14:textId="77777777" w:rsidR="001B68B1" w:rsidRPr="00970E6D" w:rsidRDefault="001B68B1" w:rsidP="00504F41">
            <w:pPr>
              <w:tabs>
                <w:tab w:val="clear" w:pos="567"/>
              </w:tabs>
            </w:pPr>
            <w:r w:rsidRPr="00970E6D">
              <w:t>Submissions sought by</w:t>
            </w:r>
          </w:p>
        </w:tc>
        <w:tc>
          <w:tcPr>
            <w:tcW w:w="3395" w:type="pct"/>
            <w:tcBorders>
              <w:top w:val="single" w:sz="4" w:space="0" w:color="auto"/>
              <w:left w:val="single" w:sz="4" w:space="0" w:color="auto"/>
              <w:bottom w:val="single" w:sz="4" w:space="0" w:color="auto"/>
              <w:right w:val="single" w:sz="4" w:space="0" w:color="auto"/>
            </w:tcBorders>
          </w:tcPr>
          <w:p w14:paraId="7B5F0CA0" w14:textId="77777777" w:rsidR="00C63404" w:rsidRDefault="00661521" w:rsidP="00504F41">
            <w:pPr>
              <w:tabs>
                <w:tab w:val="clear" w:pos="567"/>
              </w:tabs>
            </w:pPr>
            <w:r>
              <w:t>31 August 2018</w:t>
            </w:r>
            <w:r w:rsidR="00C63404">
              <w:t>.</w:t>
            </w:r>
          </w:p>
          <w:p w14:paraId="3EC9CAC8" w14:textId="55082080" w:rsidR="001B68B1" w:rsidRPr="00970E6D" w:rsidRDefault="001B68B1" w:rsidP="00504F41">
            <w:pPr>
              <w:tabs>
                <w:tab w:val="clear" w:pos="567"/>
              </w:tabs>
            </w:pPr>
            <w:r w:rsidRPr="00970E6D">
              <w:t xml:space="preserve">Submissions should be emailed in Word format to </w:t>
            </w:r>
            <w:hyperlink r:id="rId15" w:history="1">
              <w:r w:rsidRPr="00970E6D">
                <w:rPr>
                  <w:rStyle w:val="Hyperlink"/>
                </w:rPr>
                <w:t>secretary@cgc.gov.au</w:t>
              </w:r>
            </w:hyperlink>
            <w:r w:rsidRPr="00970E6D">
              <w:t>.</w:t>
            </w:r>
          </w:p>
          <w:p w14:paraId="5E752FC6" w14:textId="77777777" w:rsidR="001B68B1" w:rsidRPr="00970E6D" w:rsidRDefault="001B68B1" w:rsidP="00504F41">
            <w:pPr>
              <w:tabs>
                <w:tab w:val="clear" w:pos="567"/>
              </w:tabs>
            </w:pPr>
            <w:r w:rsidRPr="00970E6D">
              <w:t xml:space="preserve">Submissions of more than </w:t>
            </w:r>
            <w:r>
              <w:t>10</w:t>
            </w:r>
            <w:r w:rsidRPr="00970E6D">
              <w:t xml:space="preserve"> pages in length should include a summary section.</w:t>
            </w:r>
          </w:p>
        </w:tc>
      </w:tr>
      <w:tr w:rsidR="001B68B1" w:rsidRPr="00970E6D" w14:paraId="6267FE9D" w14:textId="77777777" w:rsidTr="00504F41">
        <w:tc>
          <w:tcPr>
            <w:tcW w:w="1605" w:type="pct"/>
            <w:tcBorders>
              <w:top w:val="single" w:sz="4" w:space="0" w:color="auto"/>
              <w:left w:val="single" w:sz="4" w:space="0" w:color="auto"/>
              <w:bottom w:val="single" w:sz="4" w:space="0" w:color="auto"/>
              <w:right w:val="single" w:sz="4" w:space="0" w:color="auto"/>
            </w:tcBorders>
          </w:tcPr>
          <w:p w14:paraId="0A09787B" w14:textId="77777777" w:rsidR="001B68B1" w:rsidRPr="00970E6D" w:rsidRDefault="001B68B1" w:rsidP="00504F41">
            <w:pPr>
              <w:tabs>
                <w:tab w:val="clear" w:pos="567"/>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14:paraId="285FBD4F" w14:textId="3D2C054E" w:rsidR="001B68B1" w:rsidRPr="00CF1294" w:rsidRDefault="001B68B1" w:rsidP="00504F41">
            <w:pPr>
              <w:tabs>
                <w:tab w:val="clear" w:pos="567"/>
              </w:tabs>
            </w:pPr>
            <w:r w:rsidRPr="00CF1294">
              <w:t xml:space="preserve">It is the </w:t>
            </w:r>
            <w:r w:rsidR="00661521">
              <w:t>C</w:t>
            </w:r>
            <w:r w:rsidRPr="00CF1294">
              <w:t xml:space="preserve">ommission’s normal practice to make State submissions available on its website under the CC BY licence, allowing free use of content by third parties. </w:t>
            </w:r>
          </w:p>
          <w:p w14:paraId="7BEE4322" w14:textId="77777777" w:rsidR="001B68B1" w:rsidRPr="00CF1294" w:rsidRDefault="001B68B1" w:rsidP="00504F41">
            <w:pPr>
              <w:tabs>
                <w:tab w:val="clear" w:pos="567"/>
              </w:tabs>
            </w:pPr>
            <w:r w:rsidRPr="00CF1294">
              <w:rPr>
                <w:noProof/>
                <w:lang w:eastAsia="en-AU"/>
              </w:rPr>
              <w:drawing>
                <wp:inline distT="0" distB="0" distL="0" distR="0" wp14:anchorId="37A7C608" wp14:editId="3A64F534">
                  <wp:extent cx="828675" cy="295275"/>
                  <wp:effectExtent l="19050" t="0" r="9525" b="0"/>
                  <wp:docPr id="3"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6"/>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7E925B78" w14:textId="77777777" w:rsidR="001B68B1" w:rsidRPr="00CF1294" w:rsidRDefault="001B68B1" w:rsidP="00504F41">
            <w:pPr>
              <w:tabs>
                <w:tab w:val="clear" w:pos="567"/>
              </w:tabs>
            </w:pPr>
            <w:r w:rsidRPr="00CF1294">
              <w:t xml:space="preserve">Further information on the CC BY licence can be found </w:t>
            </w:r>
            <w:r w:rsidRPr="00EC79CF">
              <w:t xml:space="preserve">on the </w:t>
            </w:r>
            <w:hyperlink r:id="rId17" w:history="1">
              <w:r w:rsidRPr="00841145">
                <w:rPr>
                  <w:rStyle w:val="Hyperlink"/>
                </w:rPr>
                <w:t>Creative Commons website</w:t>
              </w:r>
            </w:hyperlink>
            <w:r w:rsidRPr="00EC79CF">
              <w:t xml:space="preserve"> </w:t>
            </w:r>
            <w:r>
              <w:t>(</w:t>
            </w:r>
            <w:r w:rsidRPr="00841145">
              <w:t>http://creativecommons.org</w:t>
            </w:r>
            <w:r>
              <w:t>).</w:t>
            </w:r>
            <w:r w:rsidRPr="00CF1294">
              <w:t xml:space="preserve"> </w:t>
            </w:r>
          </w:p>
          <w:p w14:paraId="4FCC0EFE" w14:textId="5DB2489A" w:rsidR="001B68B1" w:rsidRPr="00970E6D" w:rsidRDefault="001B68B1" w:rsidP="00661521">
            <w:pPr>
              <w:tabs>
                <w:tab w:val="clear" w:pos="567"/>
              </w:tabs>
            </w:pPr>
            <w:r w:rsidRPr="00CF1294">
              <w:t xml:space="preserve">Confidential material contained in submissions must be clearly identified or included in separate attachment/s, and details provided in the covering email. Identified confidential material will not be published on the </w:t>
            </w:r>
            <w:r w:rsidR="00661521">
              <w:t>C</w:t>
            </w:r>
            <w:r w:rsidRPr="00CF1294">
              <w:t>ommission’s website.</w:t>
            </w:r>
          </w:p>
        </w:tc>
      </w:tr>
    </w:tbl>
    <w:p w14:paraId="4A9FACCB" w14:textId="77777777" w:rsidR="001B68B1" w:rsidRPr="00970E6D" w:rsidRDefault="001B68B1" w:rsidP="001B68B1">
      <w:pPr>
        <w:tabs>
          <w:tab w:val="clear" w:pos="567"/>
        </w:tabs>
        <w:sectPr w:rsidR="001B68B1" w:rsidRPr="00970E6D" w:rsidSect="00504F41">
          <w:headerReference w:type="first" r:id="rId18"/>
          <w:footerReference w:type="first" r:id="rId19"/>
          <w:pgSz w:w="11899" w:h="16838" w:code="9"/>
          <w:pgMar w:top="1701" w:right="1474" w:bottom="1701" w:left="1474" w:header="709" w:footer="709" w:gutter="0"/>
          <w:cols w:space="708"/>
          <w:vAlign w:val="bottom"/>
          <w:titlePg/>
          <w:docGrid w:linePitch="299"/>
        </w:sectPr>
      </w:pPr>
    </w:p>
    <w:p w14:paraId="7099097C" w14:textId="77777777" w:rsidR="007705BA" w:rsidRDefault="007705BA" w:rsidP="007705BA">
      <w:pPr>
        <w:pStyle w:val="Heading1"/>
      </w:pPr>
      <w:bookmarkStart w:id="15" w:name="_Toc510091834"/>
      <w:bookmarkStart w:id="16" w:name="_Toc510091923"/>
      <w:bookmarkStart w:id="17" w:name="_Toc510795481"/>
      <w:bookmarkEnd w:id="0"/>
      <w:bookmarkEnd w:id="1"/>
      <w:bookmarkEnd w:id="2"/>
      <w:bookmarkEnd w:id="3"/>
      <w:bookmarkEnd w:id="4"/>
      <w:bookmarkEnd w:id="5"/>
      <w:r>
        <w:lastRenderedPageBreak/>
        <w:t>Contents</w:t>
      </w:r>
      <w:bookmarkEnd w:id="15"/>
      <w:bookmarkEnd w:id="16"/>
      <w:bookmarkEnd w:id="17"/>
    </w:p>
    <w:p w14:paraId="55AC924E" w14:textId="3418CBD1" w:rsidR="008031B2" w:rsidRDefault="007705BA">
      <w:pPr>
        <w:pStyle w:val="TOC1"/>
        <w:rPr>
          <w:rFonts w:eastAsiaTheme="minorEastAsia"/>
          <w:b w:val="0"/>
          <w:bCs w:val="0"/>
          <w:caps w:val="0"/>
          <w:noProof/>
          <w:sz w:val="22"/>
          <w:szCs w:val="22"/>
          <w:lang w:eastAsia="en-AU"/>
        </w:rPr>
      </w:pPr>
      <w:r>
        <w:fldChar w:fldCharType="begin"/>
      </w:r>
      <w:r>
        <w:instrText xml:space="preserve"> TOC \f \h \z \u \t "Heading 2,1,Heading 3,1,Heading 4,3" </w:instrText>
      </w:r>
      <w:r>
        <w:fldChar w:fldCharType="separate"/>
      </w:r>
      <w:hyperlink w:anchor="_Toc511744902" w:history="1">
        <w:r w:rsidR="008031B2" w:rsidRPr="000545E2">
          <w:rPr>
            <w:rStyle w:val="Hyperlink"/>
            <w:noProof/>
          </w:rPr>
          <w:t>School education</w:t>
        </w:r>
        <w:r w:rsidR="008031B2">
          <w:rPr>
            <w:noProof/>
            <w:webHidden/>
          </w:rPr>
          <w:tab/>
        </w:r>
        <w:r w:rsidR="008031B2">
          <w:rPr>
            <w:noProof/>
            <w:webHidden/>
          </w:rPr>
          <w:fldChar w:fldCharType="begin"/>
        </w:r>
        <w:r w:rsidR="008031B2">
          <w:rPr>
            <w:noProof/>
            <w:webHidden/>
          </w:rPr>
          <w:instrText xml:space="preserve"> PAGEREF _Toc511744902 \h </w:instrText>
        </w:r>
        <w:r w:rsidR="008031B2">
          <w:rPr>
            <w:noProof/>
            <w:webHidden/>
          </w:rPr>
        </w:r>
        <w:r w:rsidR="008031B2">
          <w:rPr>
            <w:noProof/>
            <w:webHidden/>
          </w:rPr>
          <w:fldChar w:fldCharType="separate"/>
        </w:r>
        <w:r w:rsidR="003E224F">
          <w:rPr>
            <w:noProof/>
            <w:webHidden/>
          </w:rPr>
          <w:t>1</w:t>
        </w:r>
        <w:r w:rsidR="008031B2">
          <w:rPr>
            <w:noProof/>
            <w:webHidden/>
          </w:rPr>
          <w:fldChar w:fldCharType="end"/>
        </w:r>
      </w:hyperlink>
    </w:p>
    <w:p w14:paraId="5875AEEC" w14:textId="0A44E3C3" w:rsidR="008031B2" w:rsidRDefault="00C80130">
      <w:pPr>
        <w:pStyle w:val="TOC1"/>
        <w:rPr>
          <w:rFonts w:eastAsiaTheme="minorEastAsia"/>
          <w:b w:val="0"/>
          <w:bCs w:val="0"/>
          <w:caps w:val="0"/>
          <w:noProof/>
          <w:sz w:val="22"/>
          <w:szCs w:val="22"/>
          <w:lang w:eastAsia="en-AU"/>
        </w:rPr>
      </w:pPr>
      <w:hyperlink w:anchor="_Toc511744903" w:history="1">
        <w:r w:rsidR="008031B2" w:rsidRPr="000545E2">
          <w:rPr>
            <w:rStyle w:val="Hyperlink"/>
            <w:noProof/>
          </w:rPr>
          <w:t>2015 REVIEW APPROACH</w:t>
        </w:r>
        <w:r w:rsidR="008031B2">
          <w:rPr>
            <w:noProof/>
            <w:webHidden/>
          </w:rPr>
          <w:tab/>
        </w:r>
        <w:r w:rsidR="008031B2">
          <w:rPr>
            <w:noProof/>
            <w:webHidden/>
          </w:rPr>
          <w:fldChar w:fldCharType="begin"/>
        </w:r>
        <w:r w:rsidR="008031B2">
          <w:rPr>
            <w:noProof/>
            <w:webHidden/>
          </w:rPr>
          <w:instrText xml:space="preserve"> PAGEREF _Toc511744903 \h </w:instrText>
        </w:r>
        <w:r w:rsidR="008031B2">
          <w:rPr>
            <w:noProof/>
            <w:webHidden/>
          </w:rPr>
        </w:r>
        <w:r w:rsidR="008031B2">
          <w:rPr>
            <w:noProof/>
            <w:webHidden/>
          </w:rPr>
          <w:fldChar w:fldCharType="separate"/>
        </w:r>
        <w:r w:rsidR="003E224F">
          <w:rPr>
            <w:noProof/>
            <w:webHidden/>
          </w:rPr>
          <w:t>1</w:t>
        </w:r>
        <w:r w:rsidR="008031B2">
          <w:rPr>
            <w:noProof/>
            <w:webHidden/>
          </w:rPr>
          <w:fldChar w:fldCharType="end"/>
        </w:r>
      </w:hyperlink>
    </w:p>
    <w:p w14:paraId="35C485DA" w14:textId="7A75F6B5" w:rsidR="008031B2" w:rsidRDefault="00C80130">
      <w:pPr>
        <w:pStyle w:val="TOC3"/>
        <w:rPr>
          <w:rFonts w:eastAsiaTheme="minorEastAsia"/>
          <w:iCs w:val="0"/>
          <w:noProof/>
          <w:sz w:val="22"/>
          <w:lang w:eastAsia="en-AU"/>
        </w:rPr>
      </w:pPr>
      <w:hyperlink w:anchor="_Toc511744904" w:history="1">
        <w:r w:rsidR="008031B2" w:rsidRPr="000545E2">
          <w:rPr>
            <w:rStyle w:val="Hyperlink"/>
            <w:noProof/>
          </w:rPr>
          <w:t>Services included in this category</w:t>
        </w:r>
        <w:r w:rsidR="008031B2">
          <w:rPr>
            <w:noProof/>
            <w:webHidden/>
          </w:rPr>
          <w:tab/>
        </w:r>
        <w:r w:rsidR="008031B2">
          <w:rPr>
            <w:noProof/>
            <w:webHidden/>
          </w:rPr>
          <w:fldChar w:fldCharType="begin"/>
        </w:r>
        <w:r w:rsidR="008031B2">
          <w:rPr>
            <w:noProof/>
            <w:webHidden/>
          </w:rPr>
          <w:instrText xml:space="preserve"> PAGEREF _Toc511744904 \h </w:instrText>
        </w:r>
        <w:r w:rsidR="008031B2">
          <w:rPr>
            <w:noProof/>
            <w:webHidden/>
          </w:rPr>
        </w:r>
        <w:r w:rsidR="008031B2">
          <w:rPr>
            <w:noProof/>
            <w:webHidden/>
          </w:rPr>
          <w:fldChar w:fldCharType="separate"/>
        </w:r>
        <w:r w:rsidR="003E224F">
          <w:rPr>
            <w:noProof/>
            <w:webHidden/>
          </w:rPr>
          <w:t>1</w:t>
        </w:r>
        <w:r w:rsidR="008031B2">
          <w:rPr>
            <w:noProof/>
            <w:webHidden/>
          </w:rPr>
          <w:fldChar w:fldCharType="end"/>
        </w:r>
      </w:hyperlink>
    </w:p>
    <w:p w14:paraId="4F4FC82C" w14:textId="32564BE0" w:rsidR="008031B2" w:rsidRDefault="00C80130">
      <w:pPr>
        <w:pStyle w:val="TOC3"/>
        <w:rPr>
          <w:rFonts w:eastAsiaTheme="minorEastAsia"/>
          <w:iCs w:val="0"/>
          <w:noProof/>
          <w:sz w:val="22"/>
          <w:lang w:eastAsia="en-AU"/>
        </w:rPr>
      </w:pPr>
      <w:hyperlink w:anchor="_Toc511744905" w:history="1">
        <w:r w:rsidR="008031B2" w:rsidRPr="000545E2">
          <w:rPr>
            <w:rStyle w:val="Hyperlink"/>
            <w:noProof/>
          </w:rPr>
          <w:t>Category and component expenses</w:t>
        </w:r>
        <w:r w:rsidR="008031B2">
          <w:rPr>
            <w:noProof/>
            <w:webHidden/>
          </w:rPr>
          <w:tab/>
        </w:r>
        <w:r w:rsidR="008031B2">
          <w:rPr>
            <w:noProof/>
            <w:webHidden/>
          </w:rPr>
          <w:fldChar w:fldCharType="begin"/>
        </w:r>
        <w:r w:rsidR="008031B2">
          <w:rPr>
            <w:noProof/>
            <w:webHidden/>
          </w:rPr>
          <w:instrText xml:space="preserve"> PAGEREF _Toc511744905 \h </w:instrText>
        </w:r>
        <w:r w:rsidR="008031B2">
          <w:rPr>
            <w:noProof/>
            <w:webHidden/>
          </w:rPr>
        </w:r>
        <w:r w:rsidR="008031B2">
          <w:rPr>
            <w:noProof/>
            <w:webHidden/>
          </w:rPr>
          <w:fldChar w:fldCharType="separate"/>
        </w:r>
        <w:r w:rsidR="003E224F">
          <w:rPr>
            <w:noProof/>
            <w:webHidden/>
          </w:rPr>
          <w:t>1</w:t>
        </w:r>
        <w:r w:rsidR="008031B2">
          <w:rPr>
            <w:noProof/>
            <w:webHidden/>
          </w:rPr>
          <w:fldChar w:fldCharType="end"/>
        </w:r>
      </w:hyperlink>
    </w:p>
    <w:p w14:paraId="42BF20DE" w14:textId="0E333A52" w:rsidR="008031B2" w:rsidRDefault="00C80130">
      <w:pPr>
        <w:pStyle w:val="TOC3"/>
        <w:rPr>
          <w:rFonts w:eastAsiaTheme="minorEastAsia"/>
          <w:iCs w:val="0"/>
          <w:noProof/>
          <w:sz w:val="22"/>
          <w:lang w:eastAsia="en-AU"/>
        </w:rPr>
      </w:pPr>
      <w:hyperlink w:anchor="_Toc511744906" w:history="1">
        <w:r w:rsidR="008031B2" w:rsidRPr="000545E2">
          <w:rPr>
            <w:rStyle w:val="Hyperlink"/>
            <w:noProof/>
          </w:rPr>
          <w:t>Data sources and assessment methods</w:t>
        </w:r>
        <w:r w:rsidR="008031B2">
          <w:rPr>
            <w:noProof/>
            <w:webHidden/>
          </w:rPr>
          <w:tab/>
        </w:r>
        <w:r w:rsidR="008031B2">
          <w:rPr>
            <w:noProof/>
            <w:webHidden/>
          </w:rPr>
          <w:fldChar w:fldCharType="begin"/>
        </w:r>
        <w:r w:rsidR="008031B2">
          <w:rPr>
            <w:noProof/>
            <w:webHidden/>
          </w:rPr>
          <w:instrText xml:space="preserve"> PAGEREF _Toc511744906 \h </w:instrText>
        </w:r>
        <w:r w:rsidR="008031B2">
          <w:rPr>
            <w:noProof/>
            <w:webHidden/>
          </w:rPr>
        </w:r>
        <w:r w:rsidR="008031B2">
          <w:rPr>
            <w:noProof/>
            <w:webHidden/>
          </w:rPr>
          <w:fldChar w:fldCharType="separate"/>
        </w:r>
        <w:r w:rsidR="003E224F">
          <w:rPr>
            <w:noProof/>
            <w:webHidden/>
          </w:rPr>
          <w:t>2</w:t>
        </w:r>
        <w:r w:rsidR="008031B2">
          <w:rPr>
            <w:noProof/>
            <w:webHidden/>
          </w:rPr>
          <w:fldChar w:fldCharType="end"/>
        </w:r>
      </w:hyperlink>
    </w:p>
    <w:p w14:paraId="395CB92B" w14:textId="67D48916" w:rsidR="008031B2" w:rsidRDefault="00C80130">
      <w:pPr>
        <w:pStyle w:val="TOC1"/>
        <w:rPr>
          <w:rFonts w:eastAsiaTheme="minorEastAsia"/>
          <w:b w:val="0"/>
          <w:bCs w:val="0"/>
          <w:caps w:val="0"/>
          <w:noProof/>
          <w:sz w:val="22"/>
          <w:szCs w:val="22"/>
          <w:lang w:eastAsia="en-AU"/>
        </w:rPr>
      </w:pPr>
      <w:hyperlink w:anchor="_Toc511744907" w:history="1">
        <w:r w:rsidR="008031B2" w:rsidRPr="000545E2">
          <w:rPr>
            <w:rStyle w:val="Hyperlink"/>
            <w:noProof/>
          </w:rPr>
          <w:t>ISSUES AND ANALYSIS</w:t>
        </w:r>
        <w:r w:rsidR="008031B2">
          <w:rPr>
            <w:noProof/>
            <w:webHidden/>
          </w:rPr>
          <w:tab/>
        </w:r>
        <w:r w:rsidR="008031B2">
          <w:rPr>
            <w:noProof/>
            <w:webHidden/>
          </w:rPr>
          <w:fldChar w:fldCharType="begin"/>
        </w:r>
        <w:r w:rsidR="008031B2">
          <w:rPr>
            <w:noProof/>
            <w:webHidden/>
          </w:rPr>
          <w:instrText xml:space="preserve"> PAGEREF _Toc511744907 \h </w:instrText>
        </w:r>
        <w:r w:rsidR="008031B2">
          <w:rPr>
            <w:noProof/>
            <w:webHidden/>
          </w:rPr>
        </w:r>
        <w:r w:rsidR="008031B2">
          <w:rPr>
            <w:noProof/>
            <w:webHidden/>
          </w:rPr>
          <w:fldChar w:fldCharType="separate"/>
        </w:r>
        <w:r w:rsidR="003E224F">
          <w:rPr>
            <w:noProof/>
            <w:webHidden/>
          </w:rPr>
          <w:t>4</w:t>
        </w:r>
        <w:r w:rsidR="008031B2">
          <w:rPr>
            <w:noProof/>
            <w:webHidden/>
          </w:rPr>
          <w:fldChar w:fldCharType="end"/>
        </w:r>
      </w:hyperlink>
    </w:p>
    <w:p w14:paraId="35387C44" w14:textId="000D6B32" w:rsidR="008031B2" w:rsidRDefault="00C80130">
      <w:pPr>
        <w:pStyle w:val="TOC3"/>
        <w:rPr>
          <w:rFonts w:eastAsiaTheme="minorEastAsia"/>
          <w:iCs w:val="0"/>
          <w:noProof/>
          <w:sz w:val="22"/>
          <w:lang w:eastAsia="en-AU"/>
        </w:rPr>
      </w:pPr>
      <w:hyperlink w:anchor="_Toc511744908" w:history="1">
        <w:r w:rsidR="008031B2" w:rsidRPr="000545E2">
          <w:rPr>
            <w:rStyle w:val="Hyperlink"/>
            <w:noProof/>
          </w:rPr>
          <w:t>Specification of the regression model</w:t>
        </w:r>
        <w:r w:rsidR="008031B2">
          <w:rPr>
            <w:noProof/>
            <w:webHidden/>
          </w:rPr>
          <w:tab/>
        </w:r>
        <w:r w:rsidR="008031B2">
          <w:rPr>
            <w:noProof/>
            <w:webHidden/>
          </w:rPr>
          <w:fldChar w:fldCharType="begin"/>
        </w:r>
        <w:r w:rsidR="008031B2">
          <w:rPr>
            <w:noProof/>
            <w:webHidden/>
          </w:rPr>
          <w:instrText xml:space="preserve"> PAGEREF _Toc511744908 \h </w:instrText>
        </w:r>
        <w:r w:rsidR="008031B2">
          <w:rPr>
            <w:noProof/>
            <w:webHidden/>
          </w:rPr>
        </w:r>
        <w:r w:rsidR="008031B2">
          <w:rPr>
            <w:noProof/>
            <w:webHidden/>
          </w:rPr>
          <w:fldChar w:fldCharType="separate"/>
        </w:r>
        <w:r w:rsidR="003E224F">
          <w:rPr>
            <w:noProof/>
            <w:webHidden/>
          </w:rPr>
          <w:t>4</w:t>
        </w:r>
        <w:r w:rsidR="008031B2">
          <w:rPr>
            <w:noProof/>
            <w:webHidden/>
          </w:rPr>
          <w:fldChar w:fldCharType="end"/>
        </w:r>
      </w:hyperlink>
    </w:p>
    <w:p w14:paraId="530407C8" w14:textId="37C7DB12" w:rsidR="008031B2" w:rsidRDefault="00C80130">
      <w:pPr>
        <w:pStyle w:val="TOC3"/>
        <w:rPr>
          <w:rFonts w:eastAsiaTheme="minorEastAsia"/>
          <w:iCs w:val="0"/>
          <w:noProof/>
          <w:sz w:val="22"/>
          <w:lang w:eastAsia="en-AU"/>
        </w:rPr>
      </w:pPr>
      <w:hyperlink w:anchor="_Toc511744909" w:history="1">
        <w:r w:rsidR="008031B2" w:rsidRPr="000545E2">
          <w:rPr>
            <w:rStyle w:val="Hyperlink"/>
            <w:noProof/>
          </w:rPr>
          <w:t>Complementary data on Commonwealth funding allocation</w:t>
        </w:r>
        <w:r w:rsidR="008031B2">
          <w:rPr>
            <w:noProof/>
            <w:webHidden/>
          </w:rPr>
          <w:tab/>
        </w:r>
        <w:r w:rsidR="008031B2">
          <w:rPr>
            <w:noProof/>
            <w:webHidden/>
          </w:rPr>
          <w:fldChar w:fldCharType="begin"/>
        </w:r>
        <w:r w:rsidR="008031B2">
          <w:rPr>
            <w:noProof/>
            <w:webHidden/>
          </w:rPr>
          <w:instrText xml:space="preserve"> PAGEREF _Toc511744909 \h </w:instrText>
        </w:r>
        <w:r w:rsidR="008031B2">
          <w:rPr>
            <w:noProof/>
            <w:webHidden/>
          </w:rPr>
        </w:r>
        <w:r w:rsidR="008031B2">
          <w:rPr>
            <w:noProof/>
            <w:webHidden/>
          </w:rPr>
          <w:fldChar w:fldCharType="separate"/>
        </w:r>
        <w:r w:rsidR="003E224F">
          <w:rPr>
            <w:noProof/>
            <w:webHidden/>
          </w:rPr>
          <w:t>7</w:t>
        </w:r>
        <w:r w:rsidR="008031B2">
          <w:rPr>
            <w:noProof/>
            <w:webHidden/>
          </w:rPr>
          <w:fldChar w:fldCharType="end"/>
        </w:r>
      </w:hyperlink>
    </w:p>
    <w:p w14:paraId="5CAB5DA5" w14:textId="7D28BE23" w:rsidR="008031B2" w:rsidRDefault="00C80130">
      <w:pPr>
        <w:pStyle w:val="TOC3"/>
        <w:rPr>
          <w:rFonts w:eastAsiaTheme="minorEastAsia"/>
          <w:iCs w:val="0"/>
          <w:noProof/>
          <w:sz w:val="22"/>
          <w:lang w:eastAsia="en-AU"/>
        </w:rPr>
      </w:pPr>
      <w:hyperlink w:anchor="_Toc511744910" w:history="1">
        <w:r w:rsidR="008031B2" w:rsidRPr="000545E2">
          <w:rPr>
            <w:rStyle w:val="Hyperlink"/>
            <w:noProof/>
          </w:rPr>
          <w:t>User charges</w:t>
        </w:r>
        <w:r w:rsidR="008031B2">
          <w:rPr>
            <w:noProof/>
            <w:webHidden/>
          </w:rPr>
          <w:tab/>
        </w:r>
        <w:r w:rsidR="008031B2">
          <w:rPr>
            <w:noProof/>
            <w:webHidden/>
          </w:rPr>
          <w:fldChar w:fldCharType="begin"/>
        </w:r>
        <w:r w:rsidR="008031B2">
          <w:rPr>
            <w:noProof/>
            <w:webHidden/>
          </w:rPr>
          <w:instrText xml:space="preserve"> PAGEREF _Toc511744910 \h </w:instrText>
        </w:r>
        <w:r w:rsidR="008031B2">
          <w:rPr>
            <w:noProof/>
            <w:webHidden/>
          </w:rPr>
        </w:r>
        <w:r w:rsidR="008031B2">
          <w:rPr>
            <w:noProof/>
            <w:webHidden/>
          </w:rPr>
          <w:fldChar w:fldCharType="separate"/>
        </w:r>
        <w:r w:rsidR="003E224F">
          <w:rPr>
            <w:noProof/>
            <w:webHidden/>
          </w:rPr>
          <w:t>7</w:t>
        </w:r>
        <w:r w:rsidR="008031B2">
          <w:rPr>
            <w:noProof/>
            <w:webHidden/>
          </w:rPr>
          <w:fldChar w:fldCharType="end"/>
        </w:r>
      </w:hyperlink>
    </w:p>
    <w:p w14:paraId="3534628D" w14:textId="42810EF2" w:rsidR="008031B2" w:rsidRDefault="00C80130">
      <w:pPr>
        <w:pStyle w:val="TOC3"/>
        <w:rPr>
          <w:rFonts w:eastAsiaTheme="minorEastAsia"/>
          <w:iCs w:val="0"/>
          <w:noProof/>
          <w:sz w:val="22"/>
          <w:lang w:eastAsia="en-AU"/>
        </w:rPr>
      </w:pPr>
      <w:hyperlink w:anchor="_Toc511744911" w:history="1">
        <w:r w:rsidR="008031B2" w:rsidRPr="000545E2">
          <w:rPr>
            <w:rStyle w:val="Hyperlink"/>
            <w:noProof/>
          </w:rPr>
          <w:t>Commonwealth funded government schools</w:t>
        </w:r>
        <w:r w:rsidR="008031B2">
          <w:rPr>
            <w:noProof/>
            <w:webHidden/>
          </w:rPr>
          <w:tab/>
        </w:r>
        <w:r w:rsidR="008031B2">
          <w:rPr>
            <w:noProof/>
            <w:webHidden/>
          </w:rPr>
          <w:fldChar w:fldCharType="begin"/>
        </w:r>
        <w:r w:rsidR="008031B2">
          <w:rPr>
            <w:noProof/>
            <w:webHidden/>
          </w:rPr>
          <w:instrText xml:space="preserve"> PAGEREF _Toc511744911 \h </w:instrText>
        </w:r>
        <w:r w:rsidR="008031B2">
          <w:rPr>
            <w:noProof/>
            <w:webHidden/>
          </w:rPr>
        </w:r>
        <w:r w:rsidR="008031B2">
          <w:rPr>
            <w:noProof/>
            <w:webHidden/>
          </w:rPr>
          <w:fldChar w:fldCharType="separate"/>
        </w:r>
        <w:r w:rsidR="003E224F">
          <w:rPr>
            <w:noProof/>
            <w:webHidden/>
          </w:rPr>
          <w:t>8</w:t>
        </w:r>
        <w:r w:rsidR="008031B2">
          <w:rPr>
            <w:noProof/>
            <w:webHidden/>
          </w:rPr>
          <w:fldChar w:fldCharType="end"/>
        </w:r>
      </w:hyperlink>
    </w:p>
    <w:p w14:paraId="35B58C5F" w14:textId="3894524B" w:rsidR="008031B2" w:rsidRDefault="00C80130">
      <w:pPr>
        <w:pStyle w:val="TOC3"/>
        <w:rPr>
          <w:rFonts w:eastAsiaTheme="minorEastAsia"/>
          <w:iCs w:val="0"/>
          <w:noProof/>
          <w:sz w:val="22"/>
          <w:lang w:eastAsia="en-AU"/>
        </w:rPr>
      </w:pPr>
      <w:hyperlink w:anchor="_Toc511744912" w:history="1">
        <w:r w:rsidR="008031B2" w:rsidRPr="000545E2">
          <w:rPr>
            <w:rStyle w:val="Hyperlink"/>
            <w:noProof/>
          </w:rPr>
          <w:t>Commonwealth funded non-government schools</w:t>
        </w:r>
        <w:r w:rsidR="008031B2">
          <w:rPr>
            <w:noProof/>
            <w:webHidden/>
          </w:rPr>
          <w:tab/>
        </w:r>
        <w:r w:rsidR="008031B2">
          <w:rPr>
            <w:noProof/>
            <w:webHidden/>
          </w:rPr>
          <w:fldChar w:fldCharType="begin"/>
        </w:r>
        <w:r w:rsidR="008031B2">
          <w:rPr>
            <w:noProof/>
            <w:webHidden/>
          </w:rPr>
          <w:instrText xml:space="preserve"> PAGEREF _Toc511744912 \h </w:instrText>
        </w:r>
        <w:r w:rsidR="008031B2">
          <w:rPr>
            <w:noProof/>
            <w:webHidden/>
          </w:rPr>
        </w:r>
        <w:r w:rsidR="008031B2">
          <w:rPr>
            <w:noProof/>
            <w:webHidden/>
          </w:rPr>
          <w:fldChar w:fldCharType="separate"/>
        </w:r>
        <w:r w:rsidR="003E224F">
          <w:rPr>
            <w:noProof/>
            <w:webHidden/>
          </w:rPr>
          <w:t>8</w:t>
        </w:r>
        <w:r w:rsidR="008031B2">
          <w:rPr>
            <w:noProof/>
            <w:webHidden/>
          </w:rPr>
          <w:fldChar w:fldCharType="end"/>
        </w:r>
      </w:hyperlink>
    </w:p>
    <w:p w14:paraId="10D6E77D" w14:textId="1F16B33D" w:rsidR="008031B2" w:rsidRDefault="00C80130">
      <w:pPr>
        <w:pStyle w:val="TOC3"/>
        <w:rPr>
          <w:rFonts w:eastAsiaTheme="minorEastAsia"/>
          <w:iCs w:val="0"/>
          <w:noProof/>
          <w:sz w:val="22"/>
          <w:lang w:eastAsia="en-AU"/>
        </w:rPr>
      </w:pPr>
      <w:hyperlink w:anchor="_Toc511744913" w:history="1">
        <w:r w:rsidR="008031B2" w:rsidRPr="000545E2">
          <w:rPr>
            <w:rStyle w:val="Hyperlink"/>
            <w:noProof/>
          </w:rPr>
          <w:t>Data source for student numbers</w:t>
        </w:r>
        <w:r w:rsidR="008031B2">
          <w:rPr>
            <w:noProof/>
            <w:webHidden/>
          </w:rPr>
          <w:tab/>
        </w:r>
        <w:r w:rsidR="008031B2">
          <w:rPr>
            <w:noProof/>
            <w:webHidden/>
          </w:rPr>
          <w:fldChar w:fldCharType="begin"/>
        </w:r>
        <w:r w:rsidR="008031B2">
          <w:rPr>
            <w:noProof/>
            <w:webHidden/>
          </w:rPr>
          <w:instrText xml:space="preserve"> PAGEREF _Toc511744913 \h </w:instrText>
        </w:r>
        <w:r w:rsidR="008031B2">
          <w:rPr>
            <w:noProof/>
            <w:webHidden/>
          </w:rPr>
        </w:r>
        <w:r w:rsidR="008031B2">
          <w:rPr>
            <w:noProof/>
            <w:webHidden/>
          </w:rPr>
          <w:fldChar w:fldCharType="separate"/>
        </w:r>
        <w:r w:rsidR="003E224F">
          <w:rPr>
            <w:noProof/>
            <w:webHidden/>
          </w:rPr>
          <w:t>9</w:t>
        </w:r>
        <w:r w:rsidR="008031B2">
          <w:rPr>
            <w:noProof/>
            <w:webHidden/>
          </w:rPr>
          <w:fldChar w:fldCharType="end"/>
        </w:r>
      </w:hyperlink>
    </w:p>
    <w:p w14:paraId="1F7B6B1F" w14:textId="6A424A80" w:rsidR="008031B2" w:rsidRDefault="00C80130">
      <w:pPr>
        <w:pStyle w:val="TOC3"/>
        <w:rPr>
          <w:rFonts w:eastAsiaTheme="minorEastAsia"/>
          <w:iCs w:val="0"/>
          <w:noProof/>
          <w:sz w:val="22"/>
          <w:lang w:eastAsia="en-AU"/>
        </w:rPr>
      </w:pPr>
      <w:hyperlink w:anchor="_Toc511744914" w:history="1">
        <w:r w:rsidR="008031B2" w:rsidRPr="000545E2">
          <w:rPr>
            <w:rStyle w:val="Hyperlink"/>
            <w:noProof/>
          </w:rPr>
          <w:t>Students with disabilities</w:t>
        </w:r>
        <w:r w:rsidR="008031B2">
          <w:rPr>
            <w:noProof/>
            <w:webHidden/>
          </w:rPr>
          <w:tab/>
        </w:r>
        <w:r w:rsidR="008031B2">
          <w:rPr>
            <w:noProof/>
            <w:webHidden/>
          </w:rPr>
          <w:fldChar w:fldCharType="begin"/>
        </w:r>
        <w:r w:rsidR="008031B2">
          <w:rPr>
            <w:noProof/>
            <w:webHidden/>
          </w:rPr>
          <w:instrText xml:space="preserve"> PAGEREF _Toc511744914 \h </w:instrText>
        </w:r>
        <w:r w:rsidR="008031B2">
          <w:rPr>
            <w:noProof/>
            <w:webHidden/>
          </w:rPr>
        </w:r>
        <w:r w:rsidR="008031B2">
          <w:rPr>
            <w:noProof/>
            <w:webHidden/>
          </w:rPr>
          <w:fldChar w:fldCharType="separate"/>
        </w:r>
        <w:r w:rsidR="003E224F">
          <w:rPr>
            <w:noProof/>
            <w:webHidden/>
          </w:rPr>
          <w:t>10</w:t>
        </w:r>
        <w:r w:rsidR="008031B2">
          <w:rPr>
            <w:noProof/>
            <w:webHidden/>
          </w:rPr>
          <w:fldChar w:fldCharType="end"/>
        </w:r>
      </w:hyperlink>
    </w:p>
    <w:p w14:paraId="5CC94D64" w14:textId="51C7D626" w:rsidR="008031B2" w:rsidRDefault="00C80130">
      <w:pPr>
        <w:pStyle w:val="TOC3"/>
        <w:rPr>
          <w:rFonts w:eastAsiaTheme="minorEastAsia"/>
          <w:iCs w:val="0"/>
          <w:noProof/>
          <w:sz w:val="22"/>
          <w:lang w:eastAsia="en-AU"/>
        </w:rPr>
      </w:pPr>
      <w:hyperlink w:anchor="_Toc511744915" w:history="1">
        <w:r w:rsidR="008031B2" w:rsidRPr="000545E2">
          <w:rPr>
            <w:rStyle w:val="Hyperlink"/>
            <w:noProof/>
          </w:rPr>
          <w:t>Policy effects on States’ shares of government and non</w:t>
        </w:r>
        <w:r w:rsidR="008031B2" w:rsidRPr="000545E2">
          <w:rPr>
            <w:rStyle w:val="Hyperlink"/>
            <w:noProof/>
          </w:rPr>
          <w:noBreakHyphen/>
          <w:t>government students</w:t>
        </w:r>
        <w:r w:rsidR="008031B2">
          <w:rPr>
            <w:noProof/>
            <w:webHidden/>
          </w:rPr>
          <w:tab/>
        </w:r>
        <w:r w:rsidR="008031B2">
          <w:rPr>
            <w:noProof/>
            <w:webHidden/>
          </w:rPr>
          <w:fldChar w:fldCharType="begin"/>
        </w:r>
        <w:r w:rsidR="008031B2">
          <w:rPr>
            <w:noProof/>
            <w:webHidden/>
          </w:rPr>
          <w:instrText xml:space="preserve"> PAGEREF _Toc511744915 \h </w:instrText>
        </w:r>
        <w:r w:rsidR="008031B2">
          <w:rPr>
            <w:noProof/>
            <w:webHidden/>
          </w:rPr>
        </w:r>
        <w:r w:rsidR="008031B2">
          <w:rPr>
            <w:noProof/>
            <w:webHidden/>
          </w:rPr>
          <w:fldChar w:fldCharType="separate"/>
        </w:r>
        <w:r w:rsidR="003E224F">
          <w:rPr>
            <w:noProof/>
            <w:webHidden/>
          </w:rPr>
          <w:t>11</w:t>
        </w:r>
        <w:r w:rsidR="008031B2">
          <w:rPr>
            <w:noProof/>
            <w:webHidden/>
          </w:rPr>
          <w:fldChar w:fldCharType="end"/>
        </w:r>
      </w:hyperlink>
    </w:p>
    <w:p w14:paraId="31AAD9F5" w14:textId="19DF16D3" w:rsidR="008031B2" w:rsidRDefault="00C80130">
      <w:pPr>
        <w:pStyle w:val="TOC3"/>
        <w:rPr>
          <w:rFonts w:eastAsiaTheme="minorEastAsia"/>
          <w:iCs w:val="0"/>
          <w:noProof/>
          <w:sz w:val="22"/>
          <w:lang w:eastAsia="en-AU"/>
        </w:rPr>
      </w:pPr>
      <w:hyperlink w:anchor="_Toc511744916" w:history="1">
        <w:r w:rsidR="008031B2" w:rsidRPr="000545E2">
          <w:rPr>
            <w:rStyle w:val="Hyperlink"/>
            <w:noProof/>
          </w:rPr>
          <w:t>Student transport</w:t>
        </w:r>
        <w:r w:rsidR="008031B2">
          <w:rPr>
            <w:noProof/>
            <w:webHidden/>
          </w:rPr>
          <w:tab/>
        </w:r>
        <w:r w:rsidR="008031B2">
          <w:rPr>
            <w:noProof/>
            <w:webHidden/>
          </w:rPr>
          <w:fldChar w:fldCharType="begin"/>
        </w:r>
        <w:r w:rsidR="008031B2">
          <w:rPr>
            <w:noProof/>
            <w:webHidden/>
          </w:rPr>
          <w:instrText xml:space="preserve"> PAGEREF _Toc511744916 \h </w:instrText>
        </w:r>
        <w:r w:rsidR="008031B2">
          <w:rPr>
            <w:noProof/>
            <w:webHidden/>
          </w:rPr>
        </w:r>
        <w:r w:rsidR="008031B2">
          <w:rPr>
            <w:noProof/>
            <w:webHidden/>
          </w:rPr>
          <w:fldChar w:fldCharType="separate"/>
        </w:r>
        <w:r w:rsidR="003E224F">
          <w:rPr>
            <w:noProof/>
            <w:webHidden/>
          </w:rPr>
          <w:t>13</w:t>
        </w:r>
        <w:r w:rsidR="008031B2">
          <w:rPr>
            <w:noProof/>
            <w:webHidden/>
          </w:rPr>
          <w:fldChar w:fldCharType="end"/>
        </w:r>
      </w:hyperlink>
    </w:p>
    <w:p w14:paraId="027863AD" w14:textId="7C9849D4" w:rsidR="008031B2" w:rsidRDefault="00C80130">
      <w:pPr>
        <w:pStyle w:val="TOC3"/>
        <w:rPr>
          <w:rFonts w:eastAsiaTheme="minorEastAsia"/>
          <w:iCs w:val="0"/>
          <w:noProof/>
          <w:sz w:val="22"/>
          <w:lang w:eastAsia="en-AU"/>
        </w:rPr>
      </w:pPr>
      <w:hyperlink w:anchor="_Toc511744917" w:history="1">
        <w:r w:rsidR="008031B2" w:rsidRPr="000545E2">
          <w:rPr>
            <w:rStyle w:val="Hyperlink"/>
            <w:noProof/>
          </w:rPr>
          <w:t>Other issues considered and settled</w:t>
        </w:r>
        <w:r w:rsidR="008031B2">
          <w:rPr>
            <w:noProof/>
            <w:webHidden/>
          </w:rPr>
          <w:tab/>
        </w:r>
        <w:r w:rsidR="008031B2">
          <w:rPr>
            <w:noProof/>
            <w:webHidden/>
          </w:rPr>
          <w:fldChar w:fldCharType="begin"/>
        </w:r>
        <w:r w:rsidR="008031B2">
          <w:rPr>
            <w:noProof/>
            <w:webHidden/>
          </w:rPr>
          <w:instrText xml:space="preserve"> PAGEREF _Toc511744917 \h </w:instrText>
        </w:r>
        <w:r w:rsidR="008031B2">
          <w:rPr>
            <w:noProof/>
            <w:webHidden/>
          </w:rPr>
        </w:r>
        <w:r w:rsidR="008031B2">
          <w:rPr>
            <w:noProof/>
            <w:webHidden/>
          </w:rPr>
          <w:fldChar w:fldCharType="separate"/>
        </w:r>
        <w:r w:rsidR="003E224F">
          <w:rPr>
            <w:noProof/>
            <w:webHidden/>
          </w:rPr>
          <w:t>14</w:t>
        </w:r>
        <w:r w:rsidR="008031B2">
          <w:rPr>
            <w:noProof/>
            <w:webHidden/>
          </w:rPr>
          <w:fldChar w:fldCharType="end"/>
        </w:r>
      </w:hyperlink>
    </w:p>
    <w:p w14:paraId="5F9484E4" w14:textId="570A63BB" w:rsidR="008031B2" w:rsidRDefault="00C80130">
      <w:pPr>
        <w:pStyle w:val="TOC1"/>
        <w:rPr>
          <w:rFonts w:eastAsiaTheme="minorEastAsia"/>
          <w:b w:val="0"/>
          <w:bCs w:val="0"/>
          <w:caps w:val="0"/>
          <w:noProof/>
          <w:sz w:val="22"/>
          <w:szCs w:val="22"/>
          <w:lang w:eastAsia="en-AU"/>
        </w:rPr>
      </w:pPr>
      <w:hyperlink w:anchor="_Toc511744918" w:history="1">
        <w:r w:rsidR="008031B2" w:rsidRPr="000545E2">
          <w:rPr>
            <w:rStyle w:val="Hyperlink"/>
            <w:noProof/>
          </w:rPr>
          <w:t>Conclusion and way forward</w:t>
        </w:r>
        <w:r w:rsidR="008031B2">
          <w:rPr>
            <w:noProof/>
            <w:webHidden/>
          </w:rPr>
          <w:tab/>
        </w:r>
        <w:r w:rsidR="008031B2">
          <w:rPr>
            <w:noProof/>
            <w:webHidden/>
          </w:rPr>
          <w:fldChar w:fldCharType="begin"/>
        </w:r>
        <w:r w:rsidR="008031B2">
          <w:rPr>
            <w:noProof/>
            <w:webHidden/>
          </w:rPr>
          <w:instrText xml:space="preserve"> PAGEREF _Toc511744918 \h </w:instrText>
        </w:r>
        <w:r w:rsidR="008031B2">
          <w:rPr>
            <w:noProof/>
            <w:webHidden/>
          </w:rPr>
        </w:r>
        <w:r w:rsidR="008031B2">
          <w:rPr>
            <w:noProof/>
            <w:webHidden/>
          </w:rPr>
          <w:fldChar w:fldCharType="separate"/>
        </w:r>
        <w:r w:rsidR="003E224F">
          <w:rPr>
            <w:noProof/>
            <w:webHidden/>
          </w:rPr>
          <w:t>14</w:t>
        </w:r>
        <w:r w:rsidR="008031B2">
          <w:rPr>
            <w:noProof/>
            <w:webHidden/>
          </w:rPr>
          <w:fldChar w:fldCharType="end"/>
        </w:r>
      </w:hyperlink>
    </w:p>
    <w:p w14:paraId="5FBAFCA4" w14:textId="68708634" w:rsidR="008031B2" w:rsidRDefault="00C80130">
      <w:pPr>
        <w:pStyle w:val="TOC3"/>
        <w:rPr>
          <w:rFonts w:eastAsiaTheme="minorEastAsia"/>
          <w:iCs w:val="0"/>
          <w:noProof/>
          <w:sz w:val="22"/>
          <w:lang w:eastAsia="en-AU"/>
        </w:rPr>
      </w:pPr>
      <w:hyperlink w:anchor="_Toc511744919" w:history="1">
        <w:r w:rsidR="008031B2" w:rsidRPr="000545E2">
          <w:rPr>
            <w:rStyle w:val="Hyperlink"/>
            <w:noProof/>
          </w:rPr>
          <w:t>Proposed assessment structure</w:t>
        </w:r>
        <w:r w:rsidR="008031B2">
          <w:rPr>
            <w:noProof/>
            <w:webHidden/>
          </w:rPr>
          <w:tab/>
        </w:r>
        <w:r w:rsidR="008031B2">
          <w:rPr>
            <w:noProof/>
            <w:webHidden/>
          </w:rPr>
          <w:fldChar w:fldCharType="begin"/>
        </w:r>
        <w:r w:rsidR="008031B2">
          <w:rPr>
            <w:noProof/>
            <w:webHidden/>
          </w:rPr>
          <w:instrText xml:space="preserve"> PAGEREF _Toc511744919 \h </w:instrText>
        </w:r>
        <w:r w:rsidR="008031B2">
          <w:rPr>
            <w:noProof/>
            <w:webHidden/>
          </w:rPr>
        </w:r>
        <w:r w:rsidR="008031B2">
          <w:rPr>
            <w:noProof/>
            <w:webHidden/>
          </w:rPr>
          <w:fldChar w:fldCharType="separate"/>
        </w:r>
        <w:r w:rsidR="003E224F">
          <w:rPr>
            <w:noProof/>
            <w:webHidden/>
          </w:rPr>
          <w:t>15</w:t>
        </w:r>
        <w:r w:rsidR="008031B2">
          <w:rPr>
            <w:noProof/>
            <w:webHidden/>
          </w:rPr>
          <w:fldChar w:fldCharType="end"/>
        </w:r>
      </w:hyperlink>
    </w:p>
    <w:p w14:paraId="12CBD0A5" w14:textId="49E5FD11" w:rsidR="001B68B1" w:rsidRPr="00970E6D" w:rsidRDefault="007705BA" w:rsidP="007705BA">
      <w:pPr>
        <w:tabs>
          <w:tab w:val="clear" w:pos="567"/>
        </w:tabs>
      </w:pPr>
      <w:r>
        <w:fldChar w:fldCharType="end"/>
      </w:r>
    </w:p>
    <w:p w14:paraId="300FFED8" w14:textId="77777777" w:rsidR="001B68B1" w:rsidRPr="00970E6D" w:rsidRDefault="001B68B1" w:rsidP="001B68B1">
      <w:pPr>
        <w:tabs>
          <w:tab w:val="clear" w:pos="567"/>
        </w:tabs>
        <w:sectPr w:rsidR="001B68B1" w:rsidRPr="00970E6D" w:rsidSect="00504F41">
          <w:headerReference w:type="first" r:id="rId20"/>
          <w:footerReference w:type="first" r:id="rId21"/>
          <w:pgSz w:w="11899" w:h="16838" w:code="9"/>
          <w:pgMar w:top="1701" w:right="1474" w:bottom="1701" w:left="1474" w:header="709" w:footer="709" w:gutter="0"/>
          <w:pgNumType w:fmt="lowerRoman" w:start="1"/>
          <w:cols w:space="708"/>
          <w:titlePg/>
          <w:docGrid w:linePitch="299"/>
        </w:sectPr>
      </w:pPr>
    </w:p>
    <w:p w14:paraId="70B06115" w14:textId="7861ED28" w:rsidR="00617115" w:rsidRDefault="00617115" w:rsidP="00617115">
      <w:pPr>
        <w:pStyle w:val="Heading2"/>
      </w:pPr>
      <w:bookmarkStart w:id="18" w:name="_Toc509318509"/>
      <w:bookmarkStart w:id="19" w:name="_Toc509318777"/>
      <w:bookmarkStart w:id="20" w:name="_Toc511744902"/>
      <w:r>
        <w:lastRenderedPageBreak/>
        <w:t>School education</w:t>
      </w:r>
      <w:bookmarkEnd w:id="18"/>
      <w:bookmarkEnd w:id="19"/>
      <w:bookmarkEnd w:id="20"/>
    </w:p>
    <w:p w14:paraId="5FD421D9" w14:textId="0BE29DB0" w:rsidR="00903E62" w:rsidRPr="00903E62" w:rsidRDefault="00903E62" w:rsidP="00903E62">
      <w:pPr>
        <w:pStyle w:val="CGCNumberedPara"/>
      </w:pPr>
      <w:r>
        <w:t>The paper provides the Commission staff proposals for the assessment of School education expenses for the 2020 Review.</w:t>
      </w:r>
    </w:p>
    <w:p w14:paraId="398960CF" w14:textId="77777777" w:rsidR="00F83306" w:rsidRDefault="00F83306" w:rsidP="00F83306">
      <w:pPr>
        <w:pStyle w:val="Heading3"/>
      </w:pPr>
      <w:bookmarkStart w:id="21" w:name="_Toc509318778"/>
      <w:bookmarkStart w:id="22" w:name="_Toc511744903"/>
      <w:r w:rsidRPr="00F83306">
        <w:t>2015 REVIEW APPROACH</w:t>
      </w:r>
      <w:bookmarkEnd w:id="21"/>
      <w:bookmarkEnd w:id="22"/>
    </w:p>
    <w:p w14:paraId="6653BA8A" w14:textId="77777777" w:rsidR="00617115" w:rsidRDefault="00617115" w:rsidP="00617115">
      <w:pPr>
        <w:pStyle w:val="Heading4"/>
      </w:pPr>
      <w:bookmarkStart w:id="23" w:name="_Toc508803628"/>
      <w:bookmarkStart w:id="24" w:name="_Toc509318779"/>
      <w:bookmarkStart w:id="25" w:name="_Toc511744904"/>
      <w:r>
        <w:t>Services included in this category</w:t>
      </w:r>
      <w:bookmarkEnd w:id="23"/>
      <w:bookmarkEnd w:id="24"/>
      <w:bookmarkEnd w:id="25"/>
    </w:p>
    <w:p w14:paraId="35283C11" w14:textId="3A20973E" w:rsidR="00617115" w:rsidRDefault="000269B1" w:rsidP="00504F41">
      <w:pPr>
        <w:pStyle w:val="CGCNumberedPara"/>
      </w:pPr>
      <w:r>
        <w:t>The S</w:t>
      </w:r>
      <w:r w:rsidR="00617115" w:rsidRPr="00617115">
        <w:t xml:space="preserve">chool education category </w:t>
      </w:r>
      <w:r w:rsidR="00617115">
        <w:t xml:space="preserve">covers </w:t>
      </w:r>
      <w:r w:rsidR="00617115" w:rsidRPr="00617115">
        <w:t>spending on both government and non</w:t>
      </w:r>
      <w:r w:rsidR="003A495E">
        <w:noBreakHyphen/>
      </w:r>
      <w:r w:rsidR="00617115" w:rsidRPr="00617115">
        <w:t xml:space="preserve">government schools, </w:t>
      </w:r>
      <w:r w:rsidR="00617115">
        <w:t xml:space="preserve">and includes </w:t>
      </w:r>
      <w:r w:rsidR="00617115" w:rsidRPr="00617115">
        <w:t xml:space="preserve">preschool education as well as student transport. </w:t>
      </w:r>
    </w:p>
    <w:p w14:paraId="63951C49" w14:textId="77777777" w:rsidR="009A7AE5" w:rsidRDefault="009A7AE5" w:rsidP="009A7AE5">
      <w:pPr>
        <w:pStyle w:val="CGCNumberedPara"/>
      </w:pPr>
      <w:r w:rsidRPr="009A7AE5">
        <w:t>The Commonwealth makes payments to the States to meet a proportion of the cost of government and non-government schools. The expenditure of these payments is included in category expenses</w:t>
      </w:r>
      <w:r w:rsidR="000269B1">
        <w:t>.</w:t>
      </w:r>
    </w:p>
    <w:p w14:paraId="6A6AFAA1" w14:textId="77777777" w:rsidR="00E42394" w:rsidRPr="00C3140C" w:rsidRDefault="00E42394" w:rsidP="00E42394">
      <w:pPr>
        <w:pStyle w:val="Heading4"/>
      </w:pPr>
      <w:bookmarkStart w:id="26" w:name="_Toc509318780"/>
      <w:bookmarkStart w:id="27" w:name="_Toc511744905"/>
      <w:r w:rsidRPr="00C3140C">
        <w:t>Category and component expenses</w:t>
      </w:r>
      <w:bookmarkEnd w:id="26"/>
      <w:bookmarkEnd w:id="27"/>
    </w:p>
    <w:p w14:paraId="251DD1B9" w14:textId="4E5909D2" w:rsidR="00D37CB4" w:rsidRDefault="00617115" w:rsidP="00E07621">
      <w:pPr>
        <w:pStyle w:val="CGCNumberedPara"/>
      </w:pPr>
      <w:r>
        <w:t>School education expenses were $5</w:t>
      </w:r>
      <w:r w:rsidR="00A70049">
        <w:t>2.</w:t>
      </w:r>
      <w:r w:rsidR="003A495E">
        <w:t>8</w:t>
      </w:r>
      <w:r>
        <w:t xml:space="preserve"> billion in 201</w:t>
      </w:r>
      <w:r w:rsidR="00A70049">
        <w:t>6-17</w:t>
      </w:r>
      <w:r w:rsidR="001818CF">
        <w:t xml:space="preserve">. The breakdown by component is shown in </w:t>
      </w:r>
      <w:r w:rsidR="00D2431C">
        <w:fldChar w:fldCharType="begin"/>
      </w:r>
      <w:r w:rsidR="00D2431C">
        <w:instrText xml:space="preserve"> REF _Ref509232415 \h </w:instrText>
      </w:r>
      <w:r w:rsidR="00D2431C">
        <w:fldChar w:fldCharType="separate"/>
      </w:r>
      <w:r w:rsidR="003E224F">
        <w:t xml:space="preserve">Table </w:t>
      </w:r>
      <w:r w:rsidR="003E224F">
        <w:rPr>
          <w:noProof/>
        </w:rPr>
        <w:t>1</w:t>
      </w:r>
      <w:r w:rsidR="00D2431C">
        <w:fldChar w:fldCharType="end"/>
      </w:r>
      <w:r w:rsidR="00D2431C">
        <w:t>.</w:t>
      </w:r>
    </w:p>
    <w:p w14:paraId="04037AE1" w14:textId="3ED41F99" w:rsidR="00D37CB4" w:rsidRDefault="00D37CB4" w:rsidP="00D37CB4">
      <w:pPr>
        <w:pStyle w:val="CGCNumberedPara"/>
      </w:pPr>
      <w:bookmarkStart w:id="28" w:name="_Ref322431260"/>
      <w:r>
        <w:t>The Commonwealth has, in recent years, significantly increased its support for school education, with 1</w:t>
      </w:r>
      <w:r w:rsidR="00A70049">
        <w:t>4</w:t>
      </w:r>
      <w:r>
        <w:t>% per annum increase in funding between 201</w:t>
      </w:r>
      <w:r w:rsidR="00A70049">
        <w:t>3-14</w:t>
      </w:r>
      <w:r>
        <w:t xml:space="preserve"> and 201</w:t>
      </w:r>
      <w:r w:rsidR="00A70049">
        <w:t>6-17</w:t>
      </w:r>
      <w:r>
        <w:t>. Further increases in Commonwealth support are anticipated.</w:t>
      </w:r>
    </w:p>
    <w:p w14:paraId="148DC6F5" w14:textId="296D43C8" w:rsidR="00D37CB4" w:rsidRPr="00741FF2" w:rsidRDefault="00D2431C" w:rsidP="00D2431C">
      <w:pPr>
        <w:pStyle w:val="Caption"/>
      </w:pPr>
      <w:bookmarkStart w:id="29" w:name="_Ref509232415"/>
      <w:bookmarkEnd w:id="28"/>
      <w:r>
        <w:t xml:space="preserve">Table </w:t>
      </w:r>
      <w:fldSimple w:instr=" SEQ Table \* ARABIC ">
        <w:r w:rsidR="003E224F">
          <w:rPr>
            <w:noProof/>
          </w:rPr>
          <w:t>1</w:t>
        </w:r>
      </w:fldSimple>
      <w:bookmarkEnd w:id="29"/>
      <w:r w:rsidR="00D37CB4" w:rsidRPr="00741FF2">
        <w:tab/>
      </w:r>
      <w:r w:rsidR="00D37CB4">
        <w:t>School</w:t>
      </w:r>
      <w:r w:rsidR="00F20219">
        <w:t xml:space="preserve"> education</w:t>
      </w:r>
      <w:r w:rsidR="00D37CB4">
        <w:t xml:space="preserve"> </w:t>
      </w:r>
      <w:r w:rsidR="00D37CB4" w:rsidRPr="00741FF2">
        <w:t xml:space="preserve">expenses by </w:t>
      </w:r>
      <w:r w:rsidR="00D37CB4">
        <w:t>component</w:t>
      </w:r>
      <w:r w:rsidR="00D37CB4" w:rsidRPr="00741FF2">
        <w:t xml:space="preserve">, </w:t>
      </w:r>
      <w:r w:rsidR="00D37CB4" w:rsidRPr="00BB712B">
        <w:t>201</w:t>
      </w:r>
      <w:r w:rsidR="00F32D78">
        <w:t>6-17</w:t>
      </w:r>
    </w:p>
    <w:tbl>
      <w:tblPr>
        <w:tblW w:w="8955" w:type="dxa"/>
        <w:tblLayout w:type="fixed"/>
        <w:tblCellMar>
          <w:left w:w="0" w:type="dxa"/>
          <w:right w:w="0" w:type="dxa"/>
        </w:tblCellMar>
        <w:tblLook w:val="04A0" w:firstRow="1" w:lastRow="0" w:firstColumn="1" w:lastColumn="0" w:noHBand="0" w:noVBand="1"/>
      </w:tblPr>
      <w:tblGrid>
        <w:gridCol w:w="5529"/>
        <w:gridCol w:w="666"/>
        <w:gridCol w:w="893"/>
        <w:gridCol w:w="1867"/>
      </w:tblGrid>
      <w:tr w:rsidR="00D37CB4" w:rsidRPr="008478DA" w14:paraId="51D87EC2" w14:textId="77777777" w:rsidTr="00504F41">
        <w:trPr>
          <w:trHeight w:val="795"/>
        </w:trPr>
        <w:tc>
          <w:tcPr>
            <w:tcW w:w="5529" w:type="dxa"/>
            <w:tcBorders>
              <w:top w:val="single" w:sz="4" w:space="0" w:color="auto"/>
              <w:left w:val="nil"/>
              <w:bottom w:val="single" w:sz="4" w:space="0" w:color="auto"/>
              <w:right w:val="nil"/>
            </w:tcBorders>
            <w:shd w:val="clear" w:color="auto" w:fill="auto"/>
            <w:noWrap/>
            <w:vAlign w:val="center"/>
            <w:hideMark/>
          </w:tcPr>
          <w:p w14:paraId="1E1667D8" w14:textId="77777777" w:rsidR="00D37CB4" w:rsidRPr="008478DA" w:rsidRDefault="00D37CB4" w:rsidP="00504F41">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bookmarkStart w:id="30" w:name="RANGE!A33:D39"/>
            <w:bookmarkStart w:id="31" w:name="RANGE!A49:D55"/>
            <w:bookmarkStart w:id="32" w:name="RANGE!A49:C55"/>
            <w:bookmarkEnd w:id="30"/>
            <w:bookmarkEnd w:id="31"/>
            <w:r w:rsidRPr="008478DA">
              <w:rPr>
                <w:rFonts w:ascii="Calibri" w:eastAsia="Times New Roman" w:hAnsi="Calibri" w:cs="Times New Roman"/>
                <w:color w:val="000000"/>
                <w:sz w:val="20"/>
                <w:szCs w:val="20"/>
                <w:lang w:eastAsia="en-AU"/>
              </w:rPr>
              <w:t> </w:t>
            </w:r>
            <w:bookmarkEnd w:id="32"/>
          </w:p>
        </w:tc>
        <w:tc>
          <w:tcPr>
            <w:tcW w:w="666" w:type="dxa"/>
            <w:tcBorders>
              <w:top w:val="single" w:sz="4" w:space="0" w:color="auto"/>
              <w:left w:val="nil"/>
              <w:bottom w:val="single" w:sz="4" w:space="0" w:color="auto"/>
              <w:right w:val="nil"/>
            </w:tcBorders>
            <w:shd w:val="clear" w:color="auto" w:fill="auto"/>
            <w:noWrap/>
            <w:vAlign w:val="center"/>
            <w:hideMark/>
          </w:tcPr>
          <w:p w14:paraId="5C9A7DD8" w14:textId="77777777" w:rsidR="00D37CB4" w:rsidRPr="008478DA" w:rsidRDefault="00D37CB4"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478DA">
              <w:rPr>
                <w:rFonts w:ascii="Calibri" w:eastAsia="Times New Roman" w:hAnsi="Calibri" w:cs="Times New Roman"/>
                <w:color w:val="000000"/>
                <w:sz w:val="20"/>
                <w:szCs w:val="20"/>
                <w:lang w:eastAsia="en-AU"/>
              </w:rPr>
              <w:t>Amount</w:t>
            </w:r>
          </w:p>
        </w:tc>
        <w:tc>
          <w:tcPr>
            <w:tcW w:w="893" w:type="dxa"/>
            <w:tcBorders>
              <w:top w:val="single" w:sz="4" w:space="0" w:color="auto"/>
              <w:left w:val="nil"/>
              <w:bottom w:val="single" w:sz="4" w:space="0" w:color="auto"/>
              <w:right w:val="nil"/>
            </w:tcBorders>
            <w:shd w:val="clear" w:color="auto" w:fill="auto"/>
            <w:noWrap/>
            <w:vAlign w:val="center"/>
            <w:hideMark/>
          </w:tcPr>
          <w:p w14:paraId="2DDAA009" w14:textId="77777777" w:rsidR="00D37CB4" w:rsidRPr="008478DA" w:rsidRDefault="00D37CB4"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478DA">
              <w:rPr>
                <w:rFonts w:ascii="Calibri" w:eastAsia="Times New Roman" w:hAnsi="Calibri" w:cs="Times New Roman"/>
                <w:color w:val="000000"/>
                <w:sz w:val="20"/>
                <w:szCs w:val="20"/>
                <w:lang w:eastAsia="en-AU"/>
              </w:rPr>
              <w:t>Share</w:t>
            </w:r>
          </w:p>
        </w:tc>
        <w:tc>
          <w:tcPr>
            <w:tcW w:w="1867" w:type="dxa"/>
            <w:tcBorders>
              <w:top w:val="single" w:sz="4" w:space="0" w:color="auto"/>
              <w:left w:val="nil"/>
              <w:bottom w:val="single" w:sz="4" w:space="0" w:color="auto"/>
              <w:right w:val="nil"/>
            </w:tcBorders>
            <w:shd w:val="clear" w:color="auto" w:fill="auto"/>
            <w:vAlign w:val="center"/>
            <w:hideMark/>
          </w:tcPr>
          <w:p w14:paraId="373A4792" w14:textId="77777777" w:rsidR="00D37CB4" w:rsidRPr="008478DA" w:rsidRDefault="00D37CB4" w:rsidP="00A7004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478DA">
              <w:rPr>
                <w:rFonts w:ascii="Calibri" w:eastAsia="Times New Roman" w:hAnsi="Calibri" w:cs="Times New Roman"/>
                <w:color w:val="000000"/>
                <w:sz w:val="20"/>
                <w:szCs w:val="20"/>
                <w:lang w:eastAsia="en-AU"/>
              </w:rPr>
              <w:t xml:space="preserve">Annual growth </w:t>
            </w:r>
            <w:r>
              <w:rPr>
                <w:rFonts w:ascii="Calibri" w:eastAsia="Times New Roman" w:hAnsi="Calibri" w:cs="Times New Roman"/>
                <w:color w:val="000000"/>
                <w:sz w:val="20"/>
                <w:szCs w:val="20"/>
                <w:lang w:eastAsia="en-AU"/>
              </w:rPr>
              <w:br/>
            </w:r>
            <w:r w:rsidRPr="008478DA">
              <w:rPr>
                <w:rFonts w:ascii="Calibri" w:eastAsia="Times New Roman" w:hAnsi="Calibri" w:cs="Times New Roman"/>
                <w:color w:val="000000"/>
                <w:sz w:val="20"/>
                <w:szCs w:val="20"/>
                <w:lang w:eastAsia="en-AU"/>
              </w:rPr>
              <w:t xml:space="preserve">in spending, </w:t>
            </w:r>
            <w:r>
              <w:rPr>
                <w:rFonts w:ascii="Calibri" w:eastAsia="Times New Roman" w:hAnsi="Calibri" w:cs="Times New Roman"/>
                <w:color w:val="000000"/>
                <w:sz w:val="20"/>
                <w:szCs w:val="20"/>
                <w:lang w:eastAsia="en-AU"/>
              </w:rPr>
              <w:br/>
            </w:r>
            <w:r w:rsidRPr="008478DA">
              <w:rPr>
                <w:rFonts w:ascii="Calibri" w:eastAsia="Times New Roman" w:hAnsi="Calibri" w:cs="Times New Roman"/>
                <w:color w:val="000000"/>
                <w:sz w:val="20"/>
                <w:szCs w:val="20"/>
                <w:lang w:eastAsia="en-AU"/>
              </w:rPr>
              <w:t>201</w:t>
            </w:r>
            <w:r w:rsidR="00A70049">
              <w:rPr>
                <w:rFonts w:ascii="Calibri" w:eastAsia="Times New Roman" w:hAnsi="Calibri" w:cs="Times New Roman"/>
                <w:color w:val="000000"/>
                <w:sz w:val="20"/>
                <w:szCs w:val="20"/>
                <w:lang w:eastAsia="en-AU"/>
              </w:rPr>
              <w:t>3</w:t>
            </w:r>
            <w:r w:rsidRPr="008478DA">
              <w:rPr>
                <w:rFonts w:ascii="Calibri" w:eastAsia="Times New Roman" w:hAnsi="Calibri" w:cs="Times New Roman"/>
                <w:color w:val="000000"/>
                <w:sz w:val="20"/>
                <w:szCs w:val="20"/>
                <w:lang w:eastAsia="en-AU"/>
              </w:rPr>
              <w:t>-1</w:t>
            </w:r>
            <w:r w:rsidR="00A70049">
              <w:rPr>
                <w:rFonts w:ascii="Calibri" w:eastAsia="Times New Roman" w:hAnsi="Calibri" w:cs="Times New Roman"/>
                <w:color w:val="000000"/>
                <w:sz w:val="20"/>
                <w:szCs w:val="20"/>
                <w:lang w:eastAsia="en-AU"/>
              </w:rPr>
              <w:t>4</w:t>
            </w:r>
            <w:r w:rsidRPr="008478DA">
              <w:rPr>
                <w:rFonts w:ascii="Calibri" w:eastAsia="Times New Roman" w:hAnsi="Calibri" w:cs="Times New Roman"/>
                <w:color w:val="000000"/>
                <w:sz w:val="20"/>
                <w:szCs w:val="20"/>
                <w:lang w:eastAsia="en-AU"/>
              </w:rPr>
              <w:t xml:space="preserve"> to 201</w:t>
            </w:r>
            <w:r w:rsidR="00A70049">
              <w:rPr>
                <w:rFonts w:ascii="Calibri" w:eastAsia="Times New Roman" w:hAnsi="Calibri" w:cs="Times New Roman"/>
                <w:color w:val="000000"/>
                <w:sz w:val="20"/>
                <w:szCs w:val="20"/>
                <w:lang w:eastAsia="en-AU"/>
              </w:rPr>
              <w:t>6</w:t>
            </w:r>
            <w:r w:rsidRPr="008478DA">
              <w:rPr>
                <w:rFonts w:ascii="Calibri" w:eastAsia="Times New Roman" w:hAnsi="Calibri" w:cs="Times New Roman"/>
                <w:color w:val="000000"/>
                <w:sz w:val="20"/>
                <w:szCs w:val="20"/>
                <w:lang w:eastAsia="en-AU"/>
              </w:rPr>
              <w:t>-1</w:t>
            </w:r>
            <w:r w:rsidR="00A70049">
              <w:rPr>
                <w:rFonts w:ascii="Calibri" w:eastAsia="Times New Roman" w:hAnsi="Calibri" w:cs="Times New Roman"/>
                <w:color w:val="000000"/>
                <w:sz w:val="20"/>
                <w:szCs w:val="20"/>
                <w:lang w:eastAsia="en-AU"/>
              </w:rPr>
              <w:t>7</w:t>
            </w:r>
            <w:r w:rsidRPr="008478DA">
              <w:rPr>
                <w:rFonts w:ascii="Calibri" w:eastAsia="Times New Roman" w:hAnsi="Calibri" w:cs="Times New Roman"/>
                <w:color w:val="000000"/>
                <w:sz w:val="20"/>
                <w:szCs w:val="20"/>
                <w:lang w:eastAsia="en-AU"/>
              </w:rPr>
              <w:t xml:space="preserve"> </w:t>
            </w:r>
          </w:p>
        </w:tc>
      </w:tr>
      <w:tr w:rsidR="00D37CB4" w:rsidRPr="008478DA" w14:paraId="43A921FA" w14:textId="77777777" w:rsidTr="00504F41">
        <w:trPr>
          <w:trHeight w:val="259"/>
        </w:trPr>
        <w:tc>
          <w:tcPr>
            <w:tcW w:w="5529" w:type="dxa"/>
            <w:tcBorders>
              <w:top w:val="nil"/>
              <w:left w:val="nil"/>
              <w:bottom w:val="nil"/>
              <w:right w:val="nil"/>
            </w:tcBorders>
            <w:shd w:val="clear" w:color="auto" w:fill="auto"/>
            <w:noWrap/>
            <w:vAlign w:val="bottom"/>
            <w:hideMark/>
          </w:tcPr>
          <w:p w14:paraId="7983C6B1" w14:textId="77777777" w:rsidR="00D37CB4" w:rsidRPr="008478DA" w:rsidRDefault="00D37CB4" w:rsidP="00504F41">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666" w:type="dxa"/>
            <w:tcBorders>
              <w:top w:val="nil"/>
              <w:left w:val="nil"/>
              <w:bottom w:val="nil"/>
              <w:right w:val="nil"/>
            </w:tcBorders>
            <w:shd w:val="clear" w:color="auto" w:fill="auto"/>
            <w:noWrap/>
            <w:vAlign w:val="bottom"/>
            <w:hideMark/>
          </w:tcPr>
          <w:p w14:paraId="4F6A7BEC" w14:textId="77777777" w:rsidR="00D37CB4" w:rsidRPr="008478DA" w:rsidRDefault="00D37CB4"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478DA">
              <w:rPr>
                <w:rFonts w:ascii="Calibri" w:eastAsia="Times New Roman" w:hAnsi="Calibri" w:cs="Times New Roman"/>
                <w:color w:val="000000"/>
                <w:sz w:val="20"/>
                <w:szCs w:val="20"/>
                <w:lang w:eastAsia="en-AU"/>
              </w:rPr>
              <w:t>$m</w:t>
            </w:r>
          </w:p>
        </w:tc>
        <w:tc>
          <w:tcPr>
            <w:tcW w:w="893" w:type="dxa"/>
            <w:tcBorders>
              <w:top w:val="nil"/>
              <w:left w:val="nil"/>
              <w:bottom w:val="nil"/>
              <w:right w:val="nil"/>
            </w:tcBorders>
            <w:shd w:val="clear" w:color="auto" w:fill="auto"/>
            <w:noWrap/>
            <w:vAlign w:val="bottom"/>
            <w:hideMark/>
          </w:tcPr>
          <w:p w14:paraId="4320DDE2" w14:textId="77777777" w:rsidR="00D37CB4" w:rsidRPr="008478DA" w:rsidRDefault="00D37CB4"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478DA">
              <w:rPr>
                <w:rFonts w:ascii="Calibri" w:eastAsia="Times New Roman" w:hAnsi="Calibri" w:cs="Times New Roman"/>
                <w:color w:val="000000"/>
                <w:sz w:val="20"/>
                <w:szCs w:val="20"/>
                <w:lang w:eastAsia="en-AU"/>
              </w:rPr>
              <w:t>%</w:t>
            </w:r>
          </w:p>
        </w:tc>
        <w:tc>
          <w:tcPr>
            <w:tcW w:w="1867" w:type="dxa"/>
            <w:tcBorders>
              <w:top w:val="nil"/>
              <w:left w:val="nil"/>
              <w:bottom w:val="nil"/>
              <w:right w:val="nil"/>
            </w:tcBorders>
            <w:shd w:val="clear" w:color="auto" w:fill="auto"/>
            <w:noWrap/>
            <w:vAlign w:val="bottom"/>
            <w:hideMark/>
          </w:tcPr>
          <w:p w14:paraId="5EECF613" w14:textId="77777777" w:rsidR="00D37CB4" w:rsidRPr="008478DA"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w:t>
            </w:r>
          </w:p>
        </w:tc>
      </w:tr>
      <w:tr w:rsidR="00D37CB4" w:rsidRPr="008478DA" w14:paraId="54301962" w14:textId="77777777" w:rsidTr="00504F41">
        <w:trPr>
          <w:trHeight w:val="315"/>
        </w:trPr>
        <w:tc>
          <w:tcPr>
            <w:tcW w:w="5529" w:type="dxa"/>
            <w:tcBorders>
              <w:top w:val="nil"/>
              <w:left w:val="nil"/>
              <w:bottom w:val="nil"/>
              <w:right w:val="nil"/>
            </w:tcBorders>
            <w:shd w:val="clear" w:color="auto" w:fill="auto"/>
            <w:noWrap/>
            <w:vAlign w:val="bottom"/>
            <w:hideMark/>
          </w:tcPr>
          <w:p w14:paraId="4A893CF3" w14:textId="29E524D8" w:rsidR="00D37CB4" w:rsidRPr="008478DA" w:rsidRDefault="00D37CB4" w:rsidP="006C5110">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8478DA">
              <w:rPr>
                <w:rFonts w:ascii="Calibri" w:eastAsia="Times New Roman" w:hAnsi="Calibri" w:cs="Times New Roman"/>
                <w:color w:val="000000"/>
                <w:sz w:val="20"/>
                <w:szCs w:val="20"/>
                <w:lang w:eastAsia="en-AU"/>
              </w:rPr>
              <w:t xml:space="preserve">State funded </w:t>
            </w:r>
            <w:r w:rsidR="006C5110">
              <w:rPr>
                <w:rFonts w:ascii="Calibri" w:eastAsia="Times New Roman" w:hAnsi="Calibri" w:cs="Times New Roman"/>
                <w:color w:val="000000"/>
                <w:sz w:val="20"/>
                <w:szCs w:val="20"/>
                <w:lang w:eastAsia="en-AU"/>
              </w:rPr>
              <w:t>school education</w:t>
            </w:r>
          </w:p>
        </w:tc>
        <w:tc>
          <w:tcPr>
            <w:tcW w:w="666" w:type="dxa"/>
            <w:tcBorders>
              <w:top w:val="nil"/>
              <w:left w:val="nil"/>
              <w:bottom w:val="nil"/>
              <w:right w:val="nil"/>
            </w:tcBorders>
            <w:shd w:val="clear" w:color="auto" w:fill="auto"/>
            <w:noWrap/>
            <w:vAlign w:val="bottom"/>
            <w:hideMark/>
          </w:tcPr>
          <w:p w14:paraId="0DF41AE9" w14:textId="77777777" w:rsidR="00D37CB4" w:rsidRPr="008478DA" w:rsidRDefault="00D37CB4" w:rsidP="00A7004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478DA">
              <w:rPr>
                <w:rFonts w:ascii="Calibri" w:eastAsia="Times New Roman" w:hAnsi="Calibri" w:cs="Times New Roman"/>
                <w:color w:val="000000"/>
                <w:sz w:val="20"/>
                <w:szCs w:val="20"/>
                <w:lang w:eastAsia="en-AU"/>
              </w:rPr>
              <w:t xml:space="preserve"> 3</w:t>
            </w:r>
            <w:r w:rsidR="00A70049">
              <w:rPr>
                <w:rFonts w:ascii="Calibri" w:eastAsia="Times New Roman" w:hAnsi="Calibri" w:cs="Times New Roman"/>
                <w:color w:val="000000"/>
                <w:sz w:val="20"/>
                <w:szCs w:val="20"/>
                <w:lang w:eastAsia="en-AU"/>
              </w:rPr>
              <w:t>4</w:t>
            </w:r>
            <w:r w:rsidRPr="008478DA">
              <w:rPr>
                <w:rFonts w:ascii="Calibri" w:eastAsia="Times New Roman" w:hAnsi="Calibri" w:cs="Times New Roman"/>
                <w:color w:val="000000"/>
                <w:sz w:val="20"/>
                <w:szCs w:val="20"/>
                <w:lang w:eastAsia="en-AU"/>
              </w:rPr>
              <w:t xml:space="preserve"> </w:t>
            </w:r>
            <w:r w:rsidR="00A70049">
              <w:rPr>
                <w:rFonts w:ascii="Calibri" w:eastAsia="Times New Roman" w:hAnsi="Calibri" w:cs="Times New Roman"/>
                <w:color w:val="000000"/>
                <w:sz w:val="20"/>
                <w:szCs w:val="20"/>
                <w:lang w:eastAsia="en-AU"/>
              </w:rPr>
              <w:t>134</w:t>
            </w:r>
          </w:p>
        </w:tc>
        <w:tc>
          <w:tcPr>
            <w:tcW w:w="893" w:type="dxa"/>
            <w:tcBorders>
              <w:top w:val="nil"/>
              <w:left w:val="nil"/>
              <w:bottom w:val="nil"/>
              <w:right w:val="nil"/>
            </w:tcBorders>
            <w:shd w:val="clear" w:color="auto" w:fill="auto"/>
            <w:noWrap/>
            <w:vAlign w:val="bottom"/>
            <w:hideMark/>
          </w:tcPr>
          <w:p w14:paraId="68B90DF2" w14:textId="77777777" w:rsidR="00D37CB4" w:rsidRPr="008478DA" w:rsidRDefault="00D37CB4" w:rsidP="00A7004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478DA">
              <w:rPr>
                <w:rFonts w:ascii="Calibri" w:eastAsia="Times New Roman" w:hAnsi="Calibri" w:cs="Times New Roman"/>
                <w:color w:val="000000"/>
                <w:sz w:val="20"/>
                <w:szCs w:val="20"/>
                <w:lang w:eastAsia="en-AU"/>
              </w:rPr>
              <w:t>6</w:t>
            </w:r>
            <w:r w:rsidR="00A70049">
              <w:rPr>
                <w:rFonts w:ascii="Calibri" w:eastAsia="Times New Roman" w:hAnsi="Calibri" w:cs="Times New Roman"/>
                <w:color w:val="000000"/>
                <w:sz w:val="20"/>
                <w:szCs w:val="20"/>
                <w:lang w:eastAsia="en-AU"/>
              </w:rPr>
              <w:t>5</w:t>
            </w:r>
          </w:p>
        </w:tc>
        <w:tc>
          <w:tcPr>
            <w:tcW w:w="1867" w:type="dxa"/>
            <w:tcBorders>
              <w:top w:val="nil"/>
              <w:left w:val="nil"/>
              <w:bottom w:val="nil"/>
              <w:right w:val="nil"/>
            </w:tcBorders>
            <w:shd w:val="clear" w:color="auto" w:fill="auto"/>
            <w:noWrap/>
            <w:vAlign w:val="bottom"/>
            <w:hideMark/>
          </w:tcPr>
          <w:p w14:paraId="1E58EAB0" w14:textId="77777777" w:rsidR="00D37CB4" w:rsidRPr="008478DA" w:rsidRDefault="00D37CB4" w:rsidP="00A7004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478DA">
              <w:rPr>
                <w:rFonts w:ascii="Calibri" w:eastAsia="Times New Roman" w:hAnsi="Calibri" w:cs="Times New Roman"/>
                <w:color w:val="000000"/>
                <w:sz w:val="20"/>
                <w:szCs w:val="20"/>
                <w:lang w:eastAsia="en-AU"/>
              </w:rPr>
              <w:t>3.</w:t>
            </w:r>
            <w:r w:rsidR="00A70049">
              <w:rPr>
                <w:rFonts w:ascii="Calibri" w:eastAsia="Times New Roman" w:hAnsi="Calibri" w:cs="Times New Roman"/>
                <w:color w:val="000000"/>
                <w:sz w:val="20"/>
                <w:szCs w:val="20"/>
                <w:lang w:eastAsia="en-AU"/>
              </w:rPr>
              <w:t>8</w:t>
            </w:r>
            <w:r w:rsidRPr="008478DA">
              <w:rPr>
                <w:rFonts w:ascii="Calibri" w:eastAsia="Times New Roman" w:hAnsi="Calibri" w:cs="Times New Roman"/>
                <w:color w:val="000000"/>
                <w:sz w:val="20"/>
                <w:szCs w:val="20"/>
                <w:lang w:eastAsia="en-AU"/>
              </w:rPr>
              <w:t xml:space="preserve"> </w:t>
            </w:r>
          </w:p>
        </w:tc>
      </w:tr>
      <w:tr w:rsidR="00D37CB4" w:rsidRPr="008478DA" w14:paraId="12D17A2F" w14:textId="77777777" w:rsidTr="00504F41">
        <w:trPr>
          <w:trHeight w:val="315"/>
        </w:trPr>
        <w:tc>
          <w:tcPr>
            <w:tcW w:w="5529" w:type="dxa"/>
            <w:tcBorders>
              <w:top w:val="nil"/>
              <w:left w:val="nil"/>
              <w:bottom w:val="nil"/>
              <w:right w:val="nil"/>
            </w:tcBorders>
            <w:shd w:val="clear" w:color="auto" w:fill="auto"/>
            <w:vAlign w:val="bottom"/>
            <w:hideMark/>
          </w:tcPr>
          <w:p w14:paraId="544AAE53" w14:textId="59B9D96D" w:rsidR="00D37CB4" w:rsidRPr="008478DA" w:rsidRDefault="00D37CB4" w:rsidP="006C5110">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8478DA">
              <w:rPr>
                <w:rFonts w:ascii="Calibri" w:eastAsia="Times New Roman" w:hAnsi="Calibri" w:cs="Times New Roman"/>
                <w:color w:val="000000"/>
                <w:sz w:val="20"/>
                <w:szCs w:val="20"/>
                <w:lang w:eastAsia="en-AU"/>
              </w:rPr>
              <w:t xml:space="preserve">Commonwealth funded government </w:t>
            </w:r>
            <w:r w:rsidR="006C5110">
              <w:rPr>
                <w:rFonts w:ascii="Calibri" w:eastAsia="Times New Roman" w:hAnsi="Calibri" w:cs="Times New Roman"/>
                <w:color w:val="000000"/>
                <w:sz w:val="20"/>
                <w:szCs w:val="20"/>
                <w:lang w:eastAsia="en-AU"/>
              </w:rPr>
              <w:t>school education</w:t>
            </w:r>
          </w:p>
        </w:tc>
        <w:tc>
          <w:tcPr>
            <w:tcW w:w="666" w:type="dxa"/>
            <w:tcBorders>
              <w:top w:val="nil"/>
              <w:left w:val="nil"/>
              <w:bottom w:val="nil"/>
              <w:right w:val="nil"/>
            </w:tcBorders>
            <w:shd w:val="clear" w:color="auto" w:fill="auto"/>
            <w:vAlign w:val="bottom"/>
            <w:hideMark/>
          </w:tcPr>
          <w:p w14:paraId="500E8B4E" w14:textId="77777777" w:rsidR="00D37CB4" w:rsidRPr="008478DA" w:rsidRDefault="00D37CB4" w:rsidP="00A7004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478DA">
              <w:rPr>
                <w:rFonts w:ascii="Calibri" w:eastAsia="Times New Roman" w:hAnsi="Calibri" w:cs="Times New Roman"/>
                <w:color w:val="000000"/>
                <w:sz w:val="20"/>
                <w:szCs w:val="20"/>
                <w:lang w:eastAsia="en-AU"/>
              </w:rPr>
              <w:t xml:space="preserve"> </w:t>
            </w:r>
            <w:r w:rsidR="00A70049">
              <w:rPr>
                <w:rFonts w:ascii="Calibri" w:eastAsia="Times New Roman" w:hAnsi="Calibri" w:cs="Times New Roman"/>
                <w:color w:val="000000"/>
                <w:sz w:val="20"/>
                <w:szCs w:val="20"/>
                <w:lang w:eastAsia="en-AU"/>
              </w:rPr>
              <w:t>6</w:t>
            </w:r>
            <w:r w:rsidRPr="008478DA">
              <w:rPr>
                <w:rFonts w:ascii="Calibri" w:eastAsia="Times New Roman" w:hAnsi="Calibri" w:cs="Times New Roman"/>
                <w:color w:val="000000"/>
                <w:sz w:val="20"/>
                <w:szCs w:val="20"/>
                <w:lang w:eastAsia="en-AU"/>
              </w:rPr>
              <w:t xml:space="preserve"> </w:t>
            </w:r>
            <w:r w:rsidR="00A70049">
              <w:rPr>
                <w:rFonts w:ascii="Calibri" w:eastAsia="Times New Roman" w:hAnsi="Calibri" w:cs="Times New Roman"/>
                <w:color w:val="000000"/>
                <w:sz w:val="20"/>
                <w:szCs w:val="20"/>
                <w:lang w:eastAsia="en-AU"/>
              </w:rPr>
              <w:t>495</w:t>
            </w:r>
          </w:p>
        </w:tc>
        <w:tc>
          <w:tcPr>
            <w:tcW w:w="893" w:type="dxa"/>
            <w:tcBorders>
              <w:top w:val="nil"/>
              <w:left w:val="nil"/>
              <w:bottom w:val="nil"/>
              <w:right w:val="nil"/>
            </w:tcBorders>
            <w:shd w:val="clear" w:color="auto" w:fill="auto"/>
            <w:vAlign w:val="bottom"/>
            <w:hideMark/>
          </w:tcPr>
          <w:p w14:paraId="5903116A" w14:textId="77777777" w:rsidR="00D37CB4" w:rsidRPr="008478DA" w:rsidRDefault="00D37CB4" w:rsidP="00A7004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478DA">
              <w:rPr>
                <w:rFonts w:ascii="Calibri" w:eastAsia="Times New Roman" w:hAnsi="Calibri" w:cs="Times New Roman"/>
                <w:color w:val="000000"/>
                <w:sz w:val="20"/>
                <w:szCs w:val="20"/>
                <w:lang w:eastAsia="en-AU"/>
              </w:rPr>
              <w:t>1</w:t>
            </w:r>
            <w:r w:rsidR="00A70049">
              <w:rPr>
                <w:rFonts w:ascii="Calibri" w:eastAsia="Times New Roman" w:hAnsi="Calibri" w:cs="Times New Roman"/>
                <w:color w:val="000000"/>
                <w:sz w:val="20"/>
                <w:szCs w:val="20"/>
                <w:lang w:eastAsia="en-AU"/>
              </w:rPr>
              <w:t>2</w:t>
            </w:r>
          </w:p>
        </w:tc>
        <w:tc>
          <w:tcPr>
            <w:tcW w:w="1867" w:type="dxa"/>
            <w:tcBorders>
              <w:top w:val="nil"/>
              <w:left w:val="nil"/>
              <w:bottom w:val="nil"/>
              <w:right w:val="nil"/>
            </w:tcBorders>
            <w:shd w:val="clear" w:color="auto" w:fill="auto"/>
            <w:vAlign w:val="bottom"/>
            <w:hideMark/>
          </w:tcPr>
          <w:p w14:paraId="65C006CB" w14:textId="77777777" w:rsidR="00D37CB4" w:rsidRPr="008478DA" w:rsidRDefault="00D37CB4" w:rsidP="00A7004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478DA">
              <w:rPr>
                <w:rFonts w:ascii="Calibri" w:eastAsia="Times New Roman" w:hAnsi="Calibri" w:cs="Times New Roman"/>
                <w:color w:val="000000"/>
                <w:sz w:val="20"/>
                <w:szCs w:val="20"/>
                <w:lang w:eastAsia="en-AU"/>
              </w:rPr>
              <w:t>1</w:t>
            </w:r>
            <w:r w:rsidR="00A70049">
              <w:rPr>
                <w:rFonts w:ascii="Calibri" w:eastAsia="Times New Roman" w:hAnsi="Calibri" w:cs="Times New Roman"/>
                <w:color w:val="000000"/>
                <w:sz w:val="20"/>
                <w:szCs w:val="20"/>
                <w:lang w:eastAsia="en-AU"/>
              </w:rPr>
              <w:t>3</w:t>
            </w:r>
            <w:r w:rsidRPr="008478DA">
              <w:rPr>
                <w:rFonts w:ascii="Calibri" w:eastAsia="Times New Roman" w:hAnsi="Calibri" w:cs="Times New Roman"/>
                <w:color w:val="000000"/>
                <w:sz w:val="20"/>
                <w:szCs w:val="20"/>
                <w:lang w:eastAsia="en-AU"/>
              </w:rPr>
              <w:t>.</w:t>
            </w:r>
            <w:r w:rsidR="00A70049">
              <w:rPr>
                <w:rFonts w:ascii="Calibri" w:eastAsia="Times New Roman" w:hAnsi="Calibri" w:cs="Times New Roman"/>
                <w:color w:val="000000"/>
                <w:sz w:val="20"/>
                <w:szCs w:val="20"/>
                <w:lang w:eastAsia="en-AU"/>
              </w:rPr>
              <w:t>6</w:t>
            </w:r>
            <w:r w:rsidRPr="008478DA">
              <w:rPr>
                <w:rFonts w:ascii="Calibri" w:eastAsia="Times New Roman" w:hAnsi="Calibri" w:cs="Times New Roman"/>
                <w:color w:val="000000"/>
                <w:sz w:val="20"/>
                <w:szCs w:val="20"/>
                <w:lang w:eastAsia="en-AU"/>
              </w:rPr>
              <w:t xml:space="preserve"> </w:t>
            </w:r>
          </w:p>
        </w:tc>
      </w:tr>
      <w:tr w:rsidR="00D37CB4" w:rsidRPr="008478DA" w14:paraId="23411EA4" w14:textId="77777777" w:rsidTr="00504F41">
        <w:trPr>
          <w:trHeight w:val="315"/>
        </w:trPr>
        <w:tc>
          <w:tcPr>
            <w:tcW w:w="5529" w:type="dxa"/>
            <w:tcBorders>
              <w:top w:val="nil"/>
              <w:left w:val="nil"/>
              <w:bottom w:val="nil"/>
              <w:right w:val="nil"/>
            </w:tcBorders>
            <w:shd w:val="clear" w:color="auto" w:fill="auto"/>
            <w:vAlign w:val="bottom"/>
            <w:hideMark/>
          </w:tcPr>
          <w:p w14:paraId="094907C9" w14:textId="2B9BB409" w:rsidR="00D37CB4" w:rsidRPr="008478DA" w:rsidRDefault="00D37CB4" w:rsidP="006C5110">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8478DA">
              <w:rPr>
                <w:rFonts w:ascii="Calibri" w:eastAsia="Times New Roman" w:hAnsi="Calibri" w:cs="Times New Roman"/>
                <w:color w:val="000000"/>
                <w:sz w:val="20"/>
                <w:szCs w:val="20"/>
                <w:lang w:eastAsia="en-AU"/>
              </w:rPr>
              <w:t>Commonwealth funded non-government school education</w:t>
            </w:r>
            <w:r>
              <w:rPr>
                <w:rFonts w:ascii="Calibri" w:eastAsia="Times New Roman" w:hAnsi="Calibri" w:cs="Times New Roman"/>
                <w:color w:val="000000"/>
                <w:sz w:val="20"/>
                <w:szCs w:val="20"/>
                <w:lang w:eastAsia="en-AU"/>
              </w:rPr>
              <w:t xml:space="preserve"> (a)</w:t>
            </w:r>
          </w:p>
        </w:tc>
        <w:tc>
          <w:tcPr>
            <w:tcW w:w="666" w:type="dxa"/>
            <w:tcBorders>
              <w:top w:val="nil"/>
              <w:left w:val="nil"/>
              <w:bottom w:val="nil"/>
              <w:right w:val="nil"/>
            </w:tcBorders>
            <w:shd w:val="clear" w:color="auto" w:fill="auto"/>
            <w:vAlign w:val="bottom"/>
            <w:hideMark/>
          </w:tcPr>
          <w:p w14:paraId="51BC7206" w14:textId="77777777" w:rsidR="00D37CB4" w:rsidRPr="008478DA" w:rsidRDefault="00A70049" w:rsidP="00A70049">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10</w:t>
            </w:r>
            <w:r w:rsidR="00D37CB4" w:rsidRPr="008478DA">
              <w:rPr>
                <w:rFonts w:ascii="Calibri" w:eastAsia="Times New Roman" w:hAnsi="Calibri" w:cs="Times New Roman"/>
                <w:color w:val="000000"/>
                <w:sz w:val="20"/>
                <w:szCs w:val="20"/>
                <w:lang w:eastAsia="en-AU"/>
              </w:rPr>
              <w:t xml:space="preserve"> </w:t>
            </w:r>
            <w:r>
              <w:rPr>
                <w:rFonts w:ascii="Calibri" w:eastAsia="Times New Roman" w:hAnsi="Calibri" w:cs="Times New Roman"/>
                <w:color w:val="000000"/>
                <w:sz w:val="20"/>
                <w:szCs w:val="20"/>
                <w:lang w:eastAsia="en-AU"/>
              </w:rPr>
              <w:t>596</w:t>
            </w:r>
          </w:p>
        </w:tc>
        <w:tc>
          <w:tcPr>
            <w:tcW w:w="893" w:type="dxa"/>
            <w:tcBorders>
              <w:top w:val="nil"/>
              <w:left w:val="nil"/>
              <w:bottom w:val="nil"/>
              <w:right w:val="nil"/>
            </w:tcBorders>
            <w:shd w:val="clear" w:color="auto" w:fill="auto"/>
            <w:vAlign w:val="bottom"/>
            <w:hideMark/>
          </w:tcPr>
          <w:p w14:paraId="456F3F60" w14:textId="77777777" w:rsidR="00D37CB4" w:rsidRPr="008478DA" w:rsidRDefault="00D37CB4"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478DA">
              <w:rPr>
                <w:rFonts w:ascii="Calibri" w:eastAsia="Times New Roman" w:hAnsi="Calibri" w:cs="Times New Roman"/>
                <w:color w:val="000000"/>
                <w:sz w:val="20"/>
                <w:szCs w:val="20"/>
                <w:lang w:eastAsia="en-AU"/>
              </w:rPr>
              <w:t>20</w:t>
            </w:r>
          </w:p>
        </w:tc>
        <w:tc>
          <w:tcPr>
            <w:tcW w:w="1867" w:type="dxa"/>
            <w:tcBorders>
              <w:top w:val="nil"/>
              <w:left w:val="nil"/>
              <w:bottom w:val="nil"/>
              <w:right w:val="nil"/>
            </w:tcBorders>
            <w:shd w:val="clear" w:color="auto" w:fill="auto"/>
            <w:vAlign w:val="bottom"/>
            <w:hideMark/>
          </w:tcPr>
          <w:p w14:paraId="57DF0EA1" w14:textId="77777777" w:rsidR="00D37CB4" w:rsidRPr="008478DA" w:rsidRDefault="00D37CB4" w:rsidP="00A7004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478DA">
              <w:rPr>
                <w:rFonts w:ascii="Calibri" w:eastAsia="Times New Roman" w:hAnsi="Calibri" w:cs="Times New Roman"/>
                <w:color w:val="000000"/>
                <w:sz w:val="20"/>
                <w:szCs w:val="20"/>
                <w:lang w:eastAsia="en-AU"/>
              </w:rPr>
              <w:t>7.</w:t>
            </w:r>
            <w:r w:rsidR="00A70049">
              <w:rPr>
                <w:rFonts w:ascii="Calibri" w:eastAsia="Times New Roman" w:hAnsi="Calibri" w:cs="Times New Roman"/>
                <w:color w:val="000000"/>
                <w:sz w:val="20"/>
                <w:szCs w:val="20"/>
                <w:lang w:eastAsia="en-AU"/>
              </w:rPr>
              <w:t>2</w:t>
            </w:r>
            <w:r w:rsidRPr="008478DA">
              <w:rPr>
                <w:rFonts w:ascii="Calibri" w:eastAsia="Times New Roman" w:hAnsi="Calibri" w:cs="Times New Roman"/>
                <w:color w:val="000000"/>
                <w:sz w:val="20"/>
                <w:szCs w:val="20"/>
                <w:lang w:eastAsia="en-AU"/>
              </w:rPr>
              <w:t xml:space="preserve"> </w:t>
            </w:r>
          </w:p>
        </w:tc>
      </w:tr>
      <w:tr w:rsidR="00D37CB4" w:rsidRPr="008478DA" w14:paraId="39F9ADE7" w14:textId="77777777" w:rsidTr="00504F41">
        <w:trPr>
          <w:trHeight w:val="315"/>
        </w:trPr>
        <w:tc>
          <w:tcPr>
            <w:tcW w:w="5529" w:type="dxa"/>
            <w:tcBorders>
              <w:top w:val="nil"/>
              <w:left w:val="nil"/>
              <w:bottom w:val="nil"/>
              <w:right w:val="nil"/>
            </w:tcBorders>
            <w:shd w:val="clear" w:color="auto" w:fill="auto"/>
            <w:noWrap/>
            <w:vAlign w:val="bottom"/>
            <w:hideMark/>
          </w:tcPr>
          <w:p w14:paraId="14413F7D" w14:textId="77777777" w:rsidR="00D37CB4" w:rsidRPr="008478DA" w:rsidRDefault="00D37CB4" w:rsidP="00504F41">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8478DA">
              <w:rPr>
                <w:rFonts w:ascii="Calibri" w:eastAsia="Times New Roman" w:hAnsi="Calibri" w:cs="Times New Roman"/>
                <w:color w:val="000000"/>
                <w:sz w:val="20"/>
                <w:szCs w:val="20"/>
                <w:lang w:eastAsia="en-AU"/>
              </w:rPr>
              <w:t>Student transport</w:t>
            </w:r>
          </w:p>
        </w:tc>
        <w:tc>
          <w:tcPr>
            <w:tcW w:w="666" w:type="dxa"/>
            <w:tcBorders>
              <w:top w:val="nil"/>
              <w:left w:val="nil"/>
              <w:bottom w:val="nil"/>
              <w:right w:val="nil"/>
            </w:tcBorders>
            <w:shd w:val="clear" w:color="auto" w:fill="auto"/>
            <w:noWrap/>
            <w:vAlign w:val="bottom"/>
            <w:hideMark/>
          </w:tcPr>
          <w:p w14:paraId="262D63F2" w14:textId="77777777" w:rsidR="00D37CB4" w:rsidRPr="008478DA" w:rsidRDefault="00D37CB4" w:rsidP="00A7004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478DA">
              <w:rPr>
                <w:rFonts w:ascii="Calibri" w:eastAsia="Times New Roman" w:hAnsi="Calibri" w:cs="Times New Roman"/>
                <w:color w:val="000000"/>
                <w:sz w:val="20"/>
                <w:szCs w:val="20"/>
                <w:lang w:eastAsia="en-AU"/>
              </w:rPr>
              <w:t xml:space="preserve"> 1 5</w:t>
            </w:r>
            <w:r w:rsidR="00A70049">
              <w:rPr>
                <w:rFonts w:ascii="Calibri" w:eastAsia="Times New Roman" w:hAnsi="Calibri" w:cs="Times New Roman"/>
                <w:color w:val="000000"/>
                <w:sz w:val="20"/>
                <w:szCs w:val="20"/>
                <w:lang w:eastAsia="en-AU"/>
              </w:rPr>
              <w:t>30</w:t>
            </w:r>
          </w:p>
        </w:tc>
        <w:tc>
          <w:tcPr>
            <w:tcW w:w="893" w:type="dxa"/>
            <w:tcBorders>
              <w:top w:val="nil"/>
              <w:left w:val="nil"/>
              <w:bottom w:val="nil"/>
              <w:right w:val="nil"/>
            </w:tcBorders>
            <w:shd w:val="clear" w:color="auto" w:fill="auto"/>
            <w:noWrap/>
            <w:vAlign w:val="bottom"/>
            <w:hideMark/>
          </w:tcPr>
          <w:p w14:paraId="366003F8" w14:textId="77777777" w:rsidR="00D37CB4" w:rsidRPr="008478DA" w:rsidRDefault="00D37CB4"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478DA">
              <w:rPr>
                <w:rFonts w:ascii="Calibri" w:eastAsia="Times New Roman" w:hAnsi="Calibri" w:cs="Times New Roman"/>
                <w:color w:val="000000"/>
                <w:sz w:val="20"/>
                <w:szCs w:val="20"/>
                <w:lang w:eastAsia="en-AU"/>
              </w:rPr>
              <w:t>3</w:t>
            </w:r>
          </w:p>
        </w:tc>
        <w:tc>
          <w:tcPr>
            <w:tcW w:w="1867" w:type="dxa"/>
            <w:tcBorders>
              <w:top w:val="nil"/>
              <w:left w:val="nil"/>
              <w:bottom w:val="nil"/>
              <w:right w:val="nil"/>
            </w:tcBorders>
            <w:shd w:val="clear" w:color="auto" w:fill="auto"/>
            <w:noWrap/>
            <w:vAlign w:val="bottom"/>
            <w:hideMark/>
          </w:tcPr>
          <w:p w14:paraId="1C851EC2" w14:textId="77777777" w:rsidR="00D37CB4" w:rsidRPr="008478DA" w:rsidRDefault="00A70049" w:rsidP="00A70049">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-0.1</w:t>
            </w:r>
            <w:r w:rsidR="00D37CB4" w:rsidRPr="008478DA">
              <w:rPr>
                <w:rFonts w:ascii="Calibri" w:eastAsia="Times New Roman" w:hAnsi="Calibri" w:cs="Times New Roman"/>
                <w:color w:val="000000"/>
                <w:sz w:val="20"/>
                <w:szCs w:val="20"/>
                <w:lang w:eastAsia="en-AU"/>
              </w:rPr>
              <w:t xml:space="preserve"> </w:t>
            </w:r>
          </w:p>
        </w:tc>
      </w:tr>
      <w:tr w:rsidR="00D37CB4" w:rsidRPr="008478DA" w14:paraId="1207E135" w14:textId="77777777" w:rsidTr="00504F41">
        <w:trPr>
          <w:trHeight w:val="315"/>
        </w:trPr>
        <w:tc>
          <w:tcPr>
            <w:tcW w:w="5529" w:type="dxa"/>
            <w:tcBorders>
              <w:top w:val="nil"/>
              <w:left w:val="nil"/>
              <w:bottom w:val="single" w:sz="4" w:space="0" w:color="auto"/>
              <w:right w:val="nil"/>
            </w:tcBorders>
            <w:shd w:val="clear" w:color="auto" w:fill="auto"/>
            <w:noWrap/>
            <w:vAlign w:val="bottom"/>
            <w:hideMark/>
          </w:tcPr>
          <w:p w14:paraId="3A913DF3" w14:textId="77777777" w:rsidR="00D37CB4" w:rsidRPr="008478DA" w:rsidRDefault="00D37CB4" w:rsidP="00504F41">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8478DA">
              <w:rPr>
                <w:rFonts w:ascii="Calibri" w:eastAsia="Times New Roman" w:hAnsi="Calibri" w:cs="Times New Roman"/>
                <w:color w:val="000000"/>
                <w:sz w:val="20"/>
                <w:szCs w:val="20"/>
                <w:lang w:eastAsia="en-AU"/>
              </w:rPr>
              <w:t>Total</w:t>
            </w:r>
          </w:p>
        </w:tc>
        <w:tc>
          <w:tcPr>
            <w:tcW w:w="666" w:type="dxa"/>
            <w:tcBorders>
              <w:top w:val="single" w:sz="4" w:space="0" w:color="auto"/>
              <w:left w:val="nil"/>
              <w:bottom w:val="single" w:sz="4" w:space="0" w:color="auto"/>
              <w:right w:val="nil"/>
            </w:tcBorders>
            <w:shd w:val="clear" w:color="auto" w:fill="auto"/>
            <w:noWrap/>
            <w:vAlign w:val="bottom"/>
            <w:hideMark/>
          </w:tcPr>
          <w:p w14:paraId="7102749B" w14:textId="77777777" w:rsidR="00D37CB4" w:rsidRPr="008478DA" w:rsidRDefault="00D37CB4" w:rsidP="00A7004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478DA">
              <w:rPr>
                <w:rFonts w:ascii="Calibri" w:eastAsia="Times New Roman" w:hAnsi="Calibri" w:cs="Times New Roman"/>
                <w:color w:val="000000"/>
                <w:sz w:val="20"/>
                <w:szCs w:val="20"/>
                <w:lang w:eastAsia="en-AU"/>
              </w:rPr>
              <w:t xml:space="preserve"> 5</w:t>
            </w:r>
            <w:r w:rsidR="00A70049">
              <w:rPr>
                <w:rFonts w:ascii="Calibri" w:eastAsia="Times New Roman" w:hAnsi="Calibri" w:cs="Times New Roman"/>
                <w:color w:val="000000"/>
                <w:sz w:val="20"/>
                <w:szCs w:val="20"/>
                <w:lang w:eastAsia="en-AU"/>
              </w:rPr>
              <w:t>2</w:t>
            </w:r>
            <w:r w:rsidRPr="008478DA">
              <w:rPr>
                <w:rFonts w:ascii="Calibri" w:eastAsia="Times New Roman" w:hAnsi="Calibri" w:cs="Times New Roman"/>
                <w:color w:val="000000"/>
                <w:sz w:val="20"/>
                <w:szCs w:val="20"/>
                <w:lang w:eastAsia="en-AU"/>
              </w:rPr>
              <w:t xml:space="preserve"> </w:t>
            </w:r>
            <w:r w:rsidR="00A70049">
              <w:rPr>
                <w:rFonts w:ascii="Calibri" w:eastAsia="Times New Roman" w:hAnsi="Calibri" w:cs="Times New Roman"/>
                <w:color w:val="000000"/>
                <w:sz w:val="20"/>
                <w:szCs w:val="20"/>
                <w:lang w:eastAsia="en-AU"/>
              </w:rPr>
              <w:t>755</w:t>
            </w:r>
          </w:p>
        </w:tc>
        <w:tc>
          <w:tcPr>
            <w:tcW w:w="893" w:type="dxa"/>
            <w:tcBorders>
              <w:top w:val="single" w:sz="4" w:space="0" w:color="auto"/>
              <w:left w:val="nil"/>
              <w:bottom w:val="single" w:sz="4" w:space="0" w:color="auto"/>
              <w:right w:val="nil"/>
            </w:tcBorders>
            <w:shd w:val="clear" w:color="auto" w:fill="auto"/>
            <w:noWrap/>
            <w:vAlign w:val="bottom"/>
            <w:hideMark/>
          </w:tcPr>
          <w:p w14:paraId="06405CA4" w14:textId="77777777" w:rsidR="00D37CB4" w:rsidRPr="008478DA" w:rsidRDefault="00D37CB4"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8478DA">
              <w:rPr>
                <w:rFonts w:ascii="Calibri" w:eastAsia="Times New Roman" w:hAnsi="Calibri" w:cs="Times New Roman"/>
                <w:color w:val="000000"/>
                <w:sz w:val="20"/>
                <w:szCs w:val="20"/>
                <w:lang w:eastAsia="en-AU"/>
              </w:rPr>
              <w:t>100</w:t>
            </w:r>
          </w:p>
        </w:tc>
        <w:tc>
          <w:tcPr>
            <w:tcW w:w="1867" w:type="dxa"/>
            <w:tcBorders>
              <w:top w:val="single" w:sz="4" w:space="0" w:color="auto"/>
              <w:left w:val="nil"/>
              <w:bottom w:val="single" w:sz="4" w:space="0" w:color="auto"/>
              <w:right w:val="nil"/>
            </w:tcBorders>
            <w:shd w:val="clear" w:color="auto" w:fill="auto"/>
            <w:noWrap/>
            <w:vAlign w:val="bottom"/>
            <w:hideMark/>
          </w:tcPr>
          <w:p w14:paraId="6E2EBCA4" w14:textId="77777777" w:rsidR="00D37CB4" w:rsidRPr="008478DA" w:rsidRDefault="00A70049" w:rsidP="00A70049">
            <w:pPr>
              <w:keepNext/>
              <w:keepLines/>
              <w:tabs>
                <w:tab w:val="clear" w:pos="567"/>
              </w:tabs>
              <w:spacing w:after="0" w:line="240" w:lineRule="auto"/>
              <w:jc w:val="right"/>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5</w:t>
            </w:r>
            <w:r w:rsidR="00D37CB4" w:rsidRPr="008478DA">
              <w:rPr>
                <w:rFonts w:ascii="Calibri" w:eastAsia="Times New Roman" w:hAnsi="Calibri" w:cs="Times New Roman"/>
                <w:color w:val="000000"/>
                <w:sz w:val="20"/>
                <w:szCs w:val="20"/>
                <w:lang w:eastAsia="en-AU"/>
              </w:rPr>
              <w:t xml:space="preserve">.3 </w:t>
            </w:r>
          </w:p>
        </w:tc>
      </w:tr>
    </w:tbl>
    <w:p w14:paraId="53576B05" w14:textId="499BD5AB" w:rsidR="00D37CB4" w:rsidRDefault="00D37CB4" w:rsidP="00D37CB4">
      <w:pPr>
        <w:pStyle w:val="CGCTableFootnote"/>
      </w:pPr>
      <w:r>
        <w:t>(a)</w:t>
      </w:r>
      <w:r>
        <w:tab/>
        <w:t>The assessment of th</w:t>
      </w:r>
      <w:r w:rsidR="005930E4">
        <w:t>is</w:t>
      </w:r>
      <w:r>
        <w:t xml:space="preserve"> </w:t>
      </w:r>
      <w:r w:rsidR="005930E4">
        <w:t xml:space="preserve">Commonwealth </w:t>
      </w:r>
      <w:r>
        <w:t xml:space="preserve">expense uses the distribution of the associated Commonwealth payment. These </w:t>
      </w:r>
      <w:r w:rsidR="005930E4">
        <w:t xml:space="preserve">offsetting </w:t>
      </w:r>
      <w:r>
        <w:t xml:space="preserve">assessments </w:t>
      </w:r>
      <w:r w:rsidR="00312AC1">
        <w:t>have</w:t>
      </w:r>
      <w:r>
        <w:t xml:space="preserve"> no impact on the GST distribution. </w:t>
      </w:r>
    </w:p>
    <w:p w14:paraId="5BB18491" w14:textId="77777777" w:rsidR="00D37CB4" w:rsidRDefault="00D37CB4" w:rsidP="00D37CB4">
      <w:pPr>
        <w:pStyle w:val="CGCTableFootnote"/>
      </w:pPr>
      <w:r w:rsidRPr="00741FF2">
        <w:t>Source:</w:t>
      </w:r>
      <w:r w:rsidRPr="00741FF2">
        <w:tab/>
      </w:r>
      <w:r>
        <w:t>ABS GFS data.</w:t>
      </w:r>
    </w:p>
    <w:p w14:paraId="4437A224" w14:textId="77777777" w:rsidR="001C78A6" w:rsidRDefault="001C78A6" w:rsidP="001C78A6">
      <w:pPr>
        <w:pStyle w:val="Heading4"/>
      </w:pPr>
      <w:bookmarkStart w:id="33" w:name="_Toc509318781"/>
      <w:bookmarkStart w:id="34" w:name="_Toc511744906"/>
      <w:r>
        <w:lastRenderedPageBreak/>
        <w:t>Data sources and assessment methods</w:t>
      </w:r>
      <w:bookmarkEnd w:id="33"/>
      <w:bookmarkEnd w:id="34"/>
    </w:p>
    <w:p w14:paraId="25541566" w14:textId="452234F1" w:rsidR="00E95FA3" w:rsidRDefault="00D2431C" w:rsidP="004530AC">
      <w:pPr>
        <w:pStyle w:val="Heading5"/>
      </w:pPr>
      <w:r w:rsidRPr="00D2431C">
        <w:t>State funded school</w:t>
      </w:r>
      <w:r w:rsidR="00F20219">
        <w:t>s</w:t>
      </w:r>
    </w:p>
    <w:p w14:paraId="25C5A720" w14:textId="77777777" w:rsidR="00D2431C" w:rsidRDefault="00D2431C" w:rsidP="00D2431C">
      <w:pPr>
        <w:pStyle w:val="CGCNumberedPara"/>
        <w:numPr>
          <w:ilvl w:val="1"/>
          <w:numId w:val="3"/>
        </w:numPr>
      </w:pPr>
      <w:r>
        <w:t>Expenses are assessed by calculating the actual numbers of students in each State, and making adjustments for the higher costs of:</w:t>
      </w:r>
    </w:p>
    <w:p w14:paraId="2AA92B87" w14:textId="77777777" w:rsidR="00D2431C" w:rsidRDefault="00D2431C" w:rsidP="00D2431C">
      <w:pPr>
        <w:pStyle w:val="CGCBulletlist"/>
        <w:numPr>
          <w:ilvl w:val="0"/>
          <w:numId w:val="1"/>
        </w:numPr>
        <w:tabs>
          <w:tab w:val="clear" w:pos="927"/>
        </w:tabs>
        <w:ind w:left="1134" w:hanging="567"/>
      </w:pPr>
      <w:r>
        <w:t>students in government schools (relative to non-government schools)</w:t>
      </w:r>
    </w:p>
    <w:p w14:paraId="36F796A9" w14:textId="77777777" w:rsidR="00D2431C" w:rsidRDefault="00D2431C" w:rsidP="00D2431C">
      <w:pPr>
        <w:pStyle w:val="CGCBulletlist"/>
        <w:numPr>
          <w:ilvl w:val="0"/>
          <w:numId w:val="1"/>
        </w:numPr>
        <w:tabs>
          <w:tab w:val="clear" w:pos="927"/>
        </w:tabs>
        <w:ind w:left="1134" w:hanging="567"/>
      </w:pPr>
      <w:r>
        <w:t>Indigenous students</w:t>
      </w:r>
    </w:p>
    <w:p w14:paraId="535BA936" w14:textId="77777777" w:rsidR="00D2431C" w:rsidRDefault="00D2431C" w:rsidP="00D2431C">
      <w:pPr>
        <w:pStyle w:val="CGCBulletlist"/>
        <w:numPr>
          <w:ilvl w:val="0"/>
          <w:numId w:val="1"/>
        </w:numPr>
        <w:tabs>
          <w:tab w:val="clear" w:pos="927"/>
        </w:tabs>
        <w:ind w:left="1134" w:hanging="567"/>
      </w:pPr>
      <w:r>
        <w:t xml:space="preserve">students in remote schools </w:t>
      </w:r>
    </w:p>
    <w:p w14:paraId="7E7751F5" w14:textId="77777777" w:rsidR="00D2431C" w:rsidRDefault="00D2431C" w:rsidP="00D2431C">
      <w:pPr>
        <w:pStyle w:val="CGCBulletlist"/>
        <w:numPr>
          <w:ilvl w:val="0"/>
          <w:numId w:val="1"/>
        </w:numPr>
        <w:tabs>
          <w:tab w:val="clear" w:pos="927"/>
        </w:tabs>
        <w:ind w:left="1134" w:hanging="567"/>
      </w:pPr>
      <w:r>
        <w:t>socio-economically disadvantaged students</w:t>
      </w:r>
    </w:p>
    <w:p w14:paraId="42901FEF" w14:textId="77777777" w:rsidR="00D2431C" w:rsidRDefault="00D2431C" w:rsidP="00D2431C">
      <w:pPr>
        <w:pStyle w:val="CGCBulletlist"/>
        <w:numPr>
          <w:ilvl w:val="0"/>
          <w:numId w:val="1"/>
        </w:numPr>
        <w:tabs>
          <w:tab w:val="clear" w:pos="927"/>
        </w:tabs>
        <w:ind w:left="1134" w:hanging="567"/>
      </w:pPr>
      <w:r>
        <w:t>schools in small isolated communities (where schools are smaller)</w:t>
      </w:r>
      <w:r w:rsidR="002C12A7">
        <w:t>.</w:t>
      </w:r>
    </w:p>
    <w:p w14:paraId="2E25FE73" w14:textId="77777777" w:rsidR="00D2431C" w:rsidRDefault="00D2431C" w:rsidP="00D2431C">
      <w:pPr>
        <w:pStyle w:val="CGCNumberedPara"/>
        <w:numPr>
          <w:ilvl w:val="1"/>
          <w:numId w:val="3"/>
        </w:numPr>
      </w:pPr>
      <w:r>
        <w:t xml:space="preserve">The adjustments for higher costs are calculated through a regression of Australian Curriculum, Assessment and Reporting Authority (ACARA) data. The regression finds the relationship between the student profile of each school and its State government funding. </w:t>
      </w:r>
    </w:p>
    <w:p w14:paraId="029F4777" w14:textId="77777777" w:rsidR="00D2431C" w:rsidRDefault="00D2431C" w:rsidP="00D2431C">
      <w:pPr>
        <w:pStyle w:val="CGCNumberedPara"/>
        <w:numPr>
          <w:ilvl w:val="1"/>
          <w:numId w:val="3"/>
        </w:numPr>
      </w:pPr>
      <w:r>
        <w:t>While State funded school expenses is a single component, it is calculated using two separate regressions, one for Government schools and one for non-government schools.</w:t>
      </w:r>
    </w:p>
    <w:p w14:paraId="338550DC" w14:textId="77777777" w:rsidR="00D2431C" w:rsidRDefault="00D2431C" w:rsidP="00D2431C">
      <w:pPr>
        <w:pStyle w:val="CGCNumberedPara"/>
        <w:numPr>
          <w:ilvl w:val="1"/>
          <w:numId w:val="3"/>
        </w:numPr>
      </w:pPr>
      <w:r>
        <w:t xml:space="preserve">An adjustment is also made for wages to reflect that wage costs are higher in some States than others. </w:t>
      </w:r>
    </w:p>
    <w:p w14:paraId="1C7BDD58" w14:textId="77777777" w:rsidR="00D2431C" w:rsidRPr="00D2431C" w:rsidRDefault="00D2431C" w:rsidP="00D2431C">
      <w:pPr>
        <w:pStyle w:val="Heading5"/>
      </w:pPr>
      <w:r w:rsidRPr="00D2431C">
        <w:rPr>
          <w:rStyle w:val="Heading6Char"/>
          <w:b/>
          <w:i/>
          <w:iCs w:val="0"/>
        </w:rPr>
        <w:t>Commonwealth funded government schools</w:t>
      </w:r>
    </w:p>
    <w:p w14:paraId="56E74625" w14:textId="028FF55F" w:rsidR="00D2431C" w:rsidRDefault="00D2431C" w:rsidP="00D2431C">
      <w:pPr>
        <w:pStyle w:val="CGCNumberedPara"/>
        <w:numPr>
          <w:ilvl w:val="1"/>
          <w:numId w:val="3"/>
        </w:numPr>
      </w:pPr>
      <w:r>
        <w:t>Expenses are assessed separately to give effect to the terms of reference related to the National Education Reform Agreement (NERA), which instructs the Commission to ensure that the recognition of educational disadvantage embedded in the NERA funding arrangements is not unwound by the GST distribution process. Until the 2017</w:t>
      </w:r>
      <w:r w:rsidR="00312AC1">
        <w:t> </w:t>
      </w:r>
      <w:r>
        <w:t xml:space="preserve">Update the assessment was based on </w:t>
      </w:r>
      <w:r w:rsidR="00C74C6B">
        <w:t xml:space="preserve">projected </w:t>
      </w:r>
      <w:r>
        <w:t xml:space="preserve">application year enrolments and the formula based </w:t>
      </w:r>
      <w:r w:rsidRPr="0001301C">
        <w:t>schooling</w:t>
      </w:r>
      <w:r>
        <w:t xml:space="preserve"> resource standard (SRS) for government students in each State. Since the 2018</w:t>
      </w:r>
      <w:r w:rsidR="00312AC1">
        <w:t> </w:t>
      </w:r>
      <w:r>
        <w:t xml:space="preserve">Update, it has been based on assessment year data. </w:t>
      </w:r>
    </w:p>
    <w:p w14:paraId="017AD6BB" w14:textId="77777777" w:rsidR="00D2431C" w:rsidRPr="00612C01" w:rsidRDefault="00D2431C" w:rsidP="00D2431C">
      <w:pPr>
        <w:pStyle w:val="Heading5"/>
      </w:pPr>
      <w:r w:rsidRPr="00D2431C">
        <w:t>Commonwealth funded non-government schools</w:t>
      </w:r>
    </w:p>
    <w:p w14:paraId="608C7CE1" w14:textId="096A4C8D" w:rsidR="00D2431C" w:rsidRDefault="00D2431C" w:rsidP="00D2431C">
      <w:pPr>
        <w:pStyle w:val="CGCNumberedPara"/>
        <w:numPr>
          <w:ilvl w:val="1"/>
          <w:numId w:val="3"/>
        </w:numPr>
      </w:pPr>
      <w:r>
        <w:t xml:space="preserve">The Quality Schools </w:t>
      </w:r>
      <w:r w:rsidR="005930E4">
        <w:t xml:space="preserve">payment </w:t>
      </w:r>
      <w:r w:rsidRPr="00AF0714">
        <w:t xml:space="preserve">is assessed so that it does not impact on State fiscal capacities. This payment is passed through the States to Independent and Catholic schools, and the States have no flexibility in how these funds are spent. </w:t>
      </w:r>
      <w:r>
        <w:t xml:space="preserve">Both the payment and the associated expenses are </w:t>
      </w:r>
      <w:r w:rsidRPr="00AF0714">
        <w:t>assess</w:t>
      </w:r>
      <w:r>
        <w:t>ed</w:t>
      </w:r>
      <w:r w:rsidRPr="00AF0714">
        <w:t xml:space="preserve"> using the actual allocation of the </w:t>
      </w:r>
      <w:r>
        <w:t>payment</w:t>
      </w:r>
      <w:r w:rsidRPr="00AF0714">
        <w:t>. The</w:t>
      </w:r>
      <w:r>
        <w:t xml:space="preserve">y represent </w:t>
      </w:r>
      <w:r w:rsidRPr="00AF0714">
        <w:t>identical and offsetting assessment</w:t>
      </w:r>
      <w:r>
        <w:t>s</w:t>
      </w:r>
      <w:r w:rsidRPr="00AF0714">
        <w:t xml:space="preserve">. Therefore this funding and </w:t>
      </w:r>
      <w:r>
        <w:t xml:space="preserve">the </w:t>
      </w:r>
      <w:r w:rsidRPr="00AF0714">
        <w:t xml:space="preserve">expenses </w:t>
      </w:r>
      <w:r>
        <w:t xml:space="preserve">have </w:t>
      </w:r>
      <w:r w:rsidRPr="00AF0714">
        <w:t xml:space="preserve">no impact on the GST. </w:t>
      </w:r>
    </w:p>
    <w:p w14:paraId="089F9F61" w14:textId="77777777" w:rsidR="00D2431C" w:rsidRPr="00D2431C" w:rsidRDefault="00D2431C" w:rsidP="00D2431C">
      <w:pPr>
        <w:pStyle w:val="Heading5"/>
      </w:pPr>
      <w:r w:rsidRPr="00D2431C">
        <w:lastRenderedPageBreak/>
        <w:t>Student transport</w:t>
      </w:r>
    </w:p>
    <w:p w14:paraId="6EB210CC" w14:textId="77777777" w:rsidR="00D2431C" w:rsidRDefault="00D2431C" w:rsidP="00D2431C">
      <w:pPr>
        <w:pStyle w:val="CGCNumberedPara"/>
        <w:numPr>
          <w:ilvl w:val="1"/>
          <w:numId w:val="3"/>
        </w:numPr>
      </w:pPr>
      <w:r w:rsidRPr="00612C01">
        <w:t xml:space="preserve">Student transport is assessed using student numbers, with a different weight given to urban and rural students, </w:t>
      </w:r>
      <w:r>
        <w:t xml:space="preserve">and </w:t>
      </w:r>
      <w:r w:rsidRPr="00612C01">
        <w:t>with an adjustment for the distance rural students in each State need to travel to attend</w:t>
      </w:r>
      <w:r>
        <w:t xml:space="preserve"> school.</w:t>
      </w:r>
    </w:p>
    <w:p w14:paraId="403B43AB" w14:textId="77777777" w:rsidR="00D2431C" w:rsidRPr="00D2431C" w:rsidRDefault="00D2431C" w:rsidP="00D2431C">
      <w:pPr>
        <w:pStyle w:val="Heading5"/>
      </w:pPr>
      <w:r w:rsidRPr="00D2431C">
        <w:t>Depreciation and investment</w:t>
      </w:r>
    </w:p>
    <w:p w14:paraId="3C9FBDC7" w14:textId="6D5951CC" w:rsidR="00D2431C" w:rsidRPr="00CA0CBC" w:rsidRDefault="00486FAF" w:rsidP="00D2431C">
      <w:pPr>
        <w:pStyle w:val="CGCNumberedPara"/>
        <w:numPr>
          <w:ilvl w:val="1"/>
          <w:numId w:val="3"/>
        </w:numPr>
      </w:pPr>
      <w:r>
        <w:t>Depreciation and investment in S</w:t>
      </w:r>
      <w:r w:rsidR="00D2431C" w:rsidRPr="00612C01">
        <w:t>chools</w:t>
      </w:r>
      <w:r>
        <w:t xml:space="preserve"> education</w:t>
      </w:r>
      <w:r w:rsidR="00D2431C" w:rsidRPr="00612C01">
        <w:t xml:space="preserve"> is assessed </w:t>
      </w:r>
      <w:r w:rsidR="00D2431C">
        <w:t xml:space="preserve">in the </w:t>
      </w:r>
      <w:r w:rsidR="003A495E">
        <w:t>D</w:t>
      </w:r>
      <w:r w:rsidR="00D2431C">
        <w:t xml:space="preserve">epreciation and </w:t>
      </w:r>
      <w:r w:rsidR="003A495E">
        <w:t>I</w:t>
      </w:r>
      <w:r w:rsidR="00D2431C">
        <w:t>nvestment categor</w:t>
      </w:r>
      <w:r w:rsidR="003A495E">
        <w:t>ies</w:t>
      </w:r>
      <w:r w:rsidR="00D2431C">
        <w:t xml:space="preserve"> </w:t>
      </w:r>
      <w:r w:rsidR="001A146D">
        <w:t xml:space="preserve">based </w:t>
      </w:r>
      <w:r w:rsidR="00D2431C" w:rsidRPr="00612C01">
        <w:t>only</w:t>
      </w:r>
      <w:r w:rsidR="00147006">
        <w:t xml:space="preserve"> on</w:t>
      </w:r>
      <w:r w:rsidR="00D2431C" w:rsidRPr="00612C01">
        <w:t xml:space="preserve"> government school enrolments. While certain socio-demographic attributes increase the recurrent cost of schools, most do not affect the need for capital. Only Indigenous students in schools with at least</w:t>
      </w:r>
      <w:r w:rsidR="00D2431C" w:rsidRPr="00CA0CBC">
        <w:t xml:space="preserve"> 25% Indigenous enrolments attract a cost weight. The service delivery scale disability is applied to depreciation and investment, as small schools require more capital as well as more recurrent expenditure per student. Growth in enrolments is a major driver of assessed investment need (it is indirectly assessed through population growth and changing disabilities).  </w:t>
      </w:r>
    </w:p>
    <w:p w14:paraId="57406025" w14:textId="5F3519E4" w:rsidR="00E07621" w:rsidRDefault="00E07621" w:rsidP="004530AC">
      <w:pPr>
        <w:pStyle w:val="Heading5"/>
      </w:pPr>
      <w:r>
        <w:t xml:space="preserve">GST </w:t>
      </w:r>
      <w:r w:rsidR="004434DE">
        <w:t>re</w:t>
      </w:r>
      <w:r>
        <w:t>distribution</w:t>
      </w:r>
    </w:p>
    <w:p w14:paraId="5BB55803" w14:textId="5AE3963C" w:rsidR="00D2431C" w:rsidRDefault="00D2431C" w:rsidP="00D2431C">
      <w:pPr>
        <w:pStyle w:val="CGCNumberedPara"/>
        <w:numPr>
          <w:ilvl w:val="1"/>
          <w:numId w:val="3"/>
        </w:numPr>
      </w:pPr>
      <w:r>
        <w:fldChar w:fldCharType="begin"/>
      </w:r>
      <w:r>
        <w:instrText xml:space="preserve"> REF _Ref499716761 \h </w:instrText>
      </w:r>
      <w:r>
        <w:fldChar w:fldCharType="separate"/>
      </w:r>
      <w:r w:rsidR="003E224F">
        <w:t xml:space="preserve">Table </w:t>
      </w:r>
      <w:r w:rsidR="003E224F">
        <w:rPr>
          <w:noProof/>
        </w:rPr>
        <w:t>2</w:t>
      </w:r>
      <w:r>
        <w:fldChar w:fldCharType="end"/>
      </w:r>
      <w:r>
        <w:t xml:space="preserve"> shows the redistribution of GST implied from the last year of the 201</w:t>
      </w:r>
      <w:r w:rsidR="003A495E">
        <w:t>8</w:t>
      </w:r>
      <w:r w:rsidR="009A7AE5">
        <w:t> </w:t>
      </w:r>
      <w:r>
        <w:t xml:space="preserve">Update. The </w:t>
      </w:r>
      <w:r w:rsidR="00147006">
        <w:t>S</w:t>
      </w:r>
      <w:r>
        <w:t>chool</w:t>
      </w:r>
      <w:r w:rsidR="00FC3995">
        <w:t xml:space="preserve"> education</w:t>
      </w:r>
      <w:r>
        <w:t xml:space="preserve"> assessment redistributes around $1.3 billion. </w:t>
      </w:r>
    </w:p>
    <w:p w14:paraId="56FE4C7F" w14:textId="118F0A0D" w:rsidR="00D2431C" w:rsidRDefault="00D2431C" w:rsidP="00D2431C">
      <w:pPr>
        <w:pStyle w:val="Caption"/>
        <w:rPr>
          <w:rFonts w:eastAsiaTheme="majorEastAsia" w:cstheme="majorBidi"/>
          <w:bCs w:val="0"/>
          <w:color w:val="2C8558"/>
          <w:sz w:val="32"/>
        </w:rPr>
      </w:pPr>
      <w:bookmarkStart w:id="35" w:name="_Ref499716761"/>
      <w:r>
        <w:t xml:space="preserve">Table </w:t>
      </w:r>
      <w:fldSimple w:instr=" SEQ Table \* ARABIC ">
        <w:r w:rsidR="003E224F">
          <w:rPr>
            <w:noProof/>
          </w:rPr>
          <w:t>2</w:t>
        </w:r>
      </w:fldSimple>
      <w:bookmarkEnd w:id="35"/>
      <w:r>
        <w:tab/>
        <w:t xml:space="preserve">GST </w:t>
      </w:r>
      <w:r w:rsidR="00D81DBF">
        <w:t>re</w:t>
      </w:r>
      <w:r>
        <w:t xml:space="preserve">distribution, </w:t>
      </w:r>
      <w:r w:rsidR="006C5110">
        <w:t>School education</w:t>
      </w:r>
      <w:r>
        <w:t xml:space="preserve">, 2016-17 </w:t>
      </w:r>
    </w:p>
    <w:tbl>
      <w:tblPr>
        <w:tblW w:w="9061" w:type="dxa"/>
        <w:tblLayout w:type="fixed"/>
        <w:tblCellMar>
          <w:left w:w="0" w:type="dxa"/>
          <w:right w:w="0" w:type="dxa"/>
        </w:tblCellMar>
        <w:tblLook w:val="04A0" w:firstRow="1" w:lastRow="0" w:firstColumn="1" w:lastColumn="0" w:noHBand="0" w:noVBand="1"/>
      </w:tblPr>
      <w:tblGrid>
        <w:gridCol w:w="3220"/>
        <w:gridCol w:w="640"/>
        <w:gridCol w:w="640"/>
        <w:gridCol w:w="640"/>
        <w:gridCol w:w="640"/>
        <w:gridCol w:w="640"/>
        <w:gridCol w:w="640"/>
        <w:gridCol w:w="640"/>
        <w:gridCol w:w="640"/>
        <w:gridCol w:w="721"/>
      </w:tblGrid>
      <w:tr w:rsidR="00D2431C" w:rsidRPr="00755411" w14:paraId="31346460" w14:textId="77777777" w:rsidTr="00504F41">
        <w:trPr>
          <w:trHeight w:val="379"/>
        </w:trPr>
        <w:tc>
          <w:tcPr>
            <w:tcW w:w="3220" w:type="dxa"/>
            <w:tcBorders>
              <w:top w:val="single" w:sz="4" w:space="0" w:color="auto"/>
              <w:left w:val="nil"/>
              <w:bottom w:val="single" w:sz="4" w:space="0" w:color="auto"/>
              <w:right w:val="nil"/>
            </w:tcBorders>
            <w:shd w:val="clear" w:color="auto" w:fill="auto"/>
            <w:noWrap/>
            <w:vAlign w:val="center"/>
            <w:hideMark/>
          </w:tcPr>
          <w:p w14:paraId="74C98311" w14:textId="77777777" w:rsidR="00D2431C" w:rsidRPr="00755411" w:rsidRDefault="00D2431C" w:rsidP="00504F41">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bookmarkStart w:id="36" w:name="RANGE!A2:J16"/>
            <w:r w:rsidRPr="00755411">
              <w:rPr>
                <w:rFonts w:ascii="Calibri" w:eastAsia="Times New Roman" w:hAnsi="Calibri" w:cs="Times New Roman"/>
                <w:color w:val="000000"/>
                <w:sz w:val="20"/>
                <w:szCs w:val="20"/>
                <w:lang w:eastAsia="en-AU"/>
              </w:rPr>
              <w:t>Component</w:t>
            </w:r>
            <w:bookmarkEnd w:id="36"/>
          </w:p>
        </w:tc>
        <w:tc>
          <w:tcPr>
            <w:tcW w:w="640" w:type="dxa"/>
            <w:tcBorders>
              <w:top w:val="single" w:sz="4" w:space="0" w:color="auto"/>
              <w:left w:val="nil"/>
              <w:bottom w:val="single" w:sz="4" w:space="0" w:color="auto"/>
              <w:right w:val="nil"/>
            </w:tcBorders>
            <w:shd w:val="clear" w:color="auto" w:fill="auto"/>
            <w:noWrap/>
            <w:vAlign w:val="center"/>
            <w:hideMark/>
          </w:tcPr>
          <w:p w14:paraId="71B628B2"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NSW</w:t>
            </w:r>
          </w:p>
        </w:tc>
        <w:tc>
          <w:tcPr>
            <w:tcW w:w="640" w:type="dxa"/>
            <w:tcBorders>
              <w:top w:val="single" w:sz="4" w:space="0" w:color="auto"/>
              <w:left w:val="nil"/>
              <w:bottom w:val="single" w:sz="4" w:space="0" w:color="auto"/>
              <w:right w:val="nil"/>
            </w:tcBorders>
            <w:shd w:val="clear" w:color="auto" w:fill="auto"/>
            <w:noWrap/>
            <w:vAlign w:val="center"/>
            <w:hideMark/>
          </w:tcPr>
          <w:p w14:paraId="744428E0"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Vic</w:t>
            </w:r>
          </w:p>
        </w:tc>
        <w:tc>
          <w:tcPr>
            <w:tcW w:w="640" w:type="dxa"/>
            <w:tcBorders>
              <w:top w:val="single" w:sz="4" w:space="0" w:color="auto"/>
              <w:left w:val="nil"/>
              <w:bottom w:val="single" w:sz="4" w:space="0" w:color="auto"/>
              <w:right w:val="nil"/>
            </w:tcBorders>
            <w:shd w:val="clear" w:color="auto" w:fill="auto"/>
            <w:noWrap/>
            <w:vAlign w:val="center"/>
            <w:hideMark/>
          </w:tcPr>
          <w:p w14:paraId="75E10F16"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Qld</w:t>
            </w:r>
          </w:p>
        </w:tc>
        <w:tc>
          <w:tcPr>
            <w:tcW w:w="640" w:type="dxa"/>
            <w:tcBorders>
              <w:top w:val="single" w:sz="4" w:space="0" w:color="auto"/>
              <w:left w:val="nil"/>
              <w:bottom w:val="single" w:sz="4" w:space="0" w:color="auto"/>
              <w:right w:val="nil"/>
            </w:tcBorders>
            <w:shd w:val="clear" w:color="auto" w:fill="auto"/>
            <w:noWrap/>
            <w:vAlign w:val="center"/>
            <w:hideMark/>
          </w:tcPr>
          <w:p w14:paraId="560CA69E"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WA</w:t>
            </w:r>
          </w:p>
        </w:tc>
        <w:tc>
          <w:tcPr>
            <w:tcW w:w="640" w:type="dxa"/>
            <w:tcBorders>
              <w:top w:val="single" w:sz="4" w:space="0" w:color="auto"/>
              <w:left w:val="nil"/>
              <w:bottom w:val="single" w:sz="4" w:space="0" w:color="auto"/>
              <w:right w:val="nil"/>
            </w:tcBorders>
            <w:shd w:val="clear" w:color="auto" w:fill="auto"/>
            <w:noWrap/>
            <w:vAlign w:val="center"/>
            <w:hideMark/>
          </w:tcPr>
          <w:p w14:paraId="3E60DD55"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SA</w:t>
            </w:r>
          </w:p>
        </w:tc>
        <w:tc>
          <w:tcPr>
            <w:tcW w:w="640" w:type="dxa"/>
            <w:tcBorders>
              <w:top w:val="single" w:sz="4" w:space="0" w:color="auto"/>
              <w:left w:val="nil"/>
              <w:bottom w:val="single" w:sz="4" w:space="0" w:color="auto"/>
              <w:right w:val="nil"/>
            </w:tcBorders>
            <w:shd w:val="clear" w:color="auto" w:fill="auto"/>
            <w:noWrap/>
            <w:vAlign w:val="center"/>
            <w:hideMark/>
          </w:tcPr>
          <w:p w14:paraId="2517C8DE"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Tas</w:t>
            </w:r>
          </w:p>
        </w:tc>
        <w:tc>
          <w:tcPr>
            <w:tcW w:w="640" w:type="dxa"/>
            <w:tcBorders>
              <w:top w:val="single" w:sz="4" w:space="0" w:color="auto"/>
              <w:left w:val="nil"/>
              <w:bottom w:val="single" w:sz="4" w:space="0" w:color="auto"/>
              <w:right w:val="nil"/>
            </w:tcBorders>
            <w:shd w:val="clear" w:color="auto" w:fill="auto"/>
            <w:noWrap/>
            <w:vAlign w:val="center"/>
            <w:hideMark/>
          </w:tcPr>
          <w:p w14:paraId="1C81AEF6"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ACT</w:t>
            </w:r>
          </w:p>
        </w:tc>
        <w:tc>
          <w:tcPr>
            <w:tcW w:w="640" w:type="dxa"/>
            <w:tcBorders>
              <w:top w:val="single" w:sz="4" w:space="0" w:color="auto"/>
              <w:left w:val="nil"/>
              <w:bottom w:val="single" w:sz="4" w:space="0" w:color="auto"/>
              <w:right w:val="nil"/>
            </w:tcBorders>
            <w:shd w:val="clear" w:color="auto" w:fill="auto"/>
            <w:noWrap/>
            <w:vAlign w:val="center"/>
            <w:hideMark/>
          </w:tcPr>
          <w:p w14:paraId="3621E3B1"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NT</w:t>
            </w:r>
          </w:p>
        </w:tc>
        <w:tc>
          <w:tcPr>
            <w:tcW w:w="721" w:type="dxa"/>
            <w:tcBorders>
              <w:top w:val="single" w:sz="4" w:space="0" w:color="auto"/>
              <w:left w:val="nil"/>
              <w:bottom w:val="single" w:sz="4" w:space="0" w:color="auto"/>
              <w:right w:val="nil"/>
            </w:tcBorders>
            <w:shd w:val="clear" w:color="auto" w:fill="auto"/>
            <w:noWrap/>
            <w:vAlign w:val="center"/>
            <w:hideMark/>
          </w:tcPr>
          <w:p w14:paraId="4D28CC5A"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Redist</w:t>
            </w:r>
          </w:p>
        </w:tc>
      </w:tr>
      <w:tr w:rsidR="00D2431C" w:rsidRPr="00755411" w14:paraId="2B80B5D6" w14:textId="77777777" w:rsidTr="00504F41">
        <w:trPr>
          <w:trHeight w:val="259"/>
        </w:trPr>
        <w:tc>
          <w:tcPr>
            <w:tcW w:w="3220" w:type="dxa"/>
            <w:tcBorders>
              <w:top w:val="nil"/>
              <w:left w:val="nil"/>
              <w:bottom w:val="nil"/>
              <w:right w:val="nil"/>
            </w:tcBorders>
            <w:shd w:val="clear" w:color="auto" w:fill="auto"/>
            <w:noWrap/>
            <w:vAlign w:val="bottom"/>
            <w:hideMark/>
          </w:tcPr>
          <w:p w14:paraId="41FB7BE2" w14:textId="77777777" w:rsidR="00D2431C" w:rsidRPr="00755411" w:rsidRDefault="00D2431C" w:rsidP="00504F41">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 </w:t>
            </w:r>
          </w:p>
        </w:tc>
        <w:tc>
          <w:tcPr>
            <w:tcW w:w="640" w:type="dxa"/>
            <w:tcBorders>
              <w:top w:val="nil"/>
              <w:left w:val="nil"/>
              <w:bottom w:val="nil"/>
              <w:right w:val="nil"/>
            </w:tcBorders>
            <w:shd w:val="clear" w:color="auto" w:fill="auto"/>
            <w:noWrap/>
            <w:vAlign w:val="bottom"/>
            <w:hideMark/>
          </w:tcPr>
          <w:p w14:paraId="67CC721A"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$m</w:t>
            </w:r>
          </w:p>
        </w:tc>
        <w:tc>
          <w:tcPr>
            <w:tcW w:w="640" w:type="dxa"/>
            <w:tcBorders>
              <w:top w:val="nil"/>
              <w:left w:val="nil"/>
              <w:bottom w:val="nil"/>
              <w:right w:val="nil"/>
            </w:tcBorders>
            <w:shd w:val="clear" w:color="auto" w:fill="auto"/>
            <w:noWrap/>
            <w:vAlign w:val="bottom"/>
            <w:hideMark/>
          </w:tcPr>
          <w:p w14:paraId="294249F4"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$m</w:t>
            </w:r>
          </w:p>
        </w:tc>
        <w:tc>
          <w:tcPr>
            <w:tcW w:w="640" w:type="dxa"/>
            <w:tcBorders>
              <w:top w:val="nil"/>
              <w:left w:val="nil"/>
              <w:bottom w:val="nil"/>
              <w:right w:val="nil"/>
            </w:tcBorders>
            <w:shd w:val="clear" w:color="auto" w:fill="auto"/>
            <w:noWrap/>
            <w:vAlign w:val="bottom"/>
            <w:hideMark/>
          </w:tcPr>
          <w:p w14:paraId="6F1BEECE"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$m</w:t>
            </w:r>
          </w:p>
        </w:tc>
        <w:tc>
          <w:tcPr>
            <w:tcW w:w="640" w:type="dxa"/>
            <w:tcBorders>
              <w:top w:val="nil"/>
              <w:left w:val="nil"/>
              <w:bottom w:val="nil"/>
              <w:right w:val="nil"/>
            </w:tcBorders>
            <w:shd w:val="clear" w:color="auto" w:fill="auto"/>
            <w:noWrap/>
            <w:vAlign w:val="bottom"/>
            <w:hideMark/>
          </w:tcPr>
          <w:p w14:paraId="1DA53486"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$m</w:t>
            </w:r>
          </w:p>
        </w:tc>
        <w:tc>
          <w:tcPr>
            <w:tcW w:w="640" w:type="dxa"/>
            <w:tcBorders>
              <w:top w:val="nil"/>
              <w:left w:val="nil"/>
              <w:bottom w:val="nil"/>
              <w:right w:val="nil"/>
            </w:tcBorders>
            <w:shd w:val="clear" w:color="auto" w:fill="auto"/>
            <w:noWrap/>
            <w:vAlign w:val="bottom"/>
            <w:hideMark/>
          </w:tcPr>
          <w:p w14:paraId="65DCAA81"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$m</w:t>
            </w:r>
          </w:p>
        </w:tc>
        <w:tc>
          <w:tcPr>
            <w:tcW w:w="640" w:type="dxa"/>
            <w:tcBorders>
              <w:top w:val="nil"/>
              <w:left w:val="nil"/>
              <w:bottom w:val="nil"/>
              <w:right w:val="nil"/>
            </w:tcBorders>
            <w:shd w:val="clear" w:color="auto" w:fill="auto"/>
            <w:noWrap/>
            <w:vAlign w:val="bottom"/>
            <w:hideMark/>
          </w:tcPr>
          <w:p w14:paraId="5D860F0C"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$m</w:t>
            </w:r>
          </w:p>
        </w:tc>
        <w:tc>
          <w:tcPr>
            <w:tcW w:w="640" w:type="dxa"/>
            <w:tcBorders>
              <w:top w:val="nil"/>
              <w:left w:val="nil"/>
              <w:bottom w:val="nil"/>
              <w:right w:val="nil"/>
            </w:tcBorders>
            <w:shd w:val="clear" w:color="auto" w:fill="auto"/>
            <w:noWrap/>
            <w:vAlign w:val="bottom"/>
            <w:hideMark/>
          </w:tcPr>
          <w:p w14:paraId="7AFC26AF"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$m</w:t>
            </w:r>
          </w:p>
        </w:tc>
        <w:tc>
          <w:tcPr>
            <w:tcW w:w="640" w:type="dxa"/>
            <w:tcBorders>
              <w:top w:val="nil"/>
              <w:left w:val="nil"/>
              <w:bottom w:val="nil"/>
              <w:right w:val="nil"/>
            </w:tcBorders>
            <w:shd w:val="clear" w:color="auto" w:fill="auto"/>
            <w:noWrap/>
            <w:vAlign w:val="bottom"/>
            <w:hideMark/>
          </w:tcPr>
          <w:p w14:paraId="3664F3EC"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$m</w:t>
            </w:r>
          </w:p>
        </w:tc>
        <w:tc>
          <w:tcPr>
            <w:tcW w:w="721" w:type="dxa"/>
            <w:tcBorders>
              <w:top w:val="nil"/>
              <w:left w:val="nil"/>
              <w:bottom w:val="nil"/>
              <w:right w:val="nil"/>
            </w:tcBorders>
            <w:shd w:val="clear" w:color="auto" w:fill="auto"/>
            <w:noWrap/>
            <w:vAlign w:val="bottom"/>
            <w:hideMark/>
          </w:tcPr>
          <w:p w14:paraId="59EE7162"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$m</w:t>
            </w:r>
          </w:p>
        </w:tc>
      </w:tr>
      <w:tr w:rsidR="00D2431C" w:rsidRPr="00755411" w14:paraId="64CAF935" w14:textId="77777777" w:rsidTr="00504F41">
        <w:trPr>
          <w:trHeight w:val="315"/>
        </w:trPr>
        <w:tc>
          <w:tcPr>
            <w:tcW w:w="3220" w:type="dxa"/>
            <w:tcBorders>
              <w:top w:val="nil"/>
              <w:left w:val="nil"/>
              <w:bottom w:val="nil"/>
              <w:right w:val="nil"/>
            </w:tcBorders>
            <w:shd w:val="clear" w:color="auto" w:fill="auto"/>
            <w:vAlign w:val="bottom"/>
            <w:hideMark/>
          </w:tcPr>
          <w:p w14:paraId="03CCA88A" w14:textId="77777777" w:rsidR="00D2431C" w:rsidRPr="00755411" w:rsidRDefault="00D2431C" w:rsidP="00504F41">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State funded schools</w:t>
            </w:r>
          </w:p>
        </w:tc>
        <w:tc>
          <w:tcPr>
            <w:tcW w:w="640" w:type="dxa"/>
            <w:tcBorders>
              <w:top w:val="nil"/>
              <w:left w:val="nil"/>
              <w:bottom w:val="nil"/>
              <w:right w:val="nil"/>
            </w:tcBorders>
            <w:shd w:val="clear" w:color="auto" w:fill="auto"/>
            <w:vAlign w:val="bottom"/>
            <w:hideMark/>
          </w:tcPr>
          <w:p w14:paraId="5D6A68C8"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-248</w:t>
            </w:r>
          </w:p>
        </w:tc>
        <w:tc>
          <w:tcPr>
            <w:tcW w:w="640" w:type="dxa"/>
            <w:tcBorders>
              <w:top w:val="nil"/>
              <w:left w:val="nil"/>
              <w:bottom w:val="nil"/>
              <w:right w:val="nil"/>
            </w:tcBorders>
            <w:shd w:val="clear" w:color="auto" w:fill="auto"/>
            <w:vAlign w:val="bottom"/>
            <w:hideMark/>
          </w:tcPr>
          <w:p w14:paraId="5642B8C4"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-740</w:t>
            </w:r>
          </w:p>
        </w:tc>
        <w:tc>
          <w:tcPr>
            <w:tcW w:w="640" w:type="dxa"/>
            <w:tcBorders>
              <w:top w:val="nil"/>
              <w:left w:val="nil"/>
              <w:bottom w:val="nil"/>
              <w:right w:val="nil"/>
            </w:tcBorders>
            <w:shd w:val="clear" w:color="auto" w:fill="auto"/>
            <w:vAlign w:val="bottom"/>
            <w:hideMark/>
          </w:tcPr>
          <w:p w14:paraId="58B7178F"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526</w:t>
            </w:r>
          </w:p>
        </w:tc>
        <w:tc>
          <w:tcPr>
            <w:tcW w:w="640" w:type="dxa"/>
            <w:tcBorders>
              <w:top w:val="nil"/>
              <w:left w:val="nil"/>
              <w:bottom w:val="nil"/>
              <w:right w:val="nil"/>
            </w:tcBorders>
            <w:shd w:val="clear" w:color="auto" w:fill="auto"/>
            <w:vAlign w:val="bottom"/>
            <w:hideMark/>
          </w:tcPr>
          <w:p w14:paraId="030FB96C"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208</w:t>
            </w:r>
          </w:p>
        </w:tc>
        <w:tc>
          <w:tcPr>
            <w:tcW w:w="640" w:type="dxa"/>
            <w:tcBorders>
              <w:top w:val="nil"/>
              <w:left w:val="nil"/>
              <w:bottom w:val="nil"/>
              <w:right w:val="nil"/>
            </w:tcBorders>
            <w:shd w:val="clear" w:color="auto" w:fill="auto"/>
            <w:vAlign w:val="bottom"/>
            <w:hideMark/>
          </w:tcPr>
          <w:p w14:paraId="0D490A00"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11</w:t>
            </w:r>
          </w:p>
        </w:tc>
        <w:tc>
          <w:tcPr>
            <w:tcW w:w="640" w:type="dxa"/>
            <w:tcBorders>
              <w:top w:val="nil"/>
              <w:left w:val="nil"/>
              <w:bottom w:val="nil"/>
              <w:right w:val="nil"/>
            </w:tcBorders>
            <w:shd w:val="clear" w:color="auto" w:fill="auto"/>
            <w:vAlign w:val="bottom"/>
            <w:hideMark/>
          </w:tcPr>
          <w:p w14:paraId="46116A75"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56</w:t>
            </w:r>
          </w:p>
        </w:tc>
        <w:tc>
          <w:tcPr>
            <w:tcW w:w="640" w:type="dxa"/>
            <w:tcBorders>
              <w:top w:val="nil"/>
              <w:left w:val="nil"/>
              <w:bottom w:val="nil"/>
              <w:right w:val="nil"/>
            </w:tcBorders>
            <w:shd w:val="clear" w:color="auto" w:fill="auto"/>
            <w:vAlign w:val="bottom"/>
            <w:hideMark/>
          </w:tcPr>
          <w:p w14:paraId="252DEDC7"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-43</w:t>
            </w:r>
          </w:p>
        </w:tc>
        <w:tc>
          <w:tcPr>
            <w:tcW w:w="640" w:type="dxa"/>
            <w:tcBorders>
              <w:top w:val="nil"/>
              <w:left w:val="nil"/>
              <w:bottom w:val="nil"/>
              <w:right w:val="nil"/>
            </w:tcBorders>
            <w:shd w:val="clear" w:color="auto" w:fill="auto"/>
            <w:vAlign w:val="bottom"/>
            <w:hideMark/>
          </w:tcPr>
          <w:p w14:paraId="6E07A955"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229</w:t>
            </w:r>
          </w:p>
        </w:tc>
        <w:tc>
          <w:tcPr>
            <w:tcW w:w="721" w:type="dxa"/>
            <w:tcBorders>
              <w:top w:val="nil"/>
              <w:left w:val="nil"/>
              <w:bottom w:val="nil"/>
              <w:right w:val="nil"/>
            </w:tcBorders>
            <w:shd w:val="clear" w:color="auto" w:fill="auto"/>
            <w:vAlign w:val="bottom"/>
            <w:hideMark/>
          </w:tcPr>
          <w:p w14:paraId="36F80B01"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1 030</w:t>
            </w:r>
          </w:p>
        </w:tc>
      </w:tr>
      <w:tr w:rsidR="00D2431C" w:rsidRPr="00755411" w14:paraId="552AF06B" w14:textId="77777777" w:rsidTr="00504F41">
        <w:trPr>
          <w:trHeight w:val="315"/>
        </w:trPr>
        <w:tc>
          <w:tcPr>
            <w:tcW w:w="3220" w:type="dxa"/>
            <w:tcBorders>
              <w:top w:val="nil"/>
              <w:left w:val="nil"/>
              <w:bottom w:val="nil"/>
              <w:right w:val="nil"/>
            </w:tcBorders>
            <w:shd w:val="clear" w:color="auto" w:fill="auto"/>
            <w:vAlign w:val="bottom"/>
            <w:hideMark/>
          </w:tcPr>
          <w:p w14:paraId="59C749E8" w14:textId="6BBCA431" w:rsidR="00D2431C" w:rsidRPr="00755411" w:rsidRDefault="00D2431C" w:rsidP="00F20219">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C</w:t>
            </w:r>
            <w:r w:rsidR="00F20219">
              <w:rPr>
                <w:rFonts w:ascii="Calibri" w:eastAsia="Times New Roman" w:hAnsi="Calibri" w:cs="Times New Roman"/>
                <w:color w:val="000000"/>
                <w:sz w:val="20"/>
                <w:szCs w:val="20"/>
                <w:lang w:eastAsia="en-AU"/>
              </w:rPr>
              <w:t>ommon</w:t>
            </w:r>
            <w:r w:rsidRPr="00755411">
              <w:rPr>
                <w:rFonts w:ascii="Calibri" w:eastAsia="Times New Roman" w:hAnsi="Calibri" w:cs="Times New Roman"/>
                <w:color w:val="000000"/>
                <w:sz w:val="20"/>
                <w:szCs w:val="20"/>
                <w:lang w:eastAsia="en-AU"/>
              </w:rPr>
              <w:t>w</w:t>
            </w:r>
            <w:r w:rsidR="00F20219">
              <w:rPr>
                <w:rFonts w:ascii="Calibri" w:eastAsia="Times New Roman" w:hAnsi="Calibri" w:cs="Times New Roman"/>
                <w:color w:val="000000"/>
                <w:sz w:val="20"/>
                <w:szCs w:val="20"/>
                <w:lang w:eastAsia="en-AU"/>
              </w:rPr>
              <w:t>ea</w:t>
            </w:r>
            <w:r w:rsidRPr="00755411">
              <w:rPr>
                <w:rFonts w:ascii="Calibri" w:eastAsia="Times New Roman" w:hAnsi="Calibri" w:cs="Times New Roman"/>
                <w:color w:val="000000"/>
                <w:sz w:val="20"/>
                <w:szCs w:val="20"/>
                <w:lang w:eastAsia="en-AU"/>
              </w:rPr>
              <w:t>lth funded govt</w:t>
            </w:r>
            <w:r w:rsidR="00F20219">
              <w:rPr>
                <w:rFonts w:ascii="Calibri" w:eastAsia="Times New Roman" w:hAnsi="Calibri" w:cs="Times New Roman"/>
                <w:color w:val="000000"/>
                <w:sz w:val="20"/>
                <w:szCs w:val="20"/>
                <w:lang w:eastAsia="en-AU"/>
              </w:rPr>
              <w:t>.</w:t>
            </w:r>
            <w:r w:rsidRPr="00755411">
              <w:rPr>
                <w:rFonts w:ascii="Calibri" w:eastAsia="Times New Roman" w:hAnsi="Calibri" w:cs="Times New Roman"/>
                <w:color w:val="000000"/>
                <w:sz w:val="20"/>
                <w:szCs w:val="20"/>
                <w:lang w:eastAsia="en-AU"/>
              </w:rPr>
              <w:t xml:space="preserve"> schools</w:t>
            </w:r>
          </w:p>
        </w:tc>
        <w:tc>
          <w:tcPr>
            <w:tcW w:w="640" w:type="dxa"/>
            <w:tcBorders>
              <w:top w:val="nil"/>
              <w:left w:val="nil"/>
              <w:bottom w:val="nil"/>
              <w:right w:val="nil"/>
            </w:tcBorders>
            <w:shd w:val="clear" w:color="auto" w:fill="auto"/>
            <w:vAlign w:val="bottom"/>
            <w:hideMark/>
          </w:tcPr>
          <w:p w14:paraId="4D6B3973"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-76</w:t>
            </w:r>
          </w:p>
        </w:tc>
        <w:tc>
          <w:tcPr>
            <w:tcW w:w="640" w:type="dxa"/>
            <w:tcBorders>
              <w:top w:val="nil"/>
              <w:left w:val="nil"/>
              <w:bottom w:val="nil"/>
              <w:right w:val="nil"/>
            </w:tcBorders>
            <w:shd w:val="clear" w:color="auto" w:fill="auto"/>
            <w:vAlign w:val="bottom"/>
            <w:hideMark/>
          </w:tcPr>
          <w:p w14:paraId="2587C765"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-156</w:t>
            </w:r>
          </w:p>
        </w:tc>
        <w:tc>
          <w:tcPr>
            <w:tcW w:w="640" w:type="dxa"/>
            <w:tcBorders>
              <w:top w:val="nil"/>
              <w:left w:val="nil"/>
              <w:bottom w:val="nil"/>
              <w:right w:val="nil"/>
            </w:tcBorders>
            <w:shd w:val="clear" w:color="auto" w:fill="auto"/>
            <w:vAlign w:val="bottom"/>
            <w:hideMark/>
          </w:tcPr>
          <w:p w14:paraId="64F946A1"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98</w:t>
            </w:r>
          </w:p>
        </w:tc>
        <w:tc>
          <w:tcPr>
            <w:tcW w:w="640" w:type="dxa"/>
            <w:tcBorders>
              <w:top w:val="nil"/>
              <w:left w:val="nil"/>
              <w:bottom w:val="nil"/>
              <w:right w:val="nil"/>
            </w:tcBorders>
            <w:shd w:val="clear" w:color="auto" w:fill="auto"/>
            <w:vAlign w:val="bottom"/>
            <w:hideMark/>
          </w:tcPr>
          <w:p w14:paraId="4A177FA1"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88</w:t>
            </w:r>
          </w:p>
        </w:tc>
        <w:tc>
          <w:tcPr>
            <w:tcW w:w="640" w:type="dxa"/>
            <w:tcBorders>
              <w:top w:val="nil"/>
              <w:left w:val="nil"/>
              <w:bottom w:val="nil"/>
              <w:right w:val="nil"/>
            </w:tcBorders>
            <w:shd w:val="clear" w:color="auto" w:fill="auto"/>
            <w:vAlign w:val="bottom"/>
            <w:hideMark/>
          </w:tcPr>
          <w:p w14:paraId="028827F9"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-10</w:t>
            </w:r>
          </w:p>
        </w:tc>
        <w:tc>
          <w:tcPr>
            <w:tcW w:w="640" w:type="dxa"/>
            <w:tcBorders>
              <w:top w:val="nil"/>
              <w:left w:val="nil"/>
              <w:bottom w:val="nil"/>
              <w:right w:val="nil"/>
            </w:tcBorders>
            <w:shd w:val="clear" w:color="auto" w:fill="auto"/>
            <w:vAlign w:val="bottom"/>
            <w:hideMark/>
          </w:tcPr>
          <w:p w14:paraId="3C721ED3"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12</w:t>
            </w:r>
          </w:p>
        </w:tc>
        <w:tc>
          <w:tcPr>
            <w:tcW w:w="640" w:type="dxa"/>
            <w:tcBorders>
              <w:top w:val="nil"/>
              <w:left w:val="nil"/>
              <w:bottom w:val="nil"/>
              <w:right w:val="nil"/>
            </w:tcBorders>
            <w:shd w:val="clear" w:color="auto" w:fill="auto"/>
            <w:vAlign w:val="bottom"/>
            <w:hideMark/>
          </w:tcPr>
          <w:p w14:paraId="0115544F"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-10</w:t>
            </w:r>
          </w:p>
        </w:tc>
        <w:tc>
          <w:tcPr>
            <w:tcW w:w="640" w:type="dxa"/>
            <w:tcBorders>
              <w:top w:val="nil"/>
              <w:left w:val="nil"/>
              <w:bottom w:val="nil"/>
              <w:right w:val="nil"/>
            </w:tcBorders>
            <w:shd w:val="clear" w:color="auto" w:fill="auto"/>
            <w:vAlign w:val="bottom"/>
            <w:hideMark/>
          </w:tcPr>
          <w:p w14:paraId="2A50020A"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55</w:t>
            </w:r>
          </w:p>
        </w:tc>
        <w:tc>
          <w:tcPr>
            <w:tcW w:w="721" w:type="dxa"/>
            <w:tcBorders>
              <w:top w:val="nil"/>
              <w:left w:val="nil"/>
              <w:bottom w:val="nil"/>
              <w:right w:val="nil"/>
            </w:tcBorders>
            <w:shd w:val="clear" w:color="auto" w:fill="auto"/>
            <w:vAlign w:val="bottom"/>
            <w:hideMark/>
          </w:tcPr>
          <w:p w14:paraId="5A6AFAF8"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253</w:t>
            </w:r>
          </w:p>
        </w:tc>
      </w:tr>
      <w:tr w:rsidR="00D2431C" w:rsidRPr="00755411" w14:paraId="47A1FB03" w14:textId="77777777" w:rsidTr="00504F41">
        <w:trPr>
          <w:trHeight w:val="315"/>
        </w:trPr>
        <w:tc>
          <w:tcPr>
            <w:tcW w:w="3220" w:type="dxa"/>
            <w:tcBorders>
              <w:top w:val="nil"/>
              <w:left w:val="nil"/>
              <w:bottom w:val="nil"/>
              <w:right w:val="nil"/>
            </w:tcBorders>
            <w:shd w:val="clear" w:color="auto" w:fill="auto"/>
            <w:vAlign w:val="bottom"/>
            <w:hideMark/>
          </w:tcPr>
          <w:p w14:paraId="6B5625D1" w14:textId="142E107C" w:rsidR="00D2431C" w:rsidRPr="00755411" w:rsidRDefault="00D2431C" w:rsidP="00F20219">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C</w:t>
            </w:r>
            <w:r w:rsidR="00F20219">
              <w:rPr>
                <w:rFonts w:ascii="Calibri" w:eastAsia="Times New Roman" w:hAnsi="Calibri" w:cs="Times New Roman"/>
                <w:color w:val="000000"/>
                <w:sz w:val="20"/>
                <w:szCs w:val="20"/>
                <w:lang w:eastAsia="en-AU"/>
              </w:rPr>
              <w:t>ommon</w:t>
            </w:r>
            <w:r w:rsidRPr="00755411">
              <w:rPr>
                <w:rFonts w:ascii="Calibri" w:eastAsia="Times New Roman" w:hAnsi="Calibri" w:cs="Times New Roman"/>
                <w:color w:val="000000"/>
                <w:sz w:val="20"/>
                <w:szCs w:val="20"/>
                <w:lang w:eastAsia="en-AU"/>
              </w:rPr>
              <w:t>w</w:t>
            </w:r>
            <w:r w:rsidR="00F20219">
              <w:rPr>
                <w:rFonts w:ascii="Calibri" w:eastAsia="Times New Roman" w:hAnsi="Calibri" w:cs="Times New Roman"/>
                <w:color w:val="000000"/>
                <w:sz w:val="20"/>
                <w:szCs w:val="20"/>
                <w:lang w:eastAsia="en-AU"/>
              </w:rPr>
              <w:t>ea</w:t>
            </w:r>
            <w:r w:rsidRPr="00755411">
              <w:rPr>
                <w:rFonts w:ascii="Calibri" w:eastAsia="Times New Roman" w:hAnsi="Calibri" w:cs="Times New Roman"/>
                <w:color w:val="000000"/>
                <w:sz w:val="20"/>
                <w:szCs w:val="20"/>
                <w:lang w:eastAsia="en-AU"/>
              </w:rPr>
              <w:t>lth funded non-gov't</w:t>
            </w:r>
            <w:r w:rsidR="00D7668F">
              <w:rPr>
                <w:rFonts w:ascii="Calibri" w:eastAsia="Times New Roman" w:hAnsi="Calibri" w:cs="Times New Roman"/>
                <w:color w:val="000000"/>
                <w:sz w:val="20"/>
                <w:szCs w:val="20"/>
                <w:lang w:eastAsia="en-AU"/>
              </w:rPr>
              <w:t>.</w:t>
            </w:r>
            <w:r w:rsidRPr="00755411">
              <w:rPr>
                <w:rFonts w:ascii="Calibri" w:eastAsia="Times New Roman" w:hAnsi="Calibri" w:cs="Times New Roman"/>
                <w:color w:val="000000"/>
                <w:sz w:val="20"/>
                <w:szCs w:val="20"/>
                <w:lang w:eastAsia="en-AU"/>
              </w:rPr>
              <w:t xml:space="preserve"> sch</w:t>
            </w:r>
            <w:r w:rsidR="00F20219">
              <w:rPr>
                <w:rFonts w:ascii="Calibri" w:eastAsia="Times New Roman" w:hAnsi="Calibri" w:cs="Times New Roman"/>
                <w:color w:val="000000"/>
                <w:sz w:val="20"/>
                <w:szCs w:val="20"/>
                <w:lang w:eastAsia="en-AU"/>
              </w:rPr>
              <w:t>ools</w:t>
            </w:r>
            <w:r w:rsidRPr="00755411">
              <w:rPr>
                <w:rFonts w:ascii="Calibri" w:eastAsia="Times New Roman" w:hAnsi="Calibri" w:cs="Times New Roman"/>
                <w:color w:val="000000"/>
                <w:sz w:val="20"/>
                <w:szCs w:val="20"/>
                <w:lang w:eastAsia="en-AU"/>
              </w:rPr>
              <w:t xml:space="preserve"> (a)</w:t>
            </w:r>
          </w:p>
        </w:tc>
        <w:tc>
          <w:tcPr>
            <w:tcW w:w="640" w:type="dxa"/>
            <w:tcBorders>
              <w:top w:val="nil"/>
              <w:left w:val="nil"/>
              <w:bottom w:val="nil"/>
              <w:right w:val="nil"/>
            </w:tcBorders>
            <w:shd w:val="clear" w:color="auto" w:fill="auto"/>
            <w:vAlign w:val="bottom"/>
            <w:hideMark/>
          </w:tcPr>
          <w:p w14:paraId="62F5A0CF"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-125</w:t>
            </w:r>
          </w:p>
        </w:tc>
        <w:tc>
          <w:tcPr>
            <w:tcW w:w="640" w:type="dxa"/>
            <w:tcBorders>
              <w:top w:val="nil"/>
              <w:left w:val="nil"/>
              <w:bottom w:val="nil"/>
              <w:right w:val="nil"/>
            </w:tcBorders>
            <w:shd w:val="clear" w:color="auto" w:fill="auto"/>
            <w:vAlign w:val="bottom"/>
            <w:hideMark/>
          </w:tcPr>
          <w:p w14:paraId="042715F8"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75</w:t>
            </w:r>
          </w:p>
        </w:tc>
        <w:tc>
          <w:tcPr>
            <w:tcW w:w="640" w:type="dxa"/>
            <w:tcBorders>
              <w:top w:val="nil"/>
              <w:left w:val="nil"/>
              <w:bottom w:val="nil"/>
              <w:right w:val="nil"/>
            </w:tcBorders>
            <w:shd w:val="clear" w:color="auto" w:fill="auto"/>
            <w:vAlign w:val="bottom"/>
            <w:hideMark/>
          </w:tcPr>
          <w:p w14:paraId="6A828CBB"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36</w:t>
            </w:r>
          </w:p>
        </w:tc>
        <w:tc>
          <w:tcPr>
            <w:tcW w:w="640" w:type="dxa"/>
            <w:tcBorders>
              <w:top w:val="nil"/>
              <w:left w:val="nil"/>
              <w:bottom w:val="nil"/>
              <w:right w:val="nil"/>
            </w:tcBorders>
            <w:shd w:val="clear" w:color="auto" w:fill="auto"/>
            <w:vAlign w:val="bottom"/>
            <w:hideMark/>
          </w:tcPr>
          <w:p w14:paraId="2D5DC045"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-57</w:t>
            </w:r>
          </w:p>
        </w:tc>
        <w:tc>
          <w:tcPr>
            <w:tcW w:w="640" w:type="dxa"/>
            <w:tcBorders>
              <w:top w:val="nil"/>
              <w:left w:val="nil"/>
              <w:bottom w:val="nil"/>
              <w:right w:val="nil"/>
            </w:tcBorders>
            <w:shd w:val="clear" w:color="auto" w:fill="auto"/>
            <w:vAlign w:val="bottom"/>
            <w:hideMark/>
          </w:tcPr>
          <w:p w14:paraId="00A5E4D9"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20</w:t>
            </w:r>
          </w:p>
        </w:tc>
        <w:tc>
          <w:tcPr>
            <w:tcW w:w="640" w:type="dxa"/>
            <w:tcBorders>
              <w:top w:val="nil"/>
              <w:left w:val="nil"/>
              <w:bottom w:val="nil"/>
              <w:right w:val="nil"/>
            </w:tcBorders>
            <w:shd w:val="clear" w:color="auto" w:fill="auto"/>
            <w:vAlign w:val="bottom"/>
            <w:hideMark/>
          </w:tcPr>
          <w:p w14:paraId="7748FAC6"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-9</w:t>
            </w:r>
          </w:p>
        </w:tc>
        <w:tc>
          <w:tcPr>
            <w:tcW w:w="640" w:type="dxa"/>
            <w:tcBorders>
              <w:top w:val="nil"/>
              <w:left w:val="nil"/>
              <w:bottom w:val="nil"/>
              <w:right w:val="nil"/>
            </w:tcBorders>
            <w:shd w:val="clear" w:color="auto" w:fill="auto"/>
            <w:vAlign w:val="bottom"/>
            <w:hideMark/>
          </w:tcPr>
          <w:p w14:paraId="45C962A2"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19</w:t>
            </w:r>
          </w:p>
        </w:tc>
        <w:tc>
          <w:tcPr>
            <w:tcW w:w="640" w:type="dxa"/>
            <w:tcBorders>
              <w:top w:val="nil"/>
              <w:left w:val="nil"/>
              <w:bottom w:val="nil"/>
              <w:right w:val="nil"/>
            </w:tcBorders>
            <w:shd w:val="clear" w:color="auto" w:fill="auto"/>
            <w:vAlign w:val="bottom"/>
            <w:hideMark/>
          </w:tcPr>
          <w:p w14:paraId="59D9CB06"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40</w:t>
            </w:r>
          </w:p>
        </w:tc>
        <w:tc>
          <w:tcPr>
            <w:tcW w:w="721" w:type="dxa"/>
            <w:tcBorders>
              <w:top w:val="nil"/>
              <w:left w:val="nil"/>
              <w:bottom w:val="nil"/>
              <w:right w:val="nil"/>
            </w:tcBorders>
            <w:shd w:val="clear" w:color="auto" w:fill="auto"/>
            <w:vAlign w:val="bottom"/>
            <w:hideMark/>
          </w:tcPr>
          <w:p w14:paraId="134E8DC8"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191</w:t>
            </w:r>
          </w:p>
        </w:tc>
      </w:tr>
      <w:tr w:rsidR="00D2431C" w:rsidRPr="00755411" w14:paraId="0F7E6FDA" w14:textId="77777777" w:rsidTr="00504F41">
        <w:trPr>
          <w:trHeight w:val="315"/>
        </w:trPr>
        <w:tc>
          <w:tcPr>
            <w:tcW w:w="3220" w:type="dxa"/>
            <w:tcBorders>
              <w:top w:val="nil"/>
              <w:left w:val="nil"/>
              <w:bottom w:val="nil"/>
              <w:right w:val="nil"/>
            </w:tcBorders>
            <w:shd w:val="clear" w:color="auto" w:fill="auto"/>
            <w:noWrap/>
            <w:vAlign w:val="bottom"/>
            <w:hideMark/>
          </w:tcPr>
          <w:p w14:paraId="2C277543" w14:textId="77777777" w:rsidR="00D2431C" w:rsidRPr="00755411" w:rsidRDefault="00D2431C" w:rsidP="00504F41">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Student transport</w:t>
            </w:r>
          </w:p>
        </w:tc>
        <w:tc>
          <w:tcPr>
            <w:tcW w:w="640" w:type="dxa"/>
            <w:tcBorders>
              <w:top w:val="nil"/>
              <w:left w:val="nil"/>
              <w:bottom w:val="nil"/>
              <w:right w:val="nil"/>
            </w:tcBorders>
            <w:shd w:val="clear" w:color="auto" w:fill="auto"/>
            <w:noWrap/>
            <w:vAlign w:val="bottom"/>
            <w:hideMark/>
          </w:tcPr>
          <w:p w14:paraId="00CA56A6"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8</w:t>
            </w:r>
          </w:p>
        </w:tc>
        <w:tc>
          <w:tcPr>
            <w:tcW w:w="640" w:type="dxa"/>
            <w:tcBorders>
              <w:top w:val="nil"/>
              <w:left w:val="nil"/>
              <w:bottom w:val="nil"/>
              <w:right w:val="nil"/>
            </w:tcBorders>
            <w:shd w:val="clear" w:color="auto" w:fill="auto"/>
            <w:noWrap/>
            <w:vAlign w:val="bottom"/>
            <w:hideMark/>
          </w:tcPr>
          <w:p w14:paraId="6D6AC078"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-38</w:t>
            </w:r>
          </w:p>
        </w:tc>
        <w:tc>
          <w:tcPr>
            <w:tcW w:w="640" w:type="dxa"/>
            <w:tcBorders>
              <w:top w:val="nil"/>
              <w:left w:val="nil"/>
              <w:bottom w:val="nil"/>
              <w:right w:val="nil"/>
            </w:tcBorders>
            <w:shd w:val="clear" w:color="auto" w:fill="auto"/>
            <w:noWrap/>
            <w:vAlign w:val="bottom"/>
            <w:hideMark/>
          </w:tcPr>
          <w:p w14:paraId="3366B534"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17</w:t>
            </w:r>
          </w:p>
        </w:tc>
        <w:tc>
          <w:tcPr>
            <w:tcW w:w="640" w:type="dxa"/>
            <w:tcBorders>
              <w:top w:val="nil"/>
              <w:left w:val="nil"/>
              <w:bottom w:val="nil"/>
              <w:right w:val="nil"/>
            </w:tcBorders>
            <w:shd w:val="clear" w:color="auto" w:fill="auto"/>
            <w:noWrap/>
            <w:vAlign w:val="bottom"/>
            <w:hideMark/>
          </w:tcPr>
          <w:p w14:paraId="064269C8"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-9</w:t>
            </w:r>
          </w:p>
        </w:tc>
        <w:tc>
          <w:tcPr>
            <w:tcW w:w="640" w:type="dxa"/>
            <w:tcBorders>
              <w:top w:val="nil"/>
              <w:left w:val="nil"/>
              <w:bottom w:val="nil"/>
              <w:right w:val="nil"/>
            </w:tcBorders>
            <w:shd w:val="clear" w:color="auto" w:fill="auto"/>
            <w:noWrap/>
            <w:vAlign w:val="bottom"/>
            <w:hideMark/>
          </w:tcPr>
          <w:p w14:paraId="3CE0C19F"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14</w:t>
            </w:r>
          </w:p>
        </w:tc>
        <w:tc>
          <w:tcPr>
            <w:tcW w:w="640" w:type="dxa"/>
            <w:tcBorders>
              <w:top w:val="nil"/>
              <w:left w:val="nil"/>
              <w:bottom w:val="nil"/>
              <w:right w:val="nil"/>
            </w:tcBorders>
            <w:shd w:val="clear" w:color="auto" w:fill="auto"/>
            <w:noWrap/>
            <w:vAlign w:val="bottom"/>
            <w:hideMark/>
          </w:tcPr>
          <w:p w14:paraId="1570D1CC"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10</w:t>
            </w:r>
          </w:p>
        </w:tc>
        <w:tc>
          <w:tcPr>
            <w:tcW w:w="640" w:type="dxa"/>
            <w:tcBorders>
              <w:top w:val="nil"/>
              <w:left w:val="nil"/>
              <w:bottom w:val="nil"/>
              <w:right w:val="nil"/>
            </w:tcBorders>
            <w:shd w:val="clear" w:color="auto" w:fill="auto"/>
            <w:noWrap/>
            <w:vAlign w:val="bottom"/>
            <w:hideMark/>
          </w:tcPr>
          <w:p w14:paraId="242D3B34"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-8</w:t>
            </w:r>
          </w:p>
        </w:tc>
        <w:tc>
          <w:tcPr>
            <w:tcW w:w="640" w:type="dxa"/>
            <w:tcBorders>
              <w:top w:val="nil"/>
              <w:left w:val="nil"/>
              <w:bottom w:val="nil"/>
              <w:right w:val="nil"/>
            </w:tcBorders>
            <w:shd w:val="clear" w:color="auto" w:fill="auto"/>
            <w:noWrap/>
            <w:vAlign w:val="bottom"/>
            <w:hideMark/>
          </w:tcPr>
          <w:p w14:paraId="7645074A"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6</w:t>
            </w:r>
          </w:p>
        </w:tc>
        <w:tc>
          <w:tcPr>
            <w:tcW w:w="721" w:type="dxa"/>
            <w:tcBorders>
              <w:top w:val="nil"/>
              <w:left w:val="nil"/>
              <w:bottom w:val="nil"/>
              <w:right w:val="nil"/>
            </w:tcBorders>
            <w:shd w:val="clear" w:color="auto" w:fill="auto"/>
            <w:vAlign w:val="bottom"/>
            <w:hideMark/>
          </w:tcPr>
          <w:p w14:paraId="51359413"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55</w:t>
            </w:r>
          </w:p>
        </w:tc>
      </w:tr>
      <w:tr w:rsidR="00D2431C" w:rsidRPr="00755411" w14:paraId="3DA15C12" w14:textId="77777777" w:rsidTr="00504F41">
        <w:trPr>
          <w:trHeight w:val="315"/>
        </w:trPr>
        <w:tc>
          <w:tcPr>
            <w:tcW w:w="3220" w:type="dxa"/>
            <w:tcBorders>
              <w:top w:val="nil"/>
              <w:left w:val="nil"/>
              <w:bottom w:val="nil"/>
              <w:right w:val="nil"/>
            </w:tcBorders>
            <w:shd w:val="clear" w:color="auto" w:fill="auto"/>
            <w:noWrap/>
            <w:vAlign w:val="bottom"/>
            <w:hideMark/>
          </w:tcPr>
          <w:p w14:paraId="0095B499" w14:textId="77777777" w:rsidR="00D2431C" w:rsidRPr="00755411" w:rsidRDefault="00D2431C" w:rsidP="00504F41">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Total</w:t>
            </w:r>
          </w:p>
        </w:tc>
        <w:tc>
          <w:tcPr>
            <w:tcW w:w="640" w:type="dxa"/>
            <w:tcBorders>
              <w:top w:val="single" w:sz="4" w:space="0" w:color="auto"/>
              <w:left w:val="nil"/>
              <w:bottom w:val="nil"/>
              <w:right w:val="nil"/>
            </w:tcBorders>
            <w:shd w:val="clear" w:color="auto" w:fill="auto"/>
            <w:noWrap/>
            <w:vAlign w:val="bottom"/>
            <w:hideMark/>
          </w:tcPr>
          <w:p w14:paraId="0A3E001E"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-441</w:t>
            </w:r>
          </w:p>
        </w:tc>
        <w:tc>
          <w:tcPr>
            <w:tcW w:w="640" w:type="dxa"/>
            <w:tcBorders>
              <w:top w:val="single" w:sz="4" w:space="0" w:color="auto"/>
              <w:left w:val="nil"/>
              <w:bottom w:val="nil"/>
              <w:right w:val="nil"/>
            </w:tcBorders>
            <w:shd w:val="clear" w:color="auto" w:fill="auto"/>
            <w:noWrap/>
            <w:vAlign w:val="bottom"/>
            <w:hideMark/>
          </w:tcPr>
          <w:p w14:paraId="07972AA9"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-859</w:t>
            </w:r>
          </w:p>
        </w:tc>
        <w:tc>
          <w:tcPr>
            <w:tcW w:w="640" w:type="dxa"/>
            <w:tcBorders>
              <w:top w:val="single" w:sz="4" w:space="0" w:color="auto"/>
              <w:left w:val="nil"/>
              <w:bottom w:val="nil"/>
              <w:right w:val="nil"/>
            </w:tcBorders>
            <w:shd w:val="clear" w:color="auto" w:fill="auto"/>
            <w:noWrap/>
            <w:vAlign w:val="bottom"/>
            <w:hideMark/>
          </w:tcPr>
          <w:p w14:paraId="4D4C575E"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677</w:t>
            </w:r>
          </w:p>
        </w:tc>
        <w:tc>
          <w:tcPr>
            <w:tcW w:w="640" w:type="dxa"/>
            <w:tcBorders>
              <w:top w:val="single" w:sz="4" w:space="0" w:color="auto"/>
              <w:left w:val="nil"/>
              <w:bottom w:val="nil"/>
              <w:right w:val="nil"/>
            </w:tcBorders>
            <w:shd w:val="clear" w:color="auto" w:fill="auto"/>
            <w:noWrap/>
            <w:vAlign w:val="bottom"/>
            <w:hideMark/>
          </w:tcPr>
          <w:p w14:paraId="04C09BAA"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230</w:t>
            </w:r>
          </w:p>
        </w:tc>
        <w:tc>
          <w:tcPr>
            <w:tcW w:w="640" w:type="dxa"/>
            <w:tcBorders>
              <w:top w:val="single" w:sz="4" w:space="0" w:color="auto"/>
              <w:left w:val="nil"/>
              <w:bottom w:val="nil"/>
              <w:right w:val="nil"/>
            </w:tcBorders>
            <w:shd w:val="clear" w:color="auto" w:fill="auto"/>
            <w:noWrap/>
            <w:vAlign w:val="bottom"/>
            <w:hideMark/>
          </w:tcPr>
          <w:p w14:paraId="6C2070C4"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35</w:t>
            </w:r>
          </w:p>
        </w:tc>
        <w:tc>
          <w:tcPr>
            <w:tcW w:w="640" w:type="dxa"/>
            <w:tcBorders>
              <w:top w:val="single" w:sz="4" w:space="0" w:color="auto"/>
              <w:left w:val="nil"/>
              <w:bottom w:val="nil"/>
              <w:right w:val="nil"/>
            </w:tcBorders>
            <w:shd w:val="clear" w:color="auto" w:fill="auto"/>
            <w:noWrap/>
            <w:vAlign w:val="bottom"/>
            <w:hideMark/>
          </w:tcPr>
          <w:p w14:paraId="33930F42"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68</w:t>
            </w:r>
          </w:p>
        </w:tc>
        <w:tc>
          <w:tcPr>
            <w:tcW w:w="640" w:type="dxa"/>
            <w:tcBorders>
              <w:top w:val="single" w:sz="4" w:space="0" w:color="auto"/>
              <w:left w:val="nil"/>
              <w:bottom w:val="nil"/>
              <w:right w:val="nil"/>
            </w:tcBorders>
            <w:shd w:val="clear" w:color="auto" w:fill="auto"/>
            <w:noWrap/>
            <w:vAlign w:val="bottom"/>
            <w:hideMark/>
          </w:tcPr>
          <w:p w14:paraId="2BBD1ACA"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-41</w:t>
            </w:r>
          </w:p>
        </w:tc>
        <w:tc>
          <w:tcPr>
            <w:tcW w:w="640" w:type="dxa"/>
            <w:tcBorders>
              <w:top w:val="single" w:sz="4" w:space="0" w:color="auto"/>
              <w:left w:val="nil"/>
              <w:bottom w:val="nil"/>
              <w:right w:val="nil"/>
            </w:tcBorders>
            <w:shd w:val="clear" w:color="auto" w:fill="auto"/>
            <w:noWrap/>
            <w:vAlign w:val="bottom"/>
            <w:hideMark/>
          </w:tcPr>
          <w:p w14:paraId="10B9799F"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330</w:t>
            </w:r>
          </w:p>
        </w:tc>
        <w:tc>
          <w:tcPr>
            <w:tcW w:w="721" w:type="dxa"/>
            <w:tcBorders>
              <w:top w:val="single" w:sz="4" w:space="0" w:color="auto"/>
              <w:left w:val="nil"/>
              <w:bottom w:val="nil"/>
              <w:right w:val="nil"/>
            </w:tcBorders>
            <w:shd w:val="clear" w:color="auto" w:fill="auto"/>
            <w:noWrap/>
            <w:vAlign w:val="bottom"/>
            <w:hideMark/>
          </w:tcPr>
          <w:p w14:paraId="367B921E"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1 340</w:t>
            </w:r>
          </w:p>
        </w:tc>
      </w:tr>
      <w:tr w:rsidR="00D2431C" w:rsidRPr="00755411" w14:paraId="42946DB2" w14:textId="77777777" w:rsidTr="00504F41">
        <w:trPr>
          <w:trHeight w:val="315"/>
        </w:trPr>
        <w:tc>
          <w:tcPr>
            <w:tcW w:w="3220" w:type="dxa"/>
            <w:tcBorders>
              <w:top w:val="nil"/>
              <w:left w:val="nil"/>
              <w:bottom w:val="single" w:sz="4" w:space="0" w:color="auto"/>
              <w:right w:val="nil"/>
            </w:tcBorders>
            <w:shd w:val="clear" w:color="auto" w:fill="auto"/>
            <w:noWrap/>
            <w:vAlign w:val="bottom"/>
            <w:hideMark/>
          </w:tcPr>
          <w:p w14:paraId="7255E9D7" w14:textId="77777777" w:rsidR="00D2431C" w:rsidRPr="00755411" w:rsidRDefault="00D2431C" w:rsidP="00504F41">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Total effective (a)</w:t>
            </w:r>
          </w:p>
        </w:tc>
        <w:tc>
          <w:tcPr>
            <w:tcW w:w="640" w:type="dxa"/>
            <w:tcBorders>
              <w:top w:val="nil"/>
              <w:left w:val="nil"/>
              <w:bottom w:val="single" w:sz="4" w:space="0" w:color="auto"/>
              <w:right w:val="nil"/>
            </w:tcBorders>
            <w:shd w:val="clear" w:color="auto" w:fill="auto"/>
            <w:noWrap/>
            <w:vAlign w:val="bottom"/>
            <w:hideMark/>
          </w:tcPr>
          <w:p w14:paraId="64F8CBFF"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-316</w:t>
            </w:r>
          </w:p>
        </w:tc>
        <w:tc>
          <w:tcPr>
            <w:tcW w:w="640" w:type="dxa"/>
            <w:tcBorders>
              <w:top w:val="nil"/>
              <w:left w:val="nil"/>
              <w:bottom w:val="single" w:sz="4" w:space="0" w:color="auto"/>
              <w:right w:val="nil"/>
            </w:tcBorders>
            <w:shd w:val="clear" w:color="auto" w:fill="auto"/>
            <w:noWrap/>
            <w:vAlign w:val="bottom"/>
            <w:hideMark/>
          </w:tcPr>
          <w:p w14:paraId="37B6EF3F"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-934</w:t>
            </w:r>
          </w:p>
        </w:tc>
        <w:tc>
          <w:tcPr>
            <w:tcW w:w="640" w:type="dxa"/>
            <w:tcBorders>
              <w:top w:val="nil"/>
              <w:left w:val="nil"/>
              <w:bottom w:val="single" w:sz="4" w:space="0" w:color="auto"/>
              <w:right w:val="nil"/>
            </w:tcBorders>
            <w:shd w:val="clear" w:color="auto" w:fill="auto"/>
            <w:noWrap/>
            <w:vAlign w:val="bottom"/>
            <w:hideMark/>
          </w:tcPr>
          <w:p w14:paraId="0005162A"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641</w:t>
            </w:r>
          </w:p>
        </w:tc>
        <w:tc>
          <w:tcPr>
            <w:tcW w:w="640" w:type="dxa"/>
            <w:tcBorders>
              <w:top w:val="nil"/>
              <w:left w:val="nil"/>
              <w:bottom w:val="single" w:sz="4" w:space="0" w:color="auto"/>
              <w:right w:val="nil"/>
            </w:tcBorders>
            <w:shd w:val="clear" w:color="auto" w:fill="auto"/>
            <w:noWrap/>
            <w:vAlign w:val="bottom"/>
            <w:hideMark/>
          </w:tcPr>
          <w:p w14:paraId="5E2FE74D"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288</w:t>
            </w:r>
          </w:p>
        </w:tc>
        <w:tc>
          <w:tcPr>
            <w:tcW w:w="640" w:type="dxa"/>
            <w:tcBorders>
              <w:top w:val="nil"/>
              <w:left w:val="nil"/>
              <w:bottom w:val="single" w:sz="4" w:space="0" w:color="auto"/>
              <w:right w:val="nil"/>
            </w:tcBorders>
            <w:shd w:val="clear" w:color="auto" w:fill="auto"/>
            <w:noWrap/>
            <w:vAlign w:val="bottom"/>
            <w:hideMark/>
          </w:tcPr>
          <w:p w14:paraId="6EC96EF4"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14</w:t>
            </w:r>
          </w:p>
        </w:tc>
        <w:tc>
          <w:tcPr>
            <w:tcW w:w="640" w:type="dxa"/>
            <w:tcBorders>
              <w:top w:val="nil"/>
              <w:left w:val="nil"/>
              <w:bottom w:val="single" w:sz="4" w:space="0" w:color="auto"/>
              <w:right w:val="nil"/>
            </w:tcBorders>
            <w:shd w:val="clear" w:color="auto" w:fill="auto"/>
            <w:noWrap/>
            <w:vAlign w:val="bottom"/>
            <w:hideMark/>
          </w:tcPr>
          <w:p w14:paraId="40B2899E"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78</w:t>
            </w:r>
          </w:p>
        </w:tc>
        <w:tc>
          <w:tcPr>
            <w:tcW w:w="640" w:type="dxa"/>
            <w:tcBorders>
              <w:top w:val="nil"/>
              <w:left w:val="nil"/>
              <w:bottom w:val="single" w:sz="4" w:space="0" w:color="auto"/>
              <w:right w:val="nil"/>
            </w:tcBorders>
            <w:shd w:val="clear" w:color="auto" w:fill="auto"/>
            <w:noWrap/>
            <w:vAlign w:val="bottom"/>
            <w:hideMark/>
          </w:tcPr>
          <w:p w14:paraId="1C56395C"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-60</w:t>
            </w:r>
          </w:p>
        </w:tc>
        <w:tc>
          <w:tcPr>
            <w:tcW w:w="640" w:type="dxa"/>
            <w:tcBorders>
              <w:top w:val="nil"/>
              <w:left w:val="nil"/>
              <w:bottom w:val="single" w:sz="4" w:space="0" w:color="auto"/>
              <w:right w:val="nil"/>
            </w:tcBorders>
            <w:shd w:val="clear" w:color="auto" w:fill="auto"/>
            <w:noWrap/>
            <w:vAlign w:val="bottom"/>
            <w:hideMark/>
          </w:tcPr>
          <w:p w14:paraId="32E3326C"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290</w:t>
            </w:r>
          </w:p>
        </w:tc>
        <w:tc>
          <w:tcPr>
            <w:tcW w:w="721" w:type="dxa"/>
            <w:tcBorders>
              <w:top w:val="nil"/>
              <w:left w:val="nil"/>
              <w:bottom w:val="single" w:sz="4" w:space="0" w:color="auto"/>
              <w:right w:val="nil"/>
            </w:tcBorders>
            <w:shd w:val="clear" w:color="auto" w:fill="auto"/>
            <w:noWrap/>
            <w:vAlign w:val="bottom"/>
            <w:hideMark/>
          </w:tcPr>
          <w:p w14:paraId="51123552"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1 311</w:t>
            </w:r>
          </w:p>
        </w:tc>
      </w:tr>
      <w:tr w:rsidR="00D2431C" w:rsidRPr="00755411" w14:paraId="2C047DFE" w14:textId="77777777" w:rsidTr="00504F41">
        <w:trPr>
          <w:trHeight w:val="259"/>
        </w:trPr>
        <w:tc>
          <w:tcPr>
            <w:tcW w:w="3220" w:type="dxa"/>
            <w:tcBorders>
              <w:top w:val="nil"/>
              <w:left w:val="nil"/>
              <w:bottom w:val="nil"/>
              <w:right w:val="nil"/>
            </w:tcBorders>
            <w:shd w:val="clear" w:color="auto" w:fill="auto"/>
            <w:noWrap/>
            <w:vAlign w:val="bottom"/>
            <w:hideMark/>
          </w:tcPr>
          <w:p w14:paraId="53411683" w14:textId="77777777" w:rsidR="00D2431C" w:rsidRPr="00755411" w:rsidRDefault="00D2431C" w:rsidP="00504F41">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p>
        </w:tc>
        <w:tc>
          <w:tcPr>
            <w:tcW w:w="640" w:type="dxa"/>
            <w:tcBorders>
              <w:top w:val="nil"/>
              <w:left w:val="nil"/>
              <w:bottom w:val="nil"/>
              <w:right w:val="nil"/>
            </w:tcBorders>
            <w:shd w:val="clear" w:color="auto" w:fill="auto"/>
            <w:noWrap/>
            <w:vAlign w:val="bottom"/>
            <w:hideMark/>
          </w:tcPr>
          <w:p w14:paraId="0309790F"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$pc</w:t>
            </w:r>
          </w:p>
        </w:tc>
        <w:tc>
          <w:tcPr>
            <w:tcW w:w="640" w:type="dxa"/>
            <w:tcBorders>
              <w:top w:val="nil"/>
              <w:left w:val="nil"/>
              <w:bottom w:val="nil"/>
              <w:right w:val="nil"/>
            </w:tcBorders>
            <w:shd w:val="clear" w:color="auto" w:fill="auto"/>
            <w:noWrap/>
            <w:vAlign w:val="bottom"/>
            <w:hideMark/>
          </w:tcPr>
          <w:p w14:paraId="1D75E348"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$pc</w:t>
            </w:r>
          </w:p>
        </w:tc>
        <w:tc>
          <w:tcPr>
            <w:tcW w:w="640" w:type="dxa"/>
            <w:tcBorders>
              <w:top w:val="nil"/>
              <w:left w:val="nil"/>
              <w:bottom w:val="nil"/>
              <w:right w:val="nil"/>
            </w:tcBorders>
            <w:shd w:val="clear" w:color="auto" w:fill="auto"/>
            <w:noWrap/>
            <w:vAlign w:val="bottom"/>
            <w:hideMark/>
          </w:tcPr>
          <w:p w14:paraId="4E9D08CA"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$pc</w:t>
            </w:r>
          </w:p>
        </w:tc>
        <w:tc>
          <w:tcPr>
            <w:tcW w:w="640" w:type="dxa"/>
            <w:tcBorders>
              <w:top w:val="nil"/>
              <w:left w:val="nil"/>
              <w:bottom w:val="nil"/>
              <w:right w:val="nil"/>
            </w:tcBorders>
            <w:shd w:val="clear" w:color="auto" w:fill="auto"/>
            <w:noWrap/>
            <w:vAlign w:val="bottom"/>
            <w:hideMark/>
          </w:tcPr>
          <w:p w14:paraId="796710BC"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$pc</w:t>
            </w:r>
          </w:p>
        </w:tc>
        <w:tc>
          <w:tcPr>
            <w:tcW w:w="640" w:type="dxa"/>
            <w:tcBorders>
              <w:top w:val="nil"/>
              <w:left w:val="nil"/>
              <w:bottom w:val="nil"/>
              <w:right w:val="nil"/>
            </w:tcBorders>
            <w:shd w:val="clear" w:color="auto" w:fill="auto"/>
            <w:noWrap/>
            <w:vAlign w:val="bottom"/>
            <w:hideMark/>
          </w:tcPr>
          <w:p w14:paraId="01F9F6F5"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$pc</w:t>
            </w:r>
          </w:p>
        </w:tc>
        <w:tc>
          <w:tcPr>
            <w:tcW w:w="640" w:type="dxa"/>
            <w:tcBorders>
              <w:top w:val="nil"/>
              <w:left w:val="nil"/>
              <w:bottom w:val="nil"/>
              <w:right w:val="nil"/>
            </w:tcBorders>
            <w:shd w:val="clear" w:color="auto" w:fill="auto"/>
            <w:noWrap/>
            <w:vAlign w:val="bottom"/>
            <w:hideMark/>
          </w:tcPr>
          <w:p w14:paraId="6D83D5D0"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$pc</w:t>
            </w:r>
          </w:p>
        </w:tc>
        <w:tc>
          <w:tcPr>
            <w:tcW w:w="640" w:type="dxa"/>
            <w:tcBorders>
              <w:top w:val="nil"/>
              <w:left w:val="nil"/>
              <w:bottom w:val="nil"/>
              <w:right w:val="nil"/>
            </w:tcBorders>
            <w:shd w:val="clear" w:color="auto" w:fill="auto"/>
            <w:noWrap/>
            <w:vAlign w:val="bottom"/>
            <w:hideMark/>
          </w:tcPr>
          <w:p w14:paraId="75AE9156"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$pc</w:t>
            </w:r>
          </w:p>
        </w:tc>
        <w:tc>
          <w:tcPr>
            <w:tcW w:w="640" w:type="dxa"/>
            <w:tcBorders>
              <w:top w:val="nil"/>
              <w:left w:val="nil"/>
              <w:bottom w:val="nil"/>
              <w:right w:val="nil"/>
            </w:tcBorders>
            <w:shd w:val="clear" w:color="auto" w:fill="auto"/>
            <w:noWrap/>
            <w:vAlign w:val="bottom"/>
            <w:hideMark/>
          </w:tcPr>
          <w:p w14:paraId="450A7C10"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$pc</w:t>
            </w:r>
          </w:p>
        </w:tc>
        <w:tc>
          <w:tcPr>
            <w:tcW w:w="721" w:type="dxa"/>
            <w:tcBorders>
              <w:top w:val="nil"/>
              <w:left w:val="nil"/>
              <w:bottom w:val="nil"/>
              <w:right w:val="nil"/>
            </w:tcBorders>
            <w:shd w:val="clear" w:color="auto" w:fill="auto"/>
            <w:noWrap/>
            <w:vAlign w:val="bottom"/>
            <w:hideMark/>
          </w:tcPr>
          <w:p w14:paraId="3E465A57"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$pc</w:t>
            </w:r>
          </w:p>
        </w:tc>
      </w:tr>
      <w:tr w:rsidR="00D2431C" w:rsidRPr="00755411" w14:paraId="3444F678" w14:textId="77777777" w:rsidTr="00504F41">
        <w:trPr>
          <w:trHeight w:val="315"/>
        </w:trPr>
        <w:tc>
          <w:tcPr>
            <w:tcW w:w="3220" w:type="dxa"/>
            <w:tcBorders>
              <w:top w:val="nil"/>
              <w:left w:val="nil"/>
              <w:bottom w:val="nil"/>
              <w:right w:val="nil"/>
            </w:tcBorders>
            <w:shd w:val="clear" w:color="auto" w:fill="auto"/>
            <w:vAlign w:val="bottom"/>
            <w:hideMark/>
          </w:tcPr>
          <w:p w14:paraId="43625091" w14:textId="77777777" w:rsidR="00D2431C" w:rsidRPr="00755411" w:rsidRDefault="00D2431C" w:rsidP="00504F41">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State funded schools</w:t>
            </w:r>
          </w:p>
        </w:tc>
        <w:tc>
          <w:tcPr>
            <w:tcW w:w="640" w:type="dxa"/>
            <w:tcBorders>
              <w:top w:val="nil"/>
              <w:left w:val="nil"/>
              <w:bottom w:val="nil"/>
              <w:right w:val="nil"/>
            </w:tcBorders>
            <w:shd w:val="clear" w:color="auto" w:fill="auto"/>
            <w:vAlign w:val="bottom"/>
            <w:hideMark/>
          </w:tcPr>
          <w:p w14:paraId="2DB9959B"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-32</w:t>
            </w:r>
          </w:p>
        </w:tc>
        <w:tc>
          <w:tcPr>
            <w:tcW w:w="640" w:type="dxa"/>
            <w:tcBorders>
              <w:top w:val="nil"/>
              <w:left w:val="nil"/>
              <w:bottom w:val="nil"/>
              <w:right w:val="nil"/>
            </w:tcBorders>
            <w:shd w:val="clear" w:color="auto" w:fill="auto"/>
            <w:vAlign w:val="bottom"/>
            <w:hideMark/>
          </w:tcPr>
          <w:p w14:paraId="43AD275C"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-123</w:t>
            </w:r>
          </w:p>
        </w:tc>
        <w:tc>
          <w:tcPr>
            <w:tcW w:w="640" w:type="dxa"/>
            <w:tcBorders>
              <w:top w:val="nil"/>
              <w:left w:val="nil"/>
              <w:bottom w:val="nil"/>
              <w:right w:val="nil"/>
            </w:tcBorders>
            <w:shd w:val="clear" w:color="auto" w:fill="auto"/>
            <w:vAlign w:val="bottom"/>
            <w:hideMark/>
          </w:tcPr>
          <w:p w14:paraId="64CBDC45"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109</w:t>
            </w:r>
          </w:p>
        </w:tc>
        <w:tc>
          <w:tcPr>
            <w:tcW w:w="640" w:type="dxa"/>
            <w:tcBorders>
              <w:top w:val="nil"/>
              <w:left w:val="nil"/>
              <w:bottom w:val="nil"/>
              <w:right w:val="nil"/>
            </w:tcBorders>
            <w:shd w:val="clear" w:color="auto" w:fill="auto"/>
            <w:vAlign w:val="bottom"/>
            <w:hideMark/>
          </w:tcPr>
          <w:p w14:paraId="7BCE39D3"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80</w:t>
            </w:r>
          </w:p>
        </w:tc>
        <w:tc>
          <w:tcPr>
            <w:tcW w:w="640" w:type="dxa"/>
            <w:tcBorders>
              <w:top w:val="nil"/>
              <w:left w:val="nil"/>
              <w:bottom w:val="nil"/>
              <w:right w:val="nil"/>
            </w:tcBorders>
            <w:shd w:val="clear" w:color="auto" w:fill="auto"/>
            <w:vAlign w:val="bottom"/>
            <w:hideMark/>
          </w:tcPr>
          <w:p w14:paraId="318D5009"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6</w:t>
            </w:r>
          </w:p>
        </w:tc>
        <w:tc>
          <w:tcPr>
            <w:tcW w:w="640" w:type="dxa"/>
            <w:tcBorders>
              <w:top w:val="nil"/>
              <w:left w:val="nil"/>
              <w:bottom w:val="nil"/>
              <w:right w:val="nil"/>
            </w:tcBorders>
            <w:shd w:val="clear" w:color="auto" w:fill="auto"/>
            <w:vAlign w:val="bottom"/>
            <w:hideMark/>
          </w:tcPr>
          <w:p w14:paraId="154430D4"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108</w:t>
            </w:r>
          </w:p>
        </w:tc>
        <w:tc>
          <w:tcPr>
            <w:tcW w:w="640" w:type="dxa"/>
            <w:tcBorders>
              <w:top w:val="nil"/>
              <w:left w:val="nil"/>
              <w:bottom w:val="nil"/>
              <w:right w:val="nil"/>
            </w:tcBorders>
            <w:shd w:val="clear" w:color="auto" w:fill="auto"/>
            <w:vAlign w:val="bottom"/>
            <w:hideMark/>
          </w:tcPr>
          <w:p w14:paraId="7411FA65"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-109</w:t>
            </w:r>
          </w:p>
        </w:tc>
        <w:tc>
          <w:tcPr>
            <w:tcW w:w="640" w:type="dxa"/>
            <w:tcBorders>
              <w:top w:val="nil"/>
              <w:left w:val="nil"/>
              <w:bottom w:val="nil"/>
              <w:right w:val="nil"/>
            </w:tcBorders>
            <w:shd w:val="clear" w:color="auto" w:fill="auto"/>
            <w:vAlign w:val="bottom"/>
            <w:hideMark/>
          </w:tcPr>
          <w:p w14:paraId="70BFFC89"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940</w:t>
            </w:r>
          </w:p>
        </w:tc>
        <w:tc>
          <w:tcPr>
            <w:tcW w:w="721" w:type="dxa"/>
            <w:tcBorders>
              <w:top w:val="nil"/>
              <w:left w:val="nil"/>
              <w:bottom w:val="nil"/>
              <w:right w:val="nil"/>
            </w:tcBorders>
            <w:shd w:val="clear" w:color="auto" w:fill="auto"/>
            <w:vAlign w:val="bottom"/>
            <w:hideMark/>
          </w:tcPr>
          <w:p w14:paraId="1047F9C0"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43</w:t>
            </w:r>
          </w:p>
        </w:tc>
      </w:tr>
      <w:tr w:rsidR="00F20219" w:rsidRPr="00755411" w14:paraId="03C460A3" w14:textId="77777777" w:rsidTr="00504F41">
        <w:trPr>
          <w:trHeight w:val="315"/>
        </w:trPr>
        <w:tc>
          <w:tcPr>
            <w:tcW w:w="3220" w:type="dxa"/>
            <w:tcBorders>
              <w:top w:val="nil"/>
              <w:left w:val="nil"/>
              <w:bottom w:val="nil"/>
              <w:right w:val="nil"/>
            </w:tcBorders>
            <w:shd w:val="clear" w:color="auto" w:fill="auto"/>
            <w:vAlign w:val="bottom"/>
            <w:hideMark/>
          </w:tcPr>
          <w:p w14:paraId="54B02A84" w14:textId="12DE4FCC" w:rsidR="00F20219" w:rsidRPr="00755411" w:rsidRDefault="00F20219" w:rsidP="00F20219">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C</w:t>
            </w:r>
            <w:r>
              <w:rPr>
                <w:rFonts w:ascii="Calibri" w:eastAsia="Times New Roman" w:hAnsi="Calibri" w:cs="Times New Roman"/>
                <w:color w:val="000000"/>
                <w:sz w:val="20"/>
                <w:szCs w:val="20"/>
                <w:lang w:eastAsia="en-AU"/>
              </w:rPr>
              <w:t>ommon</w:t>
            </w:r>
            <w:r w:rsidRPr="00755411">
              <w:rPr>
                <w:rFonts w:ascii="Calibri" w:eastAsia="Times New Roman" w:hAnsi="Calibri" w:cs="Times New Roman"/>
                <w:color w:val="000000"/>
                <w:sz w:val="20"/>
                <w:szCs w:val="20"/>
                <w:lang w:eastAsia="en-AU"/>
              </w:rPr>
              <w:t>w</w:t>
            </w:r>
            <w:r>
              <w:rPr>
                <w:rFonts w:ascii="Calibri" w:eastAsia="Times New Roman" w:hAnsi="Calibri" w:cs="Times New Roman"/>
                <w:color w:val="000000"/>
                <w:sz w:val="20"/>
                <w:szCs w:val="20"/>
                <w:lang w:eastAsia="en-AU"/>
              </w:rPr>
              <w:t>ea</w:t>
            </w:r>
            <w:r w:rsidRPr="00755411">
              <w:rPr>
                <w:rFonts w:ascii="Calibri" w:eastAsia="Times New Roman" w:hAnsi="Calibri" w:cs="Times New Roman"/>
                <w:color w:val="000000"/>
                <w:sz w:val="20"/>
                <w:szCs w:val="20"/>
                <w:lang w:eastAsia="en-AU"/>
              </w:rPr>
              <w:t>lth funded govt</w:t>
            </w:r>
            <w:r>
              <w:rPr>
                <w:rFonts w:ascii="Calibri" w:eastAsia="Times New Roman" w:hAnsi="Calibri" w:cs="Times New Roman"/>
                <w:color w:val="000000"/>
                <w:sz w:val="20"/>
                <w:szCs w:val="20"/>
                <w:lang w:eastAsia="en-AU"/>
              </w:rPr>
              <w:t>.</w:t>
            </w:r>
            <w:r w:rsidRPr="00755411">
              <w:rPr>
                <w:rFonts w:ascii="Calibri" w:eastAsia="Times New Roman" w:hAnsi="Calibri" w:cs="Times New Roman"/>
                <w:color w:val="000000"/>
                <w:sz w:val="20"/>
                <w:szCs w:val="20"/>
                <w:lang w:eastAsia="en-AU"/>
              </w:rPr>
              <w:t xml:space="preserve"> schools</w:t>
            </w:r>
          </w:p>
        </w:tc>
        <w:tc>
          <w:tcPr>
            <w:tcW w:w="640" w:type="dxa"/>
            <w:tcBorders>
              <w:top w:val="nil"/>
              <w:left w:val="nil"/>
              <w:bottom w:val="nil"/>
              <w:right w:val="nil"/>
            </w:tcBorders>
            <w:shd w:val="clear" w:color="auto" w:fill="auto"/>
            <w:vAlign w:val="bottom"/>
            <w:hideMark/>
          </w:tcPr>
          <w:p w14:paraId="055BEA64" w14:textId="77777777" w:rsidR="00F20219" w:rsidRPr="00755411" w:rsidRDefault="00F20219" w:rsidP="00F2021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-10</w:t>
            </w:r>
          </w:p>
        </w:tc>
        <w:tc>
          <w:tcPr>
            <w:tcW w:w="640" w:type="dxa"/>
            <w:tcBorders>
              <w:top w:val="nil"/>
              <w:left w:val="nil"/>
              <w:bottom w:val="nil"/>
              <w:right w:val="nil"/>
            </w:tcBorders>
            <w:shd w:val="clear" w:color="auto" w:fill="auto"/>
            <w:vAlign w:val="bottom"/>
            <w:hideMark/>
          </w:tcPr>
          <w:p w14:paraId="323BA90A" w14:textId="77777777" w:rsidR="00F20219" w:rsidRPr="00755411" w:rsidRDefault="00F20219" w:rsidP="00F2021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-26</w:t>
            </w:r>
          </w:p>
        </w:tc>
        <w:tc>
          <w:tcPr>
            <w:tcW w:w="640" w:type="dxa"/>
            <w:tcBorders>
              <w:top w:val="nil"/>
              <w:left w:val="nil"/>
              <w:bottom w:val="nil"/>
              <w:right w:val="nil"/>
            </w:tcBorders>
            <w:shd w:val="clear" w:color="auto" w:fill="auto"/>
            <w:vAlign w:val="bottom"/>
            <w:hideMark/>
          </w:tcPr>
          <w:p w14:paraId="35D0ACA4" w14:textId="77777777" w:rsidR="00F20219" w:rsidRPr="00755411" w:rsidRDefault="00F20219" w:rsidP="00F2021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20</w:t>
            </w:r>
          </w:p>
        </w:tc>
        <w:tc>
          <w:tcPr>
            <w:tcW w:w="640" w:type="dxa"/>
            <w:tcBorders>
              <w:top w:val="nil"/>
              <w:left w:val="nil"/>
              <w:bottom w:val="nil"/>
              <w:right w:val="nil"/>
            </w:tcBorders>
            <w:shd w:val="clear" w:color="auto" w:fill="auto"/>
            <w:vAlign w:val="bottom"/>
            <w:hideMark/>
          </w:tcPr>
          <w:p w14:paraId="217BD869" w14:textId="77777777" w:rsidR="00F20219" w:rsidRPr="00755411" w:rsidRDefault="00F20219" w:rsidP="00F2021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34</w:t>
            </w:r>
          </w:p>
        </w:tc>
        <w:tc>
          <w:tcPr>
            <w:tcW w:w="640" w:type="dxa"/>
            <w:tcBorders>
              <w:top w:val="nil"/>
              <w:left w:val="nil"/>
              <w:bottom w:val="nil"/>
              <w:right w:val="nil"/>
            </w:tcBorders>
            <w:shd w:val="clear" w:color="auto" w:fill="auto"/>
            <w:vAlign w:val="bottom"/>
            <w:hideMark/>
          </w:tcPr>
          <w:p w14:paraId="2729FCE7" w14:textId="77777777" w:rsidR="00F20219" w:rsidRPr="00755411" w:rsidRDefault="00F20219" w:rsidP="00F2021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-6</w:t>
            </w:r>
          </w:p>
        </w:tc>
        <w:tc>
          <w:tcPr>
            <w:tcW w:w="640" w:type="dxa"/>
            <w:tcBorders>
              <w:top w:val="nil"/>
              <w:left w:val="nil"/>
              <w:bottom w:val="nil"/>
              <w:right w:val="nil"/>
            </w:tcBorders>
            <w:shd w:val="clear" w:color="auto" w:fill="auto"/>
            <w:vAlign w:val="bottom"/>
            <w:hideMark/>
          </w:tcPr>
          <w:p w14:paraId="10D7EBB5" w14:textId="77777777" w:rsidR="00F20219" w:rsidRPr="00755411" w:rsidRDefault="00F20219" w:rsidP="00F2021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23</w:t>
            </w:r>
          </w:p>
        </w:tc>
        <w:tc>
          <w:tcPr>
            <w:tcW w:w="640" w:type="dxa"/>
            <w:tcBorders>
              <w:top w:val="nil"/>
              <w:left w:val="nil"/>
              <w:bottom w:val="nil"/>
              <w:right w:val="nil"/>
            </w:tcBorders>
            <w:shd w:val="clear" w:color="auto" w:fill="auto"/>
            <w:vAlign w:val="bottom"/>
            <w:hideMark/>
          </w:tcPr>
          <w:p w14:paraId="467A44A9" w14:textId="77777777" w:rsidR="00F20219" w:rsidRPr="00755411" w:rsidRDefault="00F20219" w:rsidP="00F2021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-26</w:t>
            </w:r>
          </w:p>
        </w:tc>
        <w:tc>
          <w:tcPr>
            <w:tcW w:w="640" w:type="dxa"/>
            <w:tcBorders>
              <w:top w:val="nil"/>
              <w:left w:val="nil"/>
              <w:bottom w:val="nil"/>
              <w:right w:val="nil"/>
            </w:tcBorders>
            <w:shd w:val="clear" w:color="auto" w:fill="auto"/>
            <w:vAlign w:val="bottom"/>
            <w:hideMark/>
          </w:tcPr>
          <w:p w14:paraId="5BA8F34A" w14:textId="77777777" w:rsidR="00F20219" w:rsidRPr="00755411" w:rsidRDefault="00F20219" w:rsidP="00F2021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226</w:t>
            </w:r>
          </w:p>
        </w:tc>
        <w:tc>
          <w:tcPr>
            <w:tcW w:w="721" w:type="dxa"/>
            <w:tcBorders>
              <w:top w:val="nil"/>
              <w:left w:val="nil"/>
              <w:bottom w:val="nil"/>
              <w:right w:val="nil"/>
            </w:tcBorders>
            <w:shd w:val="clear" w:color="auto" w:fill="auto"/>
            <w:vAlign w:val="bottom"/>
            <w:hideMark/>
          </w:tcPr>
          <w:p w14:paraId="7B8A4D4C" w14:textId="77777777" w:rsidR="00F20219" w:rsidRPr="00755411" w:rsidRDefault="00F20219" w:rsidP="00F2021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11</w:t>
            </w:r>
          </w:p>
        </w:tc>
      </w:tr>
      <w:tr w:rsidR="00F20219" w:rsidRPr="00755411" w14:paraId="1C5F0159" w14:textId="77777777" w:rsidTr="00504F41">
        <w:trPr>
          <w:trHeight w:val="315"/>
        </w:trPr>
        <w:tc>
          <w:tcPr>
            <w:tcW w:w="3220" w:type="dxa"/>
            <w:tcBorders>
              <w:top w:val="nil"/>
              <w:left w:val="nil"/>
              <w:bottom w:val="nil"/>
              <w:right w:val="nil"/>
            </w:tcBorders>
            <w:shd w:val="clear" w:color="auto" w:fill="auto"/>
            <w:vAlign w:val="bottom"/>
            <w:hideMark/>
          </w:tcPr>
          <w:p w14:paraId="1FBC02CA" w14:textId="4BF1F662" w:rsidR="00F20219" w:rsidRPr="00755411" w:rsidRDefault="00F20219" w:rsidP="00F20219">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C</w:t>
            </w:r>
            <w:r>
              <w:rPr>
                <w:rFonts w:ascii="Calibri" w:eastAsia="Times New Roman" w:hAnsi="Calibri" w:cs="Times New Roman"/>
                <w:color w:val="000000"/>
                <w:sz w:val="20"/>
                <w:szCs w:val="20"/>
                <w:lang w:eastAsia="en-AU"/>
              </w:rPr>
              <w:t>ommon</w:t>
            </w:r>
            <w:r w:rsidRPr="00755411">
              <w:rPr>
                <w:rFonts w:ascii="Calibri" w:eastAsia="Times New Roman" w:hAnsi="Calibri" w:cs="Times New Roman"/>
                <w:color w:val="000000"/>
                <w:sz w:val="20"/>
                <w:szCs w:val="20"/>
                <w:lang w:eastAsia="en-AU"/>
              </w:rPr>
              <w:t>w</w:t>
            </w:r>
            <w:r>
              <w:rPr>
                <w:rFonts w:ascii="Calibri" w:eastAsia="Times New Roman" w:hAnsi="Calibri" w:cs="Times New Roman"/>
                <w:color w:val="000000"/>
                <w:sz w:val="20"/>
                <w:szCs w:val="20"/>
                <w:lang w:eastAsia="en-AU"/>
              </w:rPr>
              <w:t>ea</w:t>
            </w:r>
            <w:r w:rsidRPr="00755411">
              <w:rPr>
                <w:rFonts w:ascii="Calibri" w:eastAsia="Times New Roman" w:hAnsi="Calibri" w:cs="Times New Roman"/>
                <w:color w:val="000000"/>
                <w:sz w:val="20"/>
                <w:szCs w:val="20"/>
                <w:lang w:eastAsia="en-AU"/>
              </w:rPr>
              <w:t>lth funded non-gov't</w:t>
            </w:r>
            <w:r>
              <w:rPr>
                <w:rFonts w:ascii="Calibri" w:eastAsia="Times New Roman" w:hAnsi="Calibri" w:cs="Times New Roman"/>
                <w:color w:val="000000"/>
                <w:sz w:val="20"/>
                <w:szCs w:val="20"/>
                <w:lang w:eastAsia="en-AU"/>
              </w:rPr>
              <w:t>.</w:t>
            </w:r>
            <w:r w:rsidRPr="00755411">
              <w:rPr>
                <w:rFonts w:ascii="Calibri" w:eastAsia="Times New Roman" w:hAnsi="Calibri" w:cs="Times New Roman"/>
                <w:color w:val="000000"/>
                <w:sz w:val="20"/>
                <w:szCs w:val="20"/>
                <w:lang w:eastAsia="en-AU"/>
              </w:rPr>
              <w:t xml:space="preserve"> sch</w:t>
            </w:r>
            <w:r>
              <w:rPr>
                <w:rFonts w:ascii="Calibri" w:eastAsia="Times New Roman" w:hAnsi="Calibri" w:cs="Times New Roman"/>
                <w:color w:val="000000"/>
                <w:sz w:val="20"/>
                <w:szCs w:val="20"/>
                <w:lang w:eastAsia="en-AU"/>
              </w:rPr>
              <w:t>ools</w:t>
            </w:r>
            <w:r w:rsidRPr="00755411">
              <w:rPr>
                <w:rFonts w:ascii="Calibri" w:eastAsia="Times New Roman" w:hAnsi="Calibri" w:cs="Times New Roman"/>
                <w:color w:val="000000"/>
                <w:sz w:val="20"/>
                <w:szCs w:val="20"/>
                <w:lang w:eastAsia="en-AU"/>
              </w:rPr>
              <w:t xml:space="preserve"> (a)</w:t>
            </w:r>
          </w:p>
        </w:tc>
        <w:tc>
          <w:tcPr>
            <w:tcW w:w="640" w:type="dxa"/>
            <w:tcBorders>
              <w:top w:val="nil"/>
              <w:left w:val="nil"/>
              <w:bottom w:val="nil"/>
              <w:right w:val="nil"/>
            </w:tcBorders>
            <w:shd w:val="clear" w:color="auto" w:fill="auto"/>
            <w:vAlign w:val="bottom"/>
            <w:hideMark/>
          </w:tcPr>
          <w:p w14:paraId="0AC3D45B" w14:textId="77777777" w:rsidR="00F20219" w:rsidRPr="00755411" w:rsidRDefault="00F20219" w:rsidP="00F2021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-16</w:t>
            </w:r>
          </w:p>
        </w:tc>
        <w:tc>
          <w:tcPr>
            <w:tcW w:w="640" w:type="dxa"/>
            <w:tcBorders>
              <w:top w:val="nil"/>
              <w:left w:val="nil"/>
              <w:bottom w:val="nil"/>
              <w:right w:val="nil"/>
            </w:tcBorders>
            <w:shd w:val="clear" w:color="auto" w:fill="auto"/>
            <w:vAlign w:val="bottom"/>
            <w:hideMark/>
          </w:tcPr>
          <w:p w14:paraId="15B659CA" w14:textId="77777777" w:rsidR="00F20219" w:rsidRPr="00755411" w:rsidRDefault="00F20219" w:rsidP="00F2021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13</w:t>
            </w:r>
          </w:p>
        </w:tc>
        <w:tc>
          <w:tcPr>
            <w:tcW w:w="640" w:type="dxa"/>
            <w:tcBorders>
              <w:top w:val="nil"/>
              <w:left w:val="nil"/>
              <w:bottom w:val="nil"/>
              <w:right w:val="nil"/>
            </w:tcBorders>
            <w:shd w:val="clear" w:color="auto" w:fill="auto"/>
            <w:vAlign w:val="bottom"/>
            <w:hideMark/>
          </w:tcPr>
          <w:p w14:paraId="0F9F4CBD" w14:textId="77777777" w:rsidR="00F20219" w:rsidRPr="00755411" w:rsidRDefault="00F20219" w:rsidP="00F2021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7</w:t>
            </w:r>
          </w:p>
        </w:tc>
        <w:tc>
          <w:tcPr>
            <w:tcW w:w="640" w:type="dxa"/>
            <w:tcBorders>
              <w:top w:val="nil"/>
              <w:left w:val="nil"/>
              <w:bottom w:val="nil"/>
              <w:right w:val="nil"/>
            </w:tcBorders>
            <w:shd w:val="clear" w:color="auto" w:fill="auto"/>
            <w:vAlign w:val="bottom"/>
            <w:hideMark/>
          </w:tcPr>
          <w:p w14:paraId="6D4FA488" w14:textId="77777777" w:rsidR="00F20219" w:rsidRPr="00755411" w:rsidRDefault="00F20219" w:rsidP="00F2021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-22</w:t>
            </w:r>
          </w:p>
        </w:tc>
        <w:tc>
          <w:tcPr>
            <w:tcW w:w="640" w:type="dxa"/>
            <w:tcBorders>
              <w:top w:val="nil"/>
              <w:left w:val="nil"/>
              <w:bottom w:val="nil"/>
              <w:right w:val="nil"/>
            </w:tcBorders>
            <w:shd w:val="clear" w:color="auto" w:fill="auto"/>
            <w:vAlign w:val="bottom"/>
            <w:hideMark/>
          </w:tcPr>
          <w:p w14:paraId="2367E640" w14:textId="77777777" w:rsidR="00F20219" w:rsidRPr="00755411" w:rsidRDefault="00F20219" w:rsidP="00F2021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12</w:t>
            </w:r>
          </w:p>
        </w:tc>
        <w:tc>
          <w:tcPr>
            <w:tcW w:w="640" w:type="dxa"/>
            <w:tcBorders>
              <w:top w:val="nil"/>
              <w:left w:val="nil"/>
              <w:bottom w:val="nil"/>
              <w:right w:val="nil"/>
            </w:tcBorders>
            <w:shd w:val="clear" w:color="auto" w:fill="auto"/>
            <w:vAlign w:val="bottom"/>
            <w:hideMark/>
          </w:tcPr>
          <w:p w14:paraId="63F8EE01" w14:textId="77777777" w:rsidR="00F20219" w:rsidRPr="00755411" w:rsidRDefault="00F20219" w:rsidP="00F2021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-18</w:t>
            </w:r>
          </w:p>
        </w:tc>
        <w:tc>
          <w:tcPr>
            <w:tcW w:w="640" w:type="dxa"/>
            <w:tcBorders>
              <w:top w:val="nil"/>
              <w:left w:val="nil"/>
              <w:bottom w:val="nil"/>
              <w:right w:val="nil"/>
            </w:tcBorders>
            <w:shd w:val="clear" w:color="auto" w:fill="auto"/>
            <w:vAlign w:val="bottom"/>
            <w:hideMark/>
          </w:tcPr>
          <w:p w14:paraId="5FCF8483" w14:textId="77777777" w:rsidR="00F20219" w:rsidRPr="00755411" w:rsidRDefault="00F20219" w:rsidP="00F2021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49</w:t>
            </w:r>
          </w:p>
        </w:tc>
        <w:tc>
          <w:tcPr>
            <w:tcW w:w="640" w:type="dxa"/>
            <w:tcBorders>
              <w:top w:val="nil"/>
              <w:left w:val="nil"/>
              <w:bottom w:val="nil"/>
              <w:right w:val="nil"/>
            </w:tcBorders>
            <w:shd w:val="clear" w:color="auto" w:fill="auto"/>
            <w:vAlign w:val="bottom"/>
            <w:hideMark/>
          </w:tcPr>
          <w:p w14:paraId="371B81DD" w14:textId="77777777" w:rsidR="00F20219" w:rsidRPr="00755411" w:rsidRDefault="00F20219" w:rsidP="00F2021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164</w:t>
            </w:r>
          </w:p>
        </w:tc>
        <w:tc>
          <w:tcPr>
            <w:tcW w:w="721" w:type="dxa"/>
            <w:tcBorders>
              <w:top w:val="nil"/>
              <w:left w:val="nil"/>
              <w:bottom w:val="nil"/>
              <w:right w:val="nil"/>
            </w:tcBorders>
            <w:shd w:val="clear" w:color="auto" w:fill="auto"/>
            <w:vAlign w:val="bottom"/>
            <w:hideMark/>
          </w:tcPr>
          <w:p w14:paraId="3551C0D2" w14:textId="77777777" w:rsidR="00F20219" w:rsidRPr="00755411" w:rsidRDefault="00F20219" w:rsidP="00F20219">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8</w:t>
            </w:r>
          </w:p>
        </w:tc>
      </w:tr>
      <w:tr w:rsidR="00D2431C" w:rsidRPr="00755411" w14:paraId="35876DCB" w14:textId="77777777" w:rsidTr="00504F41">
        <w:trPr>
          <w:trHeight w:val="315"/>
        </w:trPr>
        <w:tc>
          <w:tcPr>
            <w:tcW w:w="3220" w:type="dxa"/>
            <w:tcBorders>
              <w:top w:val="nil"/>
              <w:left w:val="nil"/>
              <w:bottom w:val="nil"/>
              <w:right w:val="nil"/>
            </w:tcBorders>
            <w:shd w:val="clear" w:color="auto" w:fill="auto"/>
            <w:noWrap/>
            <w:vAlign w:val="bottom"/>
            <w:hideMark/>
          </w:tcPr>
          <w:p w14:paraId="03C36AA2" w14:textId="77777777" w:rsidR="00D2431C" w:rsidRPr="00755411" w:rsidRDefault="00D2431C" w:rsidP="00504F41">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Student transport</w:t>
            </w:r>
          </w:p>
        </w:tc>
        <w:tc>
          <w:tcPr>
            <w:tcW w:w="640" w:type="dxa"/>
            <w:tcBorders>
              <w:top w:val="nil"/>
              <w:left w:val="nil"/>
              <w:bottom w:val="nil"/>
              <w:right w:val="nil"/>
            </w:tcBorders>
            <w:shd w:val="clear" w:color="auto" w:fill="auto"/>
            <w:noWrap/>
            <w:vAlign w:val="bottom"/>
            <w:hideMark/>
          </w:tcPr>
          <w:p w14:paraId="7ADE7E46"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w:t>
            </w:r>
          </w:p>
        </w:tc>
        <w:tc>
          <w:tcPr>
            <w:tcW w:w="640" w:type="dxa"/>
            <w:tcBorders>
              <w:top w:val="nil"/>
              <w:left w:val="nil"/>
              <w:bottom w:val="nil"/>
              <w:right w:val="nil"/>
            </w:tcBorders>
            <w:shd w:val="clear" w:color="auto" w:fill="auto"/>
            <w:noWrap/>
            <w:vAlign w:val="bottom"/>
            <w:hideMark/>
          </w:tcPr>
          <w:p w14:paraId="449F30D3"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-6</w:t>
            </w:r>
          </w:p>
        </w:tc>
        <w:tc>
          <w:tcPr>
            <w:tcW w:w="640" w:type="dxa"/>
            <w:tcBorders>
              <w:top w:val="nil"/>
              <w:left w:val="nil"/>
              <w:bottom w:val="nil"/>
              <w:right w:val="nil"/>
            </w:tcBorders>
            <w:shd w:val="clear" w:color="auto" w:fill="auto"/>
            <w:noWrap/>
            <w:vAlign w:val="bottom"/>
            <w:hideMark/>
          </w:tcPr>
          <w:p w14:paraId="2A20EFFC"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4</w:t>
            </w:r>
          </w:p>
        </w:tc>
        <w:tc>
          <w:tcPr>
            <w:tcW w:w="640" w:type="dxa"/>
            <w:tcBorders>
              <w:top w:val="nil"/>
              <w:left w:val="nil"/>
              <w:bottom w:val="nil"/>
              <w:right w:val="nil"/>
            </w:tcBorders>
            <w:shd w:val="clear" w:color="auto" w:fill="auto"/>
            <w:noWrap/>
            <w:vAlign w:val="bottom"/>
            <w:hideMark/>
          </w:tcPr>
          <w:p w14:paraId="4CA36E83"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-3</w:t>
            </w:r>
          </w:p>
        </w:tc>
        <w:tc>
          <w:tcPr>
            <w:tcW w:w="640" w:type="dxa"/>
            <w:tcBorders>
              <w:top w:val="nil"/>
              <w:left w:val="nil"/>
              <w:bottom w:val="nil"/>
              <w:right w:val="nil"/>
            </w:tcBorders>
            <w:shd w:val="clear" w:color="auto" w:fill="auto"/>
            <w:noWrap/>
            <w:vAlign w:val="bottom"/>
            <w:hideMark/>
          </w:tcPr>
          <w:p w14:paraId="34D37ADF"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8</w:t>
            </w:r>
          </w:p>
        </w:tc>
        <w:tc>
          <w:tcPr>
            <w:tcW w:w="640" w:type="dxa"/>
            <w:tcBorders>
              <w:top w:val="nil"/>
              <w:left w:val="nil"/>
              <w:bottom w:val="nil"/>
              <w:right w:val="nil"/>
            </w:tcBorders>
            <w:shd w:val="clear" w:color="auto" w:fill="auto"/>
            <w:noWrap/>
            <w:vAlign w:val="bottom"/>
            <w:hideMark/>
          </w:tcPr>
          <w:p w14:paraId="301D8A57"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19</w:t>
            </w:r>
          </w:p>
        </w:tc>
        <w:tc>
          <w:tcPr>
            <w:tcW w:w="640" w:type="dxa"/>
            <w:tcBorders>
              <w:top w:val="nil"/>
              <w:left w:val="nil"/>
              <w:bottom w:val="nil"/>
              <w:right w:val="nil"/>
            </w:tcBorders>
            <w:shd w:val="clear" w:color="auto" w:fill="auto"/>
            <w:noWrap/>
            <w:vAlign w:val="bottom"/>
            <w:hideMark/>
          </w:tcPr>
          <w:p w14:paraId="7850F076"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-19</w:t>
            </w:r>
          </w:p>
        </w:tc>
        <w:tc>
          <w:tcPr>
            <w:tcW w:w="640" w:type="dxa"/>
            <w:tcBorders>
              <w:top w:val="nil"/>
              <w:left w:val="nil"/>
              <w:bottom w:val="nil"/>
              <w:right w:val="nil"/>
            </w:tcBorders>
            <w:shd w:val="clear" w:color="auto" w:fill="auto"/>
            <w:noWrap/>
            <w:vAlign w:val="bottom"/>
            <w:hideMark/>
          </w:tcPr>
          <w:p w14:paraId="5425DC4C"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24</w:t>
            </w:r>
          </w:p>
        </w:tc>
        <w:tc>
          <w:tcPr>
            <w:tcW w:w="721" w:type="dxa"/>
            <w:tcBorders>
              <w:top w:val="nil"/>
              <w:left w:val="nil"/>
              <w:bottom w:val="nil"/>
              <w:right w:val="nil"/>
            </w:tcBorders>
            <w:shd w:val="clear" w:color="auto" w:fill="auto"/>
            <w:noWrap/>
            <w:vAlign w:val="bottom"/>
            <w:hideMark/>
          </w:tcPr>
          <w:p w14:paraId="4B812C25"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2</w:t>
            </w:r>
          </w:p>
        </w:tc>
      </w:tr>
      <w:tr w:rsidR="00D2431C" w:rsidRPr="00755411" w14:paraId="3AC986BE" w14:textId="77777777" w:rsidTr="00504F41">
        <w:trPr>
          <w:trHeight w:val="315"/>
        </w:trPr>
        <w:tc>
          <w:tcPr>
            <w:tcW w:w="3220" w:type="dxa"/>
            <w:tcBorders>
              <w:top w:val="nil"/>
              <w:left w:val="nil"/>
              <w:bottom w:val="nil"/>
              <w:right w:val="nil"/>
            </w:tcBorders>
            <w:shd w:val="clear" w:color="auto" w:fill="auto"/>
            <w:noWrap/>
            <w:vAlign w:val="bottom"/>
            <w:hideMark/>
          </w:tcPr>
          <w:p w14:paraId="278BE33C" w14:textId="77777777" w:rsidR="00D2431C" w:rsidRPr="00755411" w:rsidRDefault="00D2431C" w:rsidP="00504F41">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Total</w:t>
            </w:r>
          </w:p>
        </w:tc>
        <w:tc>
          <w:tcPr>
            <w:tcW w:w="640" w:type="dxa"/>
            <w:tcBorders>
              <w:top w:val="single" w:sz="4" w:space="0" w:color="auto"/>
              <w:left w:val="nil"/>
              <w:bottom w:val="nil"/>
              <w:right w:val="nil"/>
            </w:tcBorders>
            <w:shd w:val="clear" w:color="auto" w:fill="auto"/>
            <w:noWrap/>
            <w:vAlign w:val="bottom"/>
            <w:hideMark/>
          </w:tcPr>
          <w:p w14:paraId="3C992A25"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-57</w:t>
            </w:r>
          </w:p>
        </w:tc>
        <w:tc>
          <w:tcPr>
            <w:tcW w:w="640" w:type="dxa"/>
            <w:tcBorders>
              <w:top w:val="single" w:sz="4" w:space="0" w:color="auto"/>
              <w:left w:val="nil"/>
              <w:bottom w:val="nil"/>
              <w:right w:val="nil"/>
            </w:tcBorders>
            <w:shd w:val="clear" w:color="auto" w:fill="auto"/>
            <w:noWrap/>
            <w:vAlign w:val="bottom"/>
            <w:hideMark/>
          </w:tcPr>
          <w:p w14:paraId="5AF2B3DE"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-143</w:t>
            </w:r>
          </w:p>
        </w:tc>
        <w:tc>
          <w:tcPr>
            <w:tcW w:w="640" w:type="dxa"/>
            <w:tcBorders>
              <w:top w:val="single" w:sz="4" w:space="0" w:color="auto"/>
              <w:left w:val="nil"/>
              <w:bottom w:val="nil"/>
              <w:right w:val="nil"/>
            </w:tcBorders>
            <w:shd w:val="clear" w:color="auto" w:fill="auto"/>
            <w:noWrap/>
            <w:vAlign w:val="bottom"/>
            <w:hideMark/>
          </w:tcPr>
          <w:p w14:paraId="2BEB311A"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141</w:t>
            </w:r>
          </w:p>
        </w:tc>
        <w:tc>
          <w:tcPr>
            <w:tcW w:w="640" w:type="dxa"/>
            <w:tcBorders>
              <w:top w:val="single" w:sz="4" w:space="0" w:color="auto"/>
              <w:left w:val="nil"/>
              <w:bottom w:val="nil"/>
              <w:right w:val="nil"/>
            </w:tcBorders>
            <w:shd w:val="clear" w:color="auto" w:fill="auto"/>
            <w:noWrap/>
            <w:vAlign w:val="bottom"/>
            <w:hideMark/>
          </w:tcPr>
          <w:p w14:paraId="78C78A09"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89</w:t>
            </w:r>
          </w:p>
        </w:tc>
        <w:tc>
          <w:tcPr>
            <w:tcW w:w="640" w:type="dxa"/>
            <w:tcBorders>
              <w:top w:val="single" w:sz="4" w:space="0" w:color="auto"/>
              <w:left w:val="nil"/>
              <w:bottom w:val="nil"/>
              <w:right w:val="nil"/>
            </w:tcBorders>
            <w:shd w:val="clear" w:color="auto" w:fill="auto"/>
            <w:noWrap/>
            <w:vAlign w:val="bottom"/>
            <w:hideMark/>
          </w:tcPr>
          <w:p w14:paraId="1A076213"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20</w:t>
            </w:r>
          </w:p>
        </w:tc>
        <w:tc>
          <w:tcPr>
            <w:tcW w:w="640" w:type="dxa"/>
            <w:tcBorders>
              <w:top w:val="single" w:sz="4" w:space="0" w:color="auto"/>
              <w:left w:val="nil"/>
              <w:bottom w:val="nil"/>
              <w:right w:val="nil"/>
            </w:tcBorders>
            <w:shd w:val="clear" w:color="auto" w:fill="auto"/>
            <w:noWrap/>
            <w:vAlign w:val="bottom"/>
            <w:hideMark/>
          </w:tcPr>
          <w:p w14:paraId="284A2E79"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132</w:t>
            </w:r>
          </w:p>
        </w:tc>
        <w:tc>
          <w:tcPr>
            <w:tcW w:w="640" w:type="dxa"/>
            <w:tcBorders>
              <w:top w:val="single" w:sz="4" w:space="0" w:color="auto"/>
              <w:left w:val="nil"/>
              <w:bottom w:val="nil"/>
              <w:right w:val="nil"/>
            </w:tcBorders>
            <w:shd w:val="clear" w:color="auto" w:fill="auto"/>
            <w:noWrap/>
            <w:vAlign w:val="bottom"/>
            <w:hideMark/>
          </w:tcPr>
          <w:p w14:paraId="40E59AF1"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-104</w:t>
            </w:r>
          </w:p>
        </w:tc>
        <w:tc>
          <w:tcPr>
            <w:tcW w:w="640" w:type="dxa"/>
            <w:tcBorders>
              <w:top w:val="single" w:sz="4" w:space="0" w:color="auto"/>
              <w:left w:val="nil"/>
              <w:bottom w:val="nil"/>
              <w:right w:val="nil"/>
            </w:tcBorders>
            <w:shd w:val="clear" w:color="auto" w:fill="auto"/>
            <w:noWrap/>
            <w:vAlign w:val="bottom"/>
            <w:hideMark/>
          </w:tcPr>
          <w:p w14:paraId="4375F83A"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1 353</w:t>
            </w:r>
          </w:p>
        </w:tc>
        <w:tc>
          <w:tcPr>
            <w:tcW w:w="721" w:type="dxa"/>
            <w:tcBorders>
              <w:top w:val="single" w:sz="4" w:space="0" w:color="auto"/>
              <w:left w:val="nil"/>
              <w:bottom w:val="nil"/>
              <w:right w:val="nil"/>
            </w:tcBorders>
            <w:shd w:val="clear" w:color="auto" w:fill="auto"/>
            <w:noWrap/>
            <w:vAlign w:val="bottom"/>
            <w:hideMark/>
          </w:tcPr>
          <w:p w14:paraId="1FC09965"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 xml:space="preserve"> 56</w:t>
            </w:r>
          </w:p>
        </w:tc>
      </w:tr>
      <w:tr w:rsidR="00D2431C" w:rsidRPr="00755411" w14:paraId="7DA0C6AD" w14:textId="77777777" w:rsidTr="00504F41">
        <w:trPr>
          <w:trHeight w:val="315"/>
        </w:trPr>
        <w:tc>
          <w:tcPr>
            <w:tcW w:w="3220" w:type="dxa"/>
            <w:tcBorders>
              <w:top w:val="nil"/>
              <w:left w:val="nil"/>
              <w:bottom w:val="single" w:sz="4" w:space="0" w:color="auto"/>
              <w:right w:val="nil"/>
            </w:tcBorders>
            <w:shd w:val="clear" w:color="auto" w:fill="auto"/>
            <w:noWrap/>
            <w:vAlign w:val="bottom"/>
            <w:hideMark/>
          </w:tcPr>
          <w:p w14:paraId="6042F2B3" w14:textId="77777777" w:rsidR="00D2431C" w:rsidRPr="00755411" w:rsidRDefault="00D2431C" w:rsidP="00504F41">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Total effective (a)</w:t>
            </w:r>
          </w:p>
        </w:tc>
        <w:tc>
          <w:tcPr>
            <w:tcW w:w="640" w:type="dxa"/>
            <w:tcBorders>
              <w:top w:val="nil"/>
              <w:left w:val="nil"/>
              <w:bottom w:val="single" w:sz="4" w:space="0" w:color="auto"/>
              <w:right w:val="nil"/>
            </w:tcBorders>
            <w:shd w:val="clear" w:color="auto" w:fill="auto"/>
            <w:noWrap/>
            <w:vAlign w:val="bottom"/>
            <w:hideMark/>
          </w:tcPr>
          <w:p w14:paraId="0365A867"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-41</w:t>
            </w:r>
          </w:p>
        </w:tc>
        <w:tc>
          <w:tcPr>
            <w:tcW w:w="640" w:type="dxa"/>
            <w:tcBorders>
              <w:top w:val="nil"/>
              <w:left w:val="nil"/>
              <w:bottom w:val="single" w:sz="4" w:space="0" w:color="auto"/>
              <w:right w:val="nil"/>
            </w:tcBorders>
            <w:shd w:val="clear" w:color="auto" w:fill="auto"/>
            <w:noWrap/>
            <w:vAlign w:val="bottom"/>
            <w:hideMark/>
          </w:tcPr>
          <w:p w14:paraId="6DFA360E"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-156</w:t>
            </w:r>
          </w:p>
        </w:tc>
        <w:tc>
          <w:tcPr>
            <w:tcW w:w="640" w:type="dxa"/>
            <w:tcBorders>
              <w:top w:val="nil"/>
              <w:left w:val="nil"/>
              <w:bottom w:val="single" w:sz="4" w:space="0" w:color="auto"/>
              <w:right w:val="nil"/>
            </w:tcBorders>
            <w:shd w:val="clear" w:color="auto" w:fill="auto"/>
            <w:noWrap/>
            <w:vAlign w:val="bottom"/>
            <w:hideMark/>
          </w:tcPr>
          <w:p w14:paraId="32F8B198"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133</w:t>
            </w:r>
          </w:p>
        </w:tc>
        <w:tc>
          <w:tcPr>
            <w:tcW w:w="640" w:type="dxa"/>
            <w:tcBorders>
              <w:top w:val="nil"/>
              <w:left w:val="nil"/>
              <w:bottom w:val="single" w:sz="4" w:space="0" w:color="auto"/>
              <w:right w:val="nil"/>
            </w:tcBorders>
            <w:shd w:val="clear" w:color="auto" w:fill="auto"/>
            <w:noWrap/>
            <w:vAlign w:val="bottom"/>
            <w:hideMark/>
          </w:tcPr>
          <w:p w14:paraId="09C1ED76"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110</w:t>
            </w:r>
          </w:p>
        </w:tc>
        <w:tc>
          <w:tcPr>
            <w:tcW w:w="640" w:type="dxa"/>
            <w:tcBorders>
              <w:top w:val="nil"/>
              <w:left w:val="nil"/>
              <w:bottom w:val="single" w:sz="4" w:space="0" w:color="auto"/>
              <w:right w:val="nil"/>
            </w:tcBorders>
            <w:shd w:val="clear" w:color="auto" w:fill="auto"/>
            <w:noWrap/>
            <w:vAlign w:val="bottom"/>
            <w:hideMark/>
          </w:tcPr>
          <w:p w14:paraId="6FBF8827"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8</w:t>
            </w:r>
          </w:p>
        </w:tc>
        <w:tc>
          <w:tcPr>
            <w:tcW w:w="640" w:type="dxa"/>
            <w:tcBorders>
              <w:top w:val="nil"/>
              <w:left w:val="nil"/>
              <w:bottom w:val="single" w:sz="4" w:space="0" w:color="auto"/>
              <w:right w:val="nil"/>
            </w:tcBorders>
            <w:shd w:val="clear" w:color="auto" w:fill="auto"/>
            <w:noWrap/>
            <w:vAlign w:val="bottom"/>
            <w:hideMark/>
          </w:tcPr>
          <w:p w14:paraId="21D73A87"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150</w:t>
            </w:r>
          </w:p>
        </w:tc>
        <w:tc>
          <w:tcPr>
            <w:tcW w:w="640" w:type="dxa"/>
            <w:tcBorders>
              <w:top w:val="nil"/>
              <w:left w:val="nil"/>
              <w:bottom w:val="single" w:sz="4" w:space="0" w:color="auto"/>
              <w:right w:val="nil"/>
            </w:tcBorders>
            <w:shd w:val="clear" w:color="auto" w:fill="auto"/>
            <w:noWrap/>
            <w:vAlign w:val="bottom"/>
            <w:hideMark/>
          </w:tcPr>
          <w:p w14:paraId="58ED1858"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-154</w:t>
            </w:r>
          </w:p>
        </w:tc>
        <w:tc>
          <w:tcPr>
            <w:tcW w:w="640" w:type="dxa"/>
            <w:tcBorders>
              <w:top w:val="nil"/>
              <w:left w:val="nil"/>
              <w:bottom w:val="single" w:sz="4" w:space="0" w:color="auto"/>
              <w:right w:val="nil"/>
            </w:tcBorders>
            <w:shd w:val="clear" w:color="auto" w:fill="auto"/>
            <w:noWrap/>
            <w:vAlign w:val="bottom"/>
            <w:hideMark/>
          </w:tcPr>
          <w:p w14:paraId="1ACBD6DD"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1 190</w:t>
            </w:r>
          </w:p>
        </w:tc>
        <w:tc>
          <w:tcPr>
            <w:tcW w:w="721" w:type="dxa"/>
            <w:tcBorders>
              <w:top w:val="nil"/>
              <w:left w:val="nil"/>
              <w:bottom w:val="single" w:sz="4" w:space="0" w:color="auto"/>
              <w:right w:val="nil"/>
            </w:tcBorders>
            <w:shd w:val="clear" w:color="auto" w:fill="auto"/>
            <w:noWrap/>
            <w:vAlign w:val="bottom"/>
            <w:hideMark/>
          </w:tcPr>
          <w:p w14:paraId="18FEAF88" w14:textId="77777777" w:rsidR="00D2431C" w:rsidRPr="00755411" w:rsidRDefault="00D2431C"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755411">
              <w:rPr>
                <w:rFonts w:ascii="Calibri" w:eastAsia="Times New Roman" w:hAnsi="Calibri" w:cs="Times New Roman"/>
                <w:color w:val="000000"/>
                <w:sz w:val="20"/>
                <w:szCs w:val="20"/>
                <w:lang w:eastAsia="en-AU"/>
              </w:rPr>
              <w:t>55</w:t>
            </w:r>
          </w:p>
        </w:tc>
      </w:tr>
    </w:tbl>
    <w:p w14:paraId="1BF2C59F" w14:textId="20940FE2" w:rsidR="00D2431C" w:rsidRDefault="00D2431C" w:rsidP="00D2431C">
      <w:pPr>
        <w:pStyle w:val="CGCTableFootnote"/>
      </w:pPr>
      <w:r>
        <w:t>(a)</w:t>
      </w:r>
      <w:r>
        <w:tab/>
        <w:t>While Commonwealth funded non-government school expenses have an effect on the GST, the associated payment has a perfectly offsetting effect. The total effective row, ther</w:t>
      </w:r>
      <w:r w:rsidR="00F20219">
        <w:t>efore, shows the impact of the S</w:t>
      </w:r>
      <w:r>
        <w:t>chools assessment excluding this component.</w:t>
      </w:r>
    </w:p>
    <w:p w14:paraId="4B943875" w14:textId="64D16E4A" w:rsidR="00D2431C" w:rsidRDefault="00D2431C" w:rsidP="00D2431C">
      <w:pPr>
        <w:pStyle w:val="CGCTableFootnote"/>
      </w:pPr>
      <w:r>
        <w:t xml:space="preserve">Source: </w:t>
      </w:r>
      <w:r>
        <w:tab/>
        <w:t>Commission calculation.</w:t>
      </w:r>
    </w:p>
    <w:p w14:paraId="03C97AC2" w14:textId="77777777" w:rsidR="00F83306" w:rsidRDefault="00F83306" w:rsidP="00F83306">
      <w:pPr>
        <w:pStyle w:val="Heading3"/>
      </w:pPr>
      <w:bookmarkStart w:id="37" w:name="_Toc509318782"/>
      <w:bookmarkStart w:id="38" w:name="_Toc511744907"/>
      <w:r>
        <w:lastRenderedPageBreak/>
        <w:t>ISSUES AND ANALYSIS</w:t>
      </w:r>
      <w:bookmarkEnd w:id="37"/>
      <w:bookmarkEnd w:id="38"/>
    </w:p>
    <w:p w14:paraId="58DCB30D" w14:textId="723A8692" w:rsidR="00DD2EBF" w:rsidRDefault="00D7668F" w:rsidP="0004552F">
      <w:pPr>
        <w:pStyle w:val="CGCNumberedPara"/>
        <w:numPr>
          <w:ilvl w:val="1"/>
          <w:numId w:val="3"/>
        </w:numPr>
      </w:pPr>
      <w:r>
        <w:t xml:space="preserve">Staff consider that the School education assessment is relatively mature and reliable. However, detailed work on the specification of the regression model used to estimate cost weights suggest that a change in specification of the model can result in a more reliable estimation of the costs of different student population groups. </w:t>
      </w:r>
    </w:p>
    <w:p w14:paraId="15002B95" w14:textId="15E50201" w:rsidR="00773FEE" w:rsidRDefault="00DD2EBF" w:rsidP="00AB70B0">
      <w:pPr>
        <w:pStyle w:val="CGCNumberedPara"/>
        <w:numPr>
          <w:ilvl w:val="1"/>
          <w:numId w:val="3"/>
        </w:numPr>
      </w:pPr>
      <w:r>
        <w:t xml:space="preserve">The review of model specification </w:t>
      </w:r>
      <w:r w:rsidR="00773FEE">
        <w:t xml:space="preserve">can </w:t>
      </w:r>
      <w:r>
        <w:t>be done alongside a review of the data the model is based on</w:t>
      </w:r>
      <w:r w:rsidR="00773FEE">
        <w:t>. New d</w:t>
      </w:r>
      <w:r>
        <w:t>ata from the Department of Education and Training</w:t>
      </w:r>
      <w:r w:rsidR="00773FEE">
        <w:t xml:space="preserve"> </w:t>
      </w:r>
      <w:r w:rsidR="00AB70B0">
        <w:t xml:space="preserve">that </w:t>
      </w:r>
      <w:r w:rsidR="00773FEE">
        <w:t xml:space="preserve">can be used to calculate allocated </w:t>
      </w:r>
      <w:r>
        <w:t>funding</w:t>
      </w:r>
      <w:r w:rsidR="00AB70B0">
        <w:t>,</w:t>
      </w:r>
      <w:r>
        <w:t xml:space="preserve"> </w:t>
      </w:r>
      <w:r w:rsidR="00773FEE">
        <w:t xml:space="preserve">could be </w:t>
      </w:r>
      <w:r w:rsidR="00AB70B0">
        <w:t xml:space="preserve">helpful in </w:t>
      </w:r>
      <w:r w:rsidR="00773FEE">
        <w:t>refin</w:t>
      </w:r>
      <w:r w:rsidR="00AB70B0">
        <w:t xml:space="preserve">ing </w:t>
      </w:r>
      <w:r w:rsidR="00773FEE">
        <w:t>the model.</w:t>
      </w:r>
    </w:p>
    <w:p w14:paraId="26E077DB" w14:textId="77777777" w:rsidR="00D7668F" w:rsidRDefault="00D7668F" w:rsidP="00D7668F">
      <w:pPr>
        <w:pStyle w:val="CGCNumberedPara"/>
        <w:numPr>
          <w:ilvl w:val="1"/>
          <w:numId w:val="3"/>
        </w:numPr>
      </w:pPr>
      <w:r>
        <w:t>Two components are immaterial and so will be discontinued.</w:t>
      </w:r>
    </w:p>
    <w:p w14:paraId="0C62D6E4" w14:textId="77777777" w:rsidR="004E165C" w:rsidRDefault="004E165C" w:rsidP="004E165C">
      <w:pPr>
        <w:pStyle w:val="CGCBulletlist"/>
        <w:numPr>
          <w:ilvl w:val="0"/>
          <w:numId w:val="1"/>
        </w:numPr>
        <w:tabs>
          <w:tab w:val="clear" w:pos="927"/>
        </w:tabs>
        <w:ind w:left="1134" w:hanging="567"/>
      </w:pPr>
      <w:r>
        <w:t xml:space="preserve">Commonwealth funded non-government school assessments is treated by exclusion and does not redistribute any GST. However in the 2015 Review it was included as both a revenue and expense. This complexity is not required, and the payment will be treated like all other excluded payments. </w:t>
      </w:r>
    </w:p>
    <w:p w14:paraId="46DAA37F" w14:textId="3173E693" w:rsidR="00D7668F" w:rsidRDefault="00D7668F" w:rsidP="00D7668F">
      <w:pPr>
        <w:pStyle w:val="CGCBulletlist"/>
        <w:numPr>
          <w:ilvl w:val="0"/>
          <w:numId w:val="1"/>
        </w:numPr>
        <w:tabs>
          <w:tab w:val="clear" w:pos="927"/>
        </w:tabs>
        <w:ind w:left="1134" w:hanging="567"/>
      </w:pPr>
      <w:r>
        <w:t>The transport of school students moves less than $30 for any State</w:t>
      </w:r>
      <w:r w:rsidR="00C74C6B">
        <w:t xml:space="preserve">. Staff have </w:t>
      </w:r>
      <w:r>
        <w:t xml:space="preserve">concerns </w:t>
      </w:r>
      <w:r w:rsidR="00C74C6B">
        <w:t xml:space="preserve">about </w:t>
      </w:r>
      <w:r>
        <w:t>the reliability and fitness for purpose of the</w:t>
      </w:r>
      <w:r w:rsidR="00C74C6B">
        <w:t xml:space="preserve"> </w:t>
      </w:r>
      <w:r>
        <w:t>data</w:t>
      </w:r>
      <w:r w:rsidR="00C74C6B">
        <w:t xml:space="preserve"> used in this assessment.</w:t>
      </w:r>
      <w:r>
        <w:t xml:space="preserve"> </w:t>
      </w:r>
    </w:p>
    <w:p w14:paraId="4CBF2198" w14:textId="5DBB4291" w:rsidR="00D7668F" w:rsidDel="00BE4018" w:rsidRDefault="00D7668F" w:rsidP="00D7668F">
      <w:pPr>
        <w:pStyle w:val="CGCNumberedPara"/>
        <w:numPr>
          <w:ilvl w:val="1"/>
          <w:numId w:val="3"/>
        </w:numPr>
      </w:pPr>
      <w:r w:rsidDel="00BE4018">
        <w:t xml:space="preserve">Staff also consider that user charges should be incorporated within the </w:t>
      </w:r>
      <w:r w:rsidR="00FC3995">
        <w:t>S</w:t>
      </w:r>
      <w:r w:rsidDel="00BE4018">
        <w:t>chool</w:t>
      </w:r>
      <w:r w:rsidR="00024896">
        <w:t xml:space="preserve"> education</w:t>
      </w:r>
      <w:r w:rsidDel="00BE4018">
        <w:t xml:space="preserve"> assessment r</w:t>
      </w:r>
      <w:r w:rsidR="00024896">
        <w:t>ather than assessed EPC in the O</w:t>
      </w:r>
      <w:r w:rsidDel="00BE4018">
        <w:t>ther revenue category. This is because moving user charges into the regression model (and hence deriving costs for different student population groups on a net basis) may improve the reliability of the model.</w:t>
      </w:r>
    </w:p>
    <w:p w14:paraId="5B78919E" w14:textId="7EC74E32" w:rsidR="00D7668F" w:rsidRDefault="00BE4018" w:rsidP="00D7668F">
      <w:pPr>
        <w:pStyle w:val="CGCNumberedPara"/>
        <w:numPr>
          <w:ilvl w:val="1"/>
          <w:numId w:val="3"/>
        </w:numPr>
      </w:pPr>
      <w:r>
        <w:t>Ot</w:t>
      </w:r>
      <w:r w:rsidR="00D7668F">
        <w:t>her issues have been considered, but no change is recommended from the 2015</w:t>
      </w:r>
      <w:r w:rsidR="007F0C4E">
        <w:t> </w:t>
      </w:r>
      <w:r w:rsidR="00D7668F">
        <w:t>Review. These issues are as follows.</w:t>
      </w:r>
    </w:p>
    <w:p w14:paraId="3B774C97" w14:textId="77777777" w:rsidR="00E20ED8" w:rsidRDefault="00E20ED8" w:rsidP="00D7668F">
      <w:pPr>
        <w:pStyle w:val="CGCBulletlist"/>
        <w:numPr>
          <w:ilvl w:val="0"/>
          <w:numId w:val="1"/>
        </w:numPr>
        <w:tabs>
          <w:tab w:val="clear" w:pos="927"/>
        </w:tabs>
        <w:ind w:left="1134" w:hanging="567"/>
      </w:pPr>
      <w:r>
        <w:t xml:space="preserve">Data source for student numbers – whether to </w:t>
      </w:r>
      <w:r w:rsidRPr="0024056C">
        <w:t>continue the 2015 practice of using ABS data using splits of geographic distribution based on ACARA data</w:t>
      </w:r>
      <w:r>
        <w:t>.</w:t>
      </w:r>
    </w:p>
    <w:p w14:paraId="6AC20FCC" w14:textId="77777777" w:rsidR="00D7668F" w:rsidRDefault="00D7668F" w:rsidP="00D7668F">
      <w:pPr>
        <w:pStyle w:val="CGCBulletlist"/>
        <w:numPr>
          <w:ilvl w:val="0"/>
          <w:numId w:val="1"/>
        </w:numPr>
        <w:tabs>
          <w:tab w:val="clear" w:pos="927"/>
        </w:tabs>
        <w:ind w:left="1134" w:hanging="567"/>
      </w:pPr>
      <w:r>
        <w:t>Can the additional cost of students with disabilities be reliably assessed?</w:t>
      </w:r>
    </w:p>
    <w:p w14:paraId="31E5083C" w14:textId="77777777" w:rsidR="00D7668F" w:rsidRDefault="00D7668F" w:rsidP="00D7668F">
      <w:pPr>
        <w:pStyle w:val="CGCBulletlist"/>
        <w:numPr>
          <w:ilvl w:val="0"/>
          <w:numId w:val="1"/>
        </w:numPr>
        <w:tabs>
          <w:tab w:val="clear" w:pos="927"/>
        </w:tabs>
        <w:ind w:left="1134" w:hanging="567"/>
      </w:pPr>
      <w:r>
        <w:t>Are the shares of government and non-government students policy-affected?</w:t>
      </w:r>
    </w:p>
    <w:p w14:paraId="3A79BAB1" w14:textId="77777777" w:rsidR="005A2CE6" w:rsidRPr="00741FF2" w:rsidRDefault="005A2CE6" w:rsidP="005A2CE6">
      <w:pPr>
        <w:pStyle w:val="Heading4"/>
      </w:pPr>
      <w:bookmarkStart w:id="39" w:name="_Toc509318783"/>
      <w:bookmarkStart w:id="40" w:name="_Toc511744908"/>
      <w:r>
        <w:t xml:space="preserve">Specification of </w:t>
      </w:r>
      <w:r w:rsidR="000476B7">
        <w:t xml:space="preserve">the </w:t>
      </w:r>
      <w:r>
        <w:t>regression model</w:t>
      </w:r>
      <w:bookmarkEnd w:id="39"/>
      <w:bookmarkEnd w:id="40"/>
    </w:p>
    <w:p w14:paraId="6AFBEA6B" w14:textId="77777777" w:rsidR="005A2CE6" w:rsidRDefault="005A2CE6" w:rsidP="005A2CE6">
      <w:pPr>
        <w:pStyle w:val="CGCNumberedPara"/>
        <w:numPr>
          <w:ilvl w:val="1"/>
          <w:numId w:val="3"/>
        </w:numPr>
      </w:pPr>
      <w:r>
        <w:t xml:space="preserve">In the 2015 Review, the Commission used a regression of ACARA data to estimate cost weights for different groups of students. Because it used school level data to attribute costs to students, the specification of this model was somewhat complex. It calculated an Indigenous and a non-Indigenous version of each school, with student numbers based on that school’s Indigenous and non-Indigenous enrolments. The funding per student was assumed to be equal for both groups of students within a school. </w:t>
      </w:r>
    </w:p>
    <w:p w14:paraId="5D5D0E12" w14:textId="77777777" w:rsidR="005A2CE6" w:rsidRDefault="005A2CE6" w:rsidP="005A2CE6">
      <w:pPr>
        <w:pStyle w:val="CGCNumberedPara"/>
        <w:numPr>
          <w:ilvl w:val="1"/>
          <w:numId w:val="3"/>
        </w:numPr>
      </w:pPr>
      <w:r>
        <w:t xml:space="preserve">Part of the reason for this specification was that the simpler model, having a single record for each school, produced results for which Commission staff could not </w:t>
      </w:r>
      <w:r>
        <w:lastRenderedPageBreak/>
        <w:t xml:space="preserve">identify a conceptual basis (and which appeared inconsistent with NERA and State funding models): that Indigenous students in disadvantaged areas were funded at a significantly lower rate than Indigenous students in less disadvantaged areas. </w:t>
      </w:r>
    </w:p>
    <w:p w14:paraId="55F1A47A" w14:textId="59897298" w:rsidR="005A2CE6" w:rsidRPr="00676B82" w:rsidRDefault="005A2CE6" w:rsidP="005A2CE6">
      <w:pPr>
        <w:pStyle w:val="CGCNumberedPara"/>
        <w:numPr>
          <w:ilvl w:val="1"/>
          <w:numId w:val="3"/>
        </w:numPr>
      </w:pPr>
      <w:r w:rsidRPr="00676B82">
        <w:t xml:space="preserve">In this review staff are attempting to develop an assessment in </w:t>
      </w:r>
      <w:r w:rsidR="0070643B" w:rsidRPr="00676B82">
        <w:t xml:space="preserve">three </w:t>
      </w:r>
      <w:r w:rsidRPr="00676B82">
        <w:t>stages:</w:t>
      </w:r>
    </w:p>
    <w:p w14:paraId="323FB14A" w14:textId="77777777" w:rsidR="005A2CE6" w:rsidRPr="00676B82" w:rsidRDefault="005A2CE6" w:rsidP="005A2CE6">
      <w:pPr>
        <w:pStyle w:val="CGCBulletlist"/>
        <w:numPr>
          <w:ilvl w:val="0"/>
          <w:numId w:val="1"/>
        </w:numPr>
        <w:tabs>
          <w:tab w:val="clear" w:pos="927"/>
        </w:tabs>
        <w:ind w:left="1134" w:hanging="567"/>
      </w:pPr>
      <w:r w:rsidRPr="00676B82">
        <w:t>develop a model that explains differences in State expenditure between schools which allows for different students within the same school to be allocated different levels of resourcing</w:t>
      </w:r>
    </w:p>
    <w:p w14:paraId="48476A2E" w14:textId="067C2EE2" w:rsidR="0070643B" w:rsidRPr="00676B82" w:rsidRDefault="0070643B" w:rsidP="005A2CE6">
      <w:pPr>
        <w:pStyle w:val="CGCBulletlist"/>
        <w:numPr>
          <w:ilvl w:val="0"/>
          <w:numId w:val="1"/>
        </w:numPr>
        <w:tabs>
          <w:tab w:val="clear" w:pos="927"/>
        </w:tabs>
        <w:ind w:left="1134" w:hanging="567"/>
      </w:pPr>
      <w:r w:rsidRPr="00676B82">
        <w:t xml:space="preserve">incorporate additional data from the Department of Education and Training </w:t>
      </w:r>
    </w:p>
    <w:p w14:paraId="50813CF9" w14:textId="77777777" w:rsidR="005A2CE6" w:rsidRPr="00676B82" w:rsidRDefault="005A2CE6" w:rsidP="005A2CE6">
      <w:pPr>
        <w:pStyle w:val="CGCBulletlist"/>
        <w:numPr>
          <w:ilvl w:val="0"/>
          <w:numId w:val="1"/>
        </w:numPr>
        <w:tabs>
          <w:tab w:val="clear" w:pos="927"/>
        </w:tabs>
        <w:ind w:left="1134" w:hanging="567"/>
      </w:pPr>
      <w:r w:rsidRPr="00676B82">
        <w:t>work with State funding formulas and other sources to refine the model so that the variables included in the model reflect a strong conceptual case for their inclusion and are sufficiently policy neutral.</w:t>
      </w:r>
    </w:p>
    <w:p w14:paraId="121C4B63" w14:textId="5386CB12" w:rsidR="0070643B" w:rsidRPr="00676B82" w:rsidRDefault="0070643B" w:rsidP="005A2CE6">
      <w:pPr>
        <w:pStyle w:val="CGCNumberedPara"/>
        <w:numPr>
          <w:ilvl w:val="1"/>
          <w:numId w:val="3"/>
        </w:numPr>
      </w:pPr>
      <w:r w:rsidRPr="00676B82">
        <w:t xml:space="preserve">The following sections discuss the conceptual basis for </w:t>
      </w:r>
      <w:r w:rsidR="00AC7036" w:rsidRPr="00676B82">
        <w:t xml:space="preserve">certain </w:t>
      </w:r>
      <w:r w:rsidRPr="00676B82">
        <w:t xml:space="preserve">variables available from the ACARA dataset. Staff have not yet considered variables available from the Department of Education and Training dataset. </w:t>
      </w:r>
    </w:p>
    <w:p w14:paraId="51267538" w14:textId="2C8CF313" w:rsidR="005A2CE6" w:rsidRDefault="005A2CE6" w:rsidP="005A2CE6">
      <w:pPr>
        <w:pStyle w:val="CGCNumberedPara"/>
        <w:numPr>
          <w:ilvl w:val="1"/>
          <w:numId w:val="3"/>
        </w:numPr>
      </w:pPr>
      <w:r w:rsidRPr="00DE4B1A">
        <w:rPr>
          <w:rStyle w:val="Heading5Char"/>
        </w:rPr>
        <w:t>School administration.</w:t>
      </w:r>
      <w:r>
        <w:t xml:space="preserve"> Whether a school is a primary school, secondary school or combined makes a significant difference to the cost of a school, both in terms of the fixed and variable costs. However, the major difference between States in their number of primary and secondary school students is driven by South Australia’s policy decision to include </w:t>
      </w:r>
      <w:r w:rsidR="00AB70B0">
        <w:t>Y</w:t>
      </w:r>
      <w:r>
        <w:t>ear 7 in a primary school. Whether States have combined primary-secondary schools or have separate schools is at least partly driven by the demographics of an area</w:t>
      </w:r>
      <w:r w:rsidR="003A495E">
        <w:t xml:space="preserve"> — </w:t>
      </w:r>
      <w:r>
        <w:t xml:space="preserve">combined schools are much more common in small isolated communities. However they also significantly reflect State policy choice. </w:t>
      </w:r>
    </w:p>
    <w:p w14:paraId="4B6BD62F" w14:textId="77777777" w:rsidR="005A2CE6" w:rsidRDefault="005A2CE6" w:rsidP="005A2CE6">
      <w:pPr>
        <w:pStyle w:val="CGCNumberedPara"/>
        <w:numPr>
          <w:ilvl w:val="1"/>
          <w:numId w:val="3"/>
        </w:numPr>
      </w:pPr>
      <w:r>
        <w:t xml:space="preserve">Commission staff consider that while school type is a strong predictor of school costs, it is inappropriate to use for the allocation of GST. </w:t>
      </w:r>
    </w:p>
    <w:p w14:paraId="0304B80C" w14:textId="41E836B3" w:rsidR="005A2CE6" w:rsidRDefault="005A2CE6" w:rsidP="005A2CE6">
      <w:pPr>
        <w:pStyle w:val="CGCNumberedPara"/>
        <w:numPr>
          <w:ilvl w:val="1"/>
          <w:numId w:val="3"/>
        </w:numPr>
      </w:pPr>
      <w:r>
        <w:t xml:space="preserve">School size is a significant driver and an important attribute of the model. However as a State can choose to have </w:t>
      </w:r>
      <w:r w:rsidR="003A495E">
        <w:t xml:space="preserve">a </w:t>
      </w:r>
      <w:r>
        <w:t xml:space="preserve">few large schools or many small schools, school size should not affect its GST. School size is included within the model, but rather than allocating to States on the basis of their actual distribution of schools by size, staff are assuming that service delivery areas represent a reasonable proxy indicator of State differences in this domain. Schools within service delivery scale areas have, on average, more students than those outside. These differences are incorporated into the assessment through the service delivery scale assessment. </w:t>
      </w:r>
    </w:p>
    <w:p w14:paraId="67155835" w14:textId="77777777" w:rsidR="005A2CE6" w:rsidRDefault="005A2CE6" w:rsidP="005A2CE6">
      <w:pPr>
        <w:pStyle w:val="CGCNumberedPara"/>
        <w:numPr>
          <w:ilvl w:val="1"/>
          <w:numId w:val="3"/>
        </w:numPr>
      </w:pPr>
      <w:r w:rsidRPr="00DE4B1A">
        <w:rPr>
          <w:rStyle w:val="Heading5Char"/>
        </w:rPr>
        <w:t>Attendance.</w:t>
      </w:r>
      <w:r>
        <w:t xml:space="preserve"> In the 2015 approach, the model used student enrolments at each school. In respecifying the model, staff have found that using attendance as well as enrolments significantly improves the model. A variable for students enrolled but not attending is also included. Staff consider there could be a conceptual case that students that take significant amounts of time off school require additional resources to assist them to catch up on lost work, or to support them through the issues leading to their absence. However, schools where average attendance is considerably less </w:t>
      </w:r>
      <w:r>
        <w:lastRenderedPageBreak/>
        <w:t xml:space="preserve">than enrolments (which is more common in Indigenous communities) may not require staff resources for all potential students. </w:t>
      </w:r>
    </w:p>
    <w:p w14:paraId="38E5DDC5" w14:textId="77777777" w:rsidR="005A2CE6" w:rsidRDefault="005A2CE6" w:rsidP="005A2CE6">
      <w:pPr>
        <w:pStyle w:val="CGCNumberedPara"/>
        <w:numPr>
          <w:ilvl w:val="1"/>
          <w:numId w:val="3"/>
        </w:numPr>
      </w:pPr>
      <w:r>
        <w:t xml:space="preserve">A regression model incorporating this variable suggests that, ignoring other adjustments, States spend: </w:t>
      </w:r>
    </w:p>
    <w:p w14:paraId="6579AA5A" w14:textId="77777777" w:rsidR="005A2CE6" w:rsidRDefault="005A2CE6" w:rsidP="005A2CE6">
      <w:pPr>
        <w:pStyle w:val="CGCBulletlist"/>
        <w:numPr>
          <w:ilvl w:val="0"/>
          <w:numId w:val="1"/>
        </w:numPr>
        <w:tabs>
          <w:tab w:val="clear" w:pos="927"/>
        </w:tabs>
        <w:ind w:left="1134" w:hanging="567"/>
      </w:pPr>
      <w:r>
        <w:t>$17 400 per attending Indigenous student</w:t>
      </w:r>
    </w:p>
    <w:p w14:paraId="07892C18" w14:textId="77777777" w:rsidR="005A2CE6" w:rsidRDefault="005A2CE6" w:rsidP="005A2CE6">
      <w:pPr>
        <w:pStyle w:val="CGCBulletlist"/>
        <w:numPr>
          <w:ilvl w:val="0"/>
          <w:numId w:val="1"/>
        </w:numPr>
        <w:tabs>
          <w:tab w:val="clear" w:pos="927"/>
        </w:tabs>
        <w:ind w:left="1134" w:hanging="567"/>
      </w:pPr>
      <w:r>
        <w:t xml:space="preserve">$13 700 per absent Indigenous student </w:t>
      </w:r>
    </w:p>
    <w:p w14:paraId="346D4FB0" w14:textId="77777777" w:rsidR="005A2CE6" w:rsidRDefault="005A2CE6" w:rsidP="005A2CE6">
      <w:pPr>
        <w:pStyle w:val="CGCBulletlist"/>
        <w:numPr>
          <w:ilvl w:val="0"/>
          <w:numId w:val="1"/>
        </w:numPr>
        <w:tabs>
          <w:tab w:val="clear" w:pos="927"/>
        </w:tabs>
        <w:ind w:left="1134" w:hanging="567"/>
      </w:pPr>
      <w:r>
        <w:t xml:space="preserve">$5 600 per attending non-Indigenous student </w:t>
      </w:r>
    </w:p>
    <w:p w14:paraId="6096EAE7" w14:textId="77777777" w:rsidR="005A2CE6" w:rsidRDefault="005A2CE6" w:rsidP="005A2CE6">
      <w:pPr>
        <w:pStyle w:val="CGCBulletlist"/>
        <w:numPr>
          <w:ilvl w:val="0"/>
          <w:numId w:val="1"/>
        </w:numPr>
        <w:tabs>
          <w:tab w:val="clear" w:pos="927"/>
        </w:tabs>
        <w:ind w:left="1134" w:hanging="567"/>
      </w:pPr>
      <w:r>
        <w:t>$16 100 per absent non-Indigenous student.</w:t>
      </w:r>
    </w:p>
    <w:p w14:paraId="18BE8333" w14:textId="200BCA87" w:rsidR="005A2CE6" w:rsidRDefault="005A2CE6" w:rsidP="005A2CE6">
      <w:pPr>
        <w:pStyle w:val="CGCNumberedPara"/>
        <w:numPr>
          <w:ilvl w:val="1"/>
          <w:numId w:val="3"/>
        </w:numPr>
      </w:pPr>
      <w:r>
        <w:rPr>
          <w:rStyle w:val="Heading5Char"/>
        </w:rPr>
        <w:t>Socio-economic status</w:t>
      </w:r>
      <w:r w:rsidRPr="00DE4B1A">
        <w:rPr>
          <w:rStyle w:val="Heading5Char"/>
        </w:rPr>
        <w:t>.</w:t>
      </w:r>
      <w:r>
        <w:t xml:space="preserve"> There is a strong conceptual case that students from low </w:t>
      </w:r>
      <w:r w:rsidR="00C76DD6">
        <w:t xml:space="preserve">socio-economic status (SES) </w:t>
      </w:r>
      <w:r>
        <w:t xml:space="preserve">backgrounds attract more State funding than students from high SES backgrounds. There are two feasible approaches to measuring SES using the data available to us. </w:t>
      </w:r>
    </w:p>
    <w:p w14:paraId="5FBC08DA" w14:textId="77777777" w:rsidR="005A2CE6" w:rsidRDefault="005A2CE6" w:rsidP="005A2CE6">
      <w:pPr>
        <w:pStyle w:val="CGCBulletlist"/>
        <w:numPr>
          <w:ilvl w:val="0"/>
          <w:numId w:val="1"/>
        </w:numPr>
        <w:tabs>
          <w:tab w:val="clear" w:pos="927"/>
        </w:tabs>
        <w:ind w:left="1134" w:hanging="567"/>
      </w:pPr>
      <w:r>
        <w:t xml:space="preserve">The location of the school can be used to allocate each school an IRSEO group for its Indigenous students and a NISEIFA group for its non-Indigenous students. </w:t>
      </w:r>
    </w:p>
    <w:p w14:paraId="4BAC7E6B" w14:textId="77777777" w:rsidR="005A2CE6" w:rsidRDefault="005A2CE6" w:rsidP="005A2CE6">
      <w:pPr>
        <w:pStyle w:val="CGCBulletlist"/>
        <w:numPr>
          <w:ilvl w:val="0"/>
          <w:numId w:val="1"/>
        </w:numPr>
        <w:tabs>
          <w:tab w:val="clear" w:pos="927"/>
        </w:tabs>
        <w:ind w:left="1134" w:hanging="567"/>
      </w:pPr>
      <w:r>
        <w:t xml:space="preserve">Each student is allocated an Index of Community Socio-Educational Advantage (ICSEA) value based on attributes of the student, parents and the area of residence. </w:t>
      </w:r>
    </w:p>
    <w:p w14:paraId="337AA5F0" w14:textId="530C5FD5" w:rsidR="005A2CE6" w:rsidRDefault="005A2CE6" w:rsidP="005A2CE6">
      <w:pPr>
        <w:pStyle w:val="CGCNumberedPara"/>
        <w:numPr>
          <w:ilvl w:val="1"/>
          <w:numId w:val="3"/>
        </w:numPr>
      </w:pPr>
      <w:r>
        <w:t xml:space="preserve">The key difference between these measures is that ICSEA cannot separately measure Indigenous and non-Indigenous SES, but it can capture the heterogeneity of a school’s socio-economic profile, with a proportion of students in each socio-economic quartile, while each school has only </w:t>
      </w:r>
      <w:r w:rsidR="00504F41">
        <w:t>one</w:t>
      </w:r>
      <w:r>
        <w:t xml:space="preserve"> IRSEO score and </w:t>
      </w:r>
      <w:r w:rsidR="00504F41">
        <w:t>one</w:t>
      </w:r>
      <w:r>
        <w:t xml:space="preserve"> NISEIFA score. </w:t>
      </w:r>
    </w:p>
    <w:p w14:paraId="033CC494" w14:textId="3ADFBA5A" w:rsidR="005A2CE6" w:rsidRDefault="005A2CE6" w:rsidP="005A2CE6">
      <w:pPr>
        <w:pStyle w:val="CGCNumberedPara"/>
        <w:numPr>
          <w:ilvl w:val="1"/>
          <w:numId w:val="3"/>
        </w:numPr>
      </w:pPr>
      <w:r>
        <w:t xml:space="preserve">Having an Indigenous specific measure of SES has been important to the Commission as it underpins the Commission’s response to the 2015 </w:t>
      </w:r>
      <w:r w:rsidR="005A5D9A">
        <w:t xml:space="preserve">Review </w:t>
      </w:r>
      <w:r>
        <w:t xml:space="preserve">ToR requirement to </w:t>
      </w:r>
      <w:r w:rsidR="005A5D9A">
        <w:t>‘</w:t>
      </w:r>
      <w:r>
        <w:t>develop methods to appropriately capture the changing characteristics of the Indigenous population.</w:t>
      </w:r>
      <w:r w:rsidR="005A5D9A">
        <w:t>’</w:t>
      </w:r>
    </w:p>
    <w:p w14:paraId="4D4E13D1" w14:textId="77777777" w:rsidR="005A2CE6" w:rsidRDefault="005A2CE6" w:rsidP="005A2CE6">
      <w:pPr>
        <w:pStyle w:val="CGCNumberedPara"/>
        <w:numPr>
          <w:ilvl w:val="1"/>
          <w:numId w:val="3"/>
        </w:numPr>
      </w:pPr>
      <w:r>
        <w:t xml:space="preserve">ICSEA is an education specific measure and some States have developed a measure for their funding formulas that is based on similar architecture and data to ICSEA. </w:t>
      </w:r>
    </w:p>
    <w:p w14:paraId="475B1FA8" w14:textId="77777777" w:rsidR="005A2CE6" w:rsidRDefault="005A2CE6" w:rsidP="005A2CE6">
      <w:pPr>
        <w:pStyle w:val="CGCNumberedPara"/>
        <w:numPr>
          <w:ilvl w:val="1"/>
          <w:numId w:val="3"/>
        </w:numPr>
      </w:pPr>
      <w:r>
        <w:t>A regression using IRSEO and NISEIFA found that more disadvantaged non-Indigenous students attract greater funding than less disadvantaged students, as expected. However for Indigenous students the pattern was reversed, with students in the most disadvantaged areas attracting less government funding than those in the least disadvantaged areas. This pattern contradicts the State articulated funding models, and presumably reflects some other, as yet unidentified variable correlated with both disadvantage and State funding.</w:t>
      </w:r>
    </w:p>
    <w:p w14:paraId="0DDA3BA3" w14:textId="2354ACCD" w:rsidR="005A2CE6" w:rsidRDefault="005A2CE6" w:rsidP="005A2CE6">
      <w:pPr>
        <w:pStyle w:val="CGCNumberedPara"/>
        <w:numPr>
          <w:ilvl w:val="1"/>
          <w:numId w:val="3"/>
        </w:numPr>
      </w:pPr>
      <w:r>
        <w:t xml:space="preserve">The model presented throughout this section uses IRSEO and NISEIFA quintiles of students. </w:t>
      </w:r>
    </w:p>
    <w:p w14:paraId="027606AC" w14:textId="77777777" w:rsidR="00E37A1D" w:rsidRDefault="00E37A1D" w:rsidP="00E37A1D">
      <w:pPr>
        <w:pStyle w:val="NoSpacing"/>
      </w:pPr>
    </w:p>
    <w:tbl>
      <w:tblPr>
        <w:tblStyle w:val="TableGrid"/>
        <w:tblW w:w="0" w:type="auto"/>
        <w:tblLook w:val="04A0" w:firstRow="1" w:lastRow="0" w:firstColumn="1" w:lastColumn="0" w:noHBand="0" w:noVBand="1"/>
      </w:tblPr>
      <w:tblGrid>
        <w:gridCol w:w="8951"/>
      </w:tblGrid>
      <w:tr w:rsidR="005A2CE6" w14:paraId="09505E6F" w14:textId="77777777" w:rsidTr="00504F41">
        <w:tc>
          <w:tcPr>
            <w:tcW w:w="9167" w:type="dxa"/>
            <w:tcBorders>
              <w:top w:val="nil"/>
              <w:left w:val="nil"/>
              <w:bottom w:val="nil"/>
              <w:right w:val="nil"/>
            </w:tcBorders>
            <w:shd w:val="clear" w:color="auto" w:fill="D9F3E6"/>
          </w:tcPr>
          <w:p w14:paraId="082E9A42" w14:textId="77777777" w:rsidR="005A2CE6" w:rsidRPr="00C0725A" w:rsidRDefault="005A2CE6" w:rsidP="00E37A1D">
            <w:pPr>
              <w:keepNext/>
            </w:pPr>
            <w:r w:rsidRPr="00757EFF">
              <w:lastRenderedPageBreak/>
              <w:t>Staff propose to recommend the Commission:</w:t>
            </w:r>
          </w:p>
          <w:p w14:paraId="7EE098BC" w14:textId="77777777" w:rsidR="005A2CE6" w:rsidRDefault="003D13A3" w:rsidP="00E37A1D">
            <w:pPr>
              <w:pStyle w:val="CGCBulletlist"/>
              <w:keepNext/>
              <w:numPr>
                <w:ilvl w:val="0"/>
                <w:numId w:val="1"/>
              </w:numPr>
              <w:tabs>
                <w:tab w:val="clear" w:pos="927"/>
              </w:tabs>
              <w:ind w:left="1134" w:hanging="567"/>
            </w:pPr>
            <w:r>
              <w:t>u</w:t>
            </w:r>
            <w:r w:rsidR="005A2CE6">
              <w:t>se an appropriate regression model reflecting State funding models once further developed following consultation between staff and the States.</w:t>
            </w:r>
          </w:p>
        </w:tc>
      </w:tr>
    </w:tbl>
    <w:p w14:paraId="6B437ECB" w14:textId="77777777" w:rsidR="00F41556" w:rsidRDefault="00F41556" w:rsidP="00F41556">
      <w:pPr>
        <w:pStyle w:val="Heading4"/>
      </w:pPr>
      <w:bookmarkStart w:id="41" w:name="_Toc509318784"/>
      <w:bookmarkStart w:id="42" w:name="_Toc511744909"/>
      <w:r>
        <w:t>Complementary data on Commonwealth funding allocation</w:t>
      </w:r>
      <w:bookmarkEnd w:id="41"/>
      <w:bookmarkEnd w:id="42"/>
    </w:p>
    <w:p w14:paraId="176433F9" w14:textId="413E290E" w:rsidR="00F41556" w:rsidRDefault="00F41556" w:rsidP="00F41556">
      <w:pPr>
        <w:pStyle w:val="CGCNumberedPara"/>
      </w:pPr>
      <w:r>
        <w:t xml:space="preserve">The Department of Education and Training has data on all Australian schools, including </w:t>
      </w:r>
      <w:r w:rsidR="00F24C5D">
        <w:t xml:space="preserve">a range of </w:t>
      </w:r>
      <w:r>
        <w:t xml:space="preserve">school and student attributes </w:t>
      </w:r>
      <w:r w:rsidR="00F24C5D">
        <w:t xml:space="preserve">in addition to those in the ACARA dataset. </w:t>
      </w:r>
      <w:r>
        <w:t xml:space="preserve">Staff </w:t>
      </w:r>
      <w:r w:rsidR="009104E2">
        <w:t>have</w:t>
      </w:r>
      <w:r>
        <w:t xml:space="preserve"> request</w:t>
      </w:r>
      <w:r w:rsidR="009104E2">
        <w:t xml:space="preserve">ed </w:t>
      </w:r>
      <w:r>
        <w:t>access to this data</w:t>
      </w:r>
      <w:r w:rsidR="003A495E">
        <w:t>set</w:t>
      </w:r>
      <w:r w:rsidR="002E33DD">
        <w:t xml:space="preserve">, </w:t>
      </w:r>
      <w:r w:rsidR="00F24C5D">
        <w:t xml:space="preserve">and </w:t>
      </w:r>
      <w:r w:rsidR="002E33DD">
        <w:t xml:space="preserve">intend to </w:t>
      </w:r>
      <w:r>
        <w:t>merge this with ACARA data, which identif</w:t>
      </w:r>
      <w:r w:rsidR="003A495E">
        <w:t>y</w:t>
      </w:r>
      <w:r>
        <w:t xml:space="preserve"> State spending on each school. The merged data</w:t>
      </w:r>
      <w:r w:rsidR="002E33DD">
        <w:t>base/</w:t>
      </w:r>
      <w:r w:rsidR="007F0C4E">
        <w:t xml:space="preserve"> </w:t>
      </w:r>
      <w:r w:rsidR="002E33DD">
        <w:t xml:space="preserve">funding information </w:t>
      </w:r>
      <w:r>
        <w:t>will enable staff to determine the national average of the State funding formulas used to allocate State funds to government and non-government schools.</w:t>
      </w:r>
    </w:p>
    <w:p w14:paraId="51201675" w14:textId="77777777" w:rsidR="000E2072" w:rsidRDefault="000E2072" w:rsidP="000E2072">
      <w:pPr>
        <w:pStyle w:val="Heading4"/>
      </w:pPr>
      <w:bookmarkStart w:id="43" w:name="_Toc509318785"/>
      <w:bookmarkStart w:id="44" w:name="_Toc511744910"/>
      <w:r>
        <w:t>User charges</w:t>
      </w:r>
      <w:bookmarkEnd w:id="43"/>
      <w:bookmarkEnd w:id="44"/>
    </w:p>
    <w:p w14:paraId="5D6580D1" w14:textId="540B4B98" w:rsidR="00FC3995" w:rsidRDefault="000E2072" w:rsidP="00FC3995">
      <w:pPr>
        <w:pStyle w:val="CGCNumberedPara"/>
        <w:numPr>
          <w:ilvl w:val="1"/>
          <w:numId w:val="3"/>
        </w:numPr>
      </w:pPr>
      <w:r>
        <w:t>According to GFS figures, States raised $1.</w:t>
      </w:r>
      <w:r w:rsidR="00FC3995">
        <w:t>1 billion from user charges in S</w:t>
      </w:r>
      <w:r>
        <w:t>chool education. This ranged from 1% of the government funding of schools in New South</w:t>
      </w:r>
      <w:r w:rsidR="003A495E">
        <w:t> </w:t>
      </w:r>
      <w:r>
        <w:t xml:space="preserve">Wales to 6% in South Australia. ACARA data shows that government schools with the most disadvantaged students raise $333 per student from fees, charges and parental contributions. Schools with the most advantaged </w:t>
      </w:r>
      <w:r w:rsidR="00B04B54">
        <w:t xml:space="preserve">students </w:t>
      </w:r>
      <w:r>
        <w:t>raise $801 per student.</w:t>
      </w:r>
    </w:p>
    <w:p w14:paraId="08B9E3C4" w14:textId="77777777" w:rsidR="009104E2" w:rsidRDefault="000E2072" w:rsidP="000E2072">
      <w:pPr>
        <w:pStyle w:val="CGCNumberedPara"/>
        <w:numPr>
          <w:ilvl w:val="1"/>
          <w:numId w:val="3"/>
        </w:numPr>
      </w:pPr>
      <w:r w:rsidRPr="00676B82">
        <w:t>In 2015, this revenue was assessed EPC in Other revenue. Staff consider it could be better assessed offset against expenses in the assessment of State funded government schools</w:t>
      </w:r>
      <w:r w:rsidR="00B04B54" w:rsidRPr="00676B82">
        <w:t>. The ACARA dataset classifies all revenue a school receives as from</w:t>
      </w:r>
      <w:r w:rsidR="009104E2">
        <w:t>:</w:t>
      </w:r>
    </w:p>
    <w:p w14:paraId="4FF01B44" w14:textId="51687FBB" w:rsidR="009104E2" w:rsidRDefault="00B04B54" w:rsidP="009104E2">
      <w:pPr>
        <w:pStyle w:val="CGCBulletlist"/>
      </w:pPr>
      <w:r w:rsidRPr="00676B82">
        <w:t>the Australian government</w:t>
      </w:r>
    </w:p>
    <w:p w14:paraId="0B2E32A3" w14:textId="77777777" w:rsidR="009104E2" w:rsidRDefault="00B04B54" w:rsidP="009104E2">
      <w:pPr>
        <w:pStyle w:val="CGCBulletlist"/>
      </w:pPr>
      <w:r w:rsidRPr="00676B82">
        <w:t xml:space="preserve">State government, or </w:t>
      </w:r>
    </w:p>
    <w:p w14:paraId="29FDC0B3" w14:textId="77777777" w:rsidR="009104E2" w:rsidRDefault="003A495E" w:rsidP="009104E2">
      <w:pPr>
        <w:pStyle w:val="CGCBulletlist"/>
      </w:pPr>
      <w:r>
        <w:t>f</w:t>
      </w:r>
      <w:r w:rsidR="00B04B54" w:rsidRPr="00676B82">
        <w:t xml:space="preserve">ees, charges and parental contributions. </w:t>
      </w:r>
    </w:p>
    <w:p w14:paraId="4C8E37F6" w14:textId="06D65C89" w:rsidR="000E2072" w:rsidRDefault="00457B8C" w:rsidP="009104E2">
      <w:pPr>
        <w:pStyle w:val="CGCNumberedPara"/>
      </w:pPr>
      <w:r w:rsidRPr="00676B82">
        <w:t xml:space="preserve">The </w:t>
      </w:r>
      <w:r w:rsidRPr="00676B82">
        <w:rPr>
          <w:caps/>
        </w:rPr>
        <w:t xml:space="preserve">ACARA </w:t>
      </w:r>
      <w:r w:rsidRPr="00676B82">
        <w:t xml:space="preserve">State government expenses, therefore, appear to relate to the GFS State expenses net of user charges and Commonwealth payments. </w:t>
      </w:r>
    </w:p>
    <w:p w14:paraId="7FB6290D" w14:textId="77777777" w:rsidR="00C0725A" w:rsidRDefault="00C0725A" w:rsidP="00E37A1D">
      <w:pPr>
        <w:pStyle w:val="NoSpacing"/>
      </w:pPr>
    </w:p>
    <w:tbl>
      <w:tblPr>
        <w:tblStyle w:val="TableGrid"/>
        <w:tblW w:w="0" w:type="auto"/>
        <w:tblLook w:val="04A0" w:firstRow="1" w:lastRow="0" w:firstColumn="1" w:lastColumn="0" w:noHBand="0" w:noVBand="1"/>
      </w:tblPr>
      <w:tblGrid>
        <w:gridCol w:w="8951"/>
      </w:tblGrid>
      <w:tr w:rsidR="000E2072" w14:paraId="3D75DD12" w14:textId="77777777" w:rsidTr="00F24C5D">
        <w:tc>
          <w:tcPr>
            <w:tcW w:w="9167" w:type="dxa"/>
            <w:tcBorders>
              <w:top w:val="nil"/>
              <w:left w:val="nil"/>
              <w:bottom w:val="nil"/>
              <w:right w:val="nil"/>
            </w:tcBorders>
            <w:shd w:val="clear" w:color="auto" w:fill="D9F3E6"/>
          </w:tcPr>
          <w:p w14:paraId="0705C35E" w14:textId="77777777" w:rsidR="000E2072" w:rsidRPr="00676B82" w:rsidRDefault="000E2072" w:rsidP="00E37A1D">
            <w:r w:rsidRPr="003D13A3">
              <w:t>Staff propose to recommend the Commission:</w:t>
            </w:r>
          </w:p>
          <w:p w14:paraId="0324AF50" w14:textId="77777777" w:rsidR="000E2072" w:rsidRDefault="000E2072" w:rsidP="00F24C5D">
            <w:pPr>
              <w:pStyle w:val="CGCBulletlist"/>
              <w:numPr>
                <w:ilvl w:val="0"/>
                <w:numId w:val="1"/>
              </w:numPr>
              <w:tabs>
                <w:tab w:val="clear" w:pos="927"/>
              </w:tabs>
              <w:ind w:left="1134" w:hanging="567"/>
            </w:pPr>
            <w:r>
              <w:t>net user charges off the State funded government school assessment</w:t>
            </w:r>
          </w:p>
          <w:p w14:paraId="31665273" w14:textId="1C6307DD" w:rsidR="000E2072" w:rsidRDefault="000E2072" w:rsidP="00457B8C">
            <w:pPr>
              <w:pStyle w:val="CGCBulletlist"/>
              <w:numPr>
                <w:ilvl w:val="0"/>
                <w:numId w:val="1"/>
              </w:numPr>
              <w:tabs>
                <w:tab w:val="clear" w:pos="927"/>
              </w:tabs>
              <w:ind w:left="1134" w:hanging="567"/>
            </w:pPr>
            <w:r>
              <w:t>model student cost weights with a regression that predicts State government recurrent funding.</w:t>
            </w:r>
          </w:p>
        </w:tc>
      </w:tr>
    </w:tbl>
    <w:p w14:paraId="6DAEDD78" w14:textId="77777777" w:rsidR="000E2072" w:rsidRDefault="000E2072" w:rsidP="000E2072">
      <w:pPr>
        <w:pStyle w:val="Heading4"/>
      </w:pPr>
      <w:bookmarkStart w:id="45" w:name="_Toc509318786"/>
      <w:bookmarkStart w:id="46" w:name="_Toc511744911"/>
      <w:r>
        <w:lastRenderedPageBreak/>
        <w:t>Commonwealth funded government schools</w:t>
      </w:r>
      <w:bookmarkEnd w:id="45"/>
      <w:bookmarkEnd w:id="46"/>
    </w:p>
    <w:p w14:paraId="68732DF1" w14:textId="03619466" w:rsidR="000E2072" w:rsidRDefault="000E2072" w:rsidP="000E2072">
      <w:pPr>
        <w:pStyle w:val="CGCNumberedPara"/>
        <w:numPr>
          <w:ilvl w:val="1"/>
          <w:numId w:val="3"/>
        </w:numPr>
      </w:pPr>
      <w:r>
        <w:t xml:space="preserve">In the 2015 Review, the Commission received </w:t>
      </w:r>
      <w:r w:rsidR="007F0C4E">
        <w:t xml:space="preserve">terms of reference </w:t>
      </w:r>
      <w:r>
        <w:t xml:space="preserve">directing it not to unwind the measures of educational disadvantage in the NERA. In the 2020 </w:t>
      </w:r>
      <w:r w:rsidR="00D166C0">
        <w:t>R</w:t>
      </w:r>
      <w:r>
        <w:t>eview, staff consider the Commission has two options.</w:t>
      </w:r>
    </w:p>
    <w:p w14:paraId="25B65F61" w14:textId="79EFEA41" w:rsidR="000E2072" w:rsidRDefault="000E2072" w:rsidP="000E2072">
      <w:pPr>
        <w:pStyle w:val="CGCBulletlist"/>
        <w:numPr>
          <w:ilvl w:val="0"/>
          <w:numId w:val="1"/>
        </w:numPr>
        <w:tabs>
          <w:tab w:val="clear" w:pos="927"/>
        </w:tabs>
        <w:ind w:left="1134" w:hanging="567"/>
      </w:pPr>
      <w:r>
        <w:t xml:space="preserve">Assess this expenditure based on the Commonwealth intent, using the Commonwealth’s </w:t>
      </w:r>
      <w:r w:rsidR="003A495E">
        <w:t>SRS</w:t>
      </w:r>
      <w:r>
        <w:t>, as the Commission currently does.</w:t>
      </w:r>
    </w:p>
    <w:p w14:paraId="6075C422" w14:textId="77777777" w:rsidR="000E2072" w:rsidRDefault="000E2072" w:rsidP="000E2072">
      <w:pPr>
        <w:pStyle w:val="CGCBulletlist"/>
        <w:numPr>
          <w:ilvl w:val="0"/>
          <w:numId w:val="1"/>
        </w:numPr>
        <w:tabs>
          <w:tab w:val="clear" w:pos="927"/>
        </w:tabs>
        <w:ind w:left="1134" w:hanging="567"/>
      </w:pPr>
      <w:r>
        <w:t xml:space="preserve">Specify the ACARA data regression to include both Commonwealth and State funded government schools. </w:t>
      </w:r>
    </w:p>
    <w:p w14:paraId="3A90B56F" w14:textId="1D6444B0" w:rsidR="00441057" w:rsidRDefault="00441057" w:rsidP="009104E2">
      <w:pPr>
        <w:pStyle w:val="CGCNumberedPara"/>
      </w:pPr>
      <w:r w:rsidRPr="00676B82">
        <w:t xml:space="preserve">Staff consider that the Commission is still bound by the 2015 </w:t>
      </w:r>
      <w:r w:rsidR="003A495E">
        <w:t xml:space="preserve">Review </w:t>
      </w:r>
      <w:r w:rsidRPr="00676B82">
        <w:t>terms of reference requirement not to unwind the recognition of education disadvantage embedded in the NERA funding arrangements.</w:t>
      </w:r>
    </w:p>
    <w:p w14:paraId="436887A8" w14:textId="77777777" w:rsidR="00441057" w:rsidRDefault="00441057" w:rsidP="00E37A1D">
      <w:pPr>
        <w:pStyle w:val="NoSpacing"/>
      </w:pPr>
    </w:p>
    <w:tbl>
      <w:tblPr>
        <w:tblStyle w:val="TableGrid"/>
        <w:tblW w:w="0" w:type="auto"/>
        <w:tblLook w:val="04A0" w:firstRow="1" w:lastRow="0" w:firstColumn="1" w:lastColumn="0" w:noHBand="0" w:noVBand="1"/>
      </w:tblPr>
      <w:tblGrid>
        <w:gridCol w:w="8951"/>
      </w:tblGrid>
      <w:tr w:rsidR="00441057" w14:paraId="4091F5D5" w14:textId="77777777" w:rsidTr="003A495E">
        <w:tc>
          <w:tcPr>
            <w:tcW w:w="9167" w:type="dxa"/>
            <w:tcBorders>
              <w:top w:val="nil"/>
              <w:left w:val="nil"/>
              <w:bottom w:val="nil"/>
              <w:right w:val="nil"/>
            </w:tcBorders>
            <w:shd w:val="clear" w:color="auto" w:fill="D9F3E6"/>
          </w:tcPr>
          <w:p w14:paraId="195556EF" w14:textId="77777777" w:rsidR="00441057" w:rsidRDefault="00441057" w:rsidP="00E37A1D">
            <w:r w:rsidRPr="00205564">
              <w:t>Staff propose to recommend the Commission:</w:t>
            </w:r>
          </w:p>
          <w:p w14:paraId="79F4D4BB" w14:textId="2A420923" w:rsidR="00441057" w:rsidRDefault="00441057" w:rsidP="003A495E">
            <w:pPr>
              <w:pStyle w:val="CGCBulletlist"/>
              <w:numPr>
                <w:ilvl w:val="0"/>
                <w:numId w:val="1"/>
              </w:numPr>
              <w:tabs>
                <w:tab w:val="clear" w:pos="927"/>
              </w:tabs>
              <w:ind w:left="1134" w:hanging="567"/>
            </w:pPr>
            <w:r>
              <w:t xml:space="preserve">Use the Commonwealth’s </w:t>
            </w:r>
            <w:r w:rsidR="003A495E">
              <w:t>SRS</w:t>
            </w:r>
            <w:r>
              <w:t xml:space="preserve"> to assess need for Commonwe</w:t>
            </w:r>
            <w:r w:rsidR="003A495E">
              <w:t>a</w:t>
            </w:r>
            <w:r>
              <w:t>lth funded government schools.</w:t>
            </w:r>
          </w:p>
        </w:tc>
      </w:tr>
    </w:tbl>
    <w:p w14:paraId="181C40E8" w14:textId="77777777" w:rsidR="000E2072" w:rsidRPr="00741FF2" w:rsidRDefault="000E2072" w:rsidP="000E2072">
      <w:pPr>
        <w:pStyle w:val="Heading4"/>
      </w:pPr>
      <w:bookmarkStart w:id="47" w:name="_Toc509318787"/>
      <w:bookmarkStart w:id="48" w:name="_Toc511744912"/>
      <w:r>
        <w:t>Commonwealth funded non-government schools</w:t>
      </w:r>
      <w:bookmarkEnd w:id="47"/>
      <w:bookmarkEnd w:id="48"/>
    </w:p>
    <w:p w14:paraId="0EF2BA3C" w14:textId="77777777" w:rsidR="000E2072" w:rsidRDefault="000E2072" w:rsidP="000E2072">
      <w:pPr>
        <w:pStyle w:val="CGCNumberedPara"/>
        <w:numPr>
          <w:ilvl w:val="1"/>
          <w:numId w:val="3"/>
        </w:numPr>
      </w:pPr>
      <w:r>
        <w:t xml:space="preserve">When the Commission calculates a national spend for a category, it excludes spending funded by Commonwealth payments which have no impact on the assessment. </w:t>
      </w:r>
    </w:p>
    <w:p w14:paraId="10DF3AE2" w14:textId="61F73A1A" w:rsidR="000E2072" w:rsidRDefault="000E2072" w:rsidP="000E2072">
      <w:pPr>
        <w:pStyle w:val="CGCNumberedPara"/>
        <w:numPr>
          <w:ilvl w:val="1"/>
          <w:numId w:val="3"/>
        </w:numPr>
      </w:pPr>
      <w:r>
        <w:t xml:space="preserve">In the 2010 </w:t>
      </w:r>
      <w:r w:rsidR="00D166C0">
        <w:t>R</w:t>
      </w:r>
      <w:r>
        <w:t>eview, this approach was followed for all such payments except:</w:t>
      </w:r>
    </w:p>
    <w:p w14:paraId="5EE2B496" w14:textId="77777777" w:rsidR="000E2072" w:rsidRDefault="000E2072" w:rsidP="000E2072">
      <w:pPr>
        <w:pStyle w:val="CGCBulletlist"/>
        <w:numPr>
          <w:ilvl w:val="0"/>
          <w:numId w:val="1"/>
        </w:numPr>
        <w:tabs>
          <w:tab w:val="clear" w:pos="927"/>
        </w:tabs>
        <w:ind w:left="1134" w:hanging="567"/>
      </w:pPr>
      <w:r>
        <w:t>National Partnership Agreement on Remote Indigenous Housing</w:t>
      </w:r>
    </w:p>
    <w:p w14:paraId="3A36B915" w14:textId="148F585D" w:rsidR="000E2072" w:rsidRDefault="000E2072" w:rsidP="000E2072">
      <w:pPr>
        <w:pStyle w:val="CGCBulletlist"/>
        <w:numPr>
          <w:ilvl w:val="0"/>
          <w:numId w:val="1"/>
        </w:numPr>
        <w:tabs>
          <w:tab w:val="clear" w:pos="927"/>
        </w:tabs>
        <w:ind w:left="1134" w:hanging="567"/>
      </w:pPr>
      <w:r>
        <w:t>Commonwealth paym</w:t>
      </w:r>
      <w:r w:rsidR="003A495E">
        <w:t>ents for non-government schools</w:t>
      </w:r>
    </w:p>
    <w:p w14:paraId="60672541" w14:textId="28DC262A" w:rsidR="000E2072" w:rsidRDefault="000E2072" w:rsidP="000E2072">
      <w:pPr>
        <w:pStyle w:val="CGCBulletlist"/>
        <w:numPr>
          <w:ilvl w:val="0"/>
          <w:numId w:val="1"/>
        </w:numPr>
        <w:tabs>
          <w:tab w:val="clear" w:pos="927"/>
        </w:tabs>
        <w:ind w:left="1134" w:hanging="567"/>
      </w:pPr>
      <w:r>
        <w:t xml:space="preserve">50% of </w:t>
      </w:r>
      <w:r w:rsidR="003A495E">
        <w:t>n</w:t>
      </w:r>
      <w:r>
        <w:t>ational network roads</w:t>
      </w:r>
      <w:r w:rsidR="003A495E">
        <w:t>.</w:t>
      </w:r>
    </w:p>
    <w:p w14:paraId="700D2B84" w14:textId="77777777" w:rsidR="000E2072" w:rsidRDefault="000E2072" w:rsidP="000E2072">
      <w:pPr>
        <w:pStyle w:val="CGCNumberedPara"/>
        <w:numPr>
          <w:ilvl w:val="1"/>
          <w:numId w:val="3"/>
        </w:numPr>
      </w:pPr>
      <w:r>
        <w:t xml:space="preserve">By the 2015 Review, both the national network roads and the remote Indigenous housing payments were treated in the same way as all other excluded payments. Only the Commonwealth payment for non-government schools remained being assessed as both a revenue and an expense. </w:t>
      </w:r>
    </w:p>
    <w:p w14:paraId="444B5F4A" w14:textId="77777777" w:rsidR="000E2072" w:rsidRDefault="000E2072" w:rsidP="000E2072">
      <w:pPr>
        <w:pStyle w:val="CGCNumberedPara"/>
        <w:numPr>
          <w:ilvl w:val="1"/>
          <w:numId w:val="3"/>
        </w:numPr>
      </w:pPr>
      <w:r>
        <w:t xml:space="preserve">Staff consider there is no analytic benefit to the current treatment and merely adds complexity to the calculation of the GST. </w:t>
      </w:r>
    </w:p>
    <w:p w14:paraId="1A9368EF" w14:textId="77777777" w:rsidR="000E2072" w:rsidRDefault="000E2072" w:rsidP="00E37A1D">
      <w:pPr>
        <w:pStyle w:val="NoSpacing"/>
      </w:pPr>
    </w:p>
    <w:tbl>
      <w:tblPr>
        <w:tblStyle w:val="TableGrid"/>
        <w:tblW w:w="0" w:type="auto"/>
        <w:tblLook w:val="04A0" w:firstRow="1" w:lastRow="0" w:firstColumn="1" w:lastColumn="0" w:noHBand="0" w:noVBand="1"/>
      </w:tblPr>
      <w:tblGrid>
        <w:gridCol w:w="8951"/>
      </w:tblGrid>
      <w:tr w:rsidR="000E2072" w14:paraId="4004E904" w14:textId="77777777" w:rsidTr="00F24C5D">
        <w:tc>
          <w:tcPr>
            <w:tcW w:w="9167" w:type="dxa"/>
            <w:tcBorders>
              <w:top w:val="nil"/>
              <w:left w:val="nil"/>
              <w:bottom w:val="nil"/>
              <w:right w:val="nil"/>
            </w:tcBorders>
            <w:shd w:val="clear" w:color="auto" w:fill="D9F3E6"/>
          </w:tcPr>
          <w:p w14:paraId="242D6481" w14:textId="77777777" w:rsidR="000E2072" w:rsidRDefault="000E2072" w:rsidP="00E37A1D">
            <w:r w:rsidRPr="00205564">
              <w:t>Staff propose to recommend the Commission:</w:t>
            </w:r>
          </w:p>
          <w:p w14:paraId="7C756DDE" w14:textId="77777777" w:rsidR="000E2072" w:rsidRDefault="000E2072" w:rsidP="00F24C5D">
            <w:pPr>
              <w:pStyle w:val="CGCBulletlist"/>
              <w:numPr>
                <w:ilvl w:val="0"/>
                <w:numId w:val="1"/>
              </w:numPr>
              <w:tabs>
                <w:tab w:val="clear" w:pos="927"/>
              </w:tabs>
              <w:ind w:left="1134" w:hanging="567"/>
            </w:pPr>
            <w:r>
              <w:t xml:space="preserve">assess Commonwealth funding to non-government schools in the same way as for other Commonwealth payments that do not affect State shares of GST revenue. </w:t>
            </w:r>
          </w:p>
        </w:tc>
      </w:tr>
    </w:tbl>
    <w:p w14:paraId="176C129A" w14:textId="77777777" w:rsidR="005A2CE6" w:rsidRPr="00741FF2" w:rsidRDefault="005A2CE6" w:rsidP="005A2CE6">
      <w:pPr>
        <w:pStyle w:val="Heading4"/>
      </w:pPr>
      <w:bookmarkStart w:id="49" w:name="_Toc509318788"/>
      <w:bookmarkStart w:id="50" w:name="_Toc511744913"/>
      <w:r>
        <w:lastRenderedPageBreak/>
        <w:t>Data source for student numbers</w:t>
      </w:r>
      <w:bookmarkEnd w:id="49"/>
      <w:bookmarkEnd w:id="50"/>
    </w:p>
    <w:p w14:paraId="281250C0" w14:textId="77777777" w:rsidR="005A2CE6" w:rsidRDefault="005A2CE6" w:rsidP="005A2CE6">
      <w:pPr>
        <w:pStyle w:val="CGCNumberedPara"/>
        <w:numPr>
          <w:ilvl w:val="1"/>
          <w:numId w:val="3"/>
        </w:numPr>
      </w:pPr>
      <w:r>
        <w:t xml:space="preserve">There are two different data sources which count student numbers. The ABS publishes Schools Australia, while ACARA publishes the My School website, and the related data behind it. These data reconcile very closely for most States and the Commission staff are hopeful that future data will better reconcile. </w:t>
      </w:r>
    </w:p>
    <w:p w14:paraId="61B08F12" w14:textId="77777777" w:rsidR="005A2CE6" w:rsidRDefault="005A2CE6" w:rsidP="005A2CE6">
      <w:pPr>
        <w:pStyle w:val="CGCNumberedPara"/>
        <w:numPr>
          <w:ilvl w:val="1"/>
          <w:numId w:val="3"/>
        </w:numPr>
      </w:pPr>
      <w:r>
        <w:t xml:space="preserve">The ACARA data is a richer dataset, including data on geographic data (remoteness and socio-economic status (IRSEO and NISEIFA) as well as attendance rates. However, the ACARA data are not as timely as the ABS data. In the 2018 Update, staff had access to 2015 ACARA data and 2016 ABS data. </w:t>
      </w:r>
    </w:p>
    <w:p w14:paraId="4D6D7DA7" w14:textId="7DF2416E" w:rsidR="005A2CE6" w:rsidRDefault="005A2CE6" w:rsidP="005A2CE6">
      <w:pPr>
        <w:pStyle w:val="CGCNumberedPara"/>
        <w:numPr>
          <w:ilvl w:val="1"/>
          <w:numId w:val="3"/>
        </w:numPr>
        <w:spacing w:after="0"/>
      </w:pPr>
      <w:r>
        <w:t xml:space="preserve">To ensure the latest available data is used, staff consider that the 2015 Review practice of using student attribute shares from ACARA data to allocate ABS student numbers should continue. </w:t>
      </w:r>
    </w:p>
    <w:p w14:paraId="51C50921" w14:textId="77777777" w:rsidR="00C0725A" w:rsidRDefault="00C0725A" w:rsidP="00E37A1D">
      <w:pPr>
        <w:pStyle w:val="NoSpacing"/>
      </w:pPr>
    </w:p>
    <w:tbl>
      <w:tblPr>
        <w:tblStyle w:val="TableGrid"/>
        <w:tblW w:w="0" w:type="auto"/>
        <w:tblLook w:val="04A0" w:firstRow="1" w:lastRow="0" w:firstColumn="1" w:lastColumn="0" w:noHBand="0" w:noVBand="1"/>
      </w:tblPr>
      <w:tblGrid>
        <w:gridCol w:w="8951"/>
      </w:tblGrid>
      <w:tr w:rsidR="005A2CE6" w14:paraId="21EC4BFC" w14:textId="77777777" w:rsidTr="00504F41">
        <w:tc>
          <w:tcPr>
            <w:tcW w:w="9167" w:type="dxa"/>
            <w:tcBorders>
              <w:top w:val="nil"/>
              <w:left w:val="nil"/>
              <w:bottom w:val="nil"/>
              <w:right w:val="nil"/>
            </w:tcBorders>
            <w:shd w:val="clear" w:color="auto" w:fill="D9F3E6"/>
          </w:tcPr>
          <w:p w14:paraId="7C7A60E2" w14:textId="77777777" w:rsidR="005A2CE6" w:rsidRPr="00C0725A" w:rsidRDefault="005A2CE6" w:rsidP="00E37A1D">
            <w:r w:rsidRPr="00757EFF">
              <w:t>Staff propose to recommend the Commission:</w:t>
            </w:r>
          </w:p>
          <w:p w14:paraId="7DE3A98C" w14:textId="191DED03" w:rsidR="005A2CE6" w:rsidRDefault="005A2CE6" w:rsidP="005A2CE6">
            <w:pPr>
              <w:pStyle w:val="CGCBulletlist"/>
              <w:numPr>
                <w:ilvl w:val="0"/>
                <w:numId w:val="1"/>
              </w:numPr>
              <w:tabs>
                <w:tab w:val="clear" w:pos="927"/>
              </w:tabs>
              <w:ind w:left="1134" w:hanging="567"/>
            </w:pPr>
            <w:r>
              <w:t xml:space="preserve">continue the 2015 </w:t>
            </w:r>
            <w:r w:rsidR="003A495E">
              <w:t xml:space="preserve">Review </w:t>
            </w:r>
            <w:r>
              <w:t>practice of using ABS data using splits of geographic distribution based on ACARA data.</w:t>
            </w:r>
          </w:p>
        </w:tc>
      </w:tr>
    </w:tbl>
    <w:p w14:paraId="7E84298C" w14:textId="77777777" w:rsidR="00B32C24" w:rsidRDefault="00B32C24" w:rsidP="005A2CE6">
      <w:pPr>
        <w:pStyle w:val="Heading4"/>
      </w:pPr>
      <w:bookmarkStart w:id="51" w:name="_Toc509318789"/>
      <w:bookmarkStart w:id="52" w:name="_Toc511744914"/>
    </w:p>
    <w:p w14:paraId="7FC40237" w14:textId="77777777" w:rsidR="00B32C24" w:rsidRDefault="00B32C24">
      <w:pPr>
        <w:tabs>
          <w:tab w:val="clear" w:pos="567"/>
        </w:tabs>
        <w:spacing w:after="200" w:line="276" w:lineRule="auto"/>
        <w:rPr>
          <w:rFonts w:eastAsiaTheme="majorEastAsia" w:cstheme="majorBidi"/>
          <w:b/>
          <w:bCs/>
          <w:iCs/>
          <w:color w:val="2C8558"/>
          <w:sz w:val="32"/>
        </w:rPr>
      </w:pPr>
      <w:r>
        <w:br w:type="page"/>
      </w:r>
    </w:p>
    <w:p w14:paraId="012BBA39" w14:textId="2F3AD9D8" w:rsidR="005A2CE6" w:rsidRPr="00741FF2" w:rsidRDefault="005A2CE6" w:rsidP="005A2CE6">
      <w:pPr>
        <w:pStyle w:val="Heading4"/>
      </w:pPr>
      <w:r>
        <w:lastRenderedPageBreak/>
        <w:t>Students with disabilities</w:t>
      </w:r>
      <w:bookmarkEnd w:id="51"/>
      <w:bookmarkEnd w:id="52"/>
    </w:p>
    <w:p w14:paraId="0593CE9D" w14:textId="1912F513" w:rsidR="005A2CE6" w:rsidRPr="00BA1EC3" w:rsidRDefault="005A2CE6" w:rsidP="005A2CE6">
      <w:pPr>
        <w:pStyle w:val="CGCNumberedPara"/>
        <w:numPr>
          <w:ilvl w:val="1"/>
          <w:numId w:val="3"/>
        </w:numPr>
      </w:pPr>
      <w:r>
        <w:t>States provide additional resources to students with disabilities. In previous reviews staff have not had reliable data that identifies the number of students with disabilities and so have been unable to attempt an assessment.  In recent years the States and the Commonwealth have developed the ‘Nationally consistent collection of data on school students with disability</w:t>
      </w:r>
      <w:r w:rsidR="00356E53">
        <w:t>’</w:t>
      </w:r>
      <w:r>
        <w:t xml:space="preserve"> (NCCD). The proportion of students with a disability varies considerably between States, as shown in </w:t>
      </w:r>
      <w:r>
        <w:fldChar w:fldCharType="begin"/>
      </w:r>
      <w:r>
        <w:instrText xml:space="preserve"> REF _Ref500333992 \h </w:instrText>
      </w:r>
      <w:r>
        <w:fldChar w:fldCharType="separate"/>
      </w:r>
      <w:r w:rsidR="003E224F">
        <w:t xml:space="preserve">Figure </w:t>
      </w:r>
      <w:r w:rsidR="003E224F">
        <w:rPr>
          <w:noProof/>
        </w:rPr>
        <w:t>1</w:t>
      </w:r>
      <w:r>
        <w:fldChar w:fldCharType="end"/>
      </w:r>
      <w:r>
        <w:t xml:space="preserve">. The Quality Schools funding formula indicates that students with a disability cost about </w:t>
      </w:r>
      <w:r w:rsidR="00C76DD6">
        <w:t>three</w:t>
      </w:r>
      <w:r>
        <w:t xml:space="preserve"> times as much as students without a disability. If State spending is </w:t>
      </w:r>
      <w:r w:rsidR="00BC1981">
        <w:t>also around this level</w:t>
      </w:r>
      <w:r>
        <w:t xml:space="preserve">, </w:t>
      </w:r>
      <w:r w:rsidRPr="00BA1EC3">
        <w:t>an assessment of students with a disability is likely to be highly material.</w:t>
      </w:r>
      <w:r w:rsidR="009055C8" w:rsidRPr="00BA1EC3">
        <w:t xml:space="preserve"> The NCCD classifies students into </w:t>
      </w:r>
      <w:r w:rsidR="00B32C24" w:rsidRPr="00BA1EC3">
        <w:t xml:space="preserve">one of 4 different categories, depending on the level of adjustment provided by the school to enable the student to participate in education on the same basis as other students.  </w:t>
      </w:r>
      <w:r w:rsidR="00B32C24" w:rsidRPr="00BA1EC3">
        <w:fldChar w:fldCharType="begin"/>
      </w:r>
      <w:r w:rsidR="00B32C24" w:rsidRPr="00BA1EC3">
        <w:instrText xml:space="preserve"> REF _Ref500333992 \h  \* MERGEFORMAT </w:instrText>
      </w:r>
      <w:r w:rsidR="00B32C24" w:rsidRPr="00BA1EC3">
        <w:fldChar w:fldCharType="separate"/>
      </w:r>
      <w:r w:rsidR="003E224F" w:rsidRPr="00BA1EC3">
        <w:t xml:space="preserve">Figure </w:t>
      </w:r>
      <w:r w:rsidR="003E224F" w:rsidRPr="00BA1EC3">
        <w:rPr>
          <w:noProof/>
        </w:rPr>
        <w:t>1</w:t>
      </w:r>
      <w:r w:rsidR="00B32C24" w:rsidRPr="00BA1EC3">
        <w:fldChar w:fldCharType="end"/>
      </w:r>
      <w:r w:rsidR="00B32C24" w:rsidRPr="00BA1EC3">
        <w:t xml:space="preserve"> shows the proportion of students who receive extensive or substantial adjustments, as these are likely to be significantly more costly to States. The quality schools funding formula applies a cost weight to 200,000 students, about the number receiving extensive or substantial adjustments. </w:t>
      </w:r>
    </w:p>
    <w:p w14:paraId="126A0F77" w14:textId="48DCA4E5" w:rsidR="005A2CE6" w:rsidRDefault="005A2CE6" w:rsidP="005A2CE6">
      <w:pPr>
        <w:pStyle w:val="Caption"/>
      </w:pPr>
      <w:bookmarkStart w:id="53" w:name="_Ref500333992"/>
      <w:r w:rsidRPr="00BA1EC3">
        <w:t xml:space="preserve">Figure </w:t>
      </w:r>
      <w:fldSimple w:instr=" SEQ Figure \* ARABIC ">
        <w:r w:rsidR="003E224F" w:rsidRPr="00BA1EC3">
          <w:rPr>
            <w:noProof/>
          </w:rPr>
          <w:t>1</w:t>
        </w:r>
      </w:fldSimple>
      <w:bookmarkEnd w:id="53"/>
      <w:r w:rsidRPr="00BA1EC3">
        <w:tab/>
        <w:t>Proportion of students with a disability</w:t>
      </w:r>
      <w:r w:rsidR="00B32C24" w:rsidRPr="00BA1EC3">
        <w:t xml:space="preserve"> provided with extensive or substantial educational adjustments.</w:t>
      </w:r>
    </w:p>
    <w:p w14:paraId="09E01093" w14:textId="77777777" w:rsidR="005A2CE6" w:rsidRDefault="005A2CE6" w:rsidP="005A2CE6">
      <w:r w:rsidRPr="00E437B6">
        <w:rPr>
          <w:noProof/>
          <w:lang w:eastAsia="en-AU"/>
        </w:rPr>
        <w:drawing>
          <wp:inline distT="0" distB="0" distL="0" distR="0" wp14:anchorId="4E1F8CA1" wp14:editId="40C7DED3">
            <wp:extent cx="5654675" cy="3562350"/>
            <wp:effectExtent l="0" t="0" r="3175" b="0"/>
            <wp:docPr id="2" name="Picture 2" descr="This figure shows the proportion of students with a disability varies considerably across States."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54675" cy="3562350"/>
                    </a:xfrm>
                    <a:prstGeom prst="rect">
                      <a:avLst/>
                    </a:prstGeom>
                    <a:noFill/>
                    <a:ln>
                      <a:noFill/>
                    </a:ln>
                  </pic:spPr>
                </pic:pic>
              </a:graphicData>
            </a:graphic>
          </wp:inline>
        </w:drawing>
      </w:r>
    </w:p>
    <w:p w14:paraId="73E87E6B" w14:textId="7146671C" w:rsidR="005A2CE6" w:rsidRPr="00397556" w:rsidRDefault="005A2CE6" w:rsidP="00397556">
      <w:pPr>
        <w:pStyle w:val="CGCTableFootnote"/>
      </w:pPr>
      <w:r w:rsidRPr="00397556">
        <w:t>Sou</w:t>
      </w:r>
      <w:r w:rsidR="003D13A3" w:rsidRPr="00397556">
        <w:t xml:space="preserve">rce: </w:t>
      </w:r>
      <w:r w:rsidR="00397556">
        <w:tab/>
      </w:r>
      <w:r w:rsidR="003D13A3" w:rsidRPr="00397556">
        <w:t>Council of Australian Governments (C</w:t>
      </w:r>
      <w:r w:rsidRPr="00397556">
        <w:t>OAG</w:t>
      </w:r>
      <w:r w:rsidR="003D13A3" w:rsidRPr="00397556">
        <w:t>)</w:t>
      </w:r>
      <w:r w:rsidRPr="00397556">
        <w:t xml:space="preserve"> Education Council</w:t>
      </w:r>
      <w:r w:rsidR="003D13A3" w:rsidRPr="00397556">
        <w:t>.</w:t>
      </w:r>
    </w:p>
    <w:p w14:paraId="3946C8E9" w14:textId="6DC50196" w:rsidR="005A2CE6" w:rsidRDefault="005A2CE6" w:rsidP="005A2CE6">
      <w:pPr>
        <w:pStyle w:val="CGCNumberedPara"/>
        <w:numPr>
          <w:ilvl w:val="1"/>
          <w:numId w:val="3"/>
        </w:numPr>
      </w:pPr>
      <w:r>
        <w:t xml:space="preserve">The measure of students with disabilities is explicitly labelled </w:t>
      </w:r>
      <w:r w:rsidR="00356E53">
        <w:t>‘n</w:t>
      </w:r>
      <w:r>
        <w:t>ationally consistent</w:t>
      </w:r>
      <w:r w:rsidR="00356E53">
        <w:t>’</w:t>
      </w:r>
      <w:r>
        <w:t xml:space="preserve">. However, the Commonwealth Education Minister Senator Simon Birmingham said </w:t>
      </w:r>
      <w:r w:rsidR="00356E53">
        <w:t>‘</w:t>
      </w:r>
      <w:r>
        <w:t xml:space="preserve">this data … hasn't come to a credible landing point just yet … There's much more </w:t>
      </w:r>
      <w:r>
        <w:lastRenderedPageBreak/>
        <w:t xml:space="preserve">work to be done by the </w:t>
      </w:r>
      <w:r w:rsidR="00C76DD6">
        <w:t>S</w:t>
      </w:r>
      <w:r>
        <w:t>tates and territories to ensure that (the NCCD data) truly is nationally consistent.</w:t>
      </w:r>
      <w:r w:rsidR="00356E53">
        <w:t>’</w:t>
      </w:r>
      <w:r>
        <w:rPr>
          <w:rStyle w:val="FootnoteReference"/>
        </w:rPr>
        <w:footnoteReference w:id="1"/>
      </w:r>
    </w:p>
    <w:p w14:paraId="6B96703A" w14:textId="77777777" w:rsidR="005A2CE6" w:rsidRDefault="005A2CE6" w:rsidP="005A2CE6">
      <w:pPr>
        <w:pStyle w:val="CGCNumberedPara"/>
        <w:numPr>
          <w:ilvl w:val="1"/>
          <w:numId w:val="3"/>
        </w:numPr>
      </w:pPr>
      <w:r>
        <w:t>It seems unlikely that the data will be proven to be reliable in time for the 2020</w:t>
      </w:r>
      <w:r w:rsidR="00757EFF">
        <w:t> </w:t>
      </w:r>
      <w:r>
        <w:t xml:space="preserve">Review. </w:t>
      </w:r>
    </w:p>
    <w:p w14:paraId="055C5C42" w14:textId="77777777" w:rsidR="005A2CE6" w:rsidRDefault="005A2CE6" w:rsidP="00E37A1D">
      <w:pPr>
        <w:pStyle w:val="NoSpacing"/>
      </w:pPr>
    </w:p>
    <w:tbl>
      <w:tblPr>
        <w:tblStyle w:val="TableGrid"/>
        <w:tblW w:w="0" w:type="auto"/>
        <w:tblLook w:val="04A0" w:firstRow="1" w:lastRow="0" w:firstColumn="1" w:lastColumn="0" w:noHBand="0" w:noVBand="1"/>
      </w:tblPr>
      <w:tblGrid>
        <w:gridCol w:w="8951"/>
      </w:tblGrid>
      <w:tr w:rsidR="005A2CE6" w14:paraId="34B2D462" w14:textId="77777777" w:rsidTr="00504F41">
        <w:tc>
          <w:tcPr>
            <w:tcW w:w="9167" w:type="dxa"/>
            <w:tcBorders>
              <w:top w:val="nil"/>
              <w:left w:val="nil"/>
              <w:bottom w:val="nil"/>
              <w:right w:val="nil"/>
            </w:tcBorders>
            <w:shd w:val="clear" w:color="auto" w:fill="D9F3E6"/>
          </w:tcPr>
          <w:p w14:paraId="434BF4C4" w14:textId="77777777" w:rsidR="005A2CE6" w:rsidRPr="003D13A3" w:rsidRDefault="005A2CE6" w:rsidP="00E37A1D">
            <w:r w:rsidRPr="003D13A3">
              <w:t>Staff propose to recommend the Commission:</w:t>
            </w:r>
          </w:p>
          <w:p w14:paraId="53F9E429" w14:textId="6E2276BA" w:rsidR="005A2CE6" w:rsidRDefault="003D13A3" w:rsidP="003D13A3">
            <w:pPr>
              <w:pStyle w:val="CGCBulletlist"/>
              <w:numPr>
                <w:ilvl w:val="0"/>
                <w:numId w:val="1"/>
              </w:numPr>
              <w:tabs>
                <w:tab w:val="clear" w:pos="927"/>
              </w:tabs>
              <w:ind w:left="1134" w:hanging="567"/>
            </w:pPr>
            <w:r>
              <w:t>n</w:t>
            </w:r>
            <w:r w:rsidR="005A2CE6">
              <w:t xml:space="preserve">ot incorporate students with a disability into the </w:t>
            </w:r>
            <w:r w:rsidR="00C76DD6">
              <w:t>S</w:t>
            </w:r>
            <w:r w:rsidR="005A2CE6">
              <w:t xml:space="preserve">chools </w:t>
            </w:r>
            <w:r w:rsidR="00C76DD6">
              <w:t xml:space="preserve">education </w:t>
            </w:r>
            <w:r w:rsidR="005A2CE6">
              <w:t xml:space="preserve">assessment unless it is clear these data are comparable across States. </w:t>
            </w:r>
          </w:p>
        </w:tc>
      </w:tr>
    </w:tbl>
    <w:p w14:paraId="4B8A8520" w14:textId="6790664E" w:rsidR="005A2CE6" w:rsidRDefault="005A2CE6" w:rsidP="005A2CE6">
      <w:pPr>
        <w:pStyle w:val="Heading4"/>
      </w:pPr>
      <w:bookmarkStart w:id="54" w:name="_Toc509318790"/>
      <w:bookmarkStart w:id="55" w:name="_Toc511744915"/>
      <w:r>
        <w:t xml:space="preserve">Policy effects on </w:t>
      </w:r>
      <w:r w:rsidR="00450D67">
        <w:t>States’ share</w:t>
      </w:r>
      <w:r w:rsidR="00656329">
        <w:t>s</w:t>
      </w:r>
      <w:r w:rsidR="00450D67">
        <w:t xml:space="preserve"> of </w:t>
      </w:r>
      <w:r>
        <w:t>government and non</w:t>
      </w:r>
      <w:r w:rsidR="00356E53">
        <w:noBreakHyphen/>
      </w:r>
      <w:r>
        <w:t>government students</w:t>
      </w:r>
      <w:bookmarkEnd w:id="54"/>
      <w:bookmarkEnd w:id="55"/>
    </w:p>
    <w:p w14:paraId="1C21E815" w14:textId="77777777" w:rsidR="005A2CE6" w:rsidRDefault="005A2CE6" w:rsidP="005A2CE6">
      <w:pPr>
        <w:pStyle w:val="CGCNumberedPara"/>
        <w:numPr>
          <w:ilvl w:val="1"/>
          <w:numId w:val="3"/>
        </w:numPr>
      </w:pPr>
      <w:r>
        <w:t xml:space="preserve">There are significant demographic drivers of school choice. Students from certain religious groups, from higher income families and from less remote areas are more likely to attend non-government schools. </w:t>
      </w:r>
    </w:p>
    <w:p w14:paraId="5BD11DBB" w14:textId="77777777" w:rsidR="005A2CE6" w:rsidRDefault="005A2CE6" w:rsidP="005A2CE6">
      <w:pPr>
        <w:pStyle w:val="CGCNumberedPara"/>
        <w:numPr>
          <w:ilvl w:val="1"/>
          <w:numId w:val="3"/>
        </w:numPr>
      </w:pPr>
      <w:r>
        <w:t xml:space="preserve">However there may also be some differences due to State government policy, such as the level of funding support and the quality of </w:t>
      </w:r>
      <w:r w:rsidR="00450D67">
        <w:t xml:space="preserve">the </w:t>
      </w:r>
      <w:r>
        <w:t>government school system.</w:t>
      </w:r>
    </w:p>
    <w:p w14:paraId="006E804E" w14:textId="16EBF4AE" w:rsidR="005A2CE6" w:rsidRDefault="005A2CE6" w:rsidP="005A2CE6">
      <w:pPr>
        <w:pStyle w:val="CGCNumberedPara"/>
        <w:numPr>
          <w:ilvl w:val="1"/>
          <w:numId w:val="3"/>
        </w:numPr>
      </w:pPr>
      <w:r>
        <w:t xml:space="preserve">Staff can calculate the expected share of non-government students in each State given the religious, income and remoteness mix of the student body in each State. </w:t>
      </w:r>
      <w:r>
        <w:fldChar w:fldCharType="begin"/>
      </w:r>
      <w:r>
        <w:instrText xml:space="preserve"> REF _Ref500334037 \h </w:instrText>
      </w:r>
      <w:r>
        <w:fldChar w:fldCharType="separate"/>
      </w:r>
      <w:r w:rsidR="003E224F">
        <w:t xml:space="preserve">Figure </w:t>
      </w:r>
      <w:r w:rsidR="003E224F">
        <w:rPr>
          <w:noProof/>
        </w:rPr>
        <w:t>2</w:t>
      </w:r>
      <w:r>
        <w:fldChar w:fldCharType="end"/>
      </w:r>
      <w:r>
        <w:t xml:space="preserve"> shows that New South Wales has 8% fewer non-government schools than would be expected given its socio-demographic mix, while South Australia (18%) and Tasmania (11%) have more than would be expected.</w:t>
      </w:r>
    </w:p>
    <w:p w14:paraId="2A3CDCFF" w14:textId="77777777" w:rsidR="005A2CE6" w:rsidRDefault="005A2CE6" w:rsidP="005A2CE6">
      <w:pPr>
        <w:pStyle w:val="CGCNumberedPara"/>
        <w:numPr>
          <w:ilvl w:val="1"/>
          <w:numId w:val="3"/>
        </w:numPr>
      </w:pPr>
      <w:r>
        <w:t xml:space="preserve">This could either reflect policy differences, or residual socio-demographic or other differences beyond the control of the State governments. </w:t>
      </w:r>
    </w:p>
    <w:p w14:paraId="7BF6E000" w14:textId="506C465C" w:rsidR="005A2CE6" w:rsidRDefault="005A2CE6" w:rsidP="005A2CE6">
      <w:pPr>
        <w:pStyle w:val="Caption"/>
      </w:pPr>
      <w:bookmarkStart w:id="56" w:name="_Ref500334037"/>
      <w:r>
        <w:lastRenderedPageBreak/>
        <w:t xml:space="preserve">Figure </w:t>
      </w:r>
      <w:fldSimple w:instr=" SEQ Figure \* ARABIC ">
        <w:r w:rsidR="003E224F">
          <w:rPr>
            <w:noProof/>
          </w:rPr>
          <w:t>2</w:t>
        </w:r>
      </w:fldSimple>
      <w:bookmarkEnd w:id="56"/>
      <w:r>
        <w:tab/>
        <w:t xml:space="preserve">Actual and expected </w:t>
      </w:r>
      <w:r w:rsidR="00D66C04">
        <w:t>non-</w:t>
      </w:r>
      <w:r>
        <w:t>government s</w:t>
      </w:r>
      <w:r w:rsidR="00356E53">
        <w:t>ector</w:t>
      </w:r>
      <w:r w:rsidR="00D66C04">
        <w:t xml:space="preserve"> share of enrolments</w:t>
      </w:r>
      <w:r>
        <w:t xml:space="preserve">, 2016 </w:t>
      </w:r>
    </w:p>
    <w:p w14:paraId="48FC62A3" w14:textId="77777777" w:rsidR="005A2CE6" w:rsidRDefault="005A2CE6" w:rsidP="00D66C04">
      <w:pPr>
        <w:pStyle w:val="CGCTableFootnote"/>
      </w:pPr>
      <w:r w:rsidRPr="00FC1F5B">
        <w:rPr>
          <w:noProof/>
          <w:lang w:eastAsia="en-AU"/>
        </w:rPr>
        <w:drawing>
          <wp:inline distT="0" distB="0" distL="0" distR="0" wp14:anchorId="09692A54" wp14:editId="09E94057">
            <wp:extent cx="5657850" cy="3562350"/>
            <wp:effectExtent l="0" t="0" r="0" b="0"/>
            <wp:docPr id="4" name="Picture 4" descr="Figure 2 shows the actual and expected share of non-government students in each State. "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57850" cy="3562350"/>
                    </a:xfrm>
                    <a:prstGeom prst="rect">
                      <a:avLst/>
                    </a:prstGeom>
                    <a:noFill/>
                    <a:ln>
                      <a:noFill/>
                    </a:ln>
                  </pic:spPr>
                </pic:pic>
              </a:graphicData>
            </a:graphic>
          </wp:inline>
        </w:drawing>
      </w:r>
    </w:p>
    <w:p w14:paraId="1560E866" w14:textId="09198D6F" w:rsidR="005A2CE6" w:rsidRPr="00397556" w:rsidRDefault="005A2CE6" w:rsidP="00397556">
      <w:pPr>
        <w:pStyle w:val="CGCTableFootnote"/>
      </w:pPr>
      <w:r w:rsidRPr="00397556">
        <w:t xml:space="preserve">Source: </w:t>
      </w:r>
      <w:r w:rsidR="00397556">
        <w:tab/>
      </w:r>
      <w:r w:rsidR="00356E53" w:rsidRPr="00397556">
        <w:t xml:space="preserve">Commission calculation, </w:t>
      </w:r>
      <w:r w:rsidRPr="00397556">
        <w:t xml:space="preserve">2016 Census </w:t>
      </w:r>
      <w:r w:rsidR="00757EFF" w:rsidRPr="00397556">
        <w:t>TableBuilder.</w:t>
      </w:r>
    </w:p>
    <w:p w14:paraId="41C05B16" w14:textId="77777777" w:rsidR="005A2CE6" w:rsidRDefault="005A2CE6" w:rsidP="005A2CE6">
      <w:pPr>
        <w:pStyle w:val="CGCNumberedPara"/>
        <w:numPr>
          <w:ilvl w:val="1"/>
          <w:numId w:val="3"/>
        </w:numPr>
      </w:pPr>
      <w:bookmarkStart w:id="57" w:name="_Ref460403183"/>
      <w:r>
        <w:t xml:space="preserve">There are some policy differences between States that are likely to influence sector of enrolment. The ACT only provides 11% of the funding per student to non-government students than it provides to government students, while Queensland provides nearly twice that (20%), and the Northern Territory 29%. </w:t>
      </w:r>
      <w:bookmarkEnd w:id="57"/>
    </w:p>
    <w:p w14:paraId="0B732028" w14:textId="77777777" w:rsidR="005A2CE6" w:rsidRDefault="005A2CE6" w:rsidP="005A2CE6">
      <w:pPr>
        <w:pStyle w:val="CGCNumberedPara"/>
        <w:numPr>
          <w:ilvl w:val="1"/>
          <w:numId w:val="3"/>
        </w:numPr>
      </w:pPr>
      <w:bookmarkStart w:id="58" w:name="_Ref460403190"/>
      <w:r>
        <w:t>Increasing income increases the chances of a child attending a non-government school. However, the cost of living varies significantly between States. In a high housing cost city such as Sydney, the increase in disposable income that comes from a higher income is not as great as in a low housing cost city. This potentially explains why the increase in non-government school attendance with increasing income is much less in Sydney than in Adelaide or Hobart.</w:t>
      </w:r>
      <w:bookmarkEnd w:id="58"/>
    </w:p>
    <w:p w14:paraId="5AA544BE" w14:textId="77777777" w:rsidR="005A2CE6" w:rsidRDefault="005A2CE6" w:rsidP="005A2CE6">
      <w:pPr>
        <w:pStyle w:val="CGCNumberedPara"/>
        <w:numPr>
          <w:ilvl w:val="1"/>
          <w:numId w:val="3"/>
        </w:numPr>
      </w:pPr>
      <w:r>
        <w:t xml:space="preserve">The South Australian system contains a large Lutheran school system. Lutheran schools provide for 13% of non-government enrolments in South Australia and 3% nationally. This network does not seem to be restricted to Lutheran families, but may offer a low-cost religious education alternative for parents who would not consider sending their children to a Catholic school. </w:t>
      </w:r>
    </w:p>
    <w:p w14:paraId="114B1F4B" w14:textId="06A3ECFC" w:rsidR="005A2CE6" w:rsidRDefault="005A2CE6" w:rsidP="005A2CE6">
      <w:pPr>
        <w:pStyle w:val="CGCNumberedPara"/>
        <w:numPr>
          <w:ilvl w:val="1"/>
          <w:numId w:val="3"/>
        </w:numPr>
      </w:pPr>
      <w:r>
        <w:t xml:space="preserve">This suggests that much of the differences between actual and expected enrolment patterns shown in </w:t>
      </w:r>
      <w:r>
        <w:fldChar w:fldCharType="begin"/>
      </w:r>
      <w:r>
        <w:instrText xml:space="preserve"> REF _Ref500334037 \h </w:instrText>
      </w:r>
      <w:r>
        <w:fldChar w:fldCharType="separate"/>
      </w:r>
      <w:r w:rsidR="003E224F">
        <w:t xml:space="preserve">Figure </w:t>
      </w:r>
      <w:r w:rsidR="003E224F">
        <w:rPr>
          <w:noProof/>
        </w:rPr>
        <w:t>2</w:t>
      </w:r>
      <w:r>
        <w:fldChar w:fldCharType="end"/>
      </w:r>
      <w:r>
        <w:t xml:space="preserve"> reflect circumstances beyond the control of the State government. </w:t>
      </w:r>
    </w:p>
    <w:p w14:paraId="09FC33CD" w14:textId="77777777" w:rsidR="005A2CE6" w:rsidRDefault="005A2CE6" w:rsidP="005A2CE6">
      <w:pPr>
        <w:pStyle w:val="CGCNumberedPara"/>
        <w:numPr>
          <w:ilvl w:val="1"/>
          <w:numId w:val="3"/>
        </w:numPr>
      </w:pPr>
      <w:r>
        <w:t xml:space="preserve">While there are likely to be some policy differences between States, staff consider that the actual proportion of non-government students is the best available measure </w:t>
      </w:r>
      <w:r>
        <w:lastRenderedPageBreak/>
        <w:t xml:space="preserve">of the policy neutral proportion of non-government students in each State. As such we propose using it. </w:t>
      </w:r>
    </w:p>
    <w:p w14:paraId="2B5BF1C0" w14:textId="77777777" w:rsidR="005A2CE6" w:rsidRDefault="005A2CE6" w:rsidP="00E37A1D">
      <w:pPr>
        <w:pStyle w:val="NoSpacing"/>
      </w:pPr>
    </w:p>
    <w:tbl>
      <w:tblPr>
        <w:tblStyle w:val="TableGrid"/>
        <w:tblW w:w="0" w:type="auto"/>
        <w:tblLook w:val="04A0" w:firstRow="1" w:lastRow="0" w:firstColumn="1" w:lastColumn="0" w:noHBand="0" w:noVBand="1"/>
      </w:tblPr>
      <w:tblGrid>
        <w:gridCol w:w="8951"/>
      </w:tblGrid>
      <w:tr w:rsidR="005A2CE6" w14:paraId="724ACF1A" w14:textId="77777777" w:rsidTr="00504F41">
        <w:tc>
          <w:tcPr>
            <w:tcW w:w="9167" w:type="dxa"/>
            <w:tcBorders>
              <w:top w:val="nil"/>
              <w:left w:val="nil"/>
              <w:bottom w:val="nil"/>
              <w:right w:val="nil"/>
            </w:tcBorders>
            <w:shd w:val="clear" w:color="auto" w:fill="D9F3E6"/>
          </w:tcPr>
          <w:p w14:paraId="01562806" w14:textId="77777777" w:rsidR="005A2CE6" w:rsidRDefault="005A2CE6" w:rsidP="00E37A1D">
            <w:r w:rsidRPr="00205564">
              <w:t>Staff propose to recommend the Commission:</w:t>
            </w:r>
          </w:p>
          <w:p w14:paraId="614A166A" w14:textId="77777777" w:rsidR="005A2CE6" w:rsidRDefault="003D13A3" w:rsidP="003D13A3">
            <w:pPr>
              <w:pStyle w:val="CGCBulletlist"/>
              <w:numPr>
                <w:ilvl w:val="0"/>
                <w:numId w:val="1"/>
              </w:numPr>
              <w:tabs>
                <w:tab w:val="clear" w:pos="927"/>
              </w:tabs>
              <w:ind w:left="1134" w:hanging="567"/>
            </w:pPr>
            <w:r>
              <w:t>u</w:t>
            </w:r>
            <w:r w:rsidR="005A2CE6">
              <w:t>se the actual numbers of government and non-government students in each State.</w:t>
            </w:r>
          </w:p>
        </w:tc>
      </w:tr>
    </w:tbl>
    <w:p w14:paraId="3AF801A5" w14:textId="77777777" w:rsidR="005A2CE6" w:rsidRPr="00741FF2" w:rsidRDefault="005A2CE6" w:rsidP="005A2CE6">
      <w:pPr>
        <w:pStyle w:val="Heading4"/>
      </w:pPr>
      <w:bookmarkStart w:id="59" w:name="_Toc509318791"/>
      <w:bookmarkStart w:id="60" w:name="_Toc511744916"/>
      <w:r>
        <w:t>Student transport</w:t>
      </w:r>
      <w:bookmarkEnd w:id="59"/>
      <w:bookmarkEnd w:id="60"/>
    </w:p>
    <w:p w14:paraId="5763F1AE" w14:textId="28D96DFD" w:rsidR="005A2CE6" w:rsidRDefault="005A2CE6" w:rsidP="005A2CE6">
      <w:pPr>
        <w:pStyle w:val="CGCNumberedPara"/>
        <w:numPr>
          <w:ilvl w:val="1"/>
          <w:numId w:val="3"/>
        </w:numPr>
      </w:pPr>
      <w:r>
        <w:t xml:space="preserve">The current assessment of student transport is based on poor quality data and is immaterial. The standard, of $1.6 billion in 2015-16, is not thought to be reliable, as some States struggle to separate the costs of transport of school students from the costs of transport of other people. Because of this difficulty, the split between urban and rural transport is based on an assumed 50-50 split, as State GFS data </w:t>
      </w:r>
      <w:r w:rsidR="00356E53">
        <w:t xml:space="preserve">are </w:t>
      </w:r>
      <w:r>
        <w:t xml:space="preserve">deemed too unreliable. </w:t>
      </w:r>
    </w:p>
    <w:p w14:paraId="303B78C7" w14:textId="3B31B861" w:rsidR="005A2CE6" w:rsidRDefault="005A2CE6" w:rsidP="005A2CE6">
      <w:pPr>
        <w:pStyle w:val="CGCNumberedPara"/>
        <w:numPr>
          <w:ilvl w:val="1"/>
          <w:numId w:val="3"/>
        </w:numPr>
      </w:pPr>
      <w:r>
        <w:t>The Commission has a rather complex assessment incorporating road distance to nearest town of 1</w:t>
      </w:r>
      <w:r w:rsidR="00D20EEC">
        <w:t xml:space="preserve"> </w:t>
      </w:r>
      <w:r>
        <w:t xml:space="preserve">000 people and the number of students within 60km (primary school) or 80km (secondary school) of such a town, which staff consider is not necessarily an accurate proxy of the costs of student transport. </w:t>
      </w:r>
    </w:p>
    <w:p w14:paraId="74953897" w14:textId="77777777" w:rsidR="005A2CE6" w:rsidRDefault="005A2CE6" w:rsidP="005A2CE6">
      <w:pPr>
        <w:pStyle w:val="CGCNumberedPara"/>
        <w:numPr>
          <w:ilvl w:val="1"/>
          <w:numId w:val="3"/>
        </w:numPr>
      </w:pPr>
      <w:r>
        <w:t xml:space="preserve">The overall assessment is immaterial, redistributing $27 per capita to the Northern Territory. </w:t>
      </w:r>
    </w:p>
    <w:p w14:paraId="1BA8F1F1" w14:textId="77777777" w:rsidR="005A2CE6" w:rsidRDefault="005A2CE6" w:rsidP="005A2CE6">
      <w:pPr>
        <w:pStyle w:val="CGCNumberedPara"/>
        <w:numPr>
          <w:ilvl w:val="1"/>
          <w:numId w:val="3"/>
        </w:numPr>
      </w:pPr>
      <w:r>
        <w:t>Given the unreliability and immateriality of the assessment, staff consider it should not be separately assessed. These expenses could be:</w:t>
      </w:r>
    </w:p>
    <w:p w14:paraId="3B567268" w14:textId="736BE9DE" w:rsidR="005A2CE6" w:rsidRDefault="005A2CE6" w:rsidP="005A2CE6">
      <w:pPr>
        <w:pStyle w:val="CGCBulletlist"/>
        <w:numPr>
          <w:ilvl w:val="0"/>
          <w:numId w:val="1"/>
        </w:numPr>
        <w:tabs>
          <w:tab w:val="clear" w:pos="927"/>
        </w:tabs>
        <w:ind w:left="1134" w:hanging="567"/>
      </w:pPr>
      <w:r>
        <w:t>included in other expenses and not differentially assessed</w:t>
      </w:r>
    </w:p>
    <w:p w14:paraId="7E6FE109" w14:textId="77777777" w:rsidR="005A2CE6" w:rsidRDefault="005A2CE6" w:rsidP="005A2CE6">
      <w:pPr>
        <w:pStyle w:val="CGCBulletlist"/>
        <w:numPr>
          <w:ilvl w:val="0"/>
          <w:numId w:val="1"/>
        </w:numPr>
        <w:tabs>
          <w:tab w:val="clear" w:pos="927"/>
        </w:tabs>
        <w:ind w:left="1134" w:hanging="567"/>
      </w:pPr>
      <w:r>
        <w:t>grouped with school expenses and assessed using the state funded school education disabilities</w:t>
      </w:r>
    </w:p>
    <w:p w14:paraId="25190DA2" w14:textId="77777777" w:rsidR="005A2CE6" w:rsidRDefault="005A2CE6" w:rsidP="005A2CE6">
      <w:pPr>
        <w:pStyle w:val="CGCBulletlist"/>
        <w:numPr>
          <w:ilvl w:val="0"/>
          <w:numId w:val="1"/>
        </w:numPr>
        <w:tabs>
          <w:tab w:val="clear" w:pos="927"/>
        </w:tabs>
        <w:ind w:left="1134" w:hanging="567"/>
      </w:pPr>
      <w:r>
        <w:t xml:space="preserve">grouped with transport expenses and assessed using the urban transport assessment. </w:t>
      </w:r>
    </w:p>
    <w:p w14:paraId="4D2CC0F7" w14:textId="77777777" w:rsidR="005A2CE6" w:rsidRDefault="005A2CE6" w:rsidP="005A2CE6">
      <w:pPr>
        <w:pStyle w:val="CGCNumberedPara"/>
        <w:numPr>
          <w:ilvl w:val="1"/>
          <w:numId w:val="3"/>
        </w:numPr>
      </w:pPr>
      <w:r>
        <w:t>Staff consider that the poor quality of the expense data is because the split from other transport expenses is unreliable. Including it with such expenses will improve the quality of the expense data. The disabilities affecting the cost of transporting school children are likely to be more closely related to the disabilities affecting the cost of transporting other people, than to the disabilities affecting the cost of educating school children.</w:t>
      </w:r>
    </w:p>
    <w:p w14:paraId="48F397A6" w14:textId="20099407" w:rsidR="005A2CE6" w:rsidRDefault="005A2CE6" w:rsidP="005A2CE6">
      <w:pPr>
        <w:pStyle w:val="Caption"/>
      </w:pPr>
      <w:r>
        <w:lastRenderedPageBreak/>
        <w:t xml:space="preserve">Table </w:t>
      </w:r>
      <w:fldSimple w:instr=" SEQ Table \* ARABIC ">
        <w:r w:rsidR="003E224F">
          <w:rPr>
            <w:noProof/>
          </w:rPr>
          <w:t>3</w:t>
        </w:r>
      </w:fldSimple>
      <w:r>
        <w:tab/>
        <w:t>Assessment of transport of school students, 2015-16</w:t>
      </w:r>
    </w:p>
    <w:tbl>
      <w:tblPr>
        <w:tblW w:w="8935" w:type="dxa"/>
        <w:tblLayout w:type="fixed"/>
        <w:tblCellMar>
          <w:left w:w="0" w:type="dxa"/>
          <w:right w:w="0" w:type="dxa"/>
        </w:tblCellMar>
        <w:tblLook w:val="04A0" w:firstRow="1" w:lastRow="0" w:firstColumn="1" w:lastColumn="0" w:noHBand="0" w:noVBand="1"/>
      </w:tblPr>
      <w:tblGrid>
        <w:gridCol w:w="3080"/>
        <w:gridCol w:w="615"/>
        <w:gridCol w:w="640"/>
        <w:gridCol w:w="640"/>
        <w:gridCol w:w="640"/>
        <w:gridCol w:w="640"/>
        <w:gridCol w:w="640"/>
        <w:gridCol w:w="640"/>
        <w:gridCol w:w="640"/>
        <w:gridCol w:w="760"/>
      </w:tblGrid>
      <w:tr w:rsidR="005A2CE6" w:rsidRPr="00A25B04" w14:paraId="7BF9C796" w14:textId="77777777" w:rsidTr="00504F41">
        <w:trPr>
          <w:trHeight w:val="379"/>
        </w:trPr>
        <w:tc>
          <w:tcPr>
            <w:tcW w:w="3080" w:type="dxa"/>
            <w:tcBorders>
              <w:top w:val="single" w:sz="4" w:space="0" w:color="auto"/>
              <w:left w:val="nil"/>
              <w:bottom w:val="single" w:sz="4" w:space="0" w:color="auto"/>
              <w:right w:val="nil"/>
            </w:tcBorders>
            <w:shd w:val="clear" w:color="auto" w:fill="auto"/>
            <w:noWrap/>
            <w:vAlign w:val="center"/>
            <w:hideMark/>
          </w:tcPr>
          <w:p w14:paraId="440DA5ED" w14:textId="77777777" w:rsidR="005A2CE6" w:rsidRPr="00A25B04" w:rsidRDefault="005A2CE6" w:rsidP="00504F41">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bookmarkStart w:id="61" w:name="RANGE!A154:J159"/>
            <w:r w:rsidRPr="00A25B04">
              <w:rPr>
                <w:rFonts w:ascii="Calibri" w:eastAsia="Times New Roman" w:hAnsi="Calibri" w:cs="Times New Roman"/>
                <w:color w:val="000000"/>
                <w:sz w:val="20"/>
                <w:szCs w:val="20"/>
                <w:lang w:eastAsia="en-AU"/>
              </w:rPr>
              <w:t> </w:t>
            </w:r>
            <w:bookmarkEnd w:id="61"/>
          </w:p>
        </w:tc>
        <w:tc>
          <w:tcPr>
            <w:tcW w:w="615" w:type="dxa"/>
            <w:tcBorders>
              <w:top w:val="single" w:sz="4" w:space="0" w:color="auto"/>
              <w:left w:val="nil"/>
              <w:bottom w:val="single" w:sz="4" w:space="0" w:color="auto"/>
              <w:right w:val="nil"/>
            </w:tcBorders>
            <w:shd w:val="clear" w:color="auto" w:fill="auto"/>
            <w:noWrap/>
            <w:vAlign w:val="center"/>
            <w:hideMark/>
          </w:tcPr>
          <w:p w14:paraId="5AA36125"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NSW</w:t>
            </w:r>
          </w:p>
        </w:tc>
        <w:tc>
          <w:tcPr>
            <w:tcW w:w="640" w:type="dxa"/>
            <w:tcBorders>
              <w:top w:val="single" w:sz="4" w:space="0" w:color="auto"/>
              <w:left w:val="nil"/>
              <w:bottom w:val="single" w:sz="4" w:space="0" w:color="auto"/>
              <w:right w:val="nil"/>
            </w:tcBorders>
            <w:shd w:val="clear" w:color="auto" w:fill="auto"/>
            <w:noWrap/>
            <w:vAlign w:val="center"/>
            <w:hideMark/>
          </w:tcPr>
          <w:p w14:paraId="48D29F6F"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Vic</w:t>
            </w:r>
          </w:p>
        </w:tc>
        <w:tc>
          <w:tcPr>
            <w:tcW w:w="640" w:type="dxa"/>
            <w:tcBorders>
              <w:top w:val="single" w:sz="4" w:space="0" w:color="auto"/>
              <w:left w:val="nil"/>
              <w:bottom w:val="single" w:sz="4" w:space="0" w:color="auto"/>
              <w:right w:val="nil"/>
            </w:tcBorders>
            <w:shd w:val="clear" w:color="auto" w:fill="auto"/>
            <w:noWrap/>
            <w:vAlign w:val="center"/>
            <w:hideMark/>
          </w:tcPr>
          <w:p w14:paraId="533B3ABE"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Qld</w:t>
            </w:r>
          </w:p>
        </w:tc>
        <w:tc>
          <w:tcPr>
            <w:tcW w:w="640" w:type="dxa"/>
            <w:tcBorders>
              <w:top w:val="single" w:sz="4" w:space="0" w:color="auto"/>
              <w:left w:val="nil"/>
              <w:bottom w:val="single" w:sz="4" w:space="0" w:color="auto"/>
              <w:right w:val="nil"/>
            </w:tcBorders>
            <w:shd w:val="clear" w:color="auto" w:fill="auto"/>
            <w:noWrap/>
            <w:vAlign w:val="center"/>
            <w:hideMark/>
          </w:tcPr>
          <w:p w14:paraId="22496790"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WA</w:t>
            </w:r>
          </w:p>
        </w:tc>
        <w:tc>
          <w:tcPr>
            <w:tcW w:w="640" w:type="dxa"/>
            <w:tcBorders>
              <w:top w:val="single" w:sz="4" w:space="0" w:color="auto"/>
              <w:left w:val="nil"/>
              <w:bottom w:val="single" w:sz="4" w:space="0" w:color="auto"/>
              <w:right w:val="nil"/>
            </w:tcBorders>
            <w:shd w:val="clear" w:color="auto" w:fill="auto"/>
            <w:noWrap/>
            <w:vAlign w:val="center"/>
            <w:hideMark/>
          </w:tcPr>
          <w:p w14:paraId="7516BF4C"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SA</w:t>
            </w:r>
          </w:p>
        </w:tc>
        <w:tc>
          <w:tcPr>
            <w:tcW w:w="640" w:type="dxa"/>
            <w:tcBorders>
              <w:top w:val="single" w:sz="4" w:space="0" w:color="auto"/>
              <w:left w:val="nil"/>
              <w:bottom w:val="single" w:sz="4" w:space="0" w:color="auto"/>
              <w:right w:val="nil"/>
            </w:tcBorders>
            <w:shd w:val="clear" w:color="auto" w:fill="auto"/>
            <w:noWrap/>
            <w:vAlign w:val="center"/>
            <w:hideMark/>
          </w:tcPr>
          <w:p w14:paraId="04B5CB76"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Tas</w:t>
            </w:r>
          </w:p>
        </w:tc>
        <w:tc>
          <w:tcPr>
            <w:tcW w:w="640" w:type="dxa"/>
            <w:tcBorders>
              <w:top w:val="single" w:sz="4" w:space="0" w:color="auto"/>
              <w:left w:val="nil"/>
              <w:bottom w:val="single" w:sz="4" w:space="0" w:color="auto"/>
              <w:right w:val="nil"/>
            </w:tcBorders>
            <w:shd w:val="clear" w:color="auto" w:fill="auto"/>
            <w:noWrap/>
            <w:vAlign w:val="center"/>
            <w:hideMark/>
          </w:tcPr>
          <w:p w14:paraId="4D4B234A"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ACT</w:t>
            </w:r>
          </w:p>
        </w:tc>
        <w:tc>
          <w:tcPr>
            <w:tcW w:w="640" w:type="dxa"/>
            <w:tcBorders>
              <w:top w:val="single" w:sz="4" w:space="0" w:color="auto"/>
              <w:left w:val="nil"/>
              <w:bottom w:val="single" w:sz="4" w:space="0" w:color="auto"/>
              <w:right w:val="nil"/>
            </w:tcBorders>
            <w:shd w:val="clear" w:color="auto" w:fill="auto"/>
            <w:noWrap/>
            <w:vAlign w:val="center"/>
            <w:hideMark/>
          </w:tcPr>
          <w:p w14:paraId="5695BB47"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NT</w:t>
            </w:r>
          </w:p>
        </w:tc>
        <w:tc>
          <w:tcPr>
            <w:tcW w:w="760" w:type="dxa"/>
            <w:tcBorders>
              <w:top w:val="single" w:sz="4" w:space="0" w:color="auto"/>
              <w:left w:val="nil"/>
              <w:bottom w:val="single" w:sz="4" w:space="0" w:color="auto"/>
              <w:right w:val="nil"/>
            </w:tcBorders>
            <w:shd w:val="clear" w:color="auto" w:fill="auto"/>
            <w:noWrap/>
            <w:vAlign w:val="center"/>
            <w:hideMark/>
          </w:tcPr>
          <w:p w14:paraId="493E7420"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Total</w:t>
            </w:r>
          </w:p>
        </w:tc>
      </w:tr>
      <w:tr w:rsidR="005A2CE6" w:rsidRPr="00A25B04" w14:paraId="68E7F217" w14:textId="77777777" w:rsidTr="00504F41">
        <w:trPr>
          <w:trHeight w:val="259"/>
        </w:trPr>
        <w:tc>
          <w:tcPr>
            <w:tcW w:w="3080" w:type="dxa"/>
            <w:tcBorders>
              <w:top w:val="nil"/>
              <w:left w:val="nil"/>
              <w:bottom w:val="nil"/>
              <w:right w:val="nil"/>
            </w:tcBorders>
            <w:shd w:val="clear" w:color="auto" w:fill="auto"/>
            <w:noWrap/>
            <w:vAlign w:val="bottom"/>
            <w:hideMark/>
          </w:tcPr>
          <w:p w14:paraId="386ACF23" w14:textId="77777777" w:rsidR="005A2CE6" w:rsidRPr="00A25B04" w:rsidRDefault="005A2CE6" w:rsidP="00504F41">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615" w:type="dxa"/>
            <w:tcBorders>
              <w:top w:val="nil"/>
              <w:left w:val="nil"/>
              <w:bottom w:val="nil"/>
              <w:right w:val="nil"/>
            </w:tcBorders>
            <w:shd w:val="clear" w:color="auto" w:fill="auto"/>
            <w:noWrap/>
            <w:vAlign w:val="bottom"/>
            <w:hideMark/>
          </w:tcPr>
          <w:p w14:paraId="74993F1D"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$pc</w:t>
            </w:r>
          </w:p>
        </w:tc>
        <w:tc>
          <w:tcPr>
            <w:tcW w:w="640" w:type="dxa"/>
            <w:tcBorders>
              <w:top w:val="nil"/>
              <w:left w:val="nil"/>
              <w:bottom w:val="nil"/>
              <w:right w:val="nil"/>
            </w:tcBorders>
            <w:shd w:val="clear" w:color="auto" w:fill="auto"/>
            <w:noWrap/>
            <w:vAlign w:val="bottom"/>
            <w:hideMark/>
          </w:tcPr>
          <w:p w14:paraId="36172DBA"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$pc</w:t>
            </w:r>
          </w:p>
        </w:tc>
        <w:tc>
          <w:tcPr>
            <w:tcW w:w="640" w:type="dxa"/>
            <w:tcBorders>
              <w:top w:val="nil"/>
              <w:left w:val="nil"/>
              <w:bottom w:val="nil"/>
              <w:right w:val="nil"/>
            </w:tcBorders>
            <w:shd w:val="clear" w:color="auto" w:fill="auto"/>
            <w:noWrap/>
            <w:vAlign w:val="bottom"/>
            <w:hideMark/>
          </w:tcPr>
          <w:p w14:paraId="32420B84"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$pc</w:t>
            </w:r>
          </w:p>
        </w:tc>
        <w:tc>
          <w:tcPr>
            <w:tcW w:w="640" w:type="dxa"/>
            <w:tcBorders>
              <w:top w:val="nil"/>
              <w:left w:val="nil"/>
              <w:bottom w:val="nil"/>
              <w:right w:val="nil"/>
            </w:tcBorders>
            <w:shd w:val="clear" w:color="auto" w:fill="auto"/>
            <w:noWrap/>
            <w:vAlign w:val="bottom"/>
            <w:hideMark/>
          </w:tcPr>
          <w:p w14:paraId="2AC0A3B7"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$pc</w:t>
            </w:r>
          </w:p>
        </w:tc>
        <w:tc>
          <w:tcPr>
            <w:tcW w:w="640" w:type="dxa"/>
            <w:tcBorders>
              <w:top w:val="nil"/>
              <w:left w:val="nil"/>
              <w:bottom w:val="nil"/>
              <w:right w:val="nil"/>
            </w:tcBorders>
            <w:shd w:val="clear" w:color="auto" w:fill="auto"/>
            <w:noWrap/>
            <w:vAlign w:val="bottom"/>
            <w:hideMark/>
          </w:tcPr>
          <w:p w14:paraId="3B557860"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$pc</w:t>
            </w:r>
          </w:p>
        </w:tc>
        <w:tc>
          <w:tcPr>
            <w:tcW w:w="640" w:type="dxa"/>
            <w:tcBorders>
              <w:top w:val="nil"/>
              <w:left w:val="nil"/>
              <w:bottom w:val="nil"/>
              <w:right w:val="nil"/>
            </w:tcBorders>
            <w:shd w:val="clear" w:color="auto" w:fill="auto"/>
            <w:noWrap/>
            <w:vAlign w:val="bottom"/>
            <w:hideMark/>
          </w:tcPr>
          <w:p w14:paraId="58F7CCFF"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$pc</w:t>
            </w:r>
          </w:p>
        </w:tc>
        <w:tc>
          <w:tcPr>
            <w:tcW w:w="640" w:type="dxa"/>
            <w:tcBorders>
              <w:top w:val="nil"/>
              <w:left w:val="nil"/>
              <w:bottom w:val="nil"/>
              <w:right w:val="nil"/>
            </w:tcBorders>
            <w:shd w:val="clear" w:color="auto" w:fill="auto"/>
            <w:noWrap/>
            <w:vAlign w:val="bottom"/>
            <w:hideMark/>
          </w:tcPr>
          <w:p w14:paraId="35802F79"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$pc</w:t>
            </w:r>
          </w:p>
        </w:tc>
        <w:tc>
          <w:tcPr>
            <w:tcW w:w="640" w:type="dxa"/>
            <w:tcBorders>
              <w:top w:val="nil"/>
              <w:left w:val="nil"/>
              <w:bottom w:val="nil"/>
              <w:right w:val="nil"/>
            </w:tcBorders>
            <w:shd w:val="clear" w:color="auto" w:fill="auto"/>
            <w:noWrap/>
            <w:vAlign w:val="bottom"/>
            <w:hideMark/>
          </w:tcPr>
          <w:p w14:paraId="11AA10D3"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$pc</w:t>
            </w:r>
          </w:p>
        </w:tc>
        <w:tc>
          <w:tcPr>
            <w:tcW w:w="760" w:type="dxa"/>
            <w:tcBorders>
              <w:top w:val="nil"/>
              <w:left w:val="nil"/>
              <w:bottom w:val="nil"/>
              <w:right w:val="nil"/>
            </w:tcBorders>
            <w:shd w:val="clear" w:color="auto" w:fill="auto"/>
            <w:noWrap/>
            <w:vAlign w:val="bottom"/>
            <w:hideMark/>
          </w:tcPr>
          <w:p w14:paraId="4454164A"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$pc</w:t>
            </w:r>
          </w:p>
        </w:tc>
      </w:tr>
      <w:tr w:rsidR="005A2CE6" w:rsidRPr="00A25B04" w14:paraId="69AD5A91" w14:textId="77777777" w:rsidTr="00504F41">
        <w:trPr>
          <w:trHeight w:val="315"/>
        </w:trPr>
        <w:tc>
          <w:tcPr>
            <w:tcW w:w="3080" w:type="dxa"/>
            <w:tcBorders>
              <w:top w:val="nil"/>
              <w:left w:val="nil"/>
              <w:bottom w:val="nil"/>
              <w:right w:val="nil"/>
            </w:tcBorders>
            <w:shd w:val="clear" w:color="auto" w:fill="auto"/>
            <w:vAlign w:val="bottom"/>
            <w:hideMark/>
          </w:tcPr>
          <w:p w14:paraId="253F5B10" w14:textId="77777777" w:rsidR="005A2CE6" w:rsidRPr="00A25B04" w:rsidRDefault="005A2CE6" w:rsidP="00504F41">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Number of urban students</w:t>
            </w:r>
          </w:p>
        </w:tc>
        <w:tc>
          <w:tcPr>
            <w:tcW w:w="615" w:type="dxa"/>
            <w:tcBorders>
              <w:top w:val="nil"/>
              <w:left w:val="nil"/>
              <w:bottom w:val="nil"/>
              <w:right w:val="nil"/>
            </w:tcBorders>
            <w:shd w:val="clear" w:color="auto" w:fill="auto"/>
            <w:vAlign w:val="bottom"/>
            <w:hideMark/>
          </w:tcPr>
          <w:p w14:paraId="0A952E36"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32</w:t>
            </w:r>
          </w:p>
        </w:tc>
        <w:tc>
          <w:tcPr>
            <w:tcW w:w="640" w:type="dxa"/>
            <w:tcBorders>
              <w:top w:val="nil"/>
              <w:left w:val="nil"/>
              <w:bottom w:val="nil"/>
              <w:right w:val="nil"/>
            </w:tcBorders>
            <w:shd w:val="clear" w:color="auto" w:fill="auto"/>
            <w:vAlign w:val="bottom"/>
            <w:hideMark/>
          </w:tcPr>
          <w:p w14:paraId="181A8657"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33</w:t>
            </w:r>
          </w:p>
        </w:tc>
        <w:tc>
          <w:tcPr>
            <w:tcW w:w="640" w:type="dxa"/>
            <w:tcBorders>
              <w:top w:val="nil"/>
              <w:left w:val="nil"/>
              <w:bottom w:val="nil"/>
              <w:right w:val="nil"/>
            </w:tcBorders>
            <w:shd w:val="clear" w:color="auto" w:fill="auto"/>
            <w:vAlign w:val="bottom"/>
            <w:hideMark/>
          </w:tcPr>
          <w:p w14:paraId="4CA07E56"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33</w:t>
            </w:r>
          </w:p>
        </w:tc>
        <w:tc>
          <w:tcPr>
            <w:tcW w:w="640" w:type="dxa"/>
            <w:tcBorders>
              <w:top w:val="nil"/>
              <w:left w:val="nil"/>
              <w:bottom w:val="nil"/>
              <w:right w:val="nil"/>
            </w:tcBorders>
            <w:shd w:val="clear" w:color="auto" w:fill="auto"/>
            <w:vAlign w:val="bottom"/>
            <w:hideMark/>
          </w:tcPr>
          <w:p w14:paraId="441B9510"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35</w:t>
            </w:r>
          </w:p>
        </w:tc>
        <w:tc>
          <w:tcPr>
            <w:tcW w:w="640" w:type="dxa"/>
            <w:tcBorders>
              <w:top w:val="nil"/>
              <w:left w:val="nil"/>
              <w:bottom w:val="nil"/>
              <w:right w:val="nil"/>
            </w:tcBorders>
            <w:shd w:val="clear" w:color="auto" w:fill="auto"/>
            <w:vAlign w:val="bottom"/>
            <w:hideMark/>
          </w:tcPr>
          <w:p w14:paraId="71326F43"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31</w:t>
            </w:r>
          </w:p>
        </w:tc>
        <w:tc>
          <w:tcPr>
            <w:tcW w:w="640" w:type="dxa"/>
            <w:tcBorders>
              <w:top w:val="nil"/>
              <w:left w:val="nil"/>
              <w:bottom w:val="nil"/>
              <w:right w:val="nil"/>
            </w:tcBorders>
            <w:shd w:val="clear" w:color="auto" w:fill="auto"/>
            <w:vAlign w:val="bottom"/>
            <w:hideMark/>
          </w:tcPr>
          <w:p w14:paraId="36E33F1F"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24</w:t>
            </w:r>
          </w:p>
        </w:tc>
        <w:tc>
          <w:tcPr>
            <w:tcW w:w="640" w:type="dxa"/>
            <w:tcBorders>
              <w:top w:val="nil"/>
              <w:left w:val="nil"/>
              <w:bottom w:val="nil"/>
              <w:right w:val="nil"/>
            </w:tcBorders>
            <w:shd w:val="clear" w:color="auto" w:fill="auto"/>
            <w:vAlign w:val="bottom"/>
            <w:hideMark/>
          </w:tcPr>
          <w:p w14:paraId="46F963C0"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46</w:t>
            </w:r>
          </w:p>
        </w:tc>
        <w:tc>
          <w:tcPr>
            <w:tcW w:w="640" w:type="dxa"/>
            <w:tcBorders>
              <w:top w:val="nil"/>
              <w:left w:val="nil"/>
              <w:bottom w:val="nil"/>
              <w:right w:val="nil"/>
            </w:tcBorders>
            <w:shd w:val="clear" w:color="auto" w:fill="auto"/>
            <w:vAlign w:val="bottom"/>
            <w:hideMark/>
          </w:tcPr>
          <w:p w14:paraId="68748E45"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25</w:t>
            </w:r>
          </w:p>
        </w:tc>
        <w:tc>
          <w:tcPr>
            <w:tcW w:w="760" w:type="dxa"/>
            <w:tcBorders>
              <w:top w:val="nil"/>
              <w:left w:val="nil"/>
              <w:bottom w:val="nil"/>
              <w:right w:val="nil"/>
            </w:tcBorders>
            <w:shd w:val="clear" w:color="auto" w:fill="auto"/>
            <w:vAlign w:val="bottom"/>
            <w:hideMark/>
          </w:tcPr>
          <w:p w14:paraId="5A82DEE2"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33</w:t>
            </w:r>
          </w:p>
        </w:tc>
      </w:tr>
      <w:tr w:rsidR="005A2CE6" w:rsidRPr="00A25B04" w14:paraId="486C2F37" w14:textId="77777777" w:rsidTr="00504F41">
        <w:trPr>
          <w:trHeight w:val="315"/>
        </w:trPr>
        <w:tc>
          <w:tcPr>
            <w:tcW w:w="3080" w:type="dxa"/>
            <w:tcBorders>
              <w:top w:val="nil"/>
              <w:left w:val="nil"/>
              <w:bottom w:val="nil"/>
              <w:right w:val="nil"/>
            </w:tcBorders>
            <w:shd w:val="clear" w:color="auto" w:fill="auto"/>
            <w:vAlign w:val="bottom"/>
            <w:hideMark/>
          </w:tcPr>
          <w:p w14:paraId="3A785E0B" w14:textId="77777777" w:rsidR="005A2CE6" w:rsidRPr="00A25B04" w:rsidRDefault="005A2CE6" w:rsidP="00504F41">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Number of rural students</w:t>
            </w:r>
          </w:p>
        </w:tc>
        <w:tc>
          <w:tcPr>
            <w:tcW w:w="615" w:type="dxa"/>
            <w:tcBorders>
              <w:top w:val="nil"/>
              <w:left w:val="nil"/>
              <w:bottom w:val="nil"/>
              <w:right w:val="nil"/>
            </w:tcBorders>
            <w:shd w:val="clear" w:color="auto" w:fill="auto"/>
            <w:vAlign w:val="bottom"/>
            <w:hideMark/>
          </w:tcPr>
          <w:p w14:paraId="36BC9F04"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32</w:t>
            </w:r>
          </w:p>
        </w:tc>
        <w:tc>
          <w:tcPr>
            <w:tcW w:w="640" w:type="dxa"/>
            <w:tcBorders>
              <w:top w:val="nil"/>
              <w:left w:val="nil"/>
              <w:bottom w:val="nil"/>
              <w:right w:val="nil"/>
            </w:tcBorders>
            <w:shd w:val="clear" w:color="auto" w:fill="auto"/>
            <w:vAlign w:val="bottom"/>
            <w:hideMark/>
          </w:tcPr>
          <w:p w14:paraId="7D2D402E"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30</w:t>
            </w:r>
          </w:p>
        </w:tc>
        <w:tc>
          <w:tcPr>
            <w:tcW w:w="640" w:type="dxa"/>
            <w:tcBorders>
              <w:top w:val="nil"/>
              <w:left w:val="nil"/>
              <w:bottom w:val="nil"/>
              <w:right w:val="nil"/>
            </w:tcBorders>
            <w:shd w:val="clear" w:color="auto" w:fill="auto"/>
            <w:vAlign w:val="bottom"/>
            <w:hideMark/>
          </w:tcPr>
          <w:p w14:paraId="4C041BD9"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38</w:t>
            </w:r>
          </w:p>
        </w:tc>
        <w:tc>
          <w:tcPr>
            <w:tcW w:w="640" w:type="dxa"/>
            <w:tcBorders>
              <w:top w:val="nil"/>
              <w:left w:val="nil"/>
              <w:bottom w:val="nil"/>
              <w:right w:val="nil"/>
            </w:tcBorders>
            <w:shd w:val="clear" w:color="auto" w:fill="auto"/>
            <w:vAlign w:val="bottom"/>
            <w:hideMark/>
          </w:tcPr>
          <w:p w14:paraId="54AD267A"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26</w:t>
            </w:r>
          </w:p>
        </w:tc>
        <w:tc>
          <w:tcPr>
            <w:tcW w:w="640" w:type="dxa"/>
            <w:tcBorders>
              <w:top w:val="nil"/>
              <w:left w:val="nil"/>
              <w:bottom w:val="nil"/>
              <w:right w:val="nil"/>
            </w:tcBorders>
            <w:shd w:val="clear" w:color="auto" w:fill="auto"/>
            <w:vAlign w:val="bottom"/>
            <w:hideMark/>
          </w:tcPr>
          <w:p w14:paraId="11A9FD93"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38</w:t>
            </w:r>
          </w:p>
        </w:tc>
        <w:tc>
          <w:tcPr>
            <w:tcW w:w="640" w:type="dxa"/>
            <w:tcBorders>
              <w:top w:val="nil"/>
              <w:left w:val="nil"/>
              <w:bottom w:val="nil"/>
              <w:right w:val="nil"/>
            </w:tcBorders>
            <w:shd w:val="clear" w:color="auto" w:fill="auto"/>
            <w:vAlign w:val="bottom"/>
            <w:hideMark/>
          </w:tcPr>
          <w:p w14:paraId="4171AF6B"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60</w:t>
            </w:r>
          </w:p>
        </w:tc>
        <w:tc>
          <w:tcPr>
            <w:tcW w:w="640" w:type="dxa"/>
            <w:tcBorders>
              <w:top w:val="nil"/>
              <w:left w:val="nil"/>
              <w:bottom w:val="nil"/>
              <w:right w:val="nil"/>
            </w:tcBorders>
            <w:shd w:val="clear" w:color="auto" w:fill="auto"/>
            <w:vAlign w:val="bottom"/>
            <w:hideMark/>
          </w:tcPr>
          <w:p w14:paraId="41636C7F"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1</w:t>
            </w:r>
          </w:p>
        </w:tc>
        <w:tc>
          <w:tcPr>
            <w:tcW w:w="640" w:type="dxa"/>
            <w:tcBorders>
              <w:top w:val="nil"/>
              <w:left w:val="nil"/>
              <w:bottom w:val="nil"/>
              <w:right w:val="nil"/>
            </w:tcBorders>
            <w:shd w:val="clear" w:color="auto" w:fill="auto"/>
            <w:vAlign w:val="bottom"/>
            <w:hideMark/>
          </w:tcPr>
          <w:p w14:paraId="1E4608B3"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66</w:t>
            </w:r>
          </w:p>
        </w:tc>
        <w:tc>
          <w:tcPr>
            <w:tcW w:w="760" w:type="dxa"/>
            <w:tcBorders>
              <w:top w:val="nil"/>
              <w:left w:val="nil"/>
              <w:bottom w:val="nil"/>
              <w:right w:val="nil"/>
            </w:tcBorders>
            <w:shd w:val="clear" w:color="auto" w:fill="auto"/>
            <w:vAlign w:val="bottom"/>
            <w:hideMark/>
          </w:tcPr>
          <w:p w14:paraId="7FC87638"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33</w:t>
            </w:r>
          </w:p>
        </w:tc>
      </w:tr>
      <w:tr w:rsidR="005A2CE6" w:rsidRPr="00A25B04" w14:paraId="5926FABC" w14:textId="77777777" w:rsidTr="00504F41">
        <w:trPr>
          <w:trHeight w:val="315"/>
        </w:trPr>
        <w:tc>
          <w:tcPr>
            <w:tcW w:w="3080" w:type="dxa"/>
            <w:tcBorders>
              <w:top w:val="nil"/>
              <w:left w:val="nil"/>
              <w:bottom w:val="nil"/>
              <w:right w:val="nil"/>
            </w:tcBorders>
            <w:shd w:val="clear" w:color="auto" w:fill="auto"/>
            <w:vAlign w:val="bottom"/>
            <w:hideMark/>
          </w:tcPr>
          <w:p w14:paraId="795C27F8" w14:textId="77777777" w:rsidR="005A2CE6" w:rsidRPr="00A25B04" w:rsidRDefault="005A2CE6" w:rsidP="00504F41">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Distance travel</w:t>
            </w:r>
            <w:r>
              <w:rPr>
                <w:rFonts w:ascii="Calibri" w:eastAsia="Times New Roman" w:hAnsi="Calibri" w:cs="Times New Roman"/>
                <w:color w:val="000000"/>
                <w:sz w:val="20"/>
                <w:szCs w:val="20"/>
                <w:lang w:eastAsia="en-AU"/>
              </w:rPr>
              <w:t>l</w:t>
            </w:r>
            <w:r w:rsidRPr="00A25B04">
              <w:rPr>
                <w:rFonts w:ascii="Calibri" w:eastAsia="Times New Roman" w:hAnsi="Calibri" w:cs="Times New Roman"/>
                <w:color w:val="000000"/>
                <w:sz w:val="20"/>
                <w:szCs w:val="20"/>
                <w:lang w:eastAsia="en-AU"/>
              </w:rPr>
              <w:t>ed by rural students</w:t>
            </w:r>
          </w:p>
        </w:tc>
        <w:tc>
          <w:tcPr>
            <w:tcW w:w="615" w:type="dxa"/>
            <w:tcBorders>
              <w:top w:val="nil"/>
              <w:left w:val="nil"/>
              <w:bottom w:val="nil"/>
              <w:right w:val="nil"/>
            </w:tcBorders>
            <w:shd w:val="clear" w:color="auto" w:fill="auto"/>
            <w:vAlign w:val="bottom"/>
            <w:hideMark/>
          </w:tcPr>
          <w:p w14:paraId="5F7650E0"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2</w:t>
            </w:r>
          </w:p>
        </w:tc>
        <w:tc>
          <w:tcPr>
            <w:tcW w:w="640" w:type="dxa"/>
            <w:tcBorders>
              <w:top w:val="nil"/>
              <w:left w:val="nil"/>
              <w:bottom w:val="nil"/>
              <w:right w:val="nil"/>
            </w:tcBorders>
            <w:shd w:val="clear" w:color="auto" w:fill="auto"/>
            <w:vAlign w:val="bottom"/>
            <w:hideMark/>
          </w:tcPr>
          <w:p w14:paraId="59097DE9"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-3</w:t>
            </w:r>
          </w:p>
        </w:tc>
        <w:tc>
          <w:tcPr>
            <w:tcW w:w="640" w:type="dxa"/>
            <w:tcBorders>
              <w:top w:val="nil"/>
              <w:left w:val="nil"/>
              <w:bottom w:val="nil"/>
              <w:right w:val="nil"/>
            </w:tcBorders>
            <w:shd w:val="clear" w:color="auto" w:fill="auto"/>
            <w:vAlign w:val="bottom"/>
            <w:hideMark/>
          </w:tcPr>
          <w:p w14:paraId="5C3039FF"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-2</w:t>
            </w:r>
          </w:p>
        </w:tc>
        <w:tc>
          <w:tcPr>
            <w:tcW w:w="640" w:type="dxa"/>
            <w:tcBorders>
              <w:top w:val="nil"/>
              <w:left w:val="nil"/>
              <w:bottom w:val="nil"/>
              <w:right w:val="nil"/>
            </w:tcBorders>
            <w:shd w:val="clear" w:color="auto" w:fill="auto"/>
            <w:vAlign w:val="bottom"/>
            <w:hideMark/>
          </w:tcPr>
          <w:p w14:paraId="412DCA1F"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2</w:t>
            </w:r>
          </w:p>
        </w:tc>
        <w:tc>
          <w:tcPr>
            <w:tcW w:w="640" w:type="dxa"/>
            <w:tcBorders>
              <w:top w:val="nil"/>
              <w:left w:val="nil"/>
              <w:bottom w:val="nil"/>
              <w:right w:val="nil"/>
            </w:tcBorders>
            <w:shd w:val="clear" w:color="auto" w:fill="auto"/>
            <w:vAlign w:val="bottom"/>
            <w:hideMark/>
          </w:tcPr>
          <w:p w14:paraId="14AFE2FA"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5</w:t>
            </w:r>
          </w:p>
        </w:tc>
        <w:tc>
          <w:tcPr>
            <w:tcW w:w="640" w:type="dxa"/>
            <w:tcBorders>
              <w:top w:val="nil"/>
              <w:left w:val="nil"/>
              <w:bottom w:val="nil"/>
              <w:right w:val="nil"/>
            </w:tcBorders>
            <w:shd w:val="clear" w:color="auto" w:fill="auto"/>
            <w:vAlign w:val="bottom"/>
            <w:hideMark/>
          </w:tcPr>
          <w:p w14:paraId="3AA350E2"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0</w:t>
            </w:r>
          </w:p>
        </w:tc>
        <w:tc>
          <w:tcPr>
            <w:tcW w:w="640" w:type="dxa"/>
            <w:tcBorders>
              <w:top w:val="nil"/>
              <w:left w:val="nil"/>
              <w:bottom w:val="nil"/>
              <w:right w:val="nil"/>
            </w:tcBorders>
            <w:shd w:val="clear" w:color="auto" w:fill="auto"/>
            <w:vAlign w:val="bottom"/>
            <w:hideMark/>
          </w:tcPr>
          <w:p w14:paraId="2662D38E"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0</w:t>
            </w:r>
          </w:p>
        </w:tc>
        <w:tc>
          <w:tcPr>
            <w:tcW w:w="640" w:type="dxa"/>
            <w:tcBorders>
              <w:top w:val="nil"/>
              <w:left w:val="nil"/>
              <w:bottom w:val="nil"/>
              <w:right w:val="nil"/>
            </w:tcBorders>
            <w:shd w:val="clear" w:color="auto" w:fill="auto"/>
            <w:vAlign w:val="bottom"/>
            <w:hideMark/>
          </w:tcPr>
          <w:p w14:paraId="385AC62E"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-2</w:t>
            </w:r>
          </w:p>
        </w:tc>
        <w:tc>
          <w:tcPr>
            <w:tcW w:w="760" w:type="dxa"/>
            <w:tcBorders>
              <w:top w:val="nil"/>
              <w:left w:val="nil"/>
              <w:bottom w:val="nil"/>
              <w:right w:val="nil"/>
            </w:tcBorders>
            <w:shd w:val="clear" w:color="auto" w:fill="auto"/>
            <w:vAlign w:val="bottom"/>
            <w:hideMark/>
          </w:tcPr>
          <w:p w14:paraId="0D719327"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0</w:t>
            </w:r>
          </w:p>
        </w:tc>
      </w:tr>
      <w:tr w:rsidR="005A2CE6" w:rsidRPr="00A25B04" w14:paraId="108C48AF" w14:textId="77777777" w:rsidTr="00504F41">
        <w:trPr>
          <w:trHeight w:val="315"/>
        </w:trPr>
        <w:tc>
          <w:tcPr>
            <w:tcW w:w="3080" w:type="dxa"/>
            <w:tcBorders>
              <w:top w:val="nil"/>
              <w:left w:val="nil"/>
              <w:bottom w:val="single" w:sz="4" w:space="0" w:color="auto"/>
              <w:right w:val="nil"/>
            </w:tcBorders>
            <w:shd w:val="clear" w:color="auto" w:fill="auto"/>
            <w:vAlign w:val="bottom"/>
            <w:hideMark/>
          </w:tcPr>
          <w:p w14:paraId="476DE7A5" w14:textId="77777777" w:rsidR="005A2CE6" w:rsidRPr="00A25B04" w:rsidRDefault="005A2CE6" w:rsidP="00504F41">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Total transport of school students</w:t>
            </w:r>
          </w:p>
        </w:tc>
        <w:tc>
          <w:tcPr>
            <w:tcW w:w="615" w:type="dxa"/>
            <w:tcBorders>
              <w:top w:val="single" w:sz="4" w:space="0" w:color="auto"/>
              <w:left w:val="nil"/>
              <w:bottom w:val="single" w:sz="4" w:space="0" w:color="auto"/>
              <w:right w:val="nil"/>
            </w:tcBorders>
            <w:shd w:val="clear" w:color="auto" w:fill="auto"/>
            <w:vAlign w:val="bottom"/>
            <w:hideMark/>
          </w:tcPr>
          <w:p w14:paraId="5E5C8D9D"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67</w:t>
            </w:r>
          </w:p>
        </w:tc>
        <w:tc>
          <w:tcPr>
            <w:tcW w:w="640" w:type="dxa"/>
            <w:tcBorders>
              <w:top w:val="single" w:sz="4" w:space="0" w:color="auto"/>
              <w:left w:val="nil"/>
              <w:bottom w:val="single" w:sz="4" w:space="0" w:color="auto"/>
              <w:right w:val="nil"/>
            </w:tcBorders>
            <w:shd w:val="clear" w:color="auto" w:fill="auto"/>
            <w:vAlign w:val="bottom"/>
            <w:hideMark/>
          </w:tcPr>
          <w:p w14:paraId="1FB1B6B9"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59</w:t>
            </w:r>
          </w:p>
        </w:tc>
        <w:tc>
          <w:tcPr>
            <w:tcW w:w="640" w:type="dxa"/>
            <w:tcBorders>
              <w:top w:val="single" w:sz="4" w:space="0" w:color="auto"/>
              <w:left w:val="nil"/>
              <w:bottom w:val="single" w:sz="4" w:space="0" w:color="auto"/>
              <w:right w:val="nil"/>
            </w:tcBorders>
            <w:shd w:val="clear" w:color="auto" w:fill="auto"/>
            <w:vAlign w:val="bottom"/>
            <w:hideMark/>
          </w:tcPr>
          <w:p w14:paraId="7FBBA641"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69</w:t>
            </w:r>
          </w:p>
        </w:tc>
        <w:tc>
          <w:tcPr>
            <w:tcW w:w="640" w:type="dxa"/>
            <w:tcBorders>
              <w:top w:val="single" w:sz="4" w:space="0" w:color="auto"/>
              <w:left w:val="nil"/>
              <w:bottom w:val="single" w:sz="4" w:space="0" w:color="auto"/>
              <w:right w:val="nil"/>
            </w:tcBorders>
            <w:shd w:val="clear" w:color="auto" w:fill="auto"/>
            <w:vAlign w:val="bottom"/>
            <w:hideMark/>
          </w:tcPr>
          <w:p w14:paraId="5CE5FDA7"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62</w:t>
            </w:r>
          </w:p>
        </w:tc>
        <w:tc>
          <w:tcPr>
            <w:tcW w:w="640" w:type="dxa"/>
            <w:tcBorders>
              <w:top w:val="single" w:sz="4" w:space="0" w:color="auto"/>
              <w:left w:val="nil"/>
              <w:bottom w:val="single" w:sz="4" w:space="0" w:color="auto"/>
              <w:right w:val="nil"/>
            </w:tcBorders>
            <w:shd w:val="clear" w:color="auto" w:fill="auto"/>
            <w:vAlign w:val="bottom"/>
            <w:hideMark/>
          </w:tcPr>
          <w:p w14:paraId="7E40DB30"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74</w:t>
            </w:r>
          </w:p>
        </w:tc>
        <w:tc>
          <w:tcPr>
            <w:tcW w:w="640" w:type="dxa"/>
            <w:tcBorders>
              <w:top w:val="single" w:sz="4" w:space="0" w:color="auto"/>
              <w:left w:val="nil"/>
              <w:bottom w:val="single" w:sz="4" w:space="0" w:color="auto"/>
              <w:right w:val="nil"/>
            </w:tcBorders>
            <w:shd w:val="clear" w:color="auto" w:fill="auto"/>
            <w:vAlign w:val="bottom"/>
            <w:hideMark/>
          </w:tcPr>
          <w:p w14:paraId="1925B361"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84</w:t>
            </w:r>
          </w:p>
        </w:tc>
        <w:tc>
          <w:tcPr>
            <w:tcW w:w="640" w:type="dxa"/>
            <w:tcBorders>
              <w:top w:val="single" w:sz="4" w:space="0" w:color="auto"/>
              <w:left w:val="nil"/>
              <w:bottom w:val="single" w:sz="4" w:space="0" w:color="auto"/>
              <w:right w:val="nil"/>
            </w:tcBorders>
            <w:shd w:val="clear" w:color="auto" w:fill="auto"/>
            <w:vAlign w:val="bottom"/>
            <w:hideMark/>
          </w:tcPr>
          <w:p w14:paraId="565F5C4A"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46</w:t>
            </w:r>
          </w:p>
        </w:tc>
        <w:tc>
          <w:tcPr>
            <w:tcW w:w="640" w:type="dxa"/>
            <w:tcBorders>
              <w:top w:val="single" w:sz="4" w:space="0" w:color="auto"/>
              <w:left w:val="nil"/>
              <w:bottom w:val="single" w:sz="4" w:space="0" w:color="auto"/>
              <w:right w:val="nil"/>
            </w:tcBorders>
            <w:shd w:val="clear" w:color="auto" w:fill="auto"/>
            <w:vAlign w:val="bottom"/>
            <w:hideMark/>
          </w:tcPr>
          <w:p w14:paraId="23646ABC"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89</w:t>
            </w:r>
          </w:p>
        </w:tc>
        <w:tc>
          <w:tcPr>
            <w:tcW w:w="760" w:type="dxa"/>
            <w:tcBorders>
              <w:top w:val="single" w:sz="4" w:space="0" w:color="auto"/>
              <w:left w:val="nil"/>
              <w:bottom w:val="single" w:sz="4" w:space="0" w:color="auto"/>
              <w:right w:val="nil"/>
            </w:tcBorders>
            <w:shd w:val="clear" w:color="auto" w:fill="auto"/>
            <w:vAlign w:val="bottom"/>
            <w:hideMark/>
          </w:tcPr>
          <w:p w14:paraId="5E5F7EB2" w14:textId="77777777" w:rsidR="005A2CE6" w:rsidRPr="00A25B04" w:rsidRDefault="005A2CE6" w:rsidP="00504F41">
            <w:pPr>
              <w:keepNext/>
              <w:keepLines/>
              <w:tabs>
                <w:tab w:val="clear" w:pos="567"/>
              </w:tabs>
              <w:spacing w:after="0" w:line="240" w:lineRule="auto"/>
              <w:jc w:val="right"/>
              <w:rPr>
                <w:rFonts w:ascii="Calibri" w:eastAsia="Times New Roman" w:hAnsi="Calibri" w:cs="Times New Roman"/>
                <w:color w:val="000000"/>
                <w:sz w:val="20"/>
                <w:szCs w:val="20"/>
                <w:lang w:eastAsia="en-AU"/>
              </w:rPr>
            </w:pPr>
            <w:r w:rsidRPr="00A25B04">
              <w:rPr>
                <w:rFonts w:ascii="Calibri" w:eastAsia="Times New Roman" w:hAnsi="Calibri" w:cs="Times New Roman"/>
                <w:color w:val="000000"/>
                <w:sz w:val="20"/>
                <w:szCs w:val="20"/>
                <w:lang w:eastAsia="en-AU"/>
              </w:rPr>
              <w:t>66</w:t>
            </w:r>
          </w:p>
        </w:tc>
      </w:tr>
    </w:tbl>
    <w:p w14:paraId="70CD2921" w14:textId="77777777" w:rsidR="005A2CE6" w:rsidRDefault="005A2CE6" w:rsidP="005A2CE6">
      <w:pPr>
        <w:pStyle w:val="CGCTableFootnote"/>
      </w:pPr>
      <w:r>
        <w:t>Source:</w:t>
      </w:r>
      <w:r>
        <w:tab/>
        <w:t>Commission calculation.</w:t>
      </w:r>
    </w:p>
    <w:p w14:paraId="09AFC2BD" w14:textId="77777777" w:rsidR="005A2CE6" w:rsidRDefault="005A2CE6" w:rsidP="00E37A1D">
      <w:pPr>
        <w:pStyle w:val="NoSpacing"/>
      </w:pPr>
    </w:p>
    <w:tbl>
      <w:tblPr>
        <w:tblStyle w:val="TableGrid"/>
        <w:tblW w:w="0" w:type="auto"/>
        <w:tblLook w:val="04A0" w:firstRow="1" w:lastRow="0" w:firstColumn="1" w:lastColumn="0" w:noHBand="0" w:noVBand="1"/>
      </w:tblPr>
      <w:tblGrid>
        <w:gridCol w:w="8951"/>
      </w:tblGrid>
      <w:tr w:rsidR="005A2CE6" w14:paraId="684903FB" w14:textId="77777777" w:rsidTr="00504F41">
        <w:tc>
          <w:tcPr>
            <w:tcW w:w="9167" w:type="dxa"/>
            <w:tcBorders>
              <w:top w:val="nil"/>
              <w:left w:val="nil"/>
              <w:bottom w:val="nil"/>
              <w:right w:val="nil"/>
            </w:tcBorders>
            <w:shd w:val="clear" w:color="auto" w:fill="D9F3E6"/>
          </w:tcPr>
          <w:p w14:paraId="36CE87EE" w14:textId="77777777" w:rsidR="005A2CE6" w:rsidRDefault="005A2CE6" w:rsidP="00E37A1D">
            <w:r w:rsidRPr="00205564">
              <w:t>Staff propose to recommend the Commission:</w:t>
            </w:r>
          </w:p>
          <w:p w14:paraId="2C4182F0" w14:textId="5CA9A90E" w:rsidR="005A2CE6" w:rsidRDefault="005A2CE6" w:rsidP="000B556B">
            <w:pPr>
              <w:pStyle w:val="CGCBulletlist"/>
              <w:numPr>
                <w:ilvl w:val="0"/>
                <w:numId w:val="1"/>
              </w:numPr>
              <w:tabs>
                <w:tab w:val="clear" w:pos="927"/>
              </w:tabs>
              <w:ind w:left="1134" w:hanging="567"/>
            </w:pPr>
            <w:r>
              <w:t>include transport of school children expenses with transport expenses and assess th</w:t>
            </w:r>
            <w:r w:rsidR="000B556B">
              <w:t>is</w:t>
            </w:r>
            <w:r>
              <w:t xml:space="preserve"> using the same the disabilities as those for the urban transport assessment.</w:t>
            </w:r>
          </w:p>
        </w:tc>
      </w:tr>
    </w:tbl>
    <w:p w14:paraId="542AA95F" w14:textId="77777777" w:rsidR="005A2CE6" w:rsidRDefault="005A2CE6" w:rsidP="005A2CE6">
      <w:pPr>
        <w:pStyle w:val="Heading4"/>
      </w:pPr>
      <w:bookmarkStart w:id="62" w:name="_Toc509318792"/>
      <w:bookmarkStart w:id="63" w:name="_Toc511744917"/>
      <w:r>
        <w:t>Other issues considered and settled</w:t>
      </w:r>
      <w:bookmarkEnd w:id="62"/>
      <w:bookmarkEnd w:id="63"/>
    </w:p>
    <w:p w14:paraId="03B07EA7" w14:textId="77777777" w:rsidR="005A2CE6" w:rsidRDefault="005A2CE6" w:rsidP="005A2CE6">
      <w:pPr>
        <w:pStyle w:val="CGCNumberedPara"/>
        <w:numPr>
          <w:ilvl w:val="1"/>
          <w:numId w:val="3"/>
        </w:numPr>
      </w:pPr>
      <w:r>
        <w:t xml:space="preserve">Staff propose to recommend the retention of assessments for wages and service delivery scale. These disabilities are discussed further in separate chapters. </w:t>
      </w:r>
    </w:p>
    <w:p w14:paraId="24F777AE" w14:textId="777A8245" w:rsidR="005A2CE6" w:rsidRDefault="005A2CE6" w:rsidP="005A2CE6">
      <w:pPr>
        <w:pStyle w:val="Heading3"/>
      </w:pPr>
      <w:bookmarkStart w:id="64" w:name="_Toc509318793"/>
      <w:bookmarkStart w:id="65" w:name="_Toc511744918"/>
      <w:r w:rsidRPr="00FE3214">
        <w:t>Conclusion and way forward</w:t>
      </w:r>
      <w:bookmarkEnd w:id="64"/>
      <w:bookmarkEnd w:id="65"/>
    </w:p>
    <w:p w14:paraId="5C4C9454" w14:textId="14D3C3C7" w:rsidR="00024896" w:rsidRDefault="00024896" w:rsidP="00024896">
      <w:pPr>
        <w:pStyle w:val="CGCNumberedPara"/>
      </w:pPr>
      <w:r>
        <w:t xml:space="preserve">In conclusion, </w:t>
      </w:r>
      <w:r w:rsidR="00AD74FB">
        <w:t>s</w:t>
      </w:r>
      <w:r>
        <w:t>taff propose to redevelop the ACARA regression, changing the model specification and incorporating data from the Department of Education and Training.</w:t>
      </w:r>
    </w:p>
    <w:p w14:paraId="00E346B7" w14:textId="04D3463C" w:rsidR="00024896" w:rsidRDefault="00024896" w:rsidP="00024896">
      <w:pPr>
        <w:pStyle w:val="CGCNumberedPara"/>
      </w:pPr>
      <w:r>
        <w:t>Staff propose to remove two components of the assessment that are immaterial — Commonwealth funded non-government schools, and student transport.</w:t>
      </w:r>
    </w:p>
    <w:p w14:paraId="44B70BBA" w14:textId="77777777" w:rsidR="005A2CE6" w:rsidRPr="00741FF2" w:rsidRDefault="005A2CE6" w:rsidP="00E37A1D">
      <w:pPr>
        <w:pStyle w:val="Heading4"/>
      </w:pPr>
      <w:bookmarkStart w:id="66" w:name="_Toc509318794"/>
      <w:bookmarkStart w:id="67" w:name="_Toc511744919"/>
      <w:r w:rsidRPr="00741FF2">
        <w:lastRenderedPageBreak/>
        <w:t>Proposed assessment structure</w:t>
      </w:r>
      <w:bookmarkEnd w:id="66"/>
      <w:bookmarkEnd w:id="67"/>
    </w:p>
    <w:p w14:paraId="3D49BD48" w14:textId="77777777" w:rsidR="005A2CE6" w:rsidRDefault="005A2CE6" w:rsidP="00E37A1D">
      <w:pPr>
        <w:pStyle w:val="CGCNumberedPara"/>
        <w:keepNext/>
        <w:numPr>
          <w:ilvl w:val="1"/>
          <w:numId w:val="3"/>
        </w:numPr>
      </w:pPr>
      <w:r w:rsidRPr="00741FF2">
        <w:t xml:space="preserve">Staff propose the following assessment structure for this category in the </w:t>
      </w:r>
      <w:r>
        <w:t>2020 R</w:t>
      </w:r>
      <w:r w:rsidRPr="00741FF2">
        <w:t xml:space="preserve">eview. </w:t>
      </w:r>
    </w:p>
    <w:p w14:paraId="50EF3D69" w14:textId="7C00EC6F" w:rsidR="009E1ADA" w:rsidRDefault="009E1ADA" w:rsidP="00E37A1D">
      <w:pPr>
        <w:pStyle w:val="CGCTableHeading"/>
        <w:ind w:left="0" w:firstLine="0"/>
      </w:pPr>
      <w:r>
        <w:t xml:space="preserve">Table </w:t>
      </w:r>
      <w:fldSimple w:instr=" SEQ Table \* ARABIC ">
        <w:r w:rsidR="003E224F">
          <w:rPr>
            <w:noProof/>
          </w:rPr>
          <w:t>4</w:t>
        </w:r>
      </w:fldSimple>
      <w:r>
        <w:tab/>
        <w:t xml:space="preserve">Proposed </w:t>
      </w:r>
      <w:r w:rsidR="006C5110">
        <w:t>School education</w:t>
      </w:r>
      <w:r>
        <w:t xml:space="preserve"> category structure</w:t>
      </w:r>
    </w:p>
    <w:tbl>
      <w:tblPr>
        <w:tblStyle w:val="TableGrid"/>
        <w:tblW w:w="5000" w:type="pct"/>
        <w:tblLook w:val="04A0" w:firstRow="1" w:lastRow="0" w:firstColumn="1" w:lastColumn="0" w:noHBand="0" w:noVBand="1"/>
      </w:tblPr>
      <w:tblGrid>
        <w:gridCol w:w="1572"/>
        <w:gridCol w:w="1535"/>
        <w:gridCol w:w="5844"/>
      </w:tblGrid>
      <w:tr w:rsidR="009E1ADA" w14:paraId="205DC722" w14:textId="77777777" w:rsidTr="00F24C5D">
        <w:tc>
          <w:tcPr>
            <w:tcW w:w="857" w:type="pct"/>
            <w:tcBorders>
              <w:top w:val="single" w:sz="4" w:space="0" w:color="auto"/>
              <w:left w:val="nil"/>
              <w:bottom w:val="single" w:sz="4" w:space="0" w:color="auto"/>
              <w:right w:val="nil"/>
            </w:tcBorders>
            <w:hideMark/>
          </w:tcPr>
          <w:p w14:paraId="0513BF36" w14:textId="77777777" w:rsidR="009E1ADA" w:rsidRDefault="009E1ADA" w:rsidP="00E37A1D">
            <w:pPr>
              <w:keepNext/>
              <w:rPr>
                <w:sz w:val="20"/>
                <w:szCs w:val="20"/>
              </w:rPr>
            </w:pPr>
            <w:r>
              <w:rPr>
                <w:sz w:val="20"/>
                <w:szCs w:val="20"/>
              </w:rPr>
              <w:t>Component</w:t>
            </w:r>
          </w:p>
        </w:tc>
        <w:tc>
          <w:tcPr>
            <w:tcW w:w="868" w:type="pct"/>
            <w:tcBorders>
              <w:top w:val="single" w:sz="4" w:space="0" w:color="auto"/>
              <w:left w:val="nil"/>
              <w:bottom w:val="single" w:sz="4" w:space="0" w:color="auto"/>
              <w:right w:val="nil"/>
            </w:tcBorders>
            <w:hideMark/>
          </w:tcPr>
          <w:p w14:paraId="619B3AD4" w14:textId="77777777" w:rsidR="009E1ADA" w:rsidRDefault="009E1ADA" w:rsidP="00E37A1D">
            <w:pPr>
              <w:keepNext/>
              <w:rPr>
                <w:sz w:val="20"/>
                <w:szCs w:val="20"/>
              </w:rPr>
            </w:pPr>
            <w:r>
              <w:rPr>
                <w:sz w:val="20"/>
                <w:szCs w:val="20"/>
              </w:rPr>
              <w:t>Disability</w:t>
            </w:r>
          </w:p>
        </w:tc>
        <w:tc>
          <w:tcPr>
            <w:tcW w:w="3275" w:type="pct"/>
            <w:tcBorders>
              <w:top w:val="single" w:sz="4" w:space="0" w:color="auto"/>
              <w:left w:val="nil"/>
              <w:bottom w:val="single" w:sz="4" w:space="0" w:color="auto"/>
              <w:right w:val="nil"/>
            </w:tcBorders>
            <w:hideMark/>
          </w:tcPr>
          <w:p w14:paraId="1B2CCA68" w14:textId="77777777" w:rsidR="009E1ADA" w:rsidRDefault="009E1ADA" w:rsidP="00E37A1D">
            <w:pPr>
              <w:keepNext/>
              <w:rPr>
                <w:sz w:val="20"/>
                <w:szCs w:val="20"/>
              </w:rPr>
            </w:pPr>
            <w:r>
              <w:rPr>
                <w:sz w:val="20"/>
                <w:szCs w:val="20"/>
              </w:rPr>
              <w:t>Influence measured by disability</w:t>
            </w:r>
          </w:p>
        </w:tc>
      </w:tr>
      <w:tr w:rsidR="00820981" w14:paraId="17ADA2DA" w14:textId="77777777" w:rsidTr="00820981">
        <w:tc>
          <w:tcPr>
            <w:tcW w:w="857" w:type="pct"/>
            <w:tcBorders>
              <w:top w:val="nil"/>
              <w:left w:val="nil"/>
              <w:bottom w:val="nil"/>
              <w:right w:val="nil"/>
            </w:tcBorders>
            <w:hideMark/>
          </w:tcPr>
          <w:p w14:paraId="48AD248A" w14:textId="77777777" w:rsidR="00820981" w:rsidRDefault="00820981" w:rsidP="00E37A1D">
            <w:pPr>
              <w:keepNext/>
              <w:spacing w:after="60" w:line="240" w:lineRule="auto"/>
              <w:rPr>
                <w:sz w:val="20"/>
                <w:szCs w:val="20"/>
              </w:rPr>
            </w:pPr>
            <w:r>
              <w:rPr>
                <w:sz w:val="20"/>
                <w:szCs w:val="20"/>
              </w:rPr>
              <w:t>State funded school education</w:t>
            </w:r>
          </w:p>
        </w:tc>
        <w:tc>
          <w:tcPr>
            <w:tcW w:w="868" w:type="pct"/>
            <w:tcBorders>
              <w:top w:val="nil"/>
              <w:left w:val="nil"/>
              <w:bottom w:val="nil"/>
              <w:right w:val="nil"/>
            </w:tcBorders>
            <w:hideMark/>
          </w:tcPr>
          <w:p w14:paraId="355F9D06" w14:textId="77777777" w:rsidR="00820981" w:rsidRDefault="00820981" w:rsidP="00E37A1D">
            <w:pPr>
              <w:keepNext/>
              <w:spacing w:after="60" w:line="240" w:lineRule="auto"/>
              <w:rPr>
                <w:sz w:val="20"/>
                <w:szCs w:val="20"/>
              </w:rPr>
            </w:pPr>
            <w:r>
              <w:rPr>
                <w:sz w:val="20"/>
                <w:szCs w:val="20"/>
              </w:rPr>
              <w:t>SDC</w:t>
            </w:r>
          </w:p>
        </w:tc>
        <w:tc>
          <w:tcPr>
            <w:tcW w:w="3275" w:type="pct"/>
            <w:tcBorders>
              <w:top w:val="nil"/>
              <w:left w:val="nil"/>
              <w:bottom w:val="nil"/>
              <w:right w:val="nil"/>
            </w:tcBorders>
            <w:hideMark/>
          </w:tcPr>
          <w:p w14:paraId="3017AF52" w14:textId="77777777" w:rsidR="00820981" w:rsidRDefault="00820981" w:rsidP="00E37A1D">
            <w:pPr>
              <w:keepNext/>
              <w:spacing w:after="60" w:line="240" w:lineRule="auto"/>
              <w:rPr>
                <w:sz w:val="20"/>
                <w:szCs w:val="20"/>
              </w:rPr>
            </w:pPr>
            <w:r>
              <w:rPr>
                <w:sz w:val="20"/>
                <w:szCs w:val="20"/>
              </w:rPr>
              <w:t>Recognises that student numbers, adjusted for Indigeneity, low SES and remoteness affect the use and cost of providing services. Recognises that State support for non-government schools is less than for government schools.</w:t>
            </w:r>
          </w:p>
        </w:tc>
      </w:tr>
      <w:tr w:rsidR="00820981" w14:paraId="4065F598" w14:textId="77777777" w:rsidTr="00820981">
        <w:tc>
          <w:tcPr>
            <w:tcW w:w="857" w:type="pct"/>
            <w:tcBorders>
              <w:top w:val="nil"/>
              <w:left w:val="nil"/>
              <w:bottom w:val="nil"/>
              <w:right w:val="nil"/>
            </w:tcBorders>
          </w:tcPr>
          <w:p w14:paraId="7B4D324D" w14:textId="77777777" w:rsidR="00820981" w:rsidRDefault="00820981" w:rsidP="00E37A1D">
            <w:pPr>
              <w:keepNext/>
              <w:spacing w:after="60" w:line="240" w:lineRule="auto"/>
              <w:ind w:left="57"/>
              <w:rPr>
                <w:sz w:val="20"/>
                <w:szCs w:val="20"/>
              </w:rPr>
            </w:pPr>
          </w:p>
        </w:tc>
        <w:tc>
          <w:tcPr>
            <w:tcW w:w="868" w:type="pct"/>
            <w:tcBorders>
              <w:top w:val="nil"/>
              <w:left w:val="nil"/>
              <w:bottom w:val="nil"/>
              <w:right w:val="nil"/>
            </w:tcBorders>
            <w:hideMark/>
          </w:tcPr>
          <w:p w14:paraId="5B8F9B26" w14:textId="77777777" w:rsidR="00820981" w:rsidRDefault="00820981" w:rsidP="00E37A1D">
            <w:pPr>
              <w:keepNext/>
              <w:spacing w:after="60" w:line="240" w:lineRule="auto"/>
              <w:rPr>
                <w:sz w:val="20"/>
                <w:szCs w:val="20"/>
              </w:rPr>
            </w:pPr>
            <w:r>
              <w:rPr>
                <w:sz w:val="20"/>
                <w:szCs w:val="20"/>
              </w:rPr>
              <w:t>Wages</w:t>
            </w:r>
          </w:p>
        </w:tc>
        <w:tc>
          <w:tcPr>
            <w:tcW w:w="3275" w:type="pct"/>
            <w:tcBorders>
              <w:top w:val="nil"/>
              <w:left w:val="nil"/>
              <w:bottom w:val="nil"/>
              <w:right w:val="nil"/>
            </w:tcBorders>
            <w:hideMark/>
          </w:tcPr>
          <w:p w14:paraId="2F3FDF4A" w14:textId="77777777" w:rsidR="00820981" w:rsidRDefault="00820981" w:rsidP="00E37A1D">
            <w:pPr>
              <w:keepNext/>
              <w:spacing w:after="60" w:line="240" w:lineRule="auto"/>
              <w:rPr>
                <w:sz w:val="20"/>
                <w:szCs w:val="20"/>
              </w:rPr>
            </w:pPr>
            <w:r>
              <w:rPr>
                <w:sz w:val="20"/>
                <w:szCs w:val="20"/>
              </w:rPr>
              <w:t>Recognises the differences in the cost of labour between States</w:t>
            </w:r>
          </w:p>
        </w:tc>
      </w:tr>
      <w:tr w:rsidR="00820981" w14:paraId="09F4BFF6" w14:textId="77777777" w:rsidTr="00820981">
        <w:tc>
          <w:tcPr>
            <w:tcW w:w="857" w:type="pct"/>
            <w:tcBorders>
              <w:top w:val="nil"/>
              <w:left w:val="nil"/>
              <w:bottom w:val="single" w:sz="4" w:space="0" w:color="auto"/>
              <w:right w:val="nil"/>
            </w:tcBorders>
          </w:tcPr>
          <w:p w14:paraId="228BAEA6" w14:textId="77777777" w:rsidR="00820981" w:rsidRDefault="00820981" w:rsidP="00E37A1D">
            <w:pPr>
              <w:keepNext/>
              <w:spacing w:after="60" w:line="240" w:lineRule="auto"/>
              <w:ind w:left="57"/>
              <w:rPr>
                <w:sz w:val="20"/>
                <w:szCs w:val="20"/>
              </w:rPr>
            </w:pPr>
          </w:p>
        </w:tc>
        <w:tc>
          <w:tcPr>
            <w:tcW w:w="868" w:type="pct"/>
            <w:tcBorders>
              <w:top w:val="nil"/>
              <w:left w:val="nil"/>
              <w:bottom w:val="single" w:sz="4" w:space="0" w:color="auto"/>
              <w:right w:val="nil"/>
            </w:tcBorders>
            <w:hideMark/>
          </w:tcPr>
          <w:p w14:paraId="63B7D564" w14:textId="77777777" w:rsidR="00820981" w:rsidRDefault="00820981" w:rsidP="00E37A1D">
            <w:pPr>
              <w:keepNext/>
              <w:spacing w:after="60" w:line="240" w:lineRule="auto"/>
              <w:rPr>
                <w:sz w:val="20"/>
                <w:szCs w:val="20"/>
              </w:rPr>
            </w:pPr>
            <w:r>
              <w:rPr>
                <w:sz w:val="20"/>
                <w:szCs w:val="20"/>
              </w:rPr>
              <w:t>Service delivery scale</w:t>
            </w:r>
          </w:p>
        </w:tc>
        <w:tc>
          <w:tcPr>
            <w:tcW w:w="3275" w:type="pct"/>
            <w:tcBorders>
              <w:top w:val="nil"/>
              <w:left w:val="nil"/>
              <w:bottom w:val="single" w:sz="4" w:space="0" w:color="auto"/>
              <w:right w:val="nil"/>
            </w:tcBorders>
            <w:hideMark/>
          </w:tcPr>
          <w:p w14:paraId="1E825B49" w14:textId="77777777" w:rsidR="00820981" w:rsidRDefault="00820981" w:rsidP="00E37A1D">
            <w:pPr>
              <w:keepNext/>
              <w:spacing w:after="60" w:line="240" w:lineRule="auto"/>
              <w:rPr>
                <w:sz w:val="20"/>
                <w:szCs w:val="20"/>
              </w:rPr>
            </w:pPr>
            <w:r>
              <w:rPr>
                <w:sz w:val="20"/>
                <w:szCs w:val="20"/>
              </w:rPr>
              <w:t xml:space="preserve">Recognises the diseconomies of small schools in small isolated communities. </w:t>
            </w:r>
          </w:p>
        </w:tc>
      </w:tr>
      <w:tr w:rsidR="009E1ADA" w14:paraId="773094B7" w14:textId="77777777" w:rsidTr="00820981">
        <w:tc>
          <w:tcPr>
            <w:tcW w:w="857" w:type="pct"/>
            <w:tcBorders>
              <w:top w:val="single" w:sz="4" w:space="0" w:color="auto"/>
              <w:left w:val="nil"/>
              <w:bottom w:val="nil"/>
              <w:right w:val="nil"/>
            </w:tcBorders>
            <w:hideMark/>
          </w:tcPr>
          <w:p w14:paraId="0D74FBF0" w14:textId="77777777" w:rsidR="009E1ADA" w:rsidRDefault="009E1ADA" w:rsidP="00E37A1D">
            <w:pPr>
              <w:keepNext/>
              <w:spacing w:after="60" w:line="240" w:lineRule="auto"/>
              <w:ind w:left="57"/>
              <w:rPr>
                <w:sz w:val="20"/>
                <w:szCs w:val="20"/>
              </w:rPr>
            </w:pPr>
            <w:r>
              <w:rPr>
                <w:sz w:val="20"/>
                <w:szCs w:val="20"/>
              </w:rPr>
              <w:t>Commonwealth funded school education</w:t>
            </w:r>
          </w:p>
        </w:tc>
        <w:tc>
          <w:tcPr>
            <w:tcW w:w="868" w:type="pct"/>
            <w:tcBorders>
              <w:top w:val="single" w:sz="4" w:space="0" w:color="auto"/>
              <w:left w:val="nil"/>
              <w:bottom w:val="nil"/>
              <w:right w:val="nil"/>
            </w:tcBorders>
            <w:hideMark/>
          </w:tcPr>
          <w:p w14:paraId="5BF1E92C" w14:textId="77777777" w:rsidR="009E1ADA" w:rsidRDefault="009E1ADA" w:rsidP="00E37A1D">
            <w:pPr>
              <w:keepNext/>
              <w:spacing w:after="60" w:line="240" w:lineRule="auto"/>
              <w:rPr>
                <w:sz w:val="20"/>
                <w:szCs w:val="20"/>
              </w:rPr>
            </w:pPr>
            <w:r>
              <w:rPr>
                <w:sz w:val="20"/>
                <w:szCs w:val="20"/>
              </w:rPr>
              <w:t>SDC</w:t>
            </w:r>
          </w:p>
        </w:tc>
        <w:tc>
          <w:tcPr>
            <w:tcW w:w="3275" w:type="pct"/>
            <w:tcBorders>
              <w:top w:val="single" w:sz="4" w:space="0" w:color="auto"/>
              <w:left w:val="nil"/>
              <w:bottom w:val="nil"/>
              <w:right w:val="nil"/>
            </w:tcBorders>
            <w:hideMark/>
          </w:tcPr>
          <w:p w14:paraId="6A8B25A8" w14:textId="4EEC47B3" w:rsidR="009E1ADA" w:rsidRDefault="009E1ADA" w:rsidP="00E37A1D">
            <w:pPr>
              <w:keepNext/>
              <w:spacing w:after="60" w:line="240" w:lineRule="auto"/>
              <w:rPr>
                <w:sz w:val="20"/>
                <w:szCs w:val="20"/>
              </w:rPr>
            </w:pPr>
            <w:r>
              <w:rPr>
                <w:sz w:val="20"/>
                <w:szCs w:val="20"/>
              </w:rPr>
              <w:t xml:space="preserve">Recognises the 2015 </w:t>
            </w:r>
            <w:r w:rsidR="006B3CF7">
              <w:rPr>
                <w:sz w:val="20"/>
                <w:szCs w:val="20"/>
              </w:rPr>
              <w:t>R</w:t>
            </w:r>
            <w:r>
              <w:rPr>
                <w:sz w:val="20"/>
                <w:szCs w:val="20"/>
              </w:rPr>
              <w:t>eview terms of reference instruct</w:t>
            </w:r>
            <w:r w:rsidR="006B3CF7">
              <w:rPr>
                <w:sz w:val="20"/>
                <w:szCs w:val="20"/>
              </w:rPr>
              <w:t>ing</w:t>
            </w:r>
            <w:r>
              <w:rPr>
                <w:sz w:val="20"/>
                <w:szCs w:val="20"/>
              </w:rPr>
              <w:t xml:space="preserve"> </w:t>
            </w:r>
            <w:r w:rsidR="00AD74FB">
              <w:rPr>
                <w:sz w:val="20"/>
                <w:szCs w:val="20"/>
              </w:rPr>
              <w:t xml:space="preserve">the Commission </w:t>
            </w:r>
            <w:r>
              <w:rPr>
                <w:sz w:val="20"/>
                <w:szCs w:val="20"/>
              </w:rPr>
              <w:t>not to unwind the funding allocated for educational disadvantage by the Commonwealth</w:t>
            </w:r>
          </w:p>
        </w:tc>
      </w:tr>
      <w:tr w:rsidR="009E1ADA" w14:paraId="28AB33B6" w14:textId="77777777" w:rsidTr="00F24C5D">
        <w:tc>
          <w:tcPr>
            <w:tcW w:w="857" w:type="pct"/>
            <w:tcBorders>
              <w:top w:val="nil"/>
              <w:left w:val="nil"/>
              <w:bottom w:val="single" w:sz="4" w:space="0" w:color="auto"/>
              <w:right w:val="nil"/>
            </w:tcBorders>
          </w:tcPr>
          <w:p w14:paraId="1DC625E5" w14:textId="77777777" w:rsidR="009E1ADA" w:rsidRDefault="009E1ADA" w:rsidP="00E37A1D">
            <w:pPr>
              <w:keepNext/>
              <w:spacing w:after="60" w:line="240" w:lineRule="auto"/>
              <w:ind w:left="57"/>
              <w:rPr>
                <w:sz w:val="20"/>
                <w:szCs w:val="20"/>
              </w:rPr>
            </w:pPr>
          </w:p>
        </w:tc>
        <w:tc>
          <w:tcPr>
            <w:tcW w:w="868" w:type="pct"/>
            <w:tcBorders>
              <w:top w:val="nil"/>
              <w:left w:val="nil"/>
              <w:bottom w:val="single" w:sz="4" w:space="0" w:color="auto"/>
              <w:right w:val="nil"/>
            </w:tcBorders>
          </w:tcPr>
          <w:p w14:paraId="55A88DF1" w14:textId="77777777" w:rsidR="009E1ADA" w:rsidRDefault="009E1ADA" w:rsidP="00E37A1D">
            <w:pPr>
              <w:keepNext/>
              <w:spacing w:after="60" w:line="240" w:lineRule="auto"/>
              <w:rPr>
                <w:sz w:val="20"/>
                <w:szCs w:val="20"/>
              </w:rPr>
            </w:pPr>
            <w:r>
              <w:rPr>
                <w:sz w:val="20"/>
                <w:szCs w:val="20"/>
              </w:rPr>
              <w:t>Wages</w:t>
            </w:r>
          </w:p>
        </w:tc>
        <w:tc>
          <w:tcPr>
            <w:tcW w:w="3275" w:type="pct"/>
            <w:tcBorders>
              <w:top w:val="nil"/>
              <w:left w:val="nil"/>
              <w:bottom w:val="single" w:sz="4" w:space="0" w:color="auto"/>
              <w:right w:val="nil"/>
            </w:tcBorders>
          </w:tcPr>
          <w:p w14:paraId="3E5A48E4" w14:textId="77777777" w:rsidR="009E1ADA" w:rsidRDefault="009E1ADA" w:rsidP="00E37A1D">
            <w:pPr>
              <w:keepNext/>
              <w:spacing w:after="60" w:line="240" w:lineRule="auto"/>
              <w:rPr>
                <w:sz w:val="20"/>
                <w:szCs w:val="20"/>
              </w:rPr>
            </w:pPr>
            <w:r>
              <w:rPr>
                <w:sz w:val="20"/>
                <w:szCs w:val="20"/>
              </w:rPr>
              <w:t>Recognises the differences in the cost of labour between States</w:t>
            </w:r>
          </w:p>
        </w:tc>
      </w:tr>
      <w:bookmarkEnd w:id="6"/>
      <w:bookmarkEnd w:id="7"/>
      <w:bookmarkEnd w:id="8"/>
      <w:bookmarkEnd w:id="9"/>
      <w:bookmarkEnd w:id="10"/>
      <w:bookmarkEnd w:id="11"/>
      <w:bookmarkEnd w:id="12"/>
      <w:bookmarkEnd w:id="13"/>
    </w:tbl>
    <w:p w14:paraId="0718EBA3" w14:textId="61DA414D" w:rsidR="00BB712B" w:rsidRPr="00BB712B" w:rsidRDefault="00BB712B" w:rsidP="00E37A1D">
      <w:pPr>
        <w:pStyle w:val="CGCNumberedPara"/>
        <w:keepNext/>
        <w:numPr>
          <w:ilvl w:val="0"/>
          <w:numId w:val="0"/>
        </w:numPr>
      </w:pPr>
    </w:p>
    <w:sectPr w:rsidR="00BB712B" w:rsidRPr="00BB712B" w:rsidSect="00676B82">
      <w:footerReference w:type="default" r:id="rId24"/>
      <w:footerReference w:type="first" r:id="rId25"/>
      <w:pgSz w:w="11899" w:h="16838" w:code="9"/>
      <w:pgMar w:top="1701" w:right="1474" w:bottom="1701" w:left="1474" w:header="709" w:footer="709" w:gutter="0"/>
      <w:pgNumType w:start="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54C7B" w14:textId="77777777" w:rsidR="009055C8" w:rsidRDefault="009055C8">
      <w:r>
        <w:separator/>
      </w:r>
    </w:p>
  </w:endnote>
  <w:endnote w:type="continuationSeparator" w:id="0">
    <w:p w14:paraId="4FFC9F57" w14:textId="77777777" w:rsidR="009055C8" w:rsidRDefault="0090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1392" w14:textId="77777777" w:rsidR="00C80130" w:rsidRDefault="00C801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9C83A" w14:textId="77777777" w:rsidR="009055C8" w:rsidRPr="00875C0F" w:rsidRDefault="009055C8" w:rsidP="00504F4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65A32" w14:textId="77777777" w:rsidR="00C80130" w:rsidRDefault="00C801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004803"/>
      <w:docPartObj>
        <w:docPartGallery w:val="Page Numbers (Bottom of Page)"/>
        <w:docPartUnique/>
      </w:docPartObj>
    </w:sdtPr>
    <w:sdtEndPr/>
    <w:sdtContent>
      <w:p w14:paraId="3DE9C80B" w14:textId="77777777" w:rsidR="009055C8" w:rsidRPr="00875C0F" w:rsidRDefault="00C80130" w:rsidP="00504F41">
        <w:pPr>
          <w:pStyle w:val="Footer"/>
          <w:jc w:val="right"/>
        </w:pP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8121557"/>
      <w:docPartObj>
        <w:docPartGallery w:val="Page Numbers (Bottom of Page)"/>
        <w:docPartUnique/>
      </w:docPartObj>
    </w:sdtPr>
    <w:sdtEndPr/>
    <w:sdtContent>
      <w:p w14:paraId="480C2D0C" w14:textId="77777777" w:rsidR="009055C8" w:rsidRPr="00875C0F" w:rsidRDefault="00C80130" w:rsidP="00504F41">
        <w:pPr>
          <w:pStyle w:val="Footer"/>
          <w:jc w:val="right"/>
        </w:pP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E8821" w14:textId="244C23CE" w:rsidR="009055C8" w:rsidRPr="0011178C" w:rsidRDefault="009055C8" w:rsidP="003929D2">
    <w:pPr>
      <w:pStyle w:val="Footer"/>
      <w:jc w:val="right"/>
    </w:pPr>
    <w:r>
      <w:fldChar w:fldCharType="begin"/>
    </w:r>
    <w:r>
      <w:instrText xml:space="preserve"> PAGE  \* Arabic  \* MERGEFORMAT </w:instrText>
    </w:r>
    <w:r>
      <w:fldChar w:fldCharType="separate"/>
    </w:r>
    <w:r w:rsidR="00C80130">
      <w:rPr>
        <w:noProof/>
      </w:rPr>
      <w:t>15</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C6A5D" w14:textId="5C8DF983" w:rsidR="009055C8" w:rsidRPr="007E487F" w:rsidRDefault="009055C8" w:rsidP="00504F41">
    <w:pPr>
      <w:pStyle w:val="Footer"/>
      <w:tabs>
        <w:tab w:val="right" w:pos="8931"/>
      </w:tabs>
      <w:ind w:left="-709"/>
      <w:rPr>
        <w:sz w:val="20"/>
        <w:szCs w:val="20"/>
      </w:rPr>
    </w:pPr>
    <w:r>
      <w:rPr>
        <w:sz w:val="20"/>
        <w:szCs w:val="20"/>
      </w:rPr>
      <w:tab/>
    </w:r>
    <w:r>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1B3C4" w14:textId="77777777" w:rsidR="009055C8" w:rsidRDefault="009055C8">
      <w:r>
        <w:separator/>
      </w:r>
    </w:p>
  </w:footnote>
  <w:footnote w:type="continuationSeparator" w:id="0">
    <w:p w14:paraId="253A10C2" w14:textId="77777777" w:rsidR="009055C8" w:rsidRDefault="009055C8">
      <w:r>
        <w:continuationSeparator/>
      </w:r>
    </w:p>
  </w:footnote>
  <w:footnote w:id="1">
    <w:p w14:paraId="555F789D" w14:textId="356B2FED" w:rsidR="009055C8" w:rsidRDefault="009055C8" w:rsidP="005A2CE6">
      <w:pPr>
        <w:pStyle w:val="FootnoteText"/>
      </w:pPr>
      <w:r>
        <w:rPr>
          <w:rStyle w:val="FootnoteReference"/>
        </w:rPr>
        <w:footnoteRef/>
      </w:r>
      <w:r>
        <w:t xml:space="preserve"> </w:t>
      </w:r>
      <w:r>
        <w:tab/>
      </w:r>
      <w:r w:rsidRPr="00E24440">
        <w:t>http://www.abc.net.au/news/2017-02-16/new-figures-point-to-a-massive-shortfall-in-funding-for-student/8271824</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E3FB5" w14:textId="77777777" w:rsidR="00C80130" w:rsidRDefault="00C80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C5656" w14:textId="77777777" w:rsidR="00C80130" w:rsidRDefault="00C801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BE40B" w14:textId="77777777" w:rsidR="00C80130" w:rsidRDefault="00C801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BD285" w14:textId="77777777" w:rsidR="009055C8" w:rsidRDefault="009055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750B1" w14:textId="77777777" w:rsidR="009055C8" w:rsidRDefault="00905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
  </w:num>
  <w:num w:numId="4">
    <w:abstractNumId w:val="15"/>
  </w:num>
  <w:num w:numId="5">
    <w:abstractNumId w:val="15"/>
  </w:num>
  <w:num w:numId="6">
    <w:abstractNumId w:val="4"/>
  </w:num>
  <w:num w:numId="7">
    <w:abstractNumId w:val="4"/>
  </w:num>
  <w:num w:numId="8">
    <w:abstractNumId w:val="4"/>
  </w:num>
  <w:num w:numId="9">
    <w:abstractNumId w:val="4"/>
  </w:num>
  <w:num w:numId="10">
    <w:abstractNumId w:val="14"/>
  </w:num>
  <w:num w:numId="11">
    <w:abstractNumId w:val="5"/>
  </w:num>
  <w:num w:numId="12">
    <w:abstractNumId w:val="1"/>
  </w:num>
  <w:num w:numId="13">
    <w:abstractNumId w:val="15"/>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3"/>
  </w:num>
  <w:num w:numId="24">
    <w:abstractNumId w:val="3"/>
  </w:num>
  <w:num w:numId="25">
    <w:abstractNumId w:val="11"/>
  </w:num>
  <w:num w:numId="26">
    <w:abstractNumId w:val="1"/>
  </w:num>
  <w:num w:numId="27">
    <w:abstractNumId w:val="8"/>
  </w:num>
  <w:num w:numId="28">
    <w:abstractNumId w:val="12"/>
  </w:num>
  <w:num w:numId="29">
    <w:abstractNumId w:val="6"/>
  </w:num>
  <w:num w:numId="30">
    <w:abstractNumId w:val="5"/>
    <w:lvlOverride w:ilvl="0">
      <w:startOverride w:val="1"/>
    </w:lvlOverride>
  </w:num>
  <w:num w:numId="31">
    <w:abstractNumId w:val="14"/>
  </w:num>
  <w:num w:numId="32">
    <w:abstractNumId w:val="1"/>
  </w:num>
  <w:num w:numId="33">
    <w:abstractNumId w:val="5"/>
  </w:num>
  <w:num w:numId="34">
    <w:abstractNumId w:val="15"/>
  </w:num>
  <w:num w:numId="35">
    <w:abstractNumId w:val="9"/>
  </w:num>
  <w:num w:numId="36">
    <w:abstractNumId w:val="14"/>
  </w:num>
  <w:num w:numId="37">
    <w:abstractNumId w:val="1"/>
  </w:num>
  <w:num w:numId="38">
    <w:abstractNumId w:val="5"/>
  </w:num>
  <w:num w:numId="39">
    <w:abstractNumId w:val="15"/>
  </w:num>
  <w:num w:numId="40">
    <w:abstractNumId w:val="9"/>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306"/>
    <w:rsid w:val="00016FE0"/>
    <w:rsid w:val="00022EA9"/>
    <w:rsid w:val="00024745"/>
    <w:rsid w:val="00024896"/>
    <w:rsid w:val="000269B1"/>
    <w:rsid w:val="00027FF8"/>
    <w:rsid w:val="00032F41"/>
    <w:rsid w:val="00040765"/>
    <w:rsid w:val="0004123E"/>
    <w:rsid w:val="00041748"/>
    <w:rsid w:val="00041E84"/>
    <w:rsid w:val="000424EA"/>
    <w:rsid w:val="00042BCF"/>
    <w:rsid w:val="0004552F"/>
    <w:rsid w:val="000476B7"/>
    <w:rsid w:val="00056373"/>
    <w:rsid w:val="00061111"/>
    <w:rsid w:val="000624BB"/>
    <w:rsid w:val="000648E8"/>
    <w:rsid w:val="00093796"/>
    <w:rsid w:val="000A3898"/>
    <w:rsid w:val="000A52A1"/>
    <w:rsid w:val="000B2942"/>
    <w:rsid w:val="000B3557"/>
    <w:rsid w:val="000B556B"/>
    <w:rsid w:val="000B64E3"/>
    <w:rsid w:val="000D1354"/>
    <w:rsid w:val="000D7C54"/>
    <w:rsid w:val="000E0210"/>
    <w:rsid w:val="000E2072"/>
    <w:rsid w:val="000E6AA5"/>
    <w:rsid w:val="000E7F56"/>
    <w:rsid w:val="000F1CDA"/>
    <w:rsid w:val="001039C2"/>
    <w:rsid w:val="001040AD"/>
    <w:rsid w:val="0011178C"/>
    <w:rsid w:val="00112CF0"/>
    <w:rsid w:val="001211AB"/>
    <w:rsid w:val="001218B8"/>
    <w:rsid w:val="00124ED1"/>
    <w:rsid w:val="00131E07"/>
    <w:rsid w:val="00134594"/>
    <w:rsid w:val="00136497"/>
    <w:rsid w:val="001376DC"/>
    <w:rsid w:val="00141BD1"/>
    <w:rsid w:val="001441DA"/>
    <w:rsid w:val="00147006"/>
    <w:rsid w:val="00147115"/>
    <w:rsid w:val="001477CE"/>
    <w:rsid w:val="0016723A"/>
    <w:rsid w:val="00170DC9"/>
    <w:rsid w:val="00171A05"/>
    <w:rsid w:val="00172F3A"/>
    <w:rsid w:val="001730FD"/>
    <w:rsid w:val="00173798"/>
    <w:rsid w:val="00173BE6"/>
    <w:rsid w:val="00173E72"/>
    <w:rsid w:val="001807C0"/>
    <w:rsid w:val="001811DE"/>
    <w:rsid w:val="001818CF"/>
    <w:rsid w:val="00187145"/>
    <w:rsid w:val="001A146D"/>
    <w:rsid w:val="001A4336"/>
    <w:rsid w:val="001B0110"/>
    <w:rsid w:val="001B3048"/>
    <w:rsid w:val="001B68B1"/>
    <w:rsid w:val="001B696E"/>
    <w:rsid w:val="001B6A56"/>
    <w:rsid w:val="001C469B"/>
    <w:rsid w:val="001C6008"/>
    <w:rsid w:val="001C6A71"/>
    <w:rsid w:val="001C78A6"/>
    <w:rsid w:val="001D2FFB"/>
    <w:rsid w:val="001D638B"/>
    <w:rsid w:val="001D6DFA"/>
    <w:rsid w:val="001D7EFD"/>
    <w:rsid w:val="001E6180"/>
    <w:rsid w:val="001E674B"/>
    <w:rsid w:val="001E68FC"/>
    <w:rsid w:val="001E72B6"/>
    <w:rsid w:val="001F3838"/>
    <w:rsid w:val="001F4F5A"/>
    <w:rsid w:val="00204026"/>
    <w:rsid w:val="00212948"/>
    <w:rsid w:val="00214FC8"/>
    <w:rsid w:val="00217839"/>
    <w:rsid w:val="00223995"/>
    <w:rsid w:val="00225A3B"/>
    <w:rsid w:val="0023081D"/>
    <w:rsid w:val="0023329C"/>
    <w:rsid w:val="00236DC0"/>
    <w:rsid w:val="002373A2"/>
    <w:rsid w:val="00242517"/>
    <w:rsid w:val="0024260B"/>
    <w:rsid w:val="0024401F"/>
    <w:rsid w:val="0024569B"/>
    <w:rsid w:val="00247068"/>
    <w:rsid w:val="00255B5A"/>
    <w:rsid w:val="0025603A"/>
    <w:rsid w:val="00266DA8"/>
    <w:rsid w:val="002671A2"/>
    <w:rsid w:val="00267496"/>
    <w:rsid w:val="00272789"/>
    <w:rsid w:val="00275B68"/>
    <w:rsid w:val="002845EA"/>
    <w:rsid w:val="00286EBE"/>
    <w:rsid w:val="00287274"/>
    <w:rsid w:val="00295B70"/>
    <w:rsid w:val="002A2A08"/>
    <w:rsid w:val="002A2D93"/>
    <w:rsid w:val="002A4E42"/>
    <w:rsid w:val="002A77C3"/>
    <w:rsid w:val="002B10B0"/>
    <w:rsid w:val="002B169C"/>
    <w:rsid w:val="002B6EFD"/>
    <w:rsid w:val="002B6F33"/>
    <w:rsid w:val="002B79F0"/>
    <w:rsid w:val="002B7F3E"/>
    <w:rsid w:val="002C12A7"/>
    <w:rsid w:val="002C1D9C"/>
    <w:rsid w:val="002C366F"/>
    <w:rsid w:val="002C4CA9"/>
    <w:rsid w:val="002D2270"/>
    <w:rsid w:val="002E25A8"/>
    <w:rsid w:val="002E33DD"/>
    <w:rsid w:val="002F04DE"/>
    <w:rsid w:val="002F1CD3"/>
    <w:rsid w:val="002F6E28"/>
    <w:rsid w:val="002F7E68"/>
    <w:rsid w:val="00302E5E"/>
    <w:rsid w:val="00305111"/>
    <w:rsid w:val="00307DEF"/>
    <w:rsid w:val="00311D33"/>
    <w:rsid w:val="00312AC1"/>
    <w:rsid w:val="00313664"/>
    <w:rsid w:val="00314F90"/>
    <w:rsid w:val="0033102E"/>
    <w:rsid w:val="00331401"/>
    <w:rsid w:val="00333234"/>
    <w:rsid w:val="00335ED1"/>
    <w:rsid w:val="00337EF8"/>
    <w:rsid w:val="00342A60"/>
    <w:rsid w:val="0034379D"/>
    <w:rsid w:val="0034646D"/>
    <w:rsid w:val="00347BE5"/>
    <w:rsid w:val="003522E0"/>
    <w:rsid w:val="0035267F"/>
    <w:rsid w:val="0035580D"/>
    <w:rsid w:val="00356E53"/>
    <w:rsid w:val="003639FB"/>
    <w:rsid w:val="00363BF7"/>
    <w:rsid w:val="00382AE5"/>
    <w:rsid w:val="00390B22"/>
    <w:rsid w:val="003929D2"/>
    <w:rsid w:val="00393E3E"/>
    <w:rsid w:val="00393FA5"/>
    <w:rsid w:val="00397556"/>
    <w:rsid w:val="003A27BB"/>
    <w:rsid w:val="003A495E"/>
    <w:rsid w:val="003B673D"/>
    <w:rsid w:val="003C2577"/>
    <w:rsid w:val="003C4448"/>
    <w:rsid w:val="003D13A3"/>
    <w:rsid w:val="003D22D2"/>
    <w:rsid w:val="003D3D91"/>
    <w:rsid w:val="003D4708"/>
    <w:rsid w:val="003D477A"/>
    <w:rsid w:val="003E224F"/>
    <w:rsid w:val="003E6615"/>
    <w:rsid w:val="003E79F9"/>
    <w:rsid w:val="003F12E9"/>
    <w:rsid w:val="003F59F4"/>
    <w:rsid w:val="00404DCD"/>
    <w:rsid w:val="004077D6"/>
    <w:rsid w:val="004121E7"/>
    <w:rsid w:val="00414E51"/>
    <w:rsid w:val="00420F04"/>
    <w:rsid w:val="00423099"/>
    <w:rsid w:val="00424E79"/>
    <w:rsid w:val="00425414"/>
    <w:rsid w:val="0042661C"/>
    <w:rsid w:val="004274B3"/>
    <w:rsid w:val="00441057"/>
    <w:rsid w:val="004434DE"/>
    <w:rsid w:val="00443EC1"/>
    <w:rsid w:val="00450D67"/>
    <w:rsid w:val="004530AC"/>
    <w:rsid w:val="00453264"/>
    <w:rsid w:val="00457B8C"/>
    <w:rsid w:val="00462B54"/>
    <w:rsid w:val="00463064"/>
    <w:rsid w:val="00472461"/>
    <w:rsid w:val="004809B8"/>
    <w:rsid w:val="004821B9"/>
    <w:rsid w:val="00486FAF"/>
    <w:rsid w:val="00491D88"/>
    <w:rsid w:val="00493296"/>
    <w:rsid w:val="0049605C"/>
    <w:rsid w:val="004965F7"/>
    <w:rsid w:val="004973B2"/>
    <w:rsid w:val="004A7048"/>
    <w:rsid w:val="004B0A0A"/>
    <w:rsid w:val="004B1C4B"/>
    <w:rsid w:val="004B60CB"/>
    <w:rsid w:val="004C1CB5"/>
    <w:rsid w:val="004E165C"/>
    <w:rsid w:val="004E769A"/>
    <w:rsid w:val="00500ACD"/>
    <w:rsid w:val="00504061"/>
    <w:rsid w:val="00504F41"/>
    <w:rsid w:val="00505BAE"/>
    <w:rsid w:val="00506956"/>
    <w:rsid w:val="0051125A"/>
    <w:rsid w:val="00515380"/>
    <w:rsid w:val="005176CA"/>
    <w:rsid w:val="00530FD6"/>
    <w:rsid w:val="00532D10"/>
    <w:rsid w:val="00537A77"/>
    <w:rsid w:val="00541A14"/>
    <w:rsid w:val="00543F9C"/>
    <w:rsid w:val="00544068"/>
    <w:rsid w:val="00546D39"/>
    <w:rsid w:val="00550E84"/>
    <w:rsid w:val="00551368"/>
    <w:rsid w:val="005577B0"/>
    <w:rsid w:val="00562084"/>
    <w:rsid w:val="00570EED"/>
    <w:rsid w:val="005716FC"/>
    <w:rsid w:val="00575DEF"/>
    <w:rsid w:val="00583A33"/>
    <w:rsid w:val="005867D2"/>
    <w:rsid w:val="00592B45"/>
    <w:rsid w:val="005930E4"/>
    <w:rsid w:val="005963CC"/>
    <w:rsid w:val="00596E19"/>
    <w:rsid w:val="005A241E"/>
    <w:rsid w:val="005A2CE6"/>
    <w:rsid w:val="005A5D9A"/>
    <w:rsid w:val="005A6FED"/>
    <w:rsid w:val="005B1BC4"/>
    <w:rsid w:val="005B6894"/>
    <w:rsid w:val="005B7121"/>
    <w:rsid w:val="005C13B2"/>
    <w:rsid w:val="005C27E3"/>
    <w:rsid w:val="005C37CB"/>
    <w:rsid w:val="005C459C"/>
    <w:rsid w:val="005C5516"/>
    <w:rsid w:val="005D1A9F"/>
    <w:rsid w:val="005D52FA"/>
    <w:rsid w:val="005D782A"/>
    <w:rsid w:val="005E266F"/>
    <w:rsid w:val="005E5734"/>
    <w:rsid w:val="005E73CE"/>
    <w:rsid w:val="005F07DC"/>
    <w:rsid w:val="005F64FB"/>
    <w:rsid w:val="0060251E"/>
    <w:rsid w:val="00602DDE"/>
    <w:rsid w:val="00611737"/>
    <w:rsid w:val="00614DE8"/>
    <w:rsid w:val="00617115"/>
    <w:rsid w:val="00622388"/>
    <w:rsid w:val="00622669"/>
    <w:rsid w:val="00622FE1"/>
    <w:rsid w:val="00625CE5"/>
    <w:rsid w:val="00632ED3"/>
    <w:rsid w:val="00635027"/>
    <w:rsid w:val="00644A7B"/>
    <w:rsid w:val="006556D9"/>
    <w:rsid w:val="00656329"/>
    <w:rsid w:val="00661521"/>
    <w:rsid w:val="00661C46"/>
    <w:rsid w:val="006652D3"/>
    <w:rsid w:val="00667CF3"/>
    <w:rsid w:val="006769C4"/>
    <w:rsid w:val="00676B82"/>
    <w:rsid w:val="00677627"/>
    <w:rsid w:val="00677BD5"/>
    <w:rsid w:val="0068025E"/>
    <w:rsid w:val="00693C87"/>
    <w:rsid w:val="006A05C7"/>
    <w:rsid w:val="006A607B"/>
    <w:rsid w:val="006A6E27"/>
    <w:rsid w:val="006A72B0"/>
    <w:rsid w:val="006B3CF7"/>
    <w:rsid w:val="006B3E4D"/>
    <w:rsid w:val="006B7F84"/>
    <w:rsid w:val="006C5110"/>
    <w:rsid w:val="006C52B9"/>
    <w:rsid w:val="006D1DFE"/>
    <w:rsid w:val="006E6BC2"/>
    <w:rsid w:val="006E77BB"/>
    <w:rsid w:val="0070150E"/>
    <w:rsid w:val="00705DB8"/>
    <w:rsid w:val="0070643B"/>
    <w:rsid w:val="00706913"/>
    <w:rsid w:val="007075BD"/>
    <w:rsid w:val="00713225"/>
    <w:rsid w:val="0072512A"/>
    <w:rsid w:val="00731EE6"/>
    <w:rsid w:val="007355A6"/>
    <w:rsid w:val="00740A71"/>
    <w:rsid w:val="007477C5"/>
    <w:rsid w:val="00747938"/>
    <w:rsid w:val="00756850"/>
    <w:rsid w:val="00757EFF"/>
    <w:rsid w:val="00762803"/>
    <w:rsid w:val="00762AFB"/>
    <w:rsid w:val="00765BA8"/>
    <w:rsid w:val="00766007"/>
    <w:rsid w:val="0077053D"/>
    <w:rsid w:val="007705BA"/>
    <w:rsid w:val="00770A26"/>
    <w:rsid w:val="00773FEE"/>
    <w:rsid w:val="007A1364"/>
    <w:rsid w:val="007A24A0"/>
    <w:rsid w:val="007A42D0"/>
    <w:rsid w:val="007A4AB2"/>
    <w:rsid w:val="007A5E68"/>
    <w:rsid w:val="007B1BF7"/>
    <w:rsid w:val="007C404B"/>
    <w:rsid w:val="007C4BAE"/>
    <w:rsid w:val="007C6F2E"/>
    <w:rsid w:val="007D1D3B"/>
    <w:rsid w:val="007D5960"/>
    <w:rsid w:val="007E114E"/>
    <w:rsid w:val="007E487F"/>
    <w:rsid w:val="007E4B2D"/>
    <w:rsid w:val="007E587D"/>
    <w:rsid w:val="007E6757"/>
    <w:rsid w:val="007E71E9"/>
    <w:rsid w:val="007F0C4E"/>
    <w:rsid w:val="007F1873"/>
    <w:rsid w:val="007F1D06"/>
    <w:rsid w:val="008010D7"/>
    <w:rsid w:val="008031B2"/>
    <w:rsid w:val="00803443"/>
    <w:rsid w:val="0080680D"/>
    <w:rsid w:val="00812C05"/>
    <w:rsid w:val="0081322A"/>
    <w:rsid w:val="008162AB"/>
    <w:rsid w:val="00820981"/>
    <w:rsid w:val="00843E6F"/>
    <w:rsid w:val="00846E4A"/>
    <w:rsid w:val="00851AF5"/>
    <w:rsid w:val="00851FB5"/>
    <w:rsid w:val="00854DAA"/>
    <w:rsid w:val="008647DE"/>
    <w:rsid w:val="00864B95"/>
    <w:rsid w:val="008800D3"/>
    <w:rsid w:val="00886CDD"/>
    <w:rsid w:val="0089214D"/>
    <w:rsid w:val="00893C0D"/>
    <w:rsid w:val="008A20DA"/>
    <w:rsid w:val="008B5C8F"/>
    <w:rsid w:val="008B5F16"/>
    <w:rsid w:val="008B7722"/>
    <w:rsid w:val="008C00EA"/>
    <w:rsid w:val="008C0E5C"/>
    <w:rsid w:val="008D348B"/>
    <w:rsid w:val="008E2BE4"/>
    <w:rsid w:val="008E6B4E"/>
    <w:rsid w:val="008E7970"/>
    <w:rsid w:val="008E7C34"/>
    <w:rsid w:val="008F0C36"/>
    <w:rsid w:val="008F377B"/>
    <w:rsid w:val="00903E62"/>
    <w:rsid w:val="009055C8"/>
    <w:rsid w:val="009104E2"/>
    <w:rsid w:val="00915512"/>
    <w:rsid w:val="009233CC"/>
    <w:rsid w:val="009240D8"/>
    <w:rsid w:val="0092523D"/>
    <w:rsid w:val="009360D7"/>
    <w:rsid w:val="009362C9"/>
    <w:rsid w:val="00942387"/>
    <w:rsid w:val="0094626F"/>
    <w:rsid w:val="009462D2"/>
    <w:rsid w:val="00962896"/>
    <w:rsid w:val="009652D5"/>
    <w:rsid w:val="009677F8"/>
    <w:rsid w:val="00970C6A"/>
    <w:rsid w:val="00971146"/>
    <w:rsid w:val="00972A9A"/>
    <w:rsid w:val="00991675"/>
    <w:rsid w:val="00992008"/>
    <w:rsid w:val="00996409"/>
    <w:rsid w:val="00996D00"/>
    <w:rsid w:val="009A03DC"/>
    <w:rsid w:val="009A6CF3"/>
    <w:rsid w:val="009A7AE5"/>
    <w:rsid w:val="009B43BF"/>
    <w:rsid w:val="009B4A2D"/>
    <w:rsid w:val="009B5A07"/>
    <w:rsid w:val="009C1E0B"/>
    <w:rsid w:val="009D545A"/>
    <w:rsid w:val="009D6D44"/>
    <w:rsid w:val="009E1ADA"/>
    <w:rsid w:val="009E22FA"/>
    <w:rsid w:val="009E4744"/>
    <w:rsid w:val="009E4EC9"/>
    <w:rsid w:val="009E5D5A"/>
    <w:rsid w:val="009F1A58"/>
    <w:rsid w:val="009F2262"/>
    <w:rsid w:val="009F4ADA"/>
    <w:rsid w:val="009F6A0D"/>
    <w:rsid w:val="00A07991"/>
    <w:rsid w:val="00A10CDE"/>
    <w:rsid w:val="00A1680D"/>
    <w:rsid w:val="00A23AB0"/>
    <w:rsid w:val="00A266C5"/>
    <w:rsid w:val="00A309C6"/>
    <w:rsid w:val="00A319A4"/>
    <w:rsid w:val="00A32E4E"/>
    <w:rsid w:val="00A505DE"/>
    <w:rsid w:val="00A5327C"/>
    <w:rsid w:val="00A5721C"/>
    <w:rsid w:val="00A67913"/>
    <w:rsid w:val="00A70049"/>
    <w:rsid w:val="00A81A94"/>
    <w:rsid w:val="00A85D0F"/>
    <w:rsid w:val="00A95931"/>
    <w:rsid w:val="00A9681E"/>
    <w:rsid w:val="00AA007A"/>
    <w:rsid w:val="00AA35B4"/>
    <w:rsid w:val="00AB073E"/>
    <w:rsid w:val="00AB19D8"/>
    <w:rsid w:val="00AB1A13"/>
    <w:rsid w:val="00AB4E9F"/>
    <w:rsid w:val="00AB70B0"/>
    <w:rsid w:val="00AC210F"/>
    <w:rsid w:val="00AC319E"/>
    <w:rsid w:val="00AC7036"/>
    <w:rsid w:val="00AD74FB"/>
    <w:rsid w:val="00AE3A1E"/>
    <w:rsid w:val="00AE734F"/>
    <w:rsid w:val="00AF2656"/>
    <w:rsid w:val="00AF6110"/>
    <w:rsid w:val="00AF6AC6"/>
    <w:rsid w:val="00B00611"/>
    <w:rsid w:val="00B04354"/>
    <w:rsid w:val="00B04B54"/>
    <w:rsid w:val="00B249FC"/>
    <w:rsid w:val="00B317E7"/>
    <w:rsid w:val="00B32C24"/>
    <w:rsid w:val="00B33A57"/>
    <w:rsid w:val="00B34083"/>
    <w:rsid w:val="00B37728"/>
    <w:rsid w:val="00B45C64"/>
    <w:rsid w:val="00B46A32"/>
    <w:rsid w:val="00B46B29"/>
    <w:rsid w:val="00B53547"/>
    <w:rsid w:val="00B53597"/>
    <w:rsid w:val="00B55D3E"/>
    <w:rsid w:val="00B62590"/>
    <w:rsid w:val="00B6729F"/>
    <w:rsid w:val="00B706E2"/>
    <w:rsid w:val="00B7517F"/>
    <w:rsid w:val="00B8201D"/>
    <w:rsid w:val="00B82627"/>
    <w:rsid w:val="00B90AA7"/>
    <w:rsid w:val="00B94335"/>
    <w:rsid w:val="00BA1EC3"/>
    <w:rsid w:val="00BA38F6"/>
    <w:rsid w:val="00BA65E5"/>
    <w:rsid w:val="00BB09DF"/>
    <w:rsid w:val="00BB3FC5"/>
    <w:rsid w:val="00BB712B"/>
    <w:rsid w:val="00BC1981"/>
    <w:rsid w:val="00BC2B3B"/>
    <w:rsid w:val="00BC4579"/>
    <w:rsid w:val="00BD3D24"/>
    <w:rsid w:val="00BE4018"/>
    <w:rsid w:val="00BE418D"/>
    <w:rsid w:val="00BF5209"/>
    <w:rsid w:val="00C0018A"/>
    <w:rsid w:val="00C00221"/>
    <w:rsid w:val="00C00905"/>
    <w:rsid w:val="00C035B5"/>
    <w:rsid w:val="00C06B69"/>
    <w:rsid w:val="00C0725A"/>
    <w:rsid w:val="00C11ABD"/>
    <w:rsid w:val="00C14FB2"/>
    <w:rsid w:val="00C176AC"/>
    <w:rsid w:val="00C21EF9"/>
    <w:rsid w:val="00C222F7"/>
    <w:rsid w:val="00C22A36"/>
    <w:rsid w:val="00C24839"/>
    <w:rsid w:val="00C27C23"/>
    <w:rsid w:val="00C41C84"/>
    <w:rsid w:val="00C54383"/>
    <w:rsid w:val="00C554D4"/>
    <w:rsid w:val="00C61B02"/>
    <w:rsid w:val="00C61F1C"/>
    <w:rsid w:val="00C63404"/>
    <w:rsid w:val="00C70498"/>
    <w:rsid w:val="00C719A2"/>
    <w:rsid w:val="00C72165"/>
    <w:rsid w:val="00C732DA"/>
    <w:rsid w:val="00C74C6B"/>
    <w:rsid w:val="00C76DD6"/>
    <w:rsid w:val="00C80130"/>
    <w:rsid w:val="00C83041"/>
    <w:rsid w:val="00C90B42"/>
    <w:rsid w:val="00C9475D"/>
    <w:rsid w:val="00C95056"/>
    <w:rsid w:val="00C951FD"/>
    <w:rsid w:val="00CA048D"/>
    <w:rsid w:val="00CA7F28"/>
    <w:rsid w:val="00CB0768"/>
    <w:rsid w:val="00CB131F"/>
    <w:rsid w:val="00CB4DCD"/>
    <w:rsid w:val="00CB4F2D"/>
    <w:rsid w:val="00CC1690"/>
    <w:rsid w:val="00CC665A"/>
    <w:rsid w:val="00CE04A0"/>
    <w:rsid w:val="00CE34DC"/>
    <w:rsid w:val="00D07FB4"/>
    <w:rsid w:val="00D166C0"/>
    <w:rsid w:val="00D20EEC"/>
    <w:rsid w:val="00D21FA8"/>
    <w:rsid w:val="00D236B7"/>
    <w:rsid w:val="00D23E48"/>
    <w:rsid w:val="00D2431C"/>
    <w:rsid w:val="00D244BE"/>
    <w:rsid w:val="00D354D2"/>
    <w:rsid w:val="00D37CB4"/>
    <w:rsid w:val="00D43096"/>
    <w:rsid w:val="00D43578"/>
    <w:rsid w:val="00D46AB2"/>
    <w:rsid w:val="00D47815"/>
    <w:rsid w:val="00D6060E"/>
    <w:rsid w:val="00D640CA"/>
    <w:rsid w:val="00D656EB"/>
    <w:rsid w:val="00D66C04"/>
    <w:rsid w:val="00D7668F"/>
    <w:rsid w:val="00D771FD"/>
    <w:rsid w:val="00D7796D"/>
    <w:rsid w:val="00D81B18"/>
    <w:rsid w:val="00D81DBF"/>
    <w:rsid w:val="00D83541"/>
    <w:rsid w:val="00D905E1"/>
    <w:rsid w:val="00D93A16"/>
    <w:rsid w:val="00D9496D"/>
    <w:rsid w:val="00DA0768"/>
    <w:rsid w:val="00DA161A"/>
    <w:rsid w:val="00DA5A94"/>
    <w:rsid w:val="00DB2355"/>
    <w:rsid w:val="00DB3BB4"/>
    <w:rsid w:val="00DC0F02"/>
    <w:rsid w:val="00DC0F8D"/>
    <w:rsid w:val="00DC2284"/>
    <w:rsid w:val="00DC3CA4"/>
    <w:rsid w:val="00DD2EBF"/>
    <w:rsid w:val="00DE1C0E"/>
    <w:rsid w:val="00DE4578"/>
    <w:rsid w:val="00DF04EE"/>
    <w:rsid w:val="00DF3E35"/>
    <w:rsid w:val="00E03ED5"/>
    <w:rsid w:val="00E06243"/>
    <w:rsid w:val="00E07169"/>
    <w:rsid w:val="00E07621"/>
    <w:rsid w:val="00E162A4"/>
    <w:rsid w:val="00E1688C"/>
    <w:rsid w:val="00E20ED8"/>
    <w:rsid w:val="00E22665"/>
    <w:rsid w:val="00E30499"/>
    <w:rsid w:val="00E30B51"/>
    <w:rsid w:val="00E324BB"/>
    <w:rsid w:val="00E377E8"/>
    <w:rsid w:val="00E37A1D"/>
    <w:rsid w:val="00E42394"/>
    <w:rsid w:val="00E43464"/>
    <w:rsid w:val="00E478E7"/>
    <w:rsid w:val="00E47A69"/>
    <w:rsid w:val="00E571BB"/>
    <w:rsid w:val="00E65588"/>
    <w:rsid w:val="00E74435"/>
    <w:rsid w:val="00E758AD"/>
    <w:rsid w:val="00E77D4E"/>
    <w:rsid w:val="00E82FA0"/>
    <w:rsid w:val="00E91860"/>
    <w:rsid w:val="00E954B7"/>
    <w:rsid w:val="00E95FA3"/>
    <w:rsid w:val="00E96FDB"/>
    <w:rsid w:val="00EA107B"/>
    <w:rsid w:val="00EA201E"/>
    <w:rsid w:val="00EB4A21"/>
    <w:rsid w:val="00EB6D31"/>
    <w:rsid w:val="00EC06CC"/>
    <w:rsid w:val="00EC16F1"/>
    <w:rsid w:val="00ED012F"/>
    <w:rsid w:val="00ED05D6"/>
    <w:rsid w:val="00ED0C6F"/>
    <w:rsid w:val="00ED2FCC"/>
    <w:rsid w:val="00EE5F75"/>
    <w:rsid w:val="00EF1DBA"/>
    <w:rsid w:val="00EF2722"/>
    <w:rsid w:val="00EF6805"/>
    <w:rsid w:val="00F00508"/>
    <w:rsid w:val="00F01E52"/>
    <w:rsid w:val="00F042DC"/>
    <w:rsid w:val="00F04309"/>
    <w:rsid w:val="00F07099"/>
    <w:rsid w:val="00F105EA"/>
    <w:rsid w:val="00F11117"/>
    <w:rsid w:val="00F112DD"/>
    <w:rsid w:val="00F12541"/>
    <w:rsid w:val="00F20219"/>
    <w:rsid w:val="00F22035"/>
    <w:rsid w:val="00F22D18"/>
    <w:rsid w:val="00F24C5D"/>
    <w:rsid w:val="00F32D78"/>
    <w:rsid w:val="00F36C87"/>
    <w:rsid w:val="00F41556"/>
    <w:rsid w:val="00F46927"/>
    <w:rsid w:val="00F533CE"/>
    <w:rsid w:val="00F55854"/>
    <w:rsid w:val="00F56813"/>
    <w:rsid w:val="00F70110"/>
    <w:rsid w:val="00F711DA"/>
    <w:rsid w:val="00F72C93"/>
    <w:rsid w:val="00F80A88"/>
    <w:rsid w:val="00F823F5"/>
    <w:rsid w:val="00F83306"/>
    <w:rsid w:val="00F9170D"/>
    <w:rsid w:val="00F94368"/>
    <w:rsid w:val="00F94681"/>
    <w:rsid w:val="00F9494C"/>
    <w:rsid w:val="00FA15C8"/>
    <w:rsid w:val="00FA2D86"/>
    <w:rsid w:val="00FA322C"/>
    <w:rsid w:val="00FA348C"/>
    <w:rsid w:val="00FB0AD8"/>
    <w:rsid w:val="00FB4DBB"/>
    <w:rsid w:val="00FC3995"/>
    <w:rsid w:val="00FD4292"/>
    <w:rsid w:val="00FE2C17"/>
    <w:rsid w:val="00FF0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5DDC9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D10"/>
    <w:pPr>
      <w:tabs>
        <w:tab w:val="left" w:pos="567"/>
      </w:tabs>
      <w:spacing w:after="80" w:line="320" w:lineRule="atLeast"/>
    </w:pPr>
    <w:rPr>
      <w:sz w:val="24"/>
    </w:rPr>
  </w:style>
  <w:style w:type="paragraph" w:styleId="Heading1">
    <w:name w:val="heading 1"/>
    <w:basedOn w:val="Normal"/>
    <w:next w:val="Heading2"/>
    <w:link w:val="Heading1Char"/>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qFormat/>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qForma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uiPriority w:val="39"/>
    <w:rsid w:val="00DE1C0E"/>
    <w:pPr>
      <w:tabs>
        <w:tab w:val="clear" w:pos="567"/>
        <w:tab w:val="right" w:pos="8942"/>
      </w:tabs>
      <w:spacing w:after="0"/>
      <w:ind w:left="284"/>
    </w:pPr>
    <w:rPr>
      <w:szCs w:val="20"/>
    </w:rPr>
  </w:style>
  <w:style w:type="paragraph" w:styleId="TOC3">
    <w:name w:val="toc 3"/>
    <w:basedOn w:val="Normal"/>
    <w:next w:val="Normal"/>
    <w:uiPriority w:val="39"/>
    <w:rsid w:val="00DE1C0E"/>
    <w:pPr>
      <w:tabs>
        <w:tab w:val="clear" w:pos="567"/>
        <w:tab w:val="right" w:pos="8942"/>
      </w:tabs>
      <w:spacing w:after="0"/>
      <w:ind w:left="567"/>
    </w:pPr>
    <w:rPr>
      <w:iC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rsid w:val="00E42394"/>
    <w:rPr>
      <w:sz w:val="24"/>
      <w:szCs w:val="20"/>
    </w:rPr>
  </w:style>
  <w:style w:type="character" w:customStyle="1" w:styleId="CGCParaNoChar">
    <w:name w:val="CGC Para No Char"/>
    <w:aliases w:val="CGC Numbered Para Char"/>
    <w:basedOn w:val="DefaultParagraphFont"/>
    <w:link w:val="CGCNumberedPara"/>
    <w:rsid w:val="00E42394"/>
    <w:rPr>
      <w:sz w:val="24"/>
      <w:szCs w:val="24"/>
    </w:rPr>
  </w:style>
  <w:style w:type="character" w:customStyle="1" w:styleId="CGCTableFootnoteChar">
    <w:name w:val="CGC Table Footnote Char"/>
    <w:basedOn w:val="DefaultParagraphFont"/>
    <w:link w:val="CGCTableFootnote"/>
    <w:rsid w:val="00D37CB4"/>
    <w:rPr>
      <w:sz w:val="20"/>
      <w:szCs w:val="24"/>
    </w:rPr>
  </w:style>
  <w:style w:type="character" w:customStyle="1" w:styleId="CGCTableHeadingChar">
    <w:name w:val="CGC Table Heading Char"/>
    <w:basedOn w:val="DefaultParagraphFont"/>
    <w:link w:val="CGCTableHeading"/>
    <w:rsid w:val="00D37CB4"/>
    <w:rPr>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48419241">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creativecommons.org/licenses/by/3.0" TargetMode="Externa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secretary@cgc.gov.au" TargetMode="External"/><Relationship Id="rId23" Type="http://schemas.openxmlformats.org/officeDocument/2006/relationships/image" Target="media/image4.emf"/><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3.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3BC5F-2573-4CBB-8E8B-4B58C107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4440</Words>
  <Characters>25859</Characters>
  <Application>Microsoft Office Word</Application>
  <DocSecurity>0</DocSecurity>
  <Lines>215</Lines>
  <Paragraphs>60</Paragraphs>
  <ScaleCrop>false</ScaleCrop>
  <Company/>
  <LinksUpToDate>false</LinksUpToDate>
  <CharactersWithSpaces>30239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2018-06-13T05:47:00Z</dcterms:created>
  <dcterms:modified xsi:type="dcterms:W3CDTF">2018-06-13T05:47:00Z</dcterms:modified>
</cp:coreProperties>
</file>